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cs="Times New Roman"/>
          <w:b/>
          <w:color w:val="auto"/>
          <w:sz w:val="48"/>
          <w:szCs w:val="52"/>
          <w:lang w:eastAsia="zh-CN"/>
        </w:rPr>
      </w:pPr>
      <w:bookmarkStart w:id="0" w:name="_Toc219258485"/>
      <w:bookmarkStart w:id="557" w:name="_GoBack"/>
      <w:bookmarkEnd w:id="557"/>
      <w:r>
        <w:rPr>
          <w:rFonts w:hint="eastAsia" w:ascii="Times New Roman" w:cs="Times New Roman"/>
          <w:b/>
          <w:color w:val="auto"/>
          <w:sz w:val="48"/>
          <w:szCs w:val="52"/>
        </w:rPr>
        <w:t>中国</w:t>
      </w:r>
      <w:r>
        <w:rPr>
          <w:rFonts w:hint="eastAsia" w:ascii="Times New Roman" w:cs="Times New Roman"/>
          <w:b/>
          <w:color w:val="auto"/>
          <w:sz w:val="48"/>
          <w:szCs w:val="52"/>
          <w:lang w:eastAsia="zh-CN"/>
        </w:rPr>
        <w:t>石油化工股份有限公司长岭分公司</w:t>
      </w:r>
    </w:p>
    <w:p>
      <w:pPr>
        <w:spacing w:line="360" w:lineRule="auto"/>
        <w:jc w:val="center"/>
        <w:rPr>
          <w:rFonts w:ascii="宋体" w:hAnsi="宋体"/>
          <w:b/>
          <w:bCs/>
          <w:color w:val="auto"/>
          <w:sz w:val="44"/>
          <w:szCs w:val="44"/>
        </w:rPr>
      </w:pPr>
      <w:r>
        <w:rPr>
          <w:rFonts w:hint="eastAsia" w:ascii="Times New Roman" w:cs="Times New Roman"/>
          <w:b/>
          <w:color w:val="auto"/>
          <w:sz w:val="48"/>
          <w:szCs w:val="52"/>
          <w:lang w:eastAsia="zh-CN"/>
        </w:rPr>
        <w:t>液氨装车安全隐患治理</w:t>
      </w:r>
      <w:r>
        <w:rPr>
          <w:rFonts w:hint="eastAsia" w:ascii="Times New Roman" w:cs="Times New Roman"/>
          <w:b/>
          <w:color w:val="auto"/>
          <w:sz w:val="48"/>
          <w:szCs w:val="52"/>
        </w:rPr>
        <w:t>项目</w:t>
      </w:r>
    </w:p>
    <w:p>
      <w:pPr>
        <w:kinsoku w:val="0"/>
        <w:overflowPunct w:val="0"/>
        <w:spacing w:line="360" w:lineRule="auto"/>
        <w:jc w:val="center"/>
        <w:rPr>
          <w:rFonts w:ascii="Times New Roman" w:hAnsi="Times New Roman" w:cs="Times New Roman"/>
          <w:b/>
          <w:color w:val="auto"/>
          <w:sz w:val="84"/>
          <w:szCs w:val="84"/>
        </w:rPr>
      </w:pPr>
      <w:r>
        <w:rPr>
          <w:rFonts w:ascii="Times New Roman" w:cs="Times New Roman"/>
          <w:b/>
          <w:color w:val="auto"/>
          <w:sz w:val="84"/>
          <w:szCs w:val="84"/>
        </w:rPr>
        <w:t>环境影响报告书</w:t>
      </w:r>
    </w:p>
    <w:p>
      <w:pPr>
        <w:spacing w:line="360" w:lineRule="auto"/>
        <w:jc w:val="center"/>
        <w:rPr>
          <w:rFonts w:ascii="Times New Roman" w:hAnsi="Times New Roman" w:cs="Times New Roman"/>
          <w:b/>
          <w:color w:val="auto"/>
          <w:sz w:val="48"/>
          <w:szCs w:val="52"/>
        </w:rPr>
      </w:pPr>
      <w:r>
        <w:rPr>
          <w:rFonts w:ascii="Times New Roman" w:cs="Times New Roman"/>
          <w:b/>
          <w:color w:val="auto"/>
          <w:sz w:val="48"/>
          <w:szCs w:val="52"/>
        </w:rPr>
        <w:t>（</w:t>
      </w:r>
      <w:r>
        <w:rPr>
          <w:rFonts w:hint="eastAsia" w:ascii="Times New Roman" w:cs="Times New Roman"/>
          <w:b/>
          <w:color w:val="auto"/>
          <w:sz w:val="48"/>
          <w:szCs w:val="52"/>
          <w:lang w:eastAsia="zh-CN"/>
        </w:rPr>
        <w:t>报批</w:t>
      </w:r>
      <w:r>
        <w:rPr>
          <w:rFonts w:ascii="Times New Roman" w:cs="Times New Roman"/>
          <w:b/>
          <w:color w:val="auto"/>
          <w:sz w:val="48"/>
          <w:szCs w:val="52"/>
        </w:rPr>
        <w:t>稿）</w:t>
      </w:r>
    </w:p>
    <w:p>
      <w:pPr>
        <w:kinsoku w:val="0"/>
        <w:overflowPunct w:val="0"/>
        <w:ind w:firstLine="1446"/>
        <w:rPr>
          <w:rFonts w:ascii="Times New Roman" w:hAnsi="Times New Roman" w:cs="Times New Roman"/>
          <w:b/>
          <w:bCs/>
          <w:color w:val="auto"/>
          <w:sz w:val="72"/>
        </w:rPr>
      </w:pPr>
    </w:p>
    <w:p>
      <w:pPr>
        <w:kinsoku w:val="0"/>
        <w:overflowPunct w:val="0"/>
        <w:ind w:firstLine="1446"/>
        <w:rPr>
          <w:rFonts w:ascii="Times New Roman" w:hAnsi="Times New Roman" w:cs="Times New Roman"/>
          <w:b/>
          <w:bCs/>
          <w:color w:val="auto"/>
          <w:sz w:val="72"/>
        </w:rPr>
      </w:pPr>
    </w:p>
    <w:p>
      <w:pPr>
        <w:kinsoku w:val="0"/>
        <w:overflowPunct w:val="0"/>
        <w:ind w:firstLine="1446"/>
        <w:rPr>
          <w:rFonts w:ascii="Times New Roman" w:hAnsi="Times New Roman" w:cs="Times New Roman"/>
          <w:b/>
          <w:bCs/>
          <w:color w:val="auto"/>
          <w:sz w:val="72"/>
        </w:rPr>
      </w:pPr>
    </w:p>
    <w:p>
      <w:pPr>
        <w:kinsoku w:val="0"/>
        <w:overflowPunct w:val="0"/>
        <w:ind w:firstLine="1446"/>
        <w:rPr>
          <w:rFonts w:ascii="Times New Roman" w:hAnsi="Times New Roman" w:cs="Times New Roman"/>
          <w:b/>
          <w:bCs/>
          <w:color w:val="auto"/>
          <w:sz w:val="72"/>
        </w:rPr>
      </w:pPr>
    </w:p>
    <w:p>
      <w:pPr>
        <w:kinsoku w:val="0"/>
        <w:overflowPunct w:val="0"/>
        <w:ind w:firstLine="1446"/>
        <w:rPr>
          <w:rFonts w:ascii="Times New Roman" w:hAnsi="Times New Roman" w:cs="Times New Roman"/>
          <w:b/>
          <w:bCs/>
          <w:color w:val="auto"/>
          <w:sz w:val="72"/>
        </w:rPr>
      </w:pPr>
    </w:p>
    <w:p>
      <w:pPr>
        <w:kinsoku w:val="0"/>
        <w:overflowPunct w:val="0"/>
        <w:ind w:firstLine="1446"/>
        <w:rPr>
          <w:rFonts w:ascii="Times New Roman" w:hAnsi="Times New Roman" w:cs="Times New Roman"/>
          <w:b/>
          <w:bCs/>
          <w:color w:val="auto"/>
          <w:sz w:val="72"/>
        </w:rPr>
      </w:pPr>
    </w:p>
    <w:p>
      <w:pPr>
        <w:kinsoku w:val="0"/>
        <w:overflowPunct w:val="0"/>
        <w:spacing w:line="360" w:lineRule="auto"/>
        <w:ind w:firstLine="1285" w:firstLineChars="400"/>
        <w:rPr>
          <w:rFonts w:ascii="Times New Roman" w:hAnsi="Times New Roman" w:cs="Times New Roman"/>
          <w:b/>
          <w:color w:val="auto"/>
          <w:sz w:val="32"/>
          <w:szCs w:val="32"/>
        </w:rPr>
      </w:pPr>
      <w:r>
        <w:rPr>
          <w:rFonts w:ascii="Times New Roman" w:cs="Times New Roman"/>
          <w:b/>
          <w:color w:val="auto"/>
          <w:sz w:val="32"/>
          <w:szCs w:val="32"/>
        </w:rPr>
        <w:t>建设单位：</w:t>
      </w:r>
      <w:r>
        <w:rPr>
          <w:rFonts w:hint="eastAsia" w:ascii="Times New Roman" w:cs="Times New Roman"/>
          <w:b/>
          <w:color w:val="auto"/>
          <w:sz w:val="32"/>
          <w:szCs w:val="32"/>
          <w:shd w:val="clear" w:color="auto" w:fill="FFFFFF"/>
        </w:rPr>
        <w:t>中国</w:t>
      </w:r>
      <w:r>
        <w:rPr>
          <w:rFonts w:hint="eastAsia" w:ascii="Times New Roman" w:cs="Times New Roman"/>
          <w:b/>
          <w:color w:val="auto"/>
          <w:sz w:val="32"/>
          <w:szCs w:val="32"/>
          <w:shd w:val="clear" w:color="auto" w:fill="FFFFFF"/>
          <w:lang w:eastAsia="zh-CN"/>
        </w:rPr>
        <w:t>石油化工股份</w:t>
      </w:r>
      <w:r>
        <w:rPr>
          <w:rFonts w:hint="eastAsia" w:ascii="Times New Roman" w:cs="Times New Roman"/>
          <w:b/>
          <w:color w:val="auto"/>
          <w:sz w:val="32"/>
          <w:szCs w:val="32"/>
          <w:shd w:val="clear" w:color="auto" w:fill="FFFFFF"/>
        </w:rPr>
        <w:t>有限公司长岭分</w:t>
      </w:r>
      <w:r>
        <w:rPr>
          <w:rFonts w:ascii="Times New Roman" w:cs="Times New Roman"/>
          <w:b/>
          <w:color w:val="auto"/>
          <w:sz w:val="32"/>
          <w:szCs w:val="32"/>
          <w:shd w:val="clear" w:color="auto" w:fill="FFFFFF"/>
        </w:rPr>
        <w:t>公司</w:t>
      </w:r>
    </w:p>
    <w:p>
      <w:pPr>
        <w:kinsoku w:val="0"/>
        <w:overflowPunct w:val="0"/>
        <w:spacing w:line="360" w:lineRule="auto"/>
        <w:ind w:firstLine="1285" w:firstLineChars="400"/>
        <w:rPr>
          <w:rFonts w:ascii="Times New Roman" w:hAnsi="Times New Roman" w:cs="Times New Roman"/>
          <w:b/>
          <w:color w:val="auto"/>
          <w:sz w:val="32"/>
          <w:szCs w:val="32"/>
        </w:rPr>
      </w:pPr>
      <w:r>
        <w:rPr>
          <w:rFonts w:ascii="Times New Roman" w:cs="Times New Roman"/>
          <w:b/>
          <w:color w:val="auto"/>
          <w:sz w:val="32"/>
          <w:szCs w:val="32"/>
        </w:rPr>
        <w:t>编制单位：</w:t>
      </w:r>
      <w:r>
        <w:rPr>
          <w:rFonts w:hint="eastAsia" w:ascii="Times New Roman" w:cs="Times New Roman"/>
          <w:b/>
          <w:snapToGrid w:val="0"/>
          <w:color w:val="auto"/>
          <w:sz w:val="32"/>
          <w:szCs w:val="32"/>
        </w:rPr>
        <w:t>湖南</w:t>
      </w:r>
      <w:r>
        <w:rPr>
          <w:rFonts w:hint="eastAsia" w:ascii="Times New Roman" w:cs="Times New Roman"/>
          <w:b/>
          <w:snapToGrid w:val="0"/>
          <w:color w:val="auto"/>
          <w:sz w:val="32"/>
          <w:szCs w:val="32"/>
          <w:lang w:eastAsia="zh-CN"/>
        </w:rPr>
        <w:t>旌旗</w:t>
      </w:r>
      <w:r>
        <w:rPr>
          <w:rFonts w:hint="eastAsia" w:ascii="Times New Roman" w:cs="Times New Roman"/>
          <w:b/>
          <w:snapToGrid w:val="0"/>
          <w:color w:val="auto"/>
          <w:sz w:val="32"/>
          <w:szCs w:val="32"/>
        </w:rPr>
        <w:t>环保科技有限公司</w:t>
      </w:r>
    </w:p>
    <w:p>
      <w:pPr>
        <w:spacing w:line="360" w:lineRule="auto"/>
        <w:ind w:firstLine="3593" w:firstLineChars="1123"/>
        <w:rPr>
          <w:rFonts w:ascii="Times New Roman" w:hAnsi="Times New Roman" w:cs="Times New Roman"/>
          <w:color w:val="auto"/>
          <w:sz w:val="30"/>
          <w:szCs w:val="30"/>
        </w:rPr>
        <w:sectPr>
          <w:footerReference r:id="rId6" w:type="first"/>
          <w:footerReference r:id="rId4" w:type="default"/>
          <w:headerReference r:id="rId3" w:type="even"/>
          <w:footerReference r:id="rId5" w:type="even"/>
          <w:pgSz w:w="11906" w:h="16838"/>
          <w:pgMar w:top="1701" w:right="1588" w:bottom="1985" w:left="1588" w:header="851" w:footer="1134" w:gutter="0"/>
          <w:pgNumType w:fmt="upperRoman" w:start="1"/>
          <w:cols w:space="720" w:num="1"/>
          <w:titlePg/>
          <w:docGrid w:type="lines" w:linePitch="312" w:charSpace="0"/>
        </w:sectPr>
      </w:pPr>
      <w:r>
        <w:rPr>
          <w:rFonts w:ascii="Times New Roman" w:hAnsi="Times New Roman" w:cs="Times New Roman"/>
          <w:color w:val="auto"/>
          <w:sz w:val="32"/>
          <w:szCs w:val="32"/>
        </w:rPr>
        <w:t>201</w:t>
      </w:r>
      <w:r>
        <w:rPr>
          <w:rFonts w:hint="eastAsia" w:ascii="Times New Roman" w:hAnsi="Times New Roman" w:cs="Times New Roman"/>
          <w:color w:val="auto"/>
          <w:sz w:val="32"/>
          <w:szCs w:val="32"/>
          <w:lang w:val="en-US" w:eastAsia="zh-CN"/>
        </w:rPr>
        <w:t>9</w:t>
      </w:r>
      <w:r>
        <w:rPr>
          <w:rFonts w:ascii="Times New Roman" w:cs="Times New Roman"/>
          <w:color w:val="auto"/>
          <w:sz w:val="32"/>
          <w:szCs w:val="32"/>
        </w:rPr>
        <w:t>年</w:t>
      </w:r>
      <w:r>
        <w:rPr>
          <w:rFonts w:hint="eastAsia" w:ascii="Times New Roman" w:hAnsi="Times New Roman" w:cs="Times New Roman"/>
          <w:color w:val="auto"/>
          <w:sz w:val="32"/>
          <w:szCs w:val="32"/>
          <w:lang w:val="en-US" w:eastAsia="zh-CN"/>
        </w:rPr>
        <w:t>7</w:t>
      </w:r>
      <w:r>
        <w:rPr>
          <w:rFonts w:ascii="Times New Roman" w:cs="Times New Roman"/>
          <w:color w:val="auto"/>
          <w:sz w:val="32"/>
          <w:szCs w:val="32"/>
        </w:rPr>
        <w:t>月</w:t>
      </w:r>
    </w:p>
    <w:p>
      <w:pPr>
        <w:jc w:val="center"/>
        <w:rPr>
          <w:b/>
          <w:sz w:val="36"/>
          <w:szCs w:val="36"/>
        </w:rPr>
      </w:pPr>
      <w:r>
        <w:rPr>
          <w:rFonts w:hint="eastAsia"/>
          <w:b/>
          <w:sz w:val="36"/>
          <w:szCs w:val="36"/>
        </w:rPr>
        <w:t>建设项目环境影响评价报告书修改说明</w:t>
      </w:r>
    </w:p>
    <w:p>
      <w:pPr>
        <w:jc w:val="center"/>
        <w:rPr>
          <w:sz w:val="44"/>
          <w:szCs w:val="44"/>
        </w:rPr>
      </w:pPr>
    </w:p>
    <w:p>
      <w:pPr>
        <w:spacing w:line="360" w:lineRule="auto"/>
        <w:ind w:firstLine="480" w:firstLineChars="200"/>
        <w:rPr>
          <w:rFonts w:ascii="宋体" w:hAnsi="宋体" w:cs="宋体"/>
          <w:sz w:val="24"/>
          <w:shd w:val="clear" w:color="auto" w:fill="FFFFFF"/>
        </w:rPr>
      </w:pPr>
      <w:r>
        <w:rPr>
          <w:rFonts w:hint="eastAsia" w:ascii="宋体" w:hAnsi="宋体" w:eastAsia="宋体" w:cs="宋体"/>
          <w:sz w:val="24"/>
          <w:shd w:val="clear" w:color="auto" w:fill="FFFFFF"/>
        </w:rPr>
        <w:t>2019年</w:t>
      </w:r>
      <w:r>
        <w:rPr>
          <w:rFonts w:hint="eastAsia" w:ascii="宋体" w:hAnsi="宋体" w:eastAsia="宋体" w:cs="宋体"/>
          <w:sz w:val="24"/>
          <w:shd w:val="clear" w:color="auto" w:fill="FFFFFF"/>
          <w:lang w:val="en-US" w:eastAsia="zh-CN"/>
        </w:rPr>
        <w:t>7</w:t>
      </w:r>
      <w:r>
        <w:rPr>
          <w:rFonts w:hint="eastAsia" w:ascii="宋体" w:hAnsi="宋体" w:eastAsia="宋体" w:cs="宋体"/>
          <w:sz w:val="24"/>
          <w:shd w:val="clear" w:color="auto" w:fill="FFFFFF"/>
        </w:rPr>
        <w:t>月</w:t>
      </w:r>
      <w:r>
        <w:rPr>
          <w:rFonts w:hint="eastAsia" w:ascii="宋体" w:hAnsi="宋体" w:eastAsia="宋体" w:cs="宋体"/>
          <w:sz w:val="24"/>
          <w:shd w:val="clear" w:color="auto" w:fill="FFFFFF"/>
          <w:lang w:val="en-US" w:eastAsia="zh-CN"/>
        </w:rPr>
        <w:t>8</w:t>
      </w:r>
      <w:r>
        <w:rPr>
          <w:rFonts w:hint="eastAsia" w:ascii="宋体" w:hAnsi="宋体" w:eastAsia="宋体" w:cs="宋体"/>
          <w:sz w:val="24"/>
          <w:shd w:val="clear" w:color="auto" w:fill="FFFFFF"/>
        </w:rPr>
        <w:t>日，岳阳市环境保护局在岳阳市主持召开了《中国</w:t>
      </w:r>
      <w:r>
        <w:rPr>
          <w:rFonts w:hint="eastAsia" w:ascii="宋体" w:hAnsi="宋体" w:eastAsia="宋体" w:cs="宋体"/>
          <w:sz w:val="24"/>
          <w:shd w:val="clear" w:color="auto" w:fill="FFFFFF"/>
          <w:lang w:eastAsia="zh-CN"/>
        </w:rPr>
        <w:t>石油化工股份</w:t>
      </w:r>
      <w:r>
        <w:rPr>
          <w:rFonts w:hint="eastAsia" w:ascii="宋体" w:hAnsi="宋体" w:eastAsia="宋体" w:cs="宋体"/>
          <w:sz w:val="24"/>
          <w:shd w:val="clear" w:color="auto" w:fill="FFFFFF"/>
        </w:rPr>
        <w:t>有限公司长岭分公司</w:t>
      </w:r>
      <w:r>
        <w:rPr>
          <w:rFonts w:hint="eastAsia" w:ascii="宋体" w:hAnsi="宋体" w:eastAsia="宋体" w:cs="宋体"/>
          <w:sz w:val="24"/>
          <w:shd w:val="clear" w:color="auto" w:fill="FFFFFF"/>
          <w:lang w:eastAsia="zh-CN"/>
        </w:rPr>
        <w:t>液氨装车安全隐患治理</w:t>
      </w:r>
      <w:r>
        <w:rPr>
          <w:rFonts w:hint="eastAsia" w:ascii="宋体" w:hAnsi="宋体" w:eastAsia="宋体" w:cs="宋体"/>
          <w:sz w:val="24"/>
          <w:shd w:val="clear" w:color="auto" w:fill="FFFFFF"/>
        </w:rPr>
        <w:t>项目环境影响报告书》评审会，根据专家评审意见，主要修改内容如下：</w:t>
      </w:r>
    </w:p>
    <w:tbl>
      <w:tblPr>
        <w:tblStyle w:val="46"/>
        <w:tblW w:w="86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3686"/>
        <w:gridCol w:w="4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b/>
                <w:bCs/>
                <w:szCs w:val="21"/>
              </w:rPr>
            </w:pPr>
            <w:r>
              <w:rPr>
                <w:rFonts w:hint="eastAsia" w:asciiTheme="minorEastAsia" w:hAnsiTheme="minorEastAsia" w:cstheme="minorEastAsia"/>
                <w:b/>
                <w:bCs/>
                <w:szCs w:val="21"/>
              </w:rPr>
              <w:t>序号</w:t>
            </w:r>
          </w:p>
        </w:tc>
        <w:tc>
          <w:tcPr>
            <w:tcW w:w="3686" w:type="dxa"/>
          </w:tcPr>
          <w:p>
            <w:pPr>
              <w:rPr>
                <w:rFonts w:asciiTheme="minorEastAsia" w:hAnsiTheme="minorEastAsia" w:cstheme="minorEastAsia"/>
                <w:b/>
                <w:bCs/>
                <w:szCs w:val="21"/>
              </w:rPr>
            </w:pPr>
            <w:r>
              <w:rPr>
                <w:rFonts w:hint="eastAsia" w:asciiTheme="minorEastAsia" w:hAnsiTheme="minorEastAsia" w:cstheme="minorEastAsia"/>
                <w:b/>
                <w:bCs/>
                <w:szCs w:val="21"/>
              </w:rPr>
              <w:t>专家意见</w:t>
            </w:r>
          </w:p>
        </w:tc>
        <w:tc>
          <w:tcPr>
            <w:tcW w:w="4252" w:type="dxa"/>
          </w:tcPr>
          <w:p>
            <w:pPr>
              <w:rPr>
                <w:rFonts w:asciiTheme="minorEastAsia" w:hAnsiTheme="minorEastAsia" w:cstheme="minorEastAsia"/>
                <w:b/>
                <w:bCs/>
                <w:szCs w:val="21"/>
              </w:rPr>
            </w:pPr>
            <w:r>
              <w:rPr>
                <w:rFonts w:hint="eastAsia" w:asciiTheme="minorEastAsia" w:hAnsiTheme="minorEastAsia" w:cstheme="minorEastAsia"/>
                <w:b/>
                <w:bCs/>
                <w:szCs w:val="21"/>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1</w:t>
            </w:r>
          </w:p>
        </w:tc>
        <w:tc>
          <w:tcPr>
            <w:tcW w:w="3686" w:type="dxa"/>
          </w:tcPr>
          <w:p>
            <w:pPr>
              <w:rPr>
                <w:rFonts w:hint="eastAsia" w:eastAsia="宋体" w:asciiTheme="minorEastAsia" w:hAnsiTheme="minorEastAsia" w:cstheme="minorEastAsia"/>
                <w:szCs w:val="21"/>
                <w:lang w:eastAsia="zh-CN"/>
              </w:rPr>
            </w:pPr>
            <w:r>
              <w:rPr>
                <w:rFonts w:hint="eastAsia" w:asciiTheme="minorEastAsia" w:hAnsiTheme="minorEastAsia" w:cstheme="minorEastAsia"/>
                <w:szCs w:val="21"/>
                <w:lang w:val="en-US" w:eastAsia="zh-CN"/>
              </w:rPr>
              <w:t>根据项目建设特点及内容，核实项目建设性质及环评文件类型，</w:t>
            </w:r>
            <w:r>
              <w:rPr>
                <w:rFonts w:hint="eastAsia" w:asciiTheme="minorEastAsia" w:hAnsiTheme="minorEastAsia" w:cstheme="minorEastAsia"/>
                <w:szCs w:val="21"/>
              </w:rPr>
              <w:t>强化项目建设必要性分析</w:t>
            </w:r>
            <w:r>
              <w:rPr>
                <w:rFonts w:hint="eastAsia" w:asciiTheme="minorEastAsia" w:hAnsiTheme="minorEastAsia" w:cstheme="minorEastAsia"/>
                <w:szCs w:val="21"/>
                <w:lang w:eastAsia="zh-CN"/>
              </w:rPr>
              <w:t>。</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已核实项目建设性质及环评文件类型，</w:t>
            </w:r>
            <w:r>
              <w:rPr>
                <w:rFonts w:hint="eastAsia" w:asciiTheme="minorEastAsia" w:hAnsiTheme="minorEastAsia" w:cstheme="minorEastAsia"/>
                <w:szCs w:val="21"/>
              </w:rPr>
              <w:t>强化项目建设必要性分析</w:t>
            </w:r>
            <w:r>
              <w:rPr>
                <w:rFonts w:hint="eastAsia" w:asciiTheme="minorEastAsia" w:hAnsiTheme="minorEastAsia" w:cstheme="minorEastAsia"/>
                <w:szCs w:val="21"/>
                <w:lang w:eastAsia="zh-CN"/>
              </w:rPr>
              <w:t>，见</w:t>
            </w:r>
            <w:r>
              <w:rPr>
                <w:rFonts w:hint="eastAsia" w:asciiTheme="minorEastAsia" w:hAnsiTheme="minorEastAsia" w:cstheme="minorEastAsia"/>
                <w:szCs w:val="21"/>
                <w:lang w:val="en-US" w:eastAsia="zh-CN"/>
              </w:rPr>
              <w: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2</w:t>
            </w:r>
          </w:p>
        </w:tc>
        <w:tc>
          <w:tcPr>
            <w:tcW w:w="3686"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根据《建设项目环境影响评价技术导则  总纲》（HJ2.1-2016）要求，完善项目概述，核实评价工作程序。</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已完善项目概述，核实评价工作程序，见P3。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04" w:type="dxa"/>
          </w:tcPr>
          <w:p>
            <w:pPr>
              <w:rPr>
                <w:rFonts w:asciiTheme="minorEastAsia" w:hAnsiTheme="minorEastAsia" w:cstheme="minorEastAsia"/>
                <w:szCs w:val="21"/>
              </w:rPr>
            </w:pPr>
            <w:r>
              <w:rPr>
                <w:rFonts w:hint="eastAsia" w:asciiTheme="minorEastAsia" w:hAnsiTheme="minorEastAsia" w:cstheme="minorEastAsia"/>
                <w:szCs w:val="21"/>
              </w:rPr>
              <w:t>3</w:t>
            </w:r>
          </w:p>
        </w:tc>
        <w:tc>
          <w:tcPr>
            <w:tcW w:w="3686"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完善编制依据，核实环境空气质量标准及废气排放标准；核实大气评价因子，评价要素补充土壤环境。</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已核实环境空气质量标准及废气排放标准，见P10、12；已核实大气评价因子，评价要素已补充土壤环境，见P9、10。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4</w:t>
            </w:r>
          </w:p>
        </w:tc>
        <w:tc>
          <w:tcPr>
            <w:tcW w:w="3686"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核实大气、地表水、风险评价工作等级，补充土壤环境评价工作等级及评价范围。</w:t>
            </w:r>
          </w:p>
        </w:tc>
        <w:tc>
          <w:tcPr>
            <w:tcW w:w="4252"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核实大气、地表水、风险评价工作等级，补充土壤环境评价工作等级及评价范围，见P13-17。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5</w:t>
            </w:r>
          </w:p>
        </w:tc>
        <w:tc>
          <w:tcPr>
            <w:tcW w:w="3686" w:type="dxa"/>
          </w:tcPr>
          <w:p>
            <w:pPr>
              <w:rPr>
                <w:rFonts w:hint="default" w:asciiTheme="minorEastAsia" w:hAnsiTheme="minorEastAsia" w:cstheme="minorEastAsia"/>
                <w:szCs w:val="21"/>
                <w:lang w:val="en-US" w:eastAsia="zh-CN"/>
              </w:rPr>
            </w:pPr>
            <w:r>
              <w:rPr>
                <w:rFonts w:hint="eastAsia" w:asciiTheme="minorEastAsia" w:hAnsiTheme="minorEastAsia" w:cstheme="minorEastAsia"/>
                <w:szCs w:val="21"/>
                <w:lang w:val="en-US" w:eastAsia="zh-CN"/>
              </w:rPr>
              <w:t>补充现有工程环评情况及环评批复落实情况，存在的主要环境问题，及提出以新带老措施，并对原有污染汇总。</w:t>
            </w:r>
          </w:p>
        </w:tc>
        <w:tc>
          <w:tcPr>
            <w:tcW w:w="4252"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补充现有工程环评情况及环评批复落实情况，存在的主要环境问题，及提出以新带老措施，并对原有污染汇总。见P25-26。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6</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对依托工程列表汇总，收集依托工程液化气站环评及安评情况，分析依托的可行性。</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已对依托工程列表汇总，收集依托工程液化气站环评及安评情况，分析依托的可行性，见P28、30、31。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04" w:type="dxa"/>
          </w:tcPr>
          <w:p>
            <w:pPr>
              <w:rPr>
                <w:rFonts w:asciiTheme="minorEastAsia" w:hAnsiTheme="minorEastAsia" w:cstheme="minorEastAsia"/>
                <w:szCs w:val="21"/>
              </w:rPr>
            </w:pPr>
            <w:r>
              <w:rPr>
                <w:rFonts w:hint="eastAsia" w:asciiTheme="minorEastAsia" w:hAnsiTheme="minorEastAsia" w:cstheme="minorEastAsia"/>
                <w:szCs w:val="21"/>
              </w:rPr>
              <w:t>7</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核实项目组成一览表，补充施工期组织设计内容，完善项目的技改内容。</w:t>
            </w:r>
          </w:p>
        </w:tc>
        <w:tc>
          <w:tcPr>
            <w:tcW w:w="4252" w:type="dxa"/>
          </w:tcPr>
          <w:p>
            <w:pPr>
              <w:rPr>
                <w:rFonts w:asciiTheme="minorEastAsia" w:hAnsiTheme="minorEastAsia" w:cstheme="minorEastAsia"/>
                <w:szCs w:val="21"/>
              </w:rPr>
            </w:pPr>
            <w:r>
              <w:rPr>
                <w:rFonts w:hint="eastAsia" w:asciiTheme="minorEastAsia" w:hAnsiTheme="minorEastAsia" w:cstheme="minorEastAsia"/>
                <w:szCs w:val="21"/>
                <w:lang w:val="en-US" w:eastAsia="zh-CN"/>
              </w:rPr>
              <w:t>已核实项目组成一览表，补充施工期组织设计内容，完善项目的技改内容，见P28。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8</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按土壤导则要求完善土壤质量现状评价内容。</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已按土壤导则要求完善土壤质量现状评价内容，见P17。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9</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核实管廊沿线环境保护目标方位、距离、规模。</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已核实管廊沿线环境保护目标方位、距离、规模，见P24。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10</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核实工艺流程及产排污节点图，细化工艺过程说明。</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核实工艺流程及产排污节点图，细化工艺过程说明，见P35－36。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11</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完善污染因子及源强分析。</w:t>
            </w:r>
          </w:p>
        </w:tc>
        <w:tc>
          <w:tcPr>
            <w:tcW w:w="4252"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eastAsia="zh-CN"/>
              </w:rPr>
              <w:t>已完善污染因子及源强分析，见</w:t>
            </w:r>
            <w:r>
              <w:rPr>
                <w:rFonts w:hint="eastAsia" w:asciiTheme="minorEastAsia" w:hAnsiTheme="minorEastAsia" w:cstheme="minorEastAsia"/>
                <w:szCs w:val="21"/>
                <w:lang w:val="en-US" w:eastAsia="zh-CN"/>
              </w:rPr>
              <w:t>P37－39。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asciiTheme="minorEastAsia" w:hAnsiTheme="minorEastAsia" w:cstheme="minorEastAsia"/>
                <w:szCs w:val="21"/>
              </w:rPr>
            </w:pPr>
            <w:r>
              <w:rPr>
                <w:rFonts w:hint="eastAsia" w:asciiTheme="minorEastAsia" w:hAnsiTheme="minorEastAsia" w:cstheme="minorEastAsia"/>
                <w:szCs w:val="21"/>
              </w:rPr>
              <w:t>12</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根据实际情况完善施工期环境影响分析。</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已根据实际情况完善施工期环境影响分析，详见P35。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04"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val="en-US" w:eastAsia="zh-CN"/>
              </w:rPr>
              <w:t>13</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完善土壤、地下水环境影响分析及风险评价。</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已完善土壤、地下水环境影响分析及风险评价，详见P62－65。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val="en-US" w:eastAsia="zh-CN"/>
              </w:rPr>
              <w:t>14</w:t>
            </w:r>
          </w:p>
        </w:tc>
        <w:tc>
          <w:tcPr>
            <w:tcW w:w="3686" w:type="dxa"/>
          </w:tcPr>
          <w:p>
            <w:pPr>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核实废气、废水污染防治措施可行性。</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zCs w:val="21"/>
                <w:lang w:val="en-US" w:eastAsia="zh-CN"/>
              </w:rPr>
              <w:t>已核实废气、废水污染防治措施可行性，详　见P69－70。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val="en-US" w:eastAsia="zh-CN"/>
              </w:rPr>
              <w:t>15</w:t>
            </w:r>
          </w:p>
        </w:tc>
        <w:tc>
          <w:tcPr>
            <w:tcW w:w="3686" w:type="dxa"/>
          </w:tcPr>
          <w:p>
            <w:pPr>
              <w:pStyle w:val="2"/>
              <w:ind w:left="0" w:leftChars="0" w:firstLine="0" w:firstLineChars="0"/>
              <w:rPr>
                <w:rFonts w:hint="eastAsia" w:eastAsia="宋体" w:asciiTheme="minorEastAsia" w:hAnsiTheme="minorEastAsia" w:cstheme="minorEastAsia"/>
                <w:spacing w:val="0"/>
                <w:kern w:val="2"/>
                <w:sz w:val="21"/>
                <w:szCs w:val="21"/>
                <w:lang w:val="en-US" w:eastAsia="zh-CN" w:bidi="ar-SA"/>
              </w:rPr>
            </w:pPr>
            <w:r>
              <w:rPr>
                <w:rFonts w:hint="default" w:eastAsia="宋体" w:asciiTheme="minorEastAsia" w:hAnsiTheme="minorEastAsia" w:cstheme="minorEastAsia"/>
                <w:spacing w:val="0"/>
                <w:kern w:val="2"/>
                <w:sz w:val="21"/>
                <w:szCs w:val="21"/>
                <w:lang w:val="en-US" w:eastAsia="zh-CN" w:bidi="ar-SA"/>
              </w:rPr>
              <w:t>进一步明确液氨储罐罐型，储罐区围堰的作用，明确能否满足氨的收集要求。完善消防废水收集、处理措施。核实事故池容积需求。图示事故池位置，完善项目平面布置合理性分析。</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pacing w:val="0"/>
                <w:kern w:val="2"/>
                <w:sz w:val="21"/>
                <w:szCs w:val="21"/>
                <w:lang w:val="en-US" w:eastAsia="zh-CN" w:bidi="ar-SA"/>
              </w:rPr>
              <w:t>已</w:t>
            </w:r>
            <w:r>
              <w:rPr>
                <w:rFonts w:hint="default" w:eastAsia="宋体" w:asciiTheme="minorEastAsia" w:hAnsiTheme="minorEastAsia" w:cstheme="minorEastAsia"/>
                <w:spacing w:val="0"/>
                <w:kern w:val="2"/>
                <w:sz w:val="21"/>
                <w:szCs w:val="21"/>
                <w:lang w:val="en-US" w:eastAsia="zh-CN" w:bidi="ar-SA"/>
              </w:rPr>
              <w:t>进一步明确液氨储罐罐型，储罐区围堰的作用，明确能否满足氨的收集要求。完善消防废水收集、处理措施。核实事故池容积需求。图示事故池位置，完善项目平面布置合理性分析。</w:t>
            </w:r>
            <w:r>
              <w:rPr>
                <w:rFonts w:hint="eastAsia" w:asciiTheme="minorEastAsia" w:hAnsiTheme="minorEastAsia" w:cstheme="minorEastAsia"/>
                <w:spacing w:val="0"/>
                <w:kern w:val="2"/>
                <w:sz w:val="21"/>
                <w:szCs w:val="21"/>
                <w:lang w:val="en-US" w:eastAsia="zh-CN" w:bidi="ar-SA"/>
              </w:rPr>
              <w:t>详见P25、31，以及附图6。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04"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val="en-US" w:eastAsia="zh-CN"/>
              </w:rPr>
              <w:t>16</w:t>
            </w:r>
          </w:p>
        </w:tc>
        <w:tc>
          <w:tcPr>
            <w:tcW w:w="3686" w:type="dxa"/>
          </w:tcPr>
          <w:p>
            <w:pPr>
              <w:rPr>
                <w:rFonts w:hint="eastAsia" w:eastAsia="宋体" w:asciiTheme="minorEastAsia" w:hAnsiTheme="minorEastAsia" w:cstheme="minorEastAsia"/>
                <w:spacing w:val="0"/>
                <w:kern w:val="2"/>
                <w:sz w:val="21"/>
                <w:szCs w:val="21"/>
                <w:lang w:val="en-US" w:eastAsia="zh-CN" w:bidi="ar-SA"/>
              </w:rPr>
            </w:pPr>
            <w:r>
              <w:rPr>
                <w:rFonts w:hint="eastAsia" w:eastAsia="宋体" w:asciiTheme="minorEastAsia" w:hAnsiTheme="minorEastAsia" w:cstheme="minorEastAsia"/>
                <w:spacing w:val="0"/>
                <w:kern w:val="2"/>
                <w:sz w:val="21"/>
                <w:szCs w:val="21"/>
                <w:lang w:val="en-US" w:eastAsia="zh-CN" w:bidi="ar-SA"/>
              </w:rPr>
              <w:t>核实各类固废产生量及属性，明确去向，补充三本帐。</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pacing w:val="0"/>
                <w:kern w:val="2"/>
                <w:sz w:val="21"/>
                <w:szCs w:val="21"/>
                <w:lang w:val="en-US" w:eastAsia="zh-CN" w:bidi="ar-SA"/>
              </w:rPr>
              <w:t>已</w:t>
            </w:r>
            <w:r>
              <w:rPr>
                <w:rFonts w:hint="eastAsia" w:eastAsia="宋体" w:asciiTheme="minorEastAsia" w:hAnsiTheme="minorEastAsia" w:cstheme="minorEastAsia"/>
                <w:spacing w:val="0"/>
                <w:kern w:val="2"/>
                <w:sz w:val="21"/>
                <w:szCs w:val="21"/>
                <w:lang w:val="en-US" w:eastAsia="zh-CN" w:bidi="ar-SA"/>
              </w:rPr>
              <w:t>核实各类固废产生量及属性，明确去向，补充三本帐。</w:t>
            </w:r>
            <w:r>
              <w:rPr>
                <w:rFonts w:hint="eastAsia" w:asciiTheme="minorEastAsia" w:hAnsiTheme="minorEastAsia" w:cstheme="minorEastAsia"/>
                <w:spacing w:val="0"/>
                <w:kern w:val="2"/>
                <w:sz w:val="21"/>
                <w:szCs w:val="21"/>
                <w:lang w:val="en-US" w:eastAsia="zh-CN" w:bidi="ar-SA"/>
              </w:rPr>
              <w:t>详见P38－39。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hint="default" w:eastAsia="宋体" w:asciiTheme="minorEastAsia" w:hAnsiTheme="minorEastAsia" w:cstheme="minorEastAsia"/>
                <w:szCs w:val="21"/>
                <w:lang w:val="en-US" w:eastAsia="zh-CN"/>
              </w:rPr>
            </w:pPr>
            <w:r>
              <w:rPr>
                <w:rFonts w:hint="eastAsia" w:asciiTheme="minorEastAsia" w:hAnsiTheme="minorEastAsia" w:cstheme="minorEastAsia"/>
                <w:szCs w:val="21"/>
                <w:lang w:val="en-US" w:eastAsia="zh-CN"/>
              </w:rPr>
              <w:t>17</w:t>
            </w:r>
          </w:p>
        </w:tc>
        <w:tc>
          <w:tcPr>
            <w:tcW w:w="3686" w:type="dxa"/>
          </w:tcPr>
          <w:p>
            <w:pPr>
              <w:rPr>
                <w:rFonts w:hint="eastAsia" w:eastAsia="宋体" w:asciiTheme="minorEastAsia" w:hAnsiTheme="minorEastAsia" w:cstheme="minorEastAsia"/>
                <w:spacing w:val="0"/>
                <w:kern w:val="2"/>
                <w:sz w:val="21"/>
                <w:szCs w:val="21"/>
                <w:lang w:val="en-US" w:eastAsia="zh-CN" w:bidi="ar-SA"/>
              </w:rPr>
            </w:pPr>
            <w:r>
              <w:rPr>
                <w:rFonts w:hint="eastAsia" w:eastAsia="宋体" w:asciiTheme="minorEastAsia" w:hAnsiTheme="minorEastAsia" w:cstheme="minorEastAsia"/>
                <w:spacing w:val="0"/>
                <w:kern w:val="2"/>
                <w:sz w:val="21"/>
                <w:szCs w:val="21"/>
                <w:lang w:val="en-US" w:eastAsia="zh-CN" w:bidi="ar-SA"/>
              </w:rPr>
              <w:t>核实项目环保投资，完善项目竣工验收表</w:t>
            </w:r>
            <w:r>
              <w:rPr>
                <w:rFonts w:hint="eastAsia" w:asciiTheme="minorEastAsia" w:hAnsiTheme="minorEastAsia" w:cstheme="minorEastAsia"/>
                <w:spacing w:val="0"/>
                <w:kern w:val="2"/>
                <w:sz w:val="21"/>
                <w:szCs w:val="21"/>
                <w:lang w:val="en-US" w:eastAsia="zh-CN" w:bidi="ar-SA"/>
              </w:rPr>
              <w:t>。</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pacing w:val="0"/>
                <w:kern w:val="2"/>
                <w:sz w:val="21"/>
                <w:szCs w:val="21"/>
                <w:lang w:val="en-US" w:eastAsia="zh-CN" w:bidi="ar-SA"/>
              </w:rPr>
              <w:t>已</w:t>
            </w:r>
            <w:r>
              <w:rPr>
                <w:rFonts w:hint="eastAsia" w:eastAsia="宋体" w:asciiTheme="minorEastAsia" w:hAnsiTheme="minorEastAsia" w:cstheme="minorEastAsia"/>
                <w:spacing w:val="0"/>
                <w:kern w:val="2"/>
                <w:sz w:val="21"/>
                <w:szCs w:val="21"/>
                <w:lang w:val="en-US" w:eastAsia="zh-CN" w:bidi="ar-SA"/>
              </w:rPr>
              <w:t>核实项目环保投资，完善项目竣工验收表</w:t>
            </w:r>
            <w:r>
              <w:rPr>
                <w:rFonts w:hint="eastAsia" w:asciiTheme="minorEastAsia" w:hAnsiTheme="minorEastAsia" w:cstheme="minorEastAsia"/>
                <w:spacing w:val="0"/>
                <w:kern w:val="2"/>
                <w:sz w:val="21"/>
                <w:szCs w:val="21"/>
                <w:lang w:val="en-US" w:eastAsia="zh-CN" w:bidi="ar-SA"/>
              </w:rPr>
              <w:t>，详见P91、99、100。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hint="default" w:asciiTheme="minorEastAsia" w:hAnsiTheme="minorEastAsia" w:cstheme="minorEastAsia"/>
                <w:szCs w:val="21"/>
                <w:lang w:val="en-US" w:eastAsia="zh-CN"/>
              </w:rPr>
            </w:pPr>
            <w:r>
              <w:rPr>
                <w:rFonts w:hint="eastAsia" w:asciiTheme="minorEastAsia" w:hAnsiTheme="minorEastAsia" w:cstheme="minorEastAsia"/>
                <w:szCs w:val="21"/>
                <w:lang w:val="en-US" w:eastAsia="zh-CN"/>
              </w:rPr>
              <w:t>18</w:t>
            </w:r>
          </w:p>
        </w:tc>
        <w:tc>
          <w:tcPr>
            <w:tcW w:w="3686" w:type="dxa"/>
          </w:tcPr>
          <w:p>
            <w:pPr>
              <w:pStyle w:val="105"/>
              <w:ind w:right="-333"/>
              <w:rPr>
                <w:rFonts w:hint="eastAsia" w:eastAsia="宋体" w:asciiTheme="minorEastAsia" w:hAnsiTheme="minorEastAsia" w:cstheme="minorEastAsia"/>
                <w:spacing w:val="0"/>
                <w:kern w:val="2"/>
                <w:sz w:val="21"/>
                <w:szCs w:val="21"/>
                <w:lang w:val="en-US" w:eastAsia="zh-CN" w:bidi="ar-SA"/>
              </w:rPr>
            </w:pPr>
            <w:r>
              <w:rPr>
                <w:rFonts w:hint="eastAsia" w:eastAsia="宋体" w:asciiTheme="minorEastAsia" w:hAnsiTheme="minorEastAsia" w:cstheme="minorEastAsia"/>
                <w:spacing w:val="0"/>
                <w:kern w:val="2"/>
                <w:sz w:val="21"/>
                <w:szCs w:val="21"/>
                <w:lang w:val="en-US" w:eastAsia="zh-CN" w:bidi="ar-SA"/>
              </w:rPr>
              <w:t>结合液化气站环评及安评情况，分析项目</w:t>
            </w:r>
            <w:r>
              <w:rPr>
                <w:rFonts w:hint="eastAsia" w:asciiTheme="minorEastAsia" w:hAnsiTheme="minorEastAsia" w:cstheme="minorEastAsia"/>
                <w:spacing w:val="0"/>
                <w:kern w:val="2"/>
                <w:sz w:val="21"/>
                <w:szCs w:val="21"/>
                <w:lang w:val="en-US" w:eastAsia="zh-CN" w:bidi="ar-SA"/>
              </w:rPr>
              <w:t>目</w:t>
            </w:r>
            <w:r>
              <w:rPr>
                <w:rFonts w:hint="eastAsia" w:eastAsia="宋体" w:asciiTheme="minorEastAsia" w:hAnsiTheme="minorEastAsia" w:cstheme="minorEastAsia"/>
                <w:spacing w:val="0"/>
                <w:kern w:val="2"/>
                <w:sz w:val="21"/>
                <w:szCs w:val="21"/>
                <w:lang w:val="en-US" w:eastAsia="zh-CN" w:bidi="ar-SA"/>
              </w:rPr>
              <w:t>选线合理性。</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pacing w:val="0"/>
                <w:kern w:val="2"/>
                <w:sz w:val="21"/>
                <w:szCs w:val="21"/>
                <w:lang w:val="en-US" w:eastAsia="zh-CN" w:bidi="ar-SA"/>
              </w:rPr>
              <w:t>已</w:t>
            </w:r>
            <w:r>
              <w:rPr>
                <w:rFonts w:hint="eastAsia" w:eastAsia="宋体" w:asciiTheme="minorEastAsia" w:hAnsiTheme="minorEastAsia" w:cstheme="minorEastAsia"/>
                <w:spacing w:val="0"/>
                <w:kern w:val="2"/>
                <w:sz w:val="21"/>
                <w:szCs w:val="21"/>
                <w:lang w:val="en-US" w:eastAsia="zh-CN" w:bidi="ar-SA"/>
              </w:rPr>
              <w:t>结合液化气站环评及安评情况，分析项目</w:t>
            </w:r>
            <w:r>
              <w:rPr>
                <w:rFonts w:hint="eastAsia" w:asciiTheme="minorEastAsia" w:hAnsiTheme="minorEastAsia" w:cstheme="minorEastAsia"/>
                <w:spacing w:val="0"/>
                <w:kern w:val="2"/>
                <w:sz w:val="21"/>
                <w:szCs w:val="21"/>
                <w:lang w:val="en-US" w:eastAsia="zh-CN" w:bidi="ar-SA"/>
              </w:rPr>
              <w:t>目</w:t>
            </w:r>
            <w:r>
              <w:rPr>
                <w:rFonts w:hint="eastAsia" w:eastAsia="宋体" w:asciiTheme="minorEastAsia" w:hAnsiTheme="minorEastAsia" w:cstheme="minorEastAsia"/>
                <w:spacing w:val="0"/>
                <w:kern w:val="2"/>
                <w:sz w:val="21"/>
                <w:szCs w:val="21"/>
                <w:lang w:val="en-US" w:eastAsia="zh-CN" w:bidi="ar-SA"/>
              </w:rPr>
              <w:t>选线合理性。</w:t>
            </w:r>
            <w:r>
              <w:rPr>
                <w:rFonts w:hint="eastAsia" w:asciiTheme="minorEastAsia" w:hAnsiTheme="minorEastAsia" w:cstheme="minorEastAsia"/>
                <w:spacing w:val="0"/>
                <w:kern w:val="2"/>
                <w:sz w:val="21"/>
                <w:szCs w:val="21"/>
                <w:lang w:val="en-US" w:eastAsia="zh-CN" w:bidi="ar-SA"/>
              </w:rPr>
              <w:t>详见P28。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04" w:type="dxa"/>
          </w:tcPr>
          <w:p>
            <w:pPr>
              <w:rPr>
                <w:rFonts w:hint="default" w:asciiTheme="minorEastAsia" w:hAnsiTheme="minorEastAsia" w:cstheme="minorEastAsia"/>
                <w:szCs w:val="21"/>
                <w:lang w:val="en-US" w:eastAsia="zh-CN"/>
              </w:rPr>
            </w:pPr>
            <w:r>
              <w:rPr>
                <w:rFonts w:hint="eastAsia" w:asciiTheme="minorEastAsia" w:hAnsiTheme="minorEastAsia" w:cstheme="minorEastAsia"/>
                <w:szCs w:val="21"/>
                <w:lang w:val="en-US" w:eastAsia="zh-CN"/>
              </w:rPr>
              <w:t>19</w:t>
            </w:r>
          </w:p>
        </w:tc>
        <w:tc>
          <w:tcPr>
            <w:tcW w:w="3686" w:type="dxa"/>
          </w:tcPr>
          <w:p>
            <w:pPr>
              <w:rPr>
                <w:rFonts w:hint="eastAsia" w:eastAsia="宋体" w:asciiTheme="minorEastAsia" w:hAnsiTheme="minorEastAsia" w:cstheme="minorEastAsia"/>
                <w:spacing w:val="0"/>
                <w:kern w:val="2"/>
                <w:sz w:val="21"/>
                <w:szCs w:val="21"/>
                <w:lang w:val="en-US" w:eastAsia="zh-CN" w:bidi="ar-SA"/>
              </w:rPr>
            </w:pPr>
            <w:r>
              <w:rPr>
                <w:rFonts w:hint="eastAsia" w:eastAsia="宋体" w:asciiTheme="minorEastAsia" w:hAnsiTheme="minorEastAsia" w:cstheme="minorEastAsia"/>
                <w:spacing w:val="0"/>
                <w:kern w:val="2"/>
                <w:sz w:val="21"/>
                <w:szCs w:val="21"/>
                <w:lang w:val="en-US" w:eastAsia="zh-CN" w:bidi="ar-SA"/>
              </w:rPr>
              <w:t>补充完善相关附图、附件。</w:t>
            </w:r>
          </w:p>
        </w:tc>
        <w:tc>
          <w:tcPr>
            <w:tcW w:w="4252" w:type="dxa"/>
          </w:tcPr>
          <w:p>
            <w:pPr>
              <w:rPr>
                <w:rFonts w:hint="default" w:asciiTheme="minorEastAsia" w:hAnsiTheme="minorEastAsia" w:cstheme="minorEastAsia"/>
                <w:szCs w:val="21"/>
                <w:lang w:val="en-US"/>
              </w:rPr>
            </w:pPr>
            <w:r>
              <w:rPr>
                <w:rFonts w:hint="eastAsia" w:asciiTheme="minorEastAsia" w:hAnsiTheme="minorEastAsia" w:cstheme="minorEastAsia"/>
                <w:spacing w:val="0"/>
                <w:kern w:val="2"/>
                <w:sz w:val="21"/>
                <w:szCs w:val="21"/>
                <w:lang w:val="en-US" w:eastAsia="zh-CN" w:bidi="ar-SA"/>
              </w:rPr>
              <w:t>已</w:t>
            </w:r>
            <w:r>
              <w:rPr>
                <w:rFonts w:hint="eastAsia" w:eastAsia="宋体" w:asciiTheme="minorEastAsia" w:hAnsiTheme="minorEastAsia" w:cstheme="minorEastAsia"/>
                <w:spacing w:val="0"/>
                <w:kern w:val="2"/>
                <w:sz w:val="21"/>
                <w:szCs w:val="21"/>
                <w:lang w:val="en-US" w:eastAsia="zh-CN" w:bidi="ar-SA"/>
              </w:rPr>
              <w:t>补充完善相关附图、附件。</w:t>
            </w:r>
            <w:r>
              <w:rPr>
                <w:rFonts w:hint="eastAsia" w:asciiTheme="minorEastAsia" w:hAnsiTheme="minorEastAsia" w:cstheme="minorEastAsia"/>
                <w:spacing w:val="0"/>
                <w:kern w:val="2"/>
                <w:sz w:val="21"/>
                <w:szCs w:val="21"/>
                <w:lang w:val="en-US" w:eastAsia="zh-CN" w:bidi="ar-SA"/>
              </w:rPr>
              <w:t>详见附件5、6、附图1、3－6。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31" w:hRule="atLeast"/>
        </w:trPr>
        <w:tc>
          <w:tcPr>
            <w:tcW w:w="8642" w:type="dxa"/>
            <w:gridSpan w:val="3"/>
          </w:tcPr>
          <w:p>
            <w:pPr>
              <w:rPr>
                <w:rFonts w:asciiTheme="minorEastAsia" w:hAnsiTheme="minorEastAsia" w:cstheme="minorEastAsia"/>
                <w:szCs w:val="21"/>
              </w:rPr>
            </w:pPr>
            <w:r>
              <w:rPr>
                <w:rFonts w:hint="eastAsia" w:asciiTheme="minorEastAsia" w:hAnsiTheme="minorEastAsia" w:cstheme="minorEastAsia"/>
                <w:szCs w:val="21"/>
              </w:rPr>
              <w:t>专家复核意见：</w:t>
            </w:r>
          </w:p>
          <w:p>
            <w:pPr>
              <w:rPr>
                <w:rFonts w:asciiTheme="minorEastAsia" w:hAnsiTheme="minorEastAsia" w:cstheme="minorEastAsia"/>
                <w:szCs w:val="21"/>
              </w:rPr>
            </w:pPr>
          </w:p>
          <w:p>
            <w:pPr>
              <w:rPr>
                <w:rFonts w:asciiTheme="minorEastAsia" w:hAnsiTheme="minorEastAsia" w:cstheme="minorEastAsia"/>
                <w:szCs w:val="21"/>
              </w:rPr>
            </w:pPr>
          </w:p>
          <w:p>
            <w:pPr>
              <w:rPr>
                <w:rFonts w:asciiTheme="minorEastAsia" w:hAnsiTheme="minorEastAsia" w:cstheme="minorEastAsia"/>
                <w:szCs w:val="21"/>
              </w:rPr>
            </w:pPr>
          </w:p>
          <w:p>
            <w:pPr>
              <w:rPr>
                <w:rFonts w:asciiTheme="minorEastAsia" w:hAnsiTheme="minorEastAsia" w:cstheme="minorEastAsia"/>
                <w:szCs w:val="21"/>
              </w:rPr>
            </w:pPr>
          </w:p>
          <w:p>
            <w:pPr>
              <w:rPr>
                <w:rFonts w:asciiTheme="minorEastAsia" w:hAnsiTheme="minorEastAsia" w:cstheme="minorEastAsia"/>
                <w:szCs w:val="21"/>
              </w:rPr>
            </w:pPr>
          </w:p>
          <w:p>
            <w:pPr>
              <w:rPr>
                <w:rFonts w:asciiTheme="minorEastAsia" w:hAnsiTheme="minorEastAsia" w:cstheme="minorEastAsia"/>
                <w:szCs w:val="21"/>
              </w:rPr>
            </w:pPr>
          </w:p>
          <w:p>
            <w:pPr>
              <w:rPr>
                <w:rFonts w:asciiTheme="minorEastAsia" w:hAnsiTheme="minorEastAsia" w:cs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1" w:hRule="atLeast"/>
        </w:trPr>
        <w:tc>
          <w:tcPr>
            <w:tcW w:w="4390" w:type="dxa"/>
            <w:gridSpan w:val="2"/>
          </w:tcPr>
          <w:p>
            <w:pPr>
              <w:rPr>
                <w:rFonts w:asciiTheme="minorEastAsia" w:hAnsiTheme="minorEastAsia" w:cstheme="minorEastAsia"/>
                <w:szCs w:val="21"/>
              </w:rPr>
            </w:pPr>
            <w:r>
              <w:rPr>
                <w:rFonts w:hint="eastAsia" w:asciiTheme="minorEastAsia" w:hAnsiTheme="minorEastAsia" w:cstheme="minorEastAsia"/>
                <w:szCs w:val="21"/>
              </w:rPr>
              <w:t>签名</w:t>
            </w:r>
          </w:p>
        </w:tc>
        <w:tc>
          <w:tcPr>
            <w:tcW w:w="4252" w:type="dxa"/>
          </w:tcPr>
          <w:p>
            <w:pPr>
              <w:rPr>
                <w:rFonts w:asciiTheme="minorEastAsia" w:hAnsiTheme="minorEastAsia" w:cstheme="minorEastAsia"/>
                <w:szCs w:val="21"/>
              </w:rPr>
            </w:pPr>
            <w:r>
              <w:rPr>
                <w:rFonts w:hint="eastAsia" w:asciiTheme="minorEastAsia" w:hAnsiTheme="minorEastAsia" w:cstheme="minorEastAsia"/>
                <w:szCs w:val="21"/>
              </w:rPr>
              <w:t>日期</w:t>
            </w:r>
          </w:p>
        </w:tc>
      </w:tr>
    </w:tbl>
    <w:p>
      <w:pPr>
        <w:rPr>
          <w:szCs w:val="21"/>
        </w:rPr>
      </w:pPr>
    </w:p>
    <w:p>
      <w:pPr>
        <w:jc w:val="center"/>
        <w:rPr>
          <w:b/>
          <w:bCs/>
          <w:sz w:val="28"/>
          <w:szCs w:val="28"/>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pStyle w:val="2"/>
        <w:rPr>
          <w:rFonts w:ascii="Times New Roman" w:hAnsi="Times New Roman" w:eastAsia="黑体" w:cs="Times New Roman"/>
          <w:color w:val="auto"/>
          <w:sz w:val="36"/>
          <w:szCs w:val="36"/>
        </w:rPr>
      </w:pPr>
    </w:p>
    <w:p>
      <w:pPr>
        <w:spacing w:line="360" w:lineRule="exact"/>
        <w:jc w:val="both"/>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color w:val="auto"/>
          <w:sz w:val="36"/>
          <w:szCs w:val="36"/>
        </w:rPr>
      </w:pPr>
    </w:p>
    <w:p>
      <w:pPr>
        <w:spacing w:line="360" w:lineRule="exact"/>
        <w:jc w:val="center"/>
        <w:rPr>
          <w:rFonts w:ascii="Times New Roman" w:hAnsi="Times New Roman" w:eastAsia="黑体" w:cs="Times New Roman"/>
          <w:b/>
          <w:caps/>
          <w:color w:val="auto"/>
          <w:sz w:val="36"/>
          <w:szCs w:val="36"/>
        </w:rPr>
      </w:pPr>
      <w:r>
        <w:rPr>
          <w:rFonts w:ascii="Times New Roman" w:hAnsi="Times New Roman" w:eastAsia="黑体" w:cs="Times New Roman"/>
          <w:color w:val="auto"/>
          <w:sz w:val="36"/>
          <w:szCs w:val="36"/>
        </w:rPr>
        <w:t>目    录</w:t>
      </w:r>
    </w:p>
    <w:p>
      <w:pPr>
        <w:pStyle w:val="34"/>
        <w:tabs>
          <w:tab w:val="right" w:leader="dot" w:pos="8902"/>
        </w:tabs>
        <w:rPr>
          <w:b w:val="0"/>
          <w:i w:val="0"/>
          <w:caps w:val="0"/>
          <w:smallCaps w:val="0"/>
          <w:color w:val="auto"/>
        </w:rPr>
      </w:pPr>
      <w:r>
        <w:rPr>
          <w:rFonts w:eastAsia="宋体"/>
          <w:b w:val="0"/>
          <w:i w:val="0"/>
          <w:caps w:val="0"/>
          <w:smallCaps w:val="0"/>
          <w:color w:val="auto"/>
          <w:sz w:val="24"/>
          <w:szCs w:val="24"/>
        </w:rPr>
        <w:fldChar w:fldCharType="begin"/>
      </w:r>
      <w:r>
        <w:rPr>
          <w:rFonts w:eastAsia="宋体"/>
          <w:b w:val="0"/>
          <w:i w:val="0"/>
          <w:caps w:val="0"/>
          <w:smallCaps w:val="0"/>
          <w:color w:val="auto"/>
          <w:sz w:val="24"/>
          <w:szCs w:val="24"/>
        </w:rPr>
        <w:instrText xml:space="preserve">TOC \o "1-3" \h \u </w:instrText>
      </w:r>
      <w:r>
        <w:rPr>
          <w:rFonts w:eastAsia="宋体"/>
          <w:b w:val="0"/>
          <w:i w:val="0"/>
          <w:caps w:val="0"/>
          <w:smallCaps w:val="0"/>
          <w:color w:val="auto"/>
          <w:sz w:val="24"/>
          <w:szCs w:val="24"/>
        </w:rPr>
        <w:fldChar w:fldCharType="separate"/>
      </w: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_Toc23799 </w:instrText>
      </w:r>
      <w:r>
        <w:rPr>
          <w:rFonts w:eastAsia="宋体"/>
          <w:b w:val="0"/>
          <w:i w:val="0"/>
          <w:caps w:val="0"/>
          <w:smallCaps w:val="0"/>
          <w:color w:val="auto"/>
          <w:szCs w:val="24"/>
        </w:rPr>
        <w:fldChar w:fldCharType="separate"/>
      </w:r>
      <w:r>
        <w:rPr>
          <w:rFonts w:ascii="Times New Roman" w:hAnsi="Times New Roman" w:cs="Times New Roman"/>
          <w:b w:val="0"/>
          <w:i w:val="0"/>
          <w:caps w:val="0"/>
          <w:smallCaps w:val="0"/>
          <w:color w:val="auto"/>
          <w:szCs w:val="32"/>
        </w:rPr>
        <w:t>概　述</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_Toc23799 </w:instrText>
      </w:r>
      <w:r>
        <w:rPr>
          <w:b w:val="0"/>
          <w:i w:val="0"/>
          <w:caps w:val="0"/>
          <w:smallCaps w:val="0"/>
          <w:color w:val="auto"/>
        </w:rPr>
        <w:fldChar w:fldCharType="separate"/>
      </w:r>
      <w:r>
        <w:rPr>
          <w:b w:val="0"/>
          <w:i w:val="0"/>
          <w:caps w:val="0"/>
          <w:smallCaps w:val="0"/>
          <w:color w:val="auto"/>
        </w:rPr>
        <w:t>1</w:t>
      </w:r>
      <w:r>
        <w:rPr>
          <w:b w:val="0"/>
          <w:i w:val="0"/>
          <w:caps w:val="0"/>
          <w:smallCaps w:val="0"/>
          <w:color w:val="auto"/>
        </w:rPr>
        <w:fldChar w:fldCharType="end"/>
      </w:r>
      <w:r>
        <w:rPr>
          <w:rFonts w:eastAsia="宋体"/>
          <w:b w:val="0"/>
          <w:i w:val="0"/>
          <w:caps w:val="0"/>
          <w:smallCaps w:val="0"/>
          <w:color w:val="auto"/>
          <w:szCs w:val="24"/>
        </w:rPr>
        <w:fldChar w:fldCharType="end"/>
      </w:r>
    </w:p>
    <w:p>
      <w:pPr>
        <w:pStyle w:val="34"/>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_Toc2651 </w:instrText>
      </w:r>
      <w:r>
        <w:rPr>
          <w:rFonts w:eastAsia="宋体"/>
          <w:b w:val="0"/>
          <w:i w:val="0"/>
          <w:caps w:val="0"/>
          <w:smallCaps w:val="0"/>
          <w:color w:val="auto"/>
          <w:szCs w:val="24"/>
        </w:rPr>
        <w:fldChar w:fldCharType="separate"/>
      </w:r>
      <w:r>
        <w:rPr>
          <w:rFonts w:hint="default"/>
          <w:b w:val="0"/>
          <w:i w:val="0"/>
          <w:caps w:val="0"/>
          <w:smallCaps w:val="0"/>
          <w:color w:val="auto"/>
        </w:rPr>
        <w:t xml:space="preserve">1. </w:t>
      </w:r>
      <w:r>
        <w:rPr>
          <w:b w:val="0"/>
          <w:i w:val="0"/>
          <w:caps w:val="0"/>
          <w:smallCaps w:val="0"/>
          <w:color w:val="auto"/>
        </w:rPr>
        <w:t>总则</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_Toc2651 </w:instrText>
      </w:r>
      <w:r>
        <w:rPr>
          <w:b w:val="0"/>
          <w:i w:val="0"/>
          <w:caps w:val="0"/>
          <w:smallCaps w:val="0"/>
          <w:color w:val="auto"/>
        </w:rPr>
        <w:fldChar w:fldCharType="separate"/>
      </w:r>
      <w:r>
        <w:rPr>
          <w:b w:val="0"/>
          <w:i w:val="0"/>
          <w:caps w:val="0"/>
          <w:smallCaps w:val="0"/>
          <w:color w:val="auto"/>
        </w:rPr>
        <w:t>5</w:t>
      </w:r>
      <w:r>
        <w:rPr>
          <w:b w:val="0"/>
          <w:i w:val="0"/>
          <w:caps w:val="0"/>
          <w:smallCaps w:val="0"/>
          <w:color w:val="auto"/>
        </w:rPr>
        <w:fldChar w:fldCharType="end"/>
      </w:r>
      <w:r>
        <w:rPr>
          <w:rFonts w:eastAsia="宋体"/>
          <w:b w:val="0"/>
          <w:i w:val="0"/>
          <w:caps w:val="0"/>
          <w:smallCaps w:val="0"/>
          <w:color w:val="auto"/>
          <w:szCs w:val="24"/>
        </w:rPr>
        <w:fldChar w:fldCharType="end"/>
      </w:r>
    </w:p>
    <w:p>
      <w:pPr>
        <w:pStyle w:val="39"/>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_Toc21817 </w:instrText>
      </w:r>
      <w:r>
        <w:rPr>
          <w:rFonts w:eastAsia="宋体"/>
          <w:b w:val="0"/>
          <w:i w:val="0"/>
          <w:caps w:val="0"/>
          <w:smallCaps w:val="0"/>
          <w:color w:val="auto"/>
          <w:szCs w:val="24"/>
        </w:rPr>
        <w:fldChar w:fldCharType="separate"/>
      </w:r>
      <w:r>
        <w:rPr>
          <w:rFonts w:hint="default"/>
          <w:b w:val="0"/>
          <w:i w:val="0"/>
          <w:caps w:val="0"/>
          <w:smallCaps w:val="0"/>
          <w:color w:val="auto"/>
        </w:rPr>
        <w:t xml:space="preserve">1.1. </w:t>
      </w:r>
      <w:r>
        <w:rPr>
          <w:b w:val="0"/>
          <w:i w:val="0"/>
          <w:caps w:val="0"/>
          <w:smallCaps w:val="0"/>
          <w:color w:val="auto"/>
        </w:rPr>
        <w:t>编制依据</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_Toc21817 </w:instrText>
      </w:r>
      <w:r>
        <w:rPr>
          <w:b w:val="0"/>
          <w:i w:val="0"/>
          <w:caps w:val="0"/>
          <w:smallCaps w:val="0"/>
          <w:color w:val="auto"/>
        </w:rPr>
        <w:fldChar w:fldCharType="separate"/>
      </w:r>
      <w:r>
        <w:rPr>
          <w:b w:val="0"/>
          <w:i w:val="0"/>
          <w:caps w:val="0"/>
          <w:smallCaps w:val="0"/>
          <w:color w:val="auto"/>
        </w:rPr>
        <w:t>5</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_Toc429 </w:instrText>
      </w:r>
      <w:r>
        <w:rPr>
          <w:rFonts w:eastAsia="宋体"/>
          <w:b w:val="0"/>
          <w:i w:val="0"/>
          <w:caps w:val="0"/>
          <w:smallCaps w:val="0"/>
          <w:color w:val="auto"/>
          <w:szCs w:val="24"/>
        </w:rPr>
        <w:fldChar w:fldCharType="separate"/>
      </w:r>
      <w:r>
        <w:rPr>
          <w:rFonts w:hint="default"/>
          <w:b w:val="0"/>
          <w:i w:val="0"/>
          <w:caps w:val="0"/>
          <w:smallCaps w:val="0"/>
          <w:color w:val="auto"/>
        </w:rPr>
        <w:t xml:space="preserve">1.1.1. </w:t>
      </w:r>
      <w:r>
        <w:rPr>
          <w:b w:val="0"/>
          <w:i w:val="0"/>
          <w:caps w:val="0"/>
          <w:smallCaps w:val="0"/>
          <w:color w:val="auto"/>
        </w:rPr>
        <w:t>国家环境保护法律</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_Toc429 </w:instrText>
      </w:r>
      <w:r>
        <w:rPr>
          <w:b w:val="0"/>
          <w:i w:val="0"/>
          <w:caps w:val="0"/>
          <w:smallCaps w:val="0"/>
          <w:color w:val="auto"/>
        </w:rPr>
        <w:fldChar w:fldCharType="separate"/>
      </w:r>
      <w:r>
        <w:rPr>
          <w:b w:val="0"/>
          <w:i w:val="0"/>
          <w:caps w:val="0"/>
          <w:smallCaps w:val="0"/>
          <w:color w:val="auto"/>
        </w:rPr>
        <w:t>5</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_Toc665 </w:instrText>
      </w:r>
      <w:r>
        <w:rPr>
          <w:rFonts w:eastAsia="宋体"/>
          <w:b w:val="0"/>
          <w:i w:val="0"/>
          <w:caps w:val="0"/>
          <w:smallCaps w:val="0"/>
          <w:color w:val="auto"/>
          <w:szCs w:val="24"/>
        </w:rPr>
        <w:fldChar w:fldCharType="separate"/>
      </w:r>
      <w:r>
        <w:rPr>
          <w:rFonts w:hint="default"/>
          <w:b w:val="0"/>
          <w:i w:val="0"/>
          <w:caps w:val="0"/>
          <w:smallCaps w:val="0"/>
          <w:color w:val="auto"/>
        </w:rPr>
        <w:t xml:space="preserve">1.1.2. </w:t>
      </w:r>
      <w:r>
        <w:rPr>
          <w:b w:val="0"/>
          <w:i w:val="0"/>
          <w:caps w:val="0"/>
          <w:smallCaps w:val="0"/>
          <w:color w:val="auto"/>
        </w:rPr>
        <w:t>法规、部门规章及规范性文件</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_Toc665 </w:instrText>
      </w:r>
      <w:r>
        <w:rPr>
          <w:b w:val="0"/>
          <w:i w:val="0"/>
          <w:caps w:val="0"/>
          <w:smallCaps w:val="0"/>
          <w:color w:val="auto"/>
        </w:rPr>
        <w:fldChar w:fldCharType="separate"/>
      </w:r>
      <w:r>
        <w:rPr>
          <w:b w:val="0"/>
          <w:i w:val="0"/>
          <w:caps w:val="0"/>
          <w:smallCaps w:val="0"/>
          <w:color w:val="auto"/>
        </w:rPr>
        <w:t>5</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_Toc9384 </w:instrText>
      </w:r>
      <w:r>
        <w:rPr>
          <w:rFonts w:eastAsia="宋体"/>
          <w:b w:val="0"/>
          <w:i w:val="0"/>
          <w:caps w:val="0"/>
          <w:smallCaps w:val="0"/>
          <w:color w:val="auto"/>
          <w:szCs w:val="24"/>
        </w:rPr>
        <w:fldChar w:fldCharType="separate"/>
      </w:r>
      <w:r>
        <w:rPr>
          <w:rFonts w:hint="default"/>
          <w:b w:val="0"/>
          <w:i w:val="0"/>
          <w:caps w:val="0"/>
          <w:smallCaps w:val="0"/>
          <w:color w:val="auto"/>
        </w:rPr>
        <w:t xml:space="preserve">1.1.3. </w:t>
      </w:r>
      <w:r>
        <w:rPr>
          <w:b w:val="0"/>
          <w:i w:val="0"/>
          <w:caps w:val="0"/>
          <w:smallCaps w:val="0"/>
          <w:color w:val="auto"/>
        </w:rPr>
        <w:t>技术导则及规范</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_Toc9384 </w:instrText>
      </w:r>
      <w:r>
        <w:rPr>
          <w:b w:val="0"/>
          <w:i w:val="0"/>
          <w:caps w:val="0"/>
          <w:smallCaps w:val="0"/>
          <w:color w:val="auto"/>
        </w:rPr>
        <w:fldChar w:fldCharType="separate"/>
      </w:r>
      <w:r>
        <w:rPr>
          <w:b w:val="0"/>
          <w:i w:val="0"/>
          <w:caps w:val="0"/>
          <w:smallCaps w:val="0"/>
          <w:color w:val="auto"/>
        </w:rPr>
        <w:t>7</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_Toc26872 </w:instrText>
      </w:r>
      <w:r>
        <w:rPr>
          <w:rFonts w:eastAsia="宋体"/>
          <w:b w:val="0"/>
          <w:i w:val="0"/>
          <w:caps w:val="0"/>
          <w:smallCaps w:val="0"/>
          <w:color w:val="auto"/>
          <w:szCs w:val="24"/>
        </w:rPr>
        <w:fldChar w:fldCharType="separate"/>
      </w:r>
      <w:r>
        <w:rPr>
          <w:rFonts w:hint="default"/>
          <w:b w:val="0"/>
          <w:i w:val="0"/>
          <w:caps w:val="0"/>
          <w:smallCaps w:val="0"/>
          <w:color w:val="auto"/>
        </w:rPr>
        <w:t xml:space="preserve">1.1.4. </w:t>
      </w:r>
      <w:r>
        <w:rPr>
          <w:b w:val="0"/>
          <w:i w:val="0"/>
          <w:caps w:val="0"/>
          <w:smallCaps w:val="0"/>
          <w:color w:val="auto"/>
        </w:rPr>
        <w:t>其他依据</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_Toc26872 </w:instrText>
      </w:r>
      <w:r>
        <w:rPr>
          <w:b w:val="0"/>
          <w:i w:val="0"/>
          <w:caps w:val="0"/>
          <w:smallCaps w:val="0"/>
          <w:color w:val="auto"/>
        </w:rPr>
        <w:fldChar w:fldCharType="separate"/>
      </w:r>
      <w:r>
        <w:rPr>
          <w:b w:val="0"/>
          <w:i w:val="0"/>
          <w:caps w:val="0"/>
          <w:smallCaps w:val="0"/>
          <w:color w:val="auto"/>
        </w:rPr>
        <w:t>7</w:t>
      </w:r>
      <w:r>
        <w:rPr>
          <w:b w:val="0"/>
          <w:i w:val="0"/>
          <w:caps w:val="0"/>
          <w:smallCaps w:val="0"/>
          <w:color w:val="auto"/>
        </w:rPr>
        <w:fldChar w:fldCharType="end"/>
      </w:r>
      <w:r>
        <w:rPr>
          <w:rFonts w:eastAsia="宋体"/>
          <w:b w:val="0"/>
          <w:i w:val="0"/>
          <w:caps w:val="0"/>
          <w:smallCaps w:val="0"/>
          <w:color w:val="auto"/>
          <w:szCs w:val="24"/>
        </w:rPr>
        <w:fldChar w:fldCharType="end"/>
      </w:r>
    </w:p>
    <w:p>
      <w:pPr>
        <w:pStyle w:val="39"/>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_Toc4548 </w:instrText>
      </w:r>
      <w:r>
        <w:rPr>
          <w:rFonts w:eastAsia="宋体"/>
          <w:b w:val="0"/>
          <w:i w:val="0"/>
          <w:caps w:val="0"/>
          <w:smallCaps w:val="0"/>
          <w:color w:val="auto"/>
          <w:szCs w:val="24"/>
        </w:rPr>
        <w:fldChar w:fldCharType="separate"/>
      </w:r>
      <w:r>
        <w:rPr>
          <w:rFonts w:hint="default"/>
          <w:b w:val="0"/>
          <w:i w:val="0"/>
          <w:caps w:val="0"/>
          <w:smallCaps w:val="0"/>
          <w:color w:val="auto"/>
        </w:rPr>
        <w:t xml:space="preserve">1.2. </w:t>
      </w:r>
      <w:r>
        <w:rPr>
          <w:b w:val="0"/>
          <w:i w:val="0"/>
          <w:caps w:val="0"/>
          <w:smallCaps w:val="0"/>
          <w:color w:val="auto"/>
        </w:rPr>
        <w:t>相关规划及环境功能区划</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_Toc4548 </w:instrText>
      </w:r>
      <w:r>
        <w:rPr>
          <w:b w:val="0"/>
          <w:i w:val="0"/>
          <w:caps w:val="0"/>
          <w:smallCaps w:val="0"/>
          <w:color w:val="auto"/>
        </w:rPr>
        <w:fldChar w:fldCharType="separate"/>
      </w:r>
      <w:r>
        <w:rPr>
          <w:b w:val="0"/>
          <w:i w:val="0"/>
          <w:caps w:val="0"/>
          <w:smallCaps w:val="0"/>
          <w:color w:val="auto"/>
        </w:rPr>
        <w:t>7</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_Toc5782 </w:instrText>
      </w:r>
      <w:r>
        <w:rPr>
          <w:rFonts w:eastAsia="宋体"/>
          <w:b w:val="0"/>
          <w:i w:val="0"/>
          <w:caps w:val="0"/>
          <w:smallCaps w:val="0"/>
          <w:color w:val="auto"/>
          <w:szCs w:val="24"/>
        </w:rPr>
        <w:fldChar w:fldCharType="separate"/>
      </w:r>
      <w:r>
        <w:rPr>
          <w:rFonts w:hint="default"/>
          <w:b w:val="0"/>
          <w:i w:val="0"/>
          <w:caps w:val="0"/>
          <w:smallCaps w:val="0"/>
          <w:color w:val="auto"/>
        </w:rPr>
        <w:t xml:space="preserve">1.2.1. </w:t>
      </w:r>
      <w:r>
        <w:rPr>
          <w:b w:val="0"/>
          <w:i w:val="0"/>
          <w:caps w:val="0"/>
          <w:smallCaps w:val="0"/>
          <w:color w:val="auto"/>
        </w:rPr>
        <w:t>相关规划</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_Toc5782 </w:instrText>
      </w:r>
      <w:r>
        <w:rPr>
          <w:b w:val="0"/>
          <w:i w:val="0"/>
          <w:caps w:val="0"/>
          <w:smallCaps w:val="0"/>
          <w:color w:val="auto"/>
        </w:rPr>
        <w:fldChar w:fldCharType="separate"/>
      </w:r>
      <w:r>
        <w:rPr>
          <w:b w:val="0"/>
          <w:i w:val="0"/>
          <w:caps w:val="0"/>
          <w:smallCaps w:val="0"/>
          <w:color w:val="auto"/>
        </w:rPr>
        <w:t>7</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_Toc10537 </w:instrText>
      </w:r>
      <w:r>
        <w:rPr>
          <w:rFonts w:eastAsia="宋体"/>
          <w:b w:val="0"/>
          <w:i w:val="0"/>
          <w:caps w:val="0"/>
          <w:smallCaps w:val="0"/>
          <w:color w:val="auto"/>
          <w:szCs w:val="24"/>
        </w:rPr>
        <w:fldChar w:fldCharType="separate"/>
      </w:r>
      <w:r>
        <w:rPr>
          <w:rFonts w:hint="default"/>
          <w:b w:val="0"/>
          <w:i w:val="0"/>
          <w:caps w:val="0"/>
          <w:smallCaps w:val="0"/>
          <w:color w:val="auto"/>
        </w:rPr>
        <w:t xml:space="preserve">1.2.2. </w:t>
      </w:r>
      <w:r>
        <w:rPr>
          <w:b w:val="0"/>
          <w:i w:val="0"/>
          <w:caps w:val="0"/>
          <w:smallCaps w:val="0"/>
          <w:color w:val="auto"/>
        </w:rPr>
        <w:t>环境功能区划</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_Toc10537 </w:instrText>
      </w:r>
      <w:r>
        <w:rPr>
          <w:b w:val="0"/>
          <w:i w:val="0"/>
          <w:caps w:val="0"/>
          <w:smallCaps w:val="0"/>
          <w:color w:val="auto"/>
        </w:rPr>
        <w:fldChar w:fldCharType="separate"/>
      </w:r>
      <w:r>
        <w:rPr>
          <w:b w:val="0"/>
          <w:i w:val="0"/>
          <w:caps w:val="0"/>
          <w:smallCaps w:val="0"/>
          <w:color w:val="auto"/>
        </w:rPr>
        <w:t>8</w:t>
      </w:r>
      <w:r>
        <w:rPr>
          <w:b w:val="0"/>
          <w:i w:val="0"/>
          <w:caps w:val="0"/>
          <w:smallCaps w:val="0"/>
          <w:color w:val="auto"/>
        </w:rPr>
        <w:fldChar w:fldCharType="end"/>
      </w:r>
      <w:r>
        <w:rPr>
          <w:rFonts w:eastAsia="宋体"/>
          <w:b w:val="0"/>
          <w:i w:val="0"/>
          <w:caps w:val="0"/>
          <w:smallCaps w:val="0"/>
          <w:color w:val="auto"/>
          <w:szCs w:val="24"/>
        </w:rPr>
        <w:fldChar w:fldCharType="end"/>
      </w:r>
    </w:p>
    <w:p>
      <w:pPr>
        <w:pStyle w:val="39"/>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_Toc29256 </w:instrText>
      </w:r>
      <w:r>
        <w:rPr>
          <w:rFonts w:eastAsia="宋体"/>
          <w:b w:val="0"/>
          <w:i w:val="0"/>
          <w:caps w:val="0"/>
          <w:smallCaps w:val="0"/>
          <w:color w:val="auto"/>
          <w:szCs w:val="24"/>
        </w:rPr>
        <w:fldChar w:fldCharType="separate"/>
      </w:r>
      <w:r>
        <w:rPr>
          <w:rFonts w:hint="default"/>
          <w:b w:val="0"/>
          <w:i w:val="0"/>
          <w:caps w:val="0"/>
          <w:smallCaps w:val="0"/>
          <w:color w:val="auto"/>
        </w:rPr>
        <w:t xml:space="preserve">1.3. </w:t>
      </w:r>
      <w:r>
        <w:rPr>
          <w:b w:val="0"/>
          <w:i w:val="0"/>
          <w:caps w:val="0"/>
          <w:smallCaps w:val="0"/>
          <w:color w:val="auto"/>
        </w:rPr>
        <w:t>评价因子识别与筛选</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_Toc29256 </w:instrText>
      </w:r>
      <w:r>
        <w:rPr>
          <w:b w:val="0"/>
          <w:i w:val="0"/>
          <w:caps w:val="0"/>
          <w:smallCaps w:val="0"/>
          <w:color w:val="auto"/>
        </w:rPr>
        <w:fldChar w:fldCharType="separate"/>
      </w:r>
      <w:r>
        <w:rPr>
          <w:b w:val="0"/>
          <w:i w:val="0"/>
          <w:caps w:val="0"/>
          <w:smallCaps w:val="0"/>
          <w:color w:val="auto"/>
        </w:rPr>
        <w:t>8</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_Toc10390 </w:instrText>
      </w:r>
      <w:r>
        <w:rPr>
          <w:rFonts w:eastAsia="宋体"/>
          <w:b w:val="0"/>
          <w:i w:val="0"/>
          <w:caps w:val="0"/>
          <w:smallCaps w:val="0"/>
          <w:color w:val="auto"/>
          <w:szCs w:val="24"/>
        </w:rPr>
        <w:fldChar w:fldCharType="separate"/>
      </w:r>
      <w:r>
        <w:rPr>
          <w:rFonts w:hint="default"/>
          <w:b w:val="0"/>
          <w:i w:val="0"/>
          <w:caps w:val="0"/>
          <w:smallCaps w:val="0"/>
          <w:color w:val="auto"/>
        </w:rPr>
        <w:t xml:space="preserve">1.3.1. </w:t>
      </w:r>
      <w:r>
        <w:rPr>
          <w:b w:val="0"/>
          <w:i w:val="0"/>
          <w:caps w:val="0"/>
          <w:smallCaps w:val="0"/>
          <w:color w:val="auto"/>
        </w:rPr>
        <w:t>评价因子识别</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_Toc10390 </w:instrText>
      </w:r>
      <w:r>
        <w:rPr>
          <w:b w:val="0"/>
          <w:i w:val="0"/>
          <w:caps w:val="0"/>
          <w:smallCaps w:val="0"/>
          <w:color w:val="auto"/>
        </w:rPr>
        <w:fldChar w:fldCharType="separate"/>
      </w:r>
      <w:r>
        <w:rPr>
          <w:b w:val="0"/>
          <w:i w:val="0"/>
          <w:caps w:val="0"/>
          <w:smallCaps w:val="0"/>
          <w:color w:val="auto"/>
        </w:rPr>
        <w:t>8</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_Toc21534 </w:instrText>
      </w:r>
      <w:r>
        <w:rPr>
          <w:rFonts w:eastAsia="宋体"/>
          <w:b w:val="0"/>
          <w:i w:val="0"/>
          <w:caps w:val="0"/>
          <w:smallCaps w:val="0"/>
          <w:color w:val="auto"/>
          <w:szCs w:val="24"/>
        </w:rPr>
        <w:fldChar w:fldCharType="separate"/>
      </w:r>
      <w:r>
        <w:rPr>
          <w:rFonts w:hint="default"/>
          <w:b w:val="0"/>
          <w:i w:val="0"/>
          <w:caps w:val="0"/>
          <w:smallCaps w:val="0"/>
          <w:color w:val="auto"/>
        </w:rPr>
        <w:t xml:space="preserve">1.3.2. </w:t>
      </w:r>
      <w:r>
        <w:rPr>
          <w:b w:val="0"/>
          <w:i w:val="0"/>
          <w:caps w:val="0"/>
          <w:smallCaps w:val="0"/>
          <w:color w:val="auto"/>
        </w:rPr>
        <w:t>评价因子筛选</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_Toc21534 </w:instrText>
      </w:r>
      <w:r>
        <w:rPr>
          <w:b w:val="0"/>
          <w:i w:val="0"/>
          <w:caps w:val="0"/>
          <w:smallCaps w:val="0"/>
          <w:color w:val="auto"/>
        </w:rPr>
        <w:fldChar w:fldCharType="separate"/>
      </w:r>
      <w:r>
        <w:rPr>
          <w:b w:val="0"/>
          <w:i w:val="0"/>
          <w:caps w:val="0"/>
          <w:smallCaps w:val="0"/>
          <w:color w:val="auto"/>
        </w:rPr>
        <w:t>9</w:t>
      </w:r>
      <w:r>
        <w:rPr>
          <w:b w:val="0"/>
          <w:i w:val="0"/>
          <w:caps w:val="0"/>
          <w:smallCaps w:val="0"/>
          <w:color w:val="auto"/>
        </w:rPr>
        <w:fldChar w:fldCharType="end"/>
      </w:r>
      <w:r>
        <w:rPr>
          <w:rFonts w:eastAsia="宋体"/>
          <w:b w:val="0"/>
          <w:i w:val="0"/>
          <w:caps w:val="0"/>
          <w:smallCaps w:val="0"/>
          <w:color w:val="auto"/>
          <w:szCs w:val="24"/>
        </w:rPr>
        <w:fldChar w:fldCharType="end"/>
      </w:r>
    </w:p>
    <w:p>
      <w:pPr>
        <w:pStyle w:val="39"/>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_Toc7136 </w:instrText>
      </w:r>
      <w:r>
        <w:rPr>
          <w:rFonts w:eastAsia="宋体"/>
          <w:b w:val="0"/>
          <w:i w:val="0"/>
          <w:caps w:val="0"/>
          <w:smallCaps w:val="0"/>
          <w:color w:val="auto"/>
          <w:szCs w:val="24"/>
        </w:rPr>
        <w:fldChar w:fldCharType="separate"/>
      </w:r>
      <w:r>
        <w:rPr>
          <w:rFonts w:hint="default"/>
          <w:b w:val="0"/>
          <w:i w:val="0"/>
          <w:caps w:val="0"/>
          <w:smallCaps w:val="0"/>
          <w:color w:val="auto"/>
        </w:rPr>
        <w:t xml:space="preserve">1.4. </w:t>
      </w:r>
      <w:r>
        <w:rPr>
          <w:b w:val="0"/>
          <w:i w:val="0"/>
          <w:caps w:val="0"/>
          <w:smallCaps w:val="0"/>
          <w:color w:val="auto"/>
        </w:rPr>
        <w:t>评价标准</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_Toc7136 </w:instrText>
      </w:r>
      <w:r>
        <w:rPr>
          <w:b w:val="0"/>
          <w:i w:val="0"/>
          <w:caps w:val="0"/>
          <w:smallCaps w:val="0"/>
          <w:color w:val="auto"/>
        </w:rPr>
        <w:fldChar w:fldCharType="separate"/>
      </w:r>
      <w:r>
        <w:rPr>
          <w:b w:val="0"/>
          <w:i w:val="0"/>
          <w:caps w:val="0"/>
          <w:smallCaps w:val="0"/>
          <w:color w:val="auto"/>
        </w:rPr>
        <w:t>10</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_Toc1146 </w:instrText>
      </w:r>
      <w:r>
        <w:rPr>
          <w:rFonts w:eastAsia="宋体"/>
          <w:b w:val="0"/>
          <w:i w:val="0"/>
          <w:caps w:val="0"/>
          <w:smallCaps w:val="0"/>
          <w:color w:val="auto"/>
          <w:szCs w:val="24"/>
        </w:rPr>
        <w:fldChar w:fldCharType="separate"/>
      </w:r>
      <w:r>
        <w:rPr>
          <w:rFonts w:hint="default"/>
          <w:b w:val="0"/>
          <w:i w:val="0"/>
          <w:caps w:val="0"/>
          <w:smallCaps w:val="0"/>
          <w:color w:val="auto"/>
        </w:rPr>
        <w:t xml:space="preserve">1.4.1. </w:t>
      </w:r>
      <w:r>
        <w:rPr>
          <w:b w:val="0"/>
          <w:i w:val="0"/>
          <w:caps w:val="0"/>
          <w:smallCaps w:val="0"/>
          <w:color w:val="auto"/>
        </w:rPr>
        <w:t>环境质量标准</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_Toc1146 </w:instrText>
      </w:r>
      <w:r>
        <w:rPr>
          <w:b w:val="0"/>
          <w:i w:val="0"/>
          <w:caps w:val="0"/>
          <w:smallCaps w:val="0"/>
          <w:color w:val="auto"/>
        </w:rPr>
        <w:fldChar w:fldCharType="separate"/>
      </w:r>
      <w:r>
        <w:rPr>
          <w:b w:val="0"/>
          <w:i w:val="0"/>
          <w:caps w:val="0"/>
          <w:smallCaps w:val="0"/>
          <w:color w:val="auto"/>
        </w:rPr>
        <w:t>10</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_Toc28221 </w:instrText>
      </w:r>
      <w:r>
        <w:rPr>
          <w:rFonts w:eastAsia="宋体"/>
          <w:b w:val="0"/>
          <w:i w:val="0"/>
          <w:caps w:val="0"/>
          <w:smallCaps w:val="0"/>
          <w:color w:val="auto"/>
          <w:szCs w:val="24"/>
        </w:rPr>
        <w:fldChar w:fldCharType="separate"/>
      </w:r>
      <w:r>
        <w:rPr>
          <w:rFonts w:hint="default"/>
          <w:b w:val="0"/>
          <w:i w:val="0"/>
          <w:caps w:val="0"/>
          <w:smallCaps w:val="0"/>
          <w:color w:val="auto"/>
        </w:rPr>
        <w:t xml:space="preserve">1.4.2. </w:t>
      </w:r>
      <w:r>
        <w:rPr>
          <w:b w:val="0"/>
          <w:i w:val="0"/>
          <w:caps w:val="0"/>
          <w:smallCaps w:val="0"/>
          <w:color w:val="auto"/>
        </w:rPr>
        <w:t>污染物排放标准</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_Toc28221 </w:instrText>
      </w:r>
      <w:r>
        <w:rPr>
          <w:b w:val="0"/>
          <w:i w:val="0"/>
          <w:caps w:val="0"/>
          <w:smallCaps w:val="0"/>
          <w:color w:val="auto"/>
        </w:rPr>
        <w:fldChar w:fldCharType="separate"/>
      </w:r>
      <w:r>
        <w:rPr>
          <w:b w:val="0"/>
          <w:i w:val="0"/>
          <w:caps w:val="0"/>
          <w:smallCaps w:val="0"/>
          <w:color w:val="auto"/>
        </w:rPr>
        <w:t>12</w:t>
      </w:r>
      <w:r>
        <w:rPr>
          <w:b w:val="0"/>
          <w:i w:val="0"/>
          <w:caps w:val="0"/>
          <w:smallCaps w:val="0"/>
          <w:color w:val="auto"/>
        </w:rPr>
        <w:fldChar w:fldCharType="end"/>
      </w:r>
      <w:r>
        <w:rPr>
          <w:rFonts w:eastAsia="宋体"/>
          <w:b w:val="0"/>
          <w:i w:val="0"/>
          <w:caps w:val="0"/>
          <w:smallCaps w:val="0"/>
          <w:color w:val="auto"/>
          <w:szCs w:val="24"/>
        </w:rPr>
        <w:fldChar w:fldCharType="end"/>
      </w:r>
    </w:p>
    <w:p>
      <w:pPr>
        <w:pStyle w:val="39"/>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_Toc23724 </w:instrText>
      </w:r>
      <w:r>
        <w:rPr>
          <w:rFonts w:eastAsia="宋体"/>
          <w:b w:val="0"/>
          <w:i w:val="0"/>
          <w:caps w:val="0"/>
          <w:smallCaps w:val="0"/>
          <w:color w:val="auto"/>
          <w:szCs w:val="24"/>
        </w:rPr>
        <w:fldChar w:fldCharType="separate"/>
      </w:r>
      <w:r>
        <w:rPr>
          <w:rFonts w:hint="default"/>
          <w:b w:val="0"/>
          <w:i w:val="0"/>
          <w:caps w:val="0"/>
          <w:smallCaps w:val="0"/>
          <w:color w:val="auto"/>
        </w:rPr>
        <w:t xml:space="preserve">1.5. </w:t>
      </w:r>
      <w:r>
        <w:rPr>
          <w:b w:val="0"/>
          <w:i w:val="0"/>
          <w:caps w:val="0"/>
          <w:smallCaps w:val="0"/>
          <w:color w:val="auto"/>
        </w:rPr>
        <w:t>评价工作等级及评价范围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_Toc23724 </w:instrText>
      </w:r>
      <w:r>
        <w:rPr>
          <w:b w:val="0"/>
          <w:i w:val="0"/>
          <w:caps w:val="0"/>
          <w:smallCaps w:val="0"/>
          <w:color w:val="auto"/>
        </w:rPr>
        <w:fldChar w:fldCharType="separate"/>
      </w:r>
      <w:r>
        <w:rPr>
          <w:b w:val="0"/>
          <w:i w:val="0"/>
          <w:caps w:val="0"/>
          <w:smallCaps w:val="0"/>
          <w:color w:val="auto"/>
        </w:rPr>
        <w:t>13</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_Toc2793 </w:instrText>
      </w:r>
      <w:r>
        <w:rPr>
          <w:rFonts w:eastAsia="宋体"/>
          <w:b w:val="0"/>
          <w:i w:val="0"/>
          <w:caps w:val="0"/>
          <w:smallCaps w:val="0"/>
          <w:color w:val="auto"/>
          <w:szCs w:val="24"/>
        </w:rPr>
        <w:fldChar w:fldCharType="separate"/>
      </w:r>
      <w:r>
        <w:rPr>
          <w:rFonts w:hint="default"/>
          <w:b w:val="0"/>
          <w:i w:val="0"/>
          <w:caps w:val="0"/>
          <w:smallCaps w:val="0"/>
          <w:color w:val="auto"/>
        </w:rPr>
        <w:t xml:space="preserve">1.5.1. </w:t>
      </w:r>
      <w:r>
        <w:rPr>
          <w:b w:val="0"/>
          <w:i w:val="0"/>
          <w:caps w:val="0"/>
          <w:smallCaps w:val="0"/>
          <w:color w:val="auto"/>
        </w:rPr>
        <w:t>大气环境影响评价等级及范围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_Toc2793 </w:instrText>
      </w:r>
      <w:r>
        <w:rPr>
          <w:b w:val="0"/>
          <w:i w:val="0"/>
          <w:caps w:val="0"/>
          <w:smallCaps w:val="0"/>
          <w:color w:val="auto"/>
        </w:rPr>
        <w:fldChar w:fldCharType="separate"/>
      </w:r>
      <w:r>
        <w:rPr>
          <w:b w:val="0"/>
          <w:i w:val="0"/>
          <w:caps w:val="0"/>
          <w:smallCaps w:val="0"/>
          <w:color w:val="auto"/>
        </w:rPr>
        <w:t>13</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_Toc23941 </w:instrText>
      </w:r>
      <w:r>
        <w:rPr>
          <w:rFonts w:eastAsia="宋体"/>
          <w:b w:val="0"/>
          <w:i w:val="0"/>
          <w:caps w:val="0"/>
          <w:smallCaps w:val="0"/>
          <w:color w:val="auto"/>
          <w:szCs w:val="24"/>
        </w:rPr>
        <w:fldChar w:fldCharType="separate"/>
      </w:r>
      <w:r>
        <w:rPr>
          <w:rFonts w:hint="default"/>
          <w:b w:val="0"/>
          <w:i w:val="0"/>
          <w:caps w:val="0"/>
          <w:smallCaps w:val="0"/>
          <w:color w:val="auto"/>
        </w:rPr>
        <w:t xml:space="preserve">1.5.2. </w:t>
      </w:r>
      <w:r>
        <w:rPr>
          <w:b w:val="0"/>
          <w:i w:val="0"/>
          <w:caps w:val="0"/>
          <w:smallCaps w:val="0"/>
          <w:color w:val="auto"/>
        </w:rPr>
        <w:t>地表水环境影响评价等级及范围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_Toc23941 </w:instrText>
      </w:r>
      <w:r>
        <w:rPr>
          <w:b w:val="0"/>
          <w:i w:val="0"/>
          <w:caps w:val="0"/>
          <w:smallCaps w:val="0"/>
          <w:color w:val="auto"/>
        </w:rPr>
        <w:fldChar w:fldCharType="separate"/>
      </w:r>
      <w:r>
        <w:rPr>
          <w:b w:val="0"/>
          <w:i w:val="0"/>
          <w:caps w:val="0"/>
          <w:smallCaps w:val="0"/>
          <w:color w:val="auto"/>
        </w:rPr>
        <w:t>14</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_Toc12263 </w:instrText>
      </w:r>
      <w:r>
        <w:rPr>
          <w:rFonts w:eastAsia="宋体"/>
          <w:b w:val="0"/>
          <w:i w:val="0"/>
          <w:caps w:val="0"/>
          <w:smallCaps w:val="0"/>
          <w:color w:val="auto"/>
          <w:szCs w:val="24"/>
        </w:rPr>
        <w:fldChar w:fldCharType="separate"/>
      </w:r>
      <w:r>
        <w:rPr>
          <w:rFonts w:hint="default"/>
          <w:b w:val="0"/>
          <w:i w:val="0"/>
          <w:caps w:val="0"/>
          <w:smallCaps w:val="0"/>
          <w:color w:val="auto"/>
        </w:rPr>
        <w:t xml:space="preserve">1.5.3. </w:t>
      </w:r>
      <w:r>
        <w:rPr>
          <w:b w:val="0"/>
          <w:i w:val="0"/>
          <w:caps w:val="0"/>
          <w:smallCaps w:val="0"/>
          <w:color w:val="auto"/>
        </w:rPr>
        <w:t>地下水环境影响评价等级及范围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_Toc12263 </w:instrText>
      </w:r>
      <w:r>
        <w:rPr>
          <w:b w:val="0"/>
          <w:i w:val="0"/>
          <w:caps w:val="0"/>
          <w:smallCaps w:val="0"/>
          <w:color w:val="auto"/>
        </w:rPr>
        <w:fldChar w:fldCharType="separate"/>
      </w:r>
      <w:r>
        <w:rPr>
          <w:b w:val="0"/>
          <w:i w:val="0"/>
          <w:caps w:val="0"/>
          <w:smallCaps w:val="0"/>
          <w:color w:val="auto"/>
        </w:rPr>
        <w:t>15</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b w:val="0"/>
          <w:i w:val="0"/>
          <w:caps w:val="0"/>
          <w:smallCaps w:val="0"/>
          <w:color w:val="auto"/>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_Toc29579 </w:instrText>
      </w:r>
      <w:r>
        <w:rPr>
          <w:rFonts w:eastAsia="宋体"/>
          <w:b w:val="0"/>
          <w:i w:val="0"/>
          <w:caps w:val="0"/>
          <w:smallCaps w:val="0"/>
          <w:color w:val="auto"/>
          <w:szCs w:val="24"/>
        </w:rPr>
        <w:fldChar w:fldCharType="separate"/>
      </w:r>
      <w:r>
        <w:rPr>
          <w:rFonts w:hint="default"/>
          <w:b w:val="0"/>
          <w:i w:val="0"/>
          <w:caps w:val="0"/>
          <w:smallCaps w:val="0"/>
          <w:color w:val="auto"/>
        </w:rPr>
        <w:t xml:space="preserve">1.5.4. </w:t>
      </w:r>
      <w:r>
        <w:rPr>
          <w:b w:val="0"/>
          <w:i w:val="0"/>
          <w:caps w:val="0"/>
          <w:smallCaps w:val="0"/>
          <w:color w:val="auto"/>
        </w:rPr>
        <w:t>声环境影响评价等级及范围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_Toc29579 </w:instrText>
      </w:r>
      <w:r>
        <w:rPr>
          <w:b w:val="0"/>
          <w:i w:val="0"/>
          <w:caps w:val="0"/>
          <w:smallCaps w:val="0"/>
          <w:color w:val="auto"/>
        </w:rPr>
        <w:fldChar w:fldCharType="separate"/>
      </w:r>
      <w:r>
        <w:rPr>
          <w:b w:val="0"/>
          <w:i w:val="0"/>
          <w:caps w:val="0"/>
          <w:smallCaps w:val="0"/>
          <w:color w:val="auto"/>
        </w:rPr>
        <w:t>16</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rFonts w:hint="eastAsia" w:eastAsia="宋体"/>
          <w:b w:val="0"/>
          <w:i w:val="0"/>
          <w:caps w:val="0"/>
          <w:smallCaps w:val="0"/>
          <w:color w:val="auto"/>
          <w:lang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_Toc27637 </w:instrText>
      </w:r>
      <w:r>
        <w:rPr>
          <w:rFonts w:eastAsia="宋体"/>
          <w:b w:val="0"/>
          <w:i w:val="0"/>
          <w:caps w:val="0"/>
          <w:smallCaps w:val="0"/>
          <w:color w:val="auto"/>
          <w:szCs w:val="24"/>
        </w:rPr>
        <w:fldChar w:fldCharType="separate"/>
      </w:r>
      <w:r>
        <w:rPr>
          <w:rFonts w:hint="default"/>
          <w:b w:val="0"/>
          <w:i w:val="0"/>
          <w:caps w:val="0"/>
          <w:smallCaps w:val="0"/>
          <w:color w:val="auto"/>
        </w:rPr>
        <w:t xml:space="preserve">1.5.5. </w:t>
      </w:r>
      <w:r>
        <w:rPr>
          <w:rFonts w:hint="eastAsia"/>
          <w:b w:val="0"/>
          <w:i w:val="0"/>
          <w:caps w:val="0"/>
          <w:smallCaps w:val="0"/>
          <w:color w:val="auto"/>
          <w:lang w:eastAsia="zh-CN"/>
        </w:rPr>
        <w:t>土壤环境评价等级</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_Toc27637 </w:instrText>
      </w:r>
      <w:r>
        <w:rPr>
          <w:b w:val="0"/>
          <w:i w:val="0"/>
          <w:caps w:val="0"/>
          <w:smallCaps w:val="0"/>
          <w:color w:val="auto"/>
        </w:rPr>
        <w:fldChar w:fldCharType="separate"/>
      </w:r>
      <w:r>
        <w:rPr>
          <w:b w:val="0"/>
          <w:i w:val="0"/>
          <w:caps w:val="0"/>
          <w:smallCaps w:val="0"/>
          <w:color w:val="auto"/>
        </w:rPr>
        <w:t>17</w:t>
      </w:r>
      <w:r>
        <w:rPr>
          <w:b w:val="0"/>
          <w:i w:val="0"/>
          <w:caps w:val="0"/>
          <w:smallCaps w:val="0"/>
          <w:color w:val="auto"/>
        </w:rPr>
        <w:fldChar w:fldCharType="end"/>
      </w:r>
    </w:p>
    <w:p>
      <w:pPr>
        <w:pStyle w:val="26"/>
        <w:tabs>
          <w:tab w:val="right" w:leader="dot" w:pos="8902"/>
        </w:tabs>
        <w:rPr>
          <w:b w:val="0"/>
          <w:i w:val="0"/>
          <w:caps w:val="0"/>
          <w:smallCaps w:val="0"/>
          <w:color w:val="auto"/>
        </w:rPr>
      </w:pPr>
      <w:r>
        <w:rPr>
          <w:rFonts w:hint="eastAsia"/>
          <w:b w:val="0"/>
          <w:i w:val="0"/>
          <w:caps w:val="0"/>
          <w:smallCaps w:val="0"/>
          <w:color w:val="auto"/>
          <w:lang w:val="en-US" w:eastAsia="zh-CN"/>
        </w:rPr>
        <w:t xml:space="preserve">1.5.6 </w:t>
      </w:r>
      <w:r>
        <w:rPr>
          <w:b w:val="0"/>
          <w:i w:val="0"/>
          <w:caps w:val="0"/>
          <w:smallCaps w:val="0"/>
          <w:color w:val="auto"/>
        </w:rPr>
        <w:t>风险评价等级及范围</w:t>
      </w:r>
      <w:r>
        <w:rPr>
          <w:b w:val="0"/>
          <w:i w:val="0"/>
          <w:caps w:val="0"/>
          <w:smallCaps w:val="0"/>
          <w:color w:val="auto"/>
        </w:rPr>
        <w:tab/>
      </w:r>
      <w:r>
        <w:rPr>
          <w:b w:val="0"/>
          <w:i w:val="0"/>
          <w:caps w:val="0"/>
          <w:smallCaps w:val="0"/>
          <w:color w:val="auto"/>
        </w:rPr>
        <w:fldChar w:fldCharType="begin"/>
      </w:r>
      <w:r>
        <w:rPr>
          <w:b w:val="0"/>
          <w:i w:val="0"/>
          <w:caps w:val="0"/>
          <w:smallCaps w:val="0"/>
          <w:color w:val="auto"/>
        </w:rPr>
        <w:instrText xml:space="preserve"> PAGEREF _Toc27637 </w:instrText>
      </w:r>
      <w:r>
        <w:rPr>
          <w:b w:val="0"/>
          <w:i w:val="0"/>
          <w:caps w:val="0"/>
          <w:smallCaps w:val="0"/>
          <w:color w:val="auto"/>
        </w:rPr>
        <w:fldChar w:fldCharType="separate"/>
      </w:r>
      <w:r>
        <w:rPr>
          <w:b w:val="0"/>
          <w:i w:val="0"/>
          <w:caps w:val="0"/>
          <w:smallCaps w:val="0"/>
          <w:color w:val="auto"/>
        </w:rPr>
        <w:t>17</w:t>
      </w:r>
      <w:r>
        <w:rPr>
          <w:b w:val="0"/>
          <w:i w:val="0"/>
          <w:caps w:val="0"/>
          <w:smallCaps w:val="0"/>
          <w:color w:val="auto"/>
        </w:rPr>
        <w:fldChar w:fldCharType="end"/>
      </w:r>
      <w:r>
        <w:rPr>
          <w:rFonts w:eastAsia="宋体"/>
          <w:b w:val="0"/>
          <w:i w:val="0"/>
          <w:caps w:val="0"/>
          <w:smallCaps w:val="0"/>
          <w:color w:val="auto"/>
          <w:szCs w:val="24"/>
        </w:rPr>
        <w:fldChar w:fldCharType="end"/>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_Toc7593 </w:instrText>
      </w:r>
      <w:r>
        <w:rPr>
          <w:rFonts w:eastAsia="宋体"/>
          <w:b w:val="0"/>
          <w:i w:val="0"/>
          <w:caps w:val="0"/>
          <w:smallCaps w:val="0"/>
          <w:color w:val="auto"/>
          <w:szCs w:val="24"/>
        </w:rPr>
        <w:fldChar w:fldCharType="separate"/>
      </w:r>
      <w:r>
        <w:rPr>
          <w:rFonts w:hint="default"/>
          <w:b w:val="0"/>
          <w:i w:val="0"/>
          <w:caps w:val="0"/>
          <w:smallCaps w:val="0"/>
          <w:color w:val="auto"/>
        </w:rPr>
        <w:t>1.5.</w:t>
      </w:r>
      <w:r>
        <w:rPr>
          <w:rFonts w:hint="eastAsia"/>
          <w:b w:val="0"/>
          <w:i w:val="0"/>
          <w:caps w:val="0"/>
          <w:smallCaps w:val="0"/>
          <w:color w:val="auto"/>
          <w:lang w:val="en-US" w:eastAsia="zh-CN"/>
        </w:rPr>
        <w:t>7</w:t>
      </w:r>
      <w:r>
        <w:rPr>
          <w:rFonts w:hint="default"/>
          <w:b w:val="0"/>
          <w:i w:val="0"/>
          <w:caps w:val="0"/>
          <w:smallCaps w:val="0"/>
          <w:color w:val="auto"/>
        </w:rPr>
        <w:t xml:space="preserve">. </w:t>
      </w:r>
      <w:r>
        <w:rPr>
          <w:b w:val="0"/>
          <w:i w:val="0"/>
          <w:caps w:val="0"/>
          <w:smallCaps w:val="0"/>
          <w:color w:val="auto"/>
        </w:rPr>
        <w:t>生态环境影响评价等级与评价范围</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_Toc18661 </w:instrText>
      </w:r>
      <w:r>
        <w:rPr>
          <w:rFonts w:eastAsia="宋体"/>
          <w:b w:val="0"/>
          <w:i w:val="0"/>
          <w:caps w:val="0"/>
          <w:smallCaps w:val="0"/>
          <w:color w:val="auto"/>
          <w:szCs w:val="24"/>
        </w:rPr>
        <w:fldChar w:fldCharType="separate"/>
      </w:r>
      <w:r>
        <w:rPr>
          <w:rFonts w:hint="default"/>
          <w:b w:val="0"/>
          <w:i w:val="0"/>
          <w:caps w:val="0"/>
          <w:smallCaps w:val="0"/>
          <w:color w:val="auto"/>
        </w:rPr>
        <w:t xml:space="preserve">1.6. </w:t>
      </w:r>
      <w:r>
        <w:rPr>
          <w:b w:val="0"/>
          <w:i w:val="0"/>
          <w:caps w:val="0"/>
          <w:smallCaps w:val="0"/>
          <w:color w:val="auto"/>
        </w:rPr>
        <w:t>环境保护目标</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_Toc4760 </w:instrText>
      </w:r>
      <w:r>
        <w:rPr>
          <w:rFonts w:eastAsia="宋体"/>
          <w:b w:val="0"/>
          <w:i w:val="0"/>
          <w:caps w:val="0"/>
          <w:smallCaps w:val="0"/>
          <w:color w:val="auto"/>
          <w:szCs w:val="24"/>
        </w:rPr>
        <w:fldChar w:fldCharType="separate"/>
      </w:r>
      <w:r>
        <w:rPr>
          <w:rFonts w:hint="default"/>
          <w:b w:val="0"/>
          <w:i w:val="0"/>
          <w:caps w:val="0"/>
          <w:smallCaps w:val="0"/>
          <w:color w:val="auto"/>
        </w:rPr>
        <w:t xml:space="preserve">2. </w:t>
      </w:r>
      <w:r>
        <w:rPr>
          <w:b w:val="0"/>
          <w:i w:val="0"/>
          <w:caps w:val="0"/>
          <w:smallCaps w:val="0"/>
          <w:color w:val="auto"/>
        </w:rPr>
        <w:t>建设项目工程分析</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_Toc28154 </w:instrText>
      </w:r>
      <w:r>
        <w:rPr>
          <w:rFonts w:eastAsia="宋体"/>
          <w:b w:val="0"/>
          <w:i w:val="0"/>
          <w:caps w:val="0"/>
          <w:smallCaps w:val="0"/>
          <w:color w:val="auto"/>
          <w:szCs w:val="24"/>
        </w:rPr>
        <w:fldChar w:fldCharType="separate"/>
      </w:r>
      <w:r>
        <w:rPr>
          <w:rFonts w:hint="default"/>
          <w:b w:val="0"/>
          <w:i w:val="0"/>
          <w:caps w:val="0"/>
          <w:smallCaps w:val="0"/>
          <w:color w:val="auto"/>
        </w:rPr>
        <w:t xml:space="preserve">2.1. </w:t>
      </w:r>
      <w:r>
        <w:rPr>
          <w:b w:val="0"/>
          <w:i w:val="0"/>
          <w:caps w:val="0"/>
          <w:smallCaps w:val="0"/>
          <w:color w:val="auto"/>
        </w:rPr>
        <w:t>长岭分公司现有工程概况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_Toc8786 </w:instrText>
      </w:r>
      <w:r>
        <w:rPr>
          <w:rFonts w:eastAsia="宋体"/>
          <w:b w:val="0"/>
          <w:i w:val="0"/>
          <w:caps w:val="0"/>
          <w:smallCaps w:val="0"/>
          <w:color w:val="auto"/>
          <w:szCs w:val="24"/>
        </w:rPr>
        <w:fldChar w:fldCharType="separate"/>
      </w:r>
      <w:r>
        <w:rPr>
          <w:b w:val="0"/>
          <w:i w:val="0"/>
          <w:caps w:val="0"/>
          <w:smallCaps w:val="0"/>
          <w:color w:val="auto"/>
        </w:rPr>
        <w:t>2.1.1 长岭分公司现有工程概况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_Toc8703 </w:instrText>
      </w:r>
      <w:r>
        <w:rPr>
          <w:rFonts w:eastAsia="宋体"/>
          <w:b w:val="0"/>
          <w:i w:val="0"/>
          <w:caps w:val="0"/>
          <w:smallCaps w:val="0"/>
          <w:color w:val="auto"/>
          <w:szCs w:val="24"/>
        </w:rPr>
        <w:fldChar w:fldCharType="separate"/>
      </w:r>
      <w:r>
        <w:rPr>
          <w:b w:val="0"/>
          <w:i w:val="0"/>
          <w:caps w:val="0"/>
          <w:smallCaps w:val="0"/>
          <w:color w:val="auto"/>
        </w:rPr>
        <w:t>2.1.2 主要污染防治措施</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_Toc15433 </w:instrText>
      </w:r>
      <w:r>
        <w:rPr>
          <w:rFonts w:eastAsia="宋体"/>
          <w:b w:val="0"/>
          <w:i w:val="0"/>
          <w:caps w:val="0"/>
          <w:smallCaps w:val="0"/>
          <w:color w:val="auto"/>
          <w:szCs w:val="24"/>
        </w:rPr>
        <w:fldChar w:fldCharType="separate"/>
      </w:r>
      <w:r>
        <w:rPr>
          <w:b w:val="0"/>
          <w:i w:val="0"/>
          <w:caps w:val="0"/>
          <w:smallCaps w:val="0"/>
          <w:color w:val="auto"/>
        </w:rPr>
        <w:t>2.1.3 长岭分公司排污情况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_Toc4905 </w:instrText>
      </w:r>
      <w:r>
        <w:rPr>
          <w:rFonts w:eastAsia="宋体"/>
          <w:b w:val="0"/>
          <w:i w:val="0"/>
          <w:caps w:val="0"/>
          <w:smallCaps w:val="0"/>
          <w:color w:val="auto"/>
          <w:szCs w:val="24"/>
        </w:rPr>
        <w:fldChar w:fldCharType="separate"/>
      </w:r>
      <w:r>
        <w:rPr>
          <w:b w:val="0"/>
          <w:i w:val="0"/>
          <w:caps w:val="0"/>
          <w:smallCaps w:val="0"/>
          <w:color w:val="auto"/>
        </w:rPr>
        <w:t>2.1.4 长岭分公司危险废物产生处置情况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_Toc2111 </w:instrText>
      </w:r>
      <w:r>
        <w:rPr>
          <w:rFonts w:eastAsia="宋体"/>
          <w:b w:val="0"/>
          <w:i w:val="0"/>
          <w:caps w:val="0"/>
          <w:smallCaps w:val="0"/>
          <w:color w:val="auto"/>
          <w:szCs w:val="24"/>
        </w:rPr>
        <w:fldChar w:fldCharType="separate"/>
      </w:r>
      <w:r>
        <w:rPr>
          <w:b w:val="0"/>
          <w:i w:val="0"/>
          <w:caps w:val="0"/>
          <w:smallCaps w:val="0"/>
          <w:color w:val="auto"/>
        </w:rPr>
        <w:t>2.2拟建工程概况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_Toc15115 </w:instrText>
      </w:r>
      <w:r>
        <w:rPr>
          <w:rFonts w:eastAsia="宋体"/>
          <w:b w:val="0"/>
          <w:i w:val="0"/>
          <w:caps w:val="0"/>
          <w:smallCaps w:val="0"/>
          <w:color w:val="auto"/>
          <w:szCs w:val="24"/>
        </w:rPr>
        <w:fldChar w:fldCharType="separate"/>
      </w:r>
      <w:r>
        <w:rPr>
          <w:b w:val="0"/>
          <w:i w:val="0"/>
          <w:caps w:val="0"/>
          <w:smallCaps w:val="0"/>
          <w:color w:val="auto"/>
        </w:rPr>
        <w:t>2.3 本项目与依托工程的依托关系</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_Toc12014 </w:instrText>
      </w:r>
      <w:r>
        <w:rPr>
          <w:rFonts w:eastAsia="宋体"/>
          <w:b w:val="0"/>
          <w:i w:val="0"/>
          <w:caps w:val="0"/>
          <w:smallCaps w:val="0"/>
          <w:color w:val="auto"/>
          <w:szCs w:val="24"/>
        </w:rPr>
        <w:fldChar w:fldCharType="separate"/>
      </w:r>
      <w:r>
        <w:rPr>
          <w:b w:val="0"/>
          <w:i w:val="0"/>
          <w:caps w:val="0"/>
          <w:smallCaps w:val="0"/>
          <w:color w:val="auto"/>
        </w:rPr>
        <w:t>2.3.1现有液氨装车设施安全隐患整改介绍</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_Toc10017 </w:instrText>
      </w:r>
      <w:r>
        <w:rPr>
          <w:rFonts w:eastAsia="宋体"/>
          <w:b w:val="0"/>
          <w:i w:val="0"/>
          <w:caps w:val="0"/>
          <w:smallCaps w:val="0"/>
          <w:color w:val="auto"/>
          <w:szCs w:val="24"/>
        </w:rPr>
        <w:fldChar w:fldCharType="separate"/>
      </w:r>
      <w:r>
        <w:rPr>
          <w:b w:val="0"/>
          <w:i w:val="0"/>
          <w:caps w:val="0"/>
          <w:smallCaps w:val="0"/>
          <w:color w:val="auto"/>
        </w:rPr>
        <w:t>2.3.</w:t>
      </w:r>
      <w:r>
        <w:rPr>
          <w:rFonts w:hint="eastAsia"/>
          <w:b w:val="0"/>
          <w:i w:val="0"/>
          <w:caps w:val="0"/>
          <w:smallCaps w:val="0"/>
          <w:color w:val="auto"/>
          <w:lang w:val="en-US" w:eastAsia="zh-CN"/>
        </w:rPr>
        <w:t>2</w:t>
      </w:r>
      <w:r>
        <w:rPr>
          <w:b w:val="0"/>
          <w:i w:val="0"/>
          <w:caps w:val="0"/>
          <w:smallCaps w:val="0"/>
          <w:color w:val="auto"/>
        </w:rPr>
        <w:t xml:space="preserve"> 项目依托装置情况</w:t>
      </w:r>
      <w:r>
        <w:rPr>
          <w:b w:val="0"/>
          <w:i w:val="0"/>
          <w:caps w:val="0"/>
          <w:smallCaps w:val="0"/>
          <w:color w:val="auto"/>
        </w:rPr>
        <w:tab/>
      </w:r>
      <w:r>
        <w:rPr>
          <w:rFonts w:hint="eastAsia"/>
          <w:b w:val="0"/>
          <w:i w:val="0"/>
          <w:caps w:val="0"/>
          <w:smallCaps w:val="0"/>
          <w:color w:val="auto"/>
          <w:lang w:val="en-US" w:eastAsia="zh-CN"/>
        </w:rPr>
        <w:t>2</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_Toc6371 </w:instrText>
      </w:r>
      <w:r>
        <w:rPr>
          <w:rFonts w:eastAsia="宋体"/>
          <w:b w:val="0"/>
          <w:i w:val="0"/>
          <w:caps w:val="0"/>
          <w:smallCaps w:val="0"/>
          <w:color w:val="auto"/>
          <w:szCs w:val="24"/>
        </w:rPr>
        <w:fldChar w:fldCharType="separate"/>
      </w:r>
      <w:r>
        <w:rPr>
          <w:b w:val="0"/>
          <w:i w:val="0"/>
          <w:caps w:val="0"/>
          <w:smallCaps w:val="0"/>
          <w:color w:val="auto"/>
        </w:rPr>
        <w:t>2.4 项目建设内容</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_Toc29374 </w:instrText>
      </w:r>
      <w:r>
        <w:rPr>
          <w:rFonts w:eastAsia="宋体"/>
          <w:b w:val="0"/>
          <w:i w:val="0"/>
          <w:caps w:val="0"/>
          <w:smallCaps w:val="0"/>
          <w:color w:val="auto"/>
          <w:szCs w:val="24"/>
        </w:rPr>
        <w:fldChar w:fldCharType="separate"/>
      </w:r>
      <w:r>
        <w:rPr>
          <w:b w:val="0"/>
          <w:i w:val="0"/>
          <w:caps w:val="0"/>
          <w:smallCaps w:val="0"/>
          <w:color w:val="auto"/>
        </w:rPr>
        <w:t>2.4.1 项目经济技术指标</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_Toc23863 </w:instrText>
      </w:r>
      <w:r>
        <w:rPr>
          <w:rFonts w:eastAsia="宋体"/>
          <w:b w:val="0"/>
          <w:i w:val="0"/>
          <w:caps w:val="0"/>
          <w:smallCaps w:val="0"/>
          <w:color w:val="auto"/>
          <w:szCs w:val="24"/>
        </w:rPr>
        <w:fldChar w:fldCharType="separate"/>
      </w:r>
      <w:r>
        <w:rPr>
          <w:b w:val="0"/>
          <w:i w:val="0"/>
          <w:caps w:val="0"/>
          <w:smallCaps w:val="0"/>
          <w:color w:val="auto"/>
        </w:rPr>
        <w:t>2.4.2 输送产品液氨性质</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_Toc25954 </w:instrText>
      </w:r>
      <w:r>
        <w:rPr>
          <w:rFonts w:eastAsia="宋体"/>
          <w:b w:val="0"/>
          <w:i w:val="0"/>
          <w:caps w:val="0"/>
          <w:smallCaps w:val="0"/>
          <w:color w:val="auto"/>
          <w:szCs w:val="24"/>
        </w:rPr>
        <w:fldChar w:fldCharType="separate"/>
      </w:r>
      <w:r>
        <w:rPr>
          <w:b w:val="0"/>
          <w:i w:val="0"/>
          <w:caps w:val="0"/>
          <w:smallCaps w:val="0"/>
          <w:color w:val="auto"/>
        </w:rPr>
        <w:t>2.4.3主要能源消耗</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_Toc9996 </w:instrText>
      </w:r>
      <w:r>
        <w:rPr>
          <w:rFonts w:eastAsia="宋体"/>
          <w:b w:val="0"/>
          <w:i w:val="0"/>
          <w:caps w:val="0"/>
          <w:smallCaps w:val="0"/>
          <w:color w:val="auto"/>
          <w:szCs w:val="24"/>
        </w:rPr>
        <w:fldChar w:fldCharType="separate"/>
      </w:r>
      <w:r>
        <w:rPr>
          <w:b w:val="0"/>
          <w:i w:val="0"/>
          <w:caps w:val="0"/>
          <w:smallCaps w:val="0"/>
          <w:color w:val="auto"/>
        </w:rPr>
        <w:t>2.4.4主要生产设备</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_Toc193 </w:instrText>
      </w:r>
      <w:r>
        <w:rPr>
          <w:rFonts w:eastAsia="宋体"/>
          <w:b w:val="0"/>
          <w:i w:val="0"/>
          <w:caps w:val="0"/>
          <w:smallCaps w:val="0"/>
          <w:color w:val="auto"/>
          <w:szCs w:val="24"/>
        </w:rPr>
        <w:fldChar w:fldCharType="separate"/>
      </w:r>
      <w:r>
        <w:rPr>
          <w:b w:val="0"/>
          <w:i w:val="0"/>
          <w:caps w:val="0"/>
          <w:smallCaps w:val="0"/>
          <w:color w:val="auto"/>
        </w:rPr>
        <w:t>2.4.5公用、辅助工程情况</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_Toc20471 </w:instrText>
      </w:r>
      <w:r>
        <w:rPr>
          <w:rFonts w:eastAsia="宋体"/>
          <w:b w:val="0"/>
          <w:i w:val="0"/>
          <w:caps w:val="0"/>
          <w:smallCaps w:val="0"/>
          <w:color w:val="auto"/>
          <w:szCs w:val="24"/>
        </w:rPr>
        <w:fldChar w:fldCharType="separate"/>
      </w:r>
      <w:r>
        <w:rPr>
          <w:b w:val="0"/>
          <w:i w:val="0"/>
          <w:caps w:val="0"/>
          <w:smallCaps w:val="0"/>
          <w:color w:val="auto"/>
        </w:rPr>
        <w:t>2.5 施工期工程分析及污染源分析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_Toc25604 </w:instrText>
      </w:r>
      <w:r>
        <w:rPr>
          <w:rFonts w:eastAsia="宋体"/>
          <w:b w:val="0"/>
          <w:i w:val="0"/>
          <w:caps w:val="0"/>
          <w:smallCaps w:val="0"/>
          <w:color w:val="auto"/>
          <w:szCs w:val="24"/>
        </w:rPr>
        <w:fldChar w:fldCharType="separate"/>
      </w:r>
      <w:r>
        <w:rPr>
          <w:b w:val="0"/>
          <w:i w:val="0"/>
          <w:caps w:val="0"/>
          <w:smallCaps w:val="0"/>
          <w:color w:val="auto"/>
        </w:rPr>
        <w:t>2.5.1 施工内容及施工工艺</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_Toc7874 </w:instrText>
      </w:r>
      <w:r>
        <w:rPr>
          <w:rFonts w:eastAsia="宋体"/>
          <w:b w:val="0"/>
          <w:i w:val="0"/>
          <w:caps w:val="0"/>
          <w:smallCaps w:val="0"/>
          <w:color w:val="auto"/>
          <w:szCs w:val="24"/>
        </w:rPr>
        <w:fldChar w:fldCharType="separate"/>
      </w:r>
      <w:r>
        <w:rPr>
          <w:b w:val="0"/>
          <w:i w:val="0"/>
          <w:caps w:val="0"/>
          <w:smallCaps w:val="0"/>
          <w:color w:val="auto"/>
        </w:rPr>
        <w:t>2.5.2 施工期污染源分析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_Toc22023 </w:instrText>
      </w:r>
      <w:r>
        <w:rPr>
          <w:rFonts w:eastAsia="宋体"/>
          <w:b w:val="0"/>
          <w:i w:val="0"/>
          <w:caps w:val="0"/>
          <w:smallCaps w:val="0"/>
          <w:color w:val="auto"/>
          <w:szCs w:val="24"/>
        </w:rPr>
        <w:fldChar w:fldCharType="separate"/>
      </w:r>
      <w:r>
        <w:rPr>
          <w:b w:val="0"/>
          <w:i w:val="0"/>
          <w:caps w:val="0"/>
          <w:smallCaps w:val="0"/>
          <w:color w:val="auto"/>
        </w:rPr>
        <w:t>2.6 运营期工程分析及污染源分析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_Toc21799 </w:instrText>
      </w:r>
      <w:r>
        <w:rPr>
          <w:rFonts w:eastAsia="宋体"/>
          <w:b w:val="0"/>
          <w:i w:val="0"/>
          <w:caps w:val="0"/>
          <w:smallCaps w:val="0"/>
          <w:color w:val="auto"/>
          <w:szCs w:val="24"/>
        </w:rPr>
        <w:fldChar w:fldCharType="separate"/>
      </w:r>
      <w:r>
        <w:rPr>
          <w:b w:val="0"/>
          <w:i w:val="0"/>
          <w:caps w:val="0"/>
          <w:smallCaps w:val="0"/>
          <w:color w:val="auto"/>
        </w:rPr>
        <w:t>2.6.1 工艺流程简介</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_Toc5801 </w:instrText>
      </w:r>
      <w:r>
        <w:rPr>
          <w:rFonts w:eastAsia="宋体"/>
          <w:b w:val="0"/>
          <w:i w:val="0"/>
          <w:caps w:val="0"/>
          <w:smallCaps w:val="0"/>
          <w:color w:val="auto"/>
          <w:szCs w:val="24"/>
        </w:rPr>
        <w:fldChar w:fldCharType="separate"/>
      </w:r>
      <w:r>
        <w:rPr>
          <w:b w:val="0"/>
          <w:i w:val="0"/>
          <w:caps w:val="0"/>
          <w:smallCaps w:val="0"/>
          <w:color w:val="auto"/>
        </w:rPr>
        <w:t>2.6.2 主要产污环节和污染源分析：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_Toc19570 </w:instrText>
      </w:r>
      <w:r>
        <w:rPr>
          <w:rFonts w:eastAsia="宋体"/>
          <w:b w:val="0"/>
          <w:i w:val="0"/>
          <w:caps w:val="0"/>
          <w:smallCaps w:val="0"/>
          <w:color w:val="auto"/>
          <w:szCs w:val="24"/>
        </w:rPr>
        <w:fldChar w:fldCharType="separate"/>
      </w:r>
      <w:r>
        <w:rPr>
          <w:b w:val="0"/>
          <w:i w:val="0"/>
          <w:caps w:val="0"/>
          <w:smallCaps w:val="0"/>
          <w:color w:val="auto"/>
        </w:rPr>
        <w:t>2.7拟建工程污染源核算</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_Toc22367 </w:instrText>
      </w:r>
      <w:r>
        <w:rPr>
          <w:rFonts w:eastAsia="宋体"/>
          <w:b w:val="0"/>
          <w:i w:val="0"/>
          <w:caps w:val="0"/>
          <w:smallCaps w:val="0"/>
          <w:color w:val="auto"/>
          <w:szCs w:val="24"/>
        </w:rPr>
        <w:fldChar w:fldCharType="separate"/>
      </w:r>
      <w:r>
        <w:rPr>
          <w:b w:val="0"/>
          <w:i w:val="0"/>
          <w:caps w:val="0"/>
          <w:smallCaps w:val="0"/>
          <w:color w:val="auto"/>
        </w:rPr>
        <w:t>2.7.1废气</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_Toc8238 </w:instrText>
      </w:r>
      <w:r>
        <w:rPr>
          <w:rFonts w:eastAsia="宋体"/>
          <w:b w:val="0"/>
          <w:i w:val="0"/>
          <w:caps w:val="0"/>
          <w:smallCaps w:val="0"/>
          <w:color w:val="auto"/>
          <w:szCs w:val="24"/>
        </w:rPr>
        <w:fldChar w:fldCharType="separate"/>
      </w:r>
      <w:r>
        <w:rPr>
          <w:b w:val="0"/>
          <w:i w:val="0"/>
          <w:caps w:val="0"/>
          <w:smallCaps w:val="0"/>
          <w:color w:val="auto"/>
        </w:rPr>
        <w:t>2.7</w:t>
      </w:r>
      <w:r>
        <w:rPr>
          <w:rFonts w:hint="eastAsia"/>
          <w:b w:val="0"/>
          <w:i w:val="0"/>
          <w:caps w:val="0"/>
          <w:smallCaps w:val="0"/>
          <w:color w:val="auto"/>
        </w:rPr>
        <w:t>.</w:t>
      </w:r>
      <w:r>
        <w:rPr>
          <w:b w:val="0"/>
          <w:i w:val="0"/>
          <w:caps w:val="0"/>
          <w:smallCaps w:val="0"/>
          <w:color w:val="auto"/>
        </w:rPr>
        <w:t>2废水</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szCs w:val="24"/>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_Toc32176 </w:instrText>
      </w:r>
      <w:r>
        <w:rPr>
          <w:rFonts w:eastAsia="宋体"/>
          <w:b w:val="0"/>
          <w:i w:val="0"/>
          <w:caps w:val="0"/>
          <w:smallCaps w:val="0"/>
          <w:color w:val="auto"/>
          <w:szCs w:val="24"/>
        </w:rPr>
        <w:fldChar w:fldCharType="separate"/>
      </w:r>
      <w:r>
        <w:rPr>
          <w:rFonts w:hint="eastAsia"/>
          <w:b w:val="0"/>
          <w:i w:val="0"/>
          <w:caps w:val="0"/>
          <w:smallCaps w:val="0"/>
          <w:color w:val="auto"/>
        </w:rPr>
        <w:t>2.7.</w:t>
      </w:r>
      <w:r>
        <w:rPr>
          <w:b w:val="0"/>
          <w:i w:val="0"/>
          <w:caps w:val="0"/>
          <w:smallCaps w:val="0"/>
          <w:color w:val="auto"/>
        </w:rPr>
        <w:t>3噪声源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_Toc8012 </w:instrText>
      </w:r>
      <w:r>
        <w:rPr>
          <w:rFonts w:eastAsia="宋体"/>
          <w:b w:val="0"/>
          <w:i w:val="0"/>
          <w:caps w:val="0"/>
          <w:smallCaps w:val="0"/>
          <w:color w:val="auto"/>
          <w:szCs w:val="24"/>
        </w:rPr>
        <w:fldChar w:fldCharType="separate"/>
      </w:r>
      <w:r>
        <w:rPr>
          <w:b w:val="0"/>
          <w:i w:val="0"/>
          <w:caps w:val="0"/>
          <w:smallCaps w:val="0"/>
          <w:color w:val="auto"/>
        </w:rPr>
        <w:t>2.7.4固体废物</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_Toc9797 </w:instrText>
      </w:r>
      <w:r>
        <w:rPr>
          <w:rFonts w:eastAsia="宋体"/>
          <w:b w:val="0"/>
          <w:i w:val="0"/>
          <w:caps w:val="0"/>
          <w:smallCaps w:val="0"/>
          <w:color w:val="auto"/>
          <w:szCs w:val="24"/>
        </w:rPr>
        <w:fldChar w:fldCharType="separate"/>
      </w:r>
      <w:r>
        <w:rPr>
          <w:b w:val="0"/>
          <w:i w:val="0"/>
          <w:caps w:val="0"/>
          <w:smallCaps w:val="0"/>
          <w:color w:val="auto"/>
        </w:rPr>
        <w:t>2.7.5扩建工程污染物排放统计与汇总</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_Toc16224 </w:instrText>
      </w:r>
      <w:r>
        <w:rPr>
          <w:rFonts w:eastAsia="宋体"/>
          <w:b w:val="0"/>
          <w:i w:val="0"/>
          <w:caps w:val="0"/>
          <w:smallCaps w:val="0"/>
          <w:color w:val="auto"/>
          <w:szCs w:val="24"/>
        </w:rPr>
        <w:fldChar w:fldCharType="separate"/>
      </w:r>
      <w:r>
        <w:rPr>
          <w:b w:val="0"/>
          <w:i w:val="0"/>
          <w:caps w:val="0"/>
          <w:smallCaps w:val="0"/>
          <w:color w:val="auto"/>
        </w:rPr>
        <w:t>2</w:t>
      </w:r>
      <w:r>
        <w:rPr>
          <w:rFonts w:hint="eastAsia"/>
          <w:b w:val="0"/>
          <w:i w:val="0"/>
          <w:caps w:val="0"/>
          <w:smallCaps w:val="0"/>
          <w:color w:val="auto"/>
        </w:rPr>
        <w:t>.8工程以新带老分析</w:t>
      </w:r>
      <w:r>
        <w:rPr>
          <w:b w:val="0"/>
          <w:i w:val="0"/>
          <w:caps w:val="0"/>
          <w:smallCaps w:val="0"/>
          <w:color w:val="auto"/>
        </w:rPr>
        <w:tab/>
      </w:r>
      <w:r>
        <w:rPr>
          <w:rFonts w:hint="eastAsia"/>
          <w:b w:val="0"/>
          <w:i w:val="0"/>
          <w:caps w:val="0"/>
          <w:smallCaps w:val="0"/>
          <w:color w:val="auto"/>
          <w:lang w:val="en-US" w:eastAsia="zh-CN"/>
        </w:rPr>
        <w:t>3</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_Toc21931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 </w:t>
      </w:r>
      <w:r>
        <w:rPr>
          <w:b w:val="0"/>
          <w:i w:val="0"/>
          <w:caps w:val="0"/>
          <w:smallCaps w:val="0"/>
          <w:color w:val="auto"/>
        </w:rPr>
        <w:t>环境现状调查与评价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_Toc27369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3.1.</w:t>
      </w:r>
      <w:r>
        <w:rPr>
          <w:b w:val="0"/>
          <w:i w:val="0"/>
          <w:caps w:val="0"/>
          <w:smallCaps w:val="0"/>
          <w:color w:val="auto"/>
        </w:rPr>
        <w:t xml:space="preserve"> 自然环境现状调查与评价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_Toc27646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3.1.1. </w:t>
      </w:r>
      <w:r>
        <w:rPr>
          <w:b w:val="0"/>
          <w:i w:val="0"/>
          <w:caps w:val="0"/>
          <w:smallCaps w:val="0"/>
          <w:color w:val="auto"/>
        </w:rPr>
        <w:t>地理位置</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_Toc2756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3.1.2. </w:t>
      </w:r>
      <w:r>
        <w:rPr>
          <w:b w:val="0"/>
          <w:i w:val="0"/>
          <w:caps w:val="0"/>
          <w:smallCaps w:val="0"/>
          <w:color w:val="auto"/>
        </w:rPr>
        <w:t>地</w:t>
      </w:r>
      <w:r>
        <w:rPr>
          <w:rFonts w:hint="eastAsia"/>
          <w:b w:val="0"/>
          <w:i w:val="0"/>
          <w:caps w:val="0"/>
          <w:smallCaps w:val="0"/>
          <w:color w:val="auto"/>
        </w:rPr>
        <w:t>形</w:t>
      </w:r>
      <w:r>
        <w:rPr>
          <w:b w:val="0"/>
          <w:i w:val="0"/>
          <w:caps w:val="0"/>
          <w:smallCaps w:val="0"/>
          <w:color w:val="auto"/>
        </w:rPr>
        <w:t>地貌</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_Toc23315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3.1.3. </w:t>
      </w:r>
      <w:r>
        <w:rPr>
          <w:rFonts w:hint="eastAsia"/>
          <w:b w:val="0"/>
          <w:i w:val="0"/>
          <w:caps w:val="0"/>
          <w:smallCaps w:val="0"/>
          <w:color w:val="auto"/>
        </w:rPr>
        <w:t>地质</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_Toc27697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3.1.4. </w:t>
      </w:r>
      <w:r>
        <w:rPr>
          <w:b w:val="0"/>
          <w:i w:val="0"/>
          <w:caps w:val="0"/>
          <w:smallCaps w:val="0"/>
          <w:color w:val="auto"/>
        </w:rPr>
        <w:t>气候气象</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_Toc23268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3.1.5. </w:t>
      </w:r>
      <w:r>
        <w:rPr>
          <w:b w:val="0"/>
          <w:i w:val="0"/>
          <w:caps w:val="0"/>
          <w:smallCaps w:val="0"/>
          <w:color w:val="auto"/>
        </w:rPr>
        <w:t>河流、水文状况</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_Toc28698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3.1.6. </w:t>
      </w:r>
      <w:r>
        <w:rPr>
          <w:b w:val="0"/>
          <w:i w:val="0"/>
          <w:caps w:val="0"/>
          <w:smallCaps w:val="0"/>
          <w:color w:val="auto"/>
        </w:rPr>
        <w:t>地下水</w:t>
      </w:r>
      <w:r>
        <w:rPr>
          <w:rFonts w:hint="eastAsia"/>
          <w:b w:val="0"/>
          <w:i w:val="0"/>
          <w:caps w:val="0"/>
          <w:smallCaps w:val="0"/>
          <w:color w:val="auto"/>
        </w:rPr>
        <w:t>及水文地质</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_Toc30267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3.2. </w:t>
      </w:r>
      <w:r>
        <w:rPr>
          <w:b w:val="0"/>
          <w:i w:val="0"/>
          <w:caps w:val="0"/>
          <w:smallCaps w:val="0"/>
          <w:color w:val="auto"/>
        </w:rPr>
        <w:t>社会环境概况</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_Toc5500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3.3. 环境空气质量现状监测与评价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_Toc23038 </w:instrText>
      </w:r>
      <w:r>
        <w:rPr>
          <w:rFonts w:eastAsia="宋体"/>
          <w:b w:val="0"/>
          <w:i w:val="0"/>
          <w:caps w:val="0"/>
          <w:smallCaps w:val="0"/>
          <w:color w:val="auto"/>
          <w:szCs w:val="24"/>
        </w:rPr>
        <w:fldChar w:fldCharType="separate"/>
      </w:r>
      <w:r>
        <w:rPr>
          <w:rFonts w:hint="eastAsia"/>
          <w:b w:val="0"/>
          <w:i w:val="0"/>
          <w:caps w:val="0"/>
          <w:smallCaps w:val="0"/>
          <w:color w:val="auto"/>
        </w:rPr>
        <w:t>3.</w:t>
      </w:r>
      <w:r>
        <w:rPr>
          <w:rFonts w:hint="eastAsia"/>
          <w:b w:val="0"/>
          <w:i w:val="0"/>
          <w:caps w:val="0"/>
          <w:smallCaps w:val="0"/>
          <w:color w:val="auto"/>
          <w:lang w:val="en-US" w:eastAsia="zh-CN"/>
        </w:rPr>
        <w:t>3</w:t>
      </w:r>
      <w:r>
        <w:rPr>
          <w:rFonts w:hint="eastAsia"/>
          <w:b w:val="0"/>
          <w:i w:val="0"/>
          <w:caps w:val="0"/>
          <w:smallCaps w:val="0"/>
          <w:color w:val="auto"/>
        </w:rPr>
        <w:t>.1 常规监测数据</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_Toc16412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3.3.2 </w:t>
      </w:r>
      <w:r>
        <w:rPr>
          <w:rFonts w:hint="eastAsia"/>
          <w:b w:val="0"/>
          <w:i w:val="0"/>
          <w:caps w:val="0"/>
          <w:smallCaps w:val="0"/>
          <w:color w:val="auto"/>
        </w:rPr>
        <w:t>历史特征因子监测数据</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_Toc25475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3.4. 地表水环境质量现状监测与评价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_Toc26103 </w:instrText>
      </w:r>
      <w:r>
        <w:rPr>
          <w:rFonts w:eastAsia="宋体"/>
          <w:b w:val="0"/>
          <w:i w:val="0"/>
          <w:caps w:val="0"/>
          <w:smallCaps w:val="0"/>
          <w:color w:val="auto"/>
          <w:szCs w:val="24"/>
        </w:rPr>
        <w:fldChar w:fldCharType="separate"/>
      </w:r>
      <w:r>
        <w:rPr>
          <w:rFonts w:hint="eastAsia"/>
          <w:b w:val="0"/>
          <w:i w:val="0"/>
          <w:caps w:val="0"/>
          <w:smallCaps w:val="0"/>
          <w:color w:val="auto"/>
        </w:rPr>
        <w:t>3.4.1</w:t>
      </w:r>
      <w:r>
        <w:rPr>
          <w:b w:val="0"/>
          <w:i w:val="0"/>
          <w:caps w:val="0"/>
          <w:smallCaps w:val="0"/>
          <w:color w:val="auto"/>
        </w:rPr>
        <w:t>引用监测资料</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_Toc3795 </w:instrText>
      </w:r>
      <w:r>
        <w:rPr>
          <w:rFonts w:eastAsia="宋体"/>
          <w:b w:val="0"/>
          <w:i w:val="0"/>
          <w:caps w:val="0"/>
          <w:smallCaps w:val="0"/>
          <w:color w:val="auto"/>
          <w:szCs w:val="24"/>
        </w:rPr>
        <w:fldChar w:fldCharType="separate"/>
      </w:r>
      <w:r>
        <w:rPr>
          <w:rFonts w:hint="eastAsia"/>
          <w:b w:val="0"/>
          <w:i w:val="0"/>
          <w:caps w:val="0"/>
          <w:smallCaps w:val="0"/>
          <w:color w:val="auto"/>
        </w:rPr>
        <w:t>3.4.</w:t>
      </w:r>
      <w:r>
        <w:rPr>
          <w:rFonts w:hint="eastAsia"/>
          <w:b w:val="0"/>
          <w:i w:val="0"/>
          <w:caps w:val="0"/>
          <w:smallCaps w:val="0"/>
          <w:color w:val="auto"/>
          <w:lang w:val="en-US" w:eastAsia="zh-CN"/>
        </w:rPr>
        <w:t>2</w:t>
      </w:r>
      <w:r>
        <w:rPr>
          <w:b w:val="0"/>
          <w:i w:val="0"/>
          <w:caps w:val="0"/>
          <w:smallCaps w:val="0"/>
          <w:color w:val="auto"/>
        </w:rPr>
        <w:t>地表水环境质量现状评价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_Toc24837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3.5. 地下水质量现状调查与评价</w:t>
      </w:r>
      <w:r>
        <w:rPr>
          <w:b w:val="0"/>
          <w:i w:val="0"/>
          <w:caps w:val="0"/>
          <w:smallCaps w:val="0"/>
          <w:color w:val="auto"/>
        </w:rPr>
        <w:tab/>
      </w:r>
      <w:r>
        <w:rPr>
          <w:rFonts w:hint="eastAsia"/>
          <w:b w:val="0"/>
          <w:i w:val="0"/>
          <w:caps w:val="0"/>
          <w:smallCaps w:val="0"/>
          <w:color w:val="auto"/>
          <w:lang w:val="en-US" w:eastAsia="zh-CN"/>
        </w:rPr>
        <w:t>4</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_Toc20554 </w:instrText>
      </w:r>
      <w:r>
        <w:rPr>
          <w:rFonts w:eastAsia="宋体"/>
          <w:b w:val="0"/>
          <w:i w:val="0"/>
          <w:caps w:val="0"/>
          <w:smallCaps w:val="0"/>
          <w:color w:val="auto"/>
          <w:szCs w:val="24"/>
        </w:rPr>
        <w:fldChar w:fldCharType="separate"/>
      </w:r>
      <w:r>
        <w:rPr>
          <w:rFonts w:hint="eastAsia"/>
          <w:b w:val="0"/>
          <w:i w:val="0"/>
          <w:caps w:val="0"/>
          <w:smallCaps w:val="0"/>
          <w:color w:val="auto"/>
          <w:szCs w:val="32"/>
          <w:lang w:val="en-US" w:eastAsia="zh-CN"/>
        </w:rPr>
        <w:t>3.6. 声环境质量现状评价</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_Toc14720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 </w:t>
      </w:r>
      <w:r>
        <w:rPr>
          <w:b w:val="0"/>
          <w:i w:val="0"/>
          <w:caps w:val="0"/>
          <w:smallCaps w:val="0"/>
          <w:color w:val="auto"/>
        </w:rPr>
        <w:t>施工期环境影响分析</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_Toc2640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4.1 </w:t>
      </w:r>
      <w:r>
        <w:rPr>
          <w:b w:val="0"/>
          <w:i w:val="0"/>
          <w:caps w:val="0"/>
          <w:smallCaps w:val="0"/>
          <w:color w:val="auto"/>
        </w:rPr>
        <w:t>施工期大气环境影响分析</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_Toc310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4.2 </w:t>
      </w:r>
      <w:r>
        <w:rPr>
          <w:b w:val="0"/>
          <w:i w:val="0"/>
          <w:caps w:val="0"/>
          <w:smallCaps w:val="0"/>
          <w:color w:val="auto"/>
        </w:rPr>
        <w:t>施工废水影响分析</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_Toc29815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4.3 </w:t>
      </w:r>
      <w:r>
        <w:rPr>
          <w:b w:val="0"/>
          <w:i w:val="0"/>
          <w:caps w:val="0"/>
          <w:smallCaps w:val="0"/>
          <w:color w:val="auto"/>
        </w:rPr>
        <w:t>施工噪声预测与评价</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_Toc5897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4.3.1 </w:t>
      </w:r>
      <w:r>
        <w:rPr>
          <w:b w:val="0"/>
          <w:i w:val="0"/>
          <w:caps w:val="0"/>
          <w:smallCaps w:val="0"/>
          <w:color w:val="auto"/>
        </w:rPr>
        <w:t>噪声源强</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_Toc28098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4.3.2 </w:t>
      </w:r>
      <w:r>
        <w:rPr>
          <w:b w:val="0"/>
          <w:i w:val="0"/>
          <w:caps w:val="0"/>
          <w:smallCaps w:val="0"/>
          <w:color w:val="auto"/>
        </w:rPr>
        <w:t>预测计算</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_Toc21502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4.3.3 施工期固废环境影响分析</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_Toc12549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 </w:t>
      </w:r>
      <w:r>
        <w:rPr>
          <w:b w:val="0"/>
          <w:i w:val="0"/>
          <w:caps w:val="0"/>
          <w:smallCaps w:val="0"/>
          <w:color w:val="auto"/>
        </w:rPr>
        <w:t>运营期环境影响预测与评价</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_Toc15853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 </w:t>
      </w:r>
      <w:r>
        <w:rPr>
          <w:b w:val="0"/>
          <w:i w:val="0"/>
          <w:caps w:val="0"/>
          <w:smallCaps w:val="0"/>
          <w:color w:val="auto"/>
        </w:rPr>
        <w:t>大气环境影响预测评价</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_Toc29098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5.1.1 </w:t>
      </w:r>
      <w:r>
        <w:rPr>
          <w:b w:val="0"/>
          <w:i w:val="0"/>
          <w:caps w:val="0"/>
          <w:smallCaps w:val="0"/>
          <w:color w:val="auto"/>
        </w:rPr>
        <w:t>地面常规气象资料</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_Toc13255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5.1.2 </w:t>
      </w:r>
      <w:r>
        <w:rPr>
          <w:rFonts w:hint="eastAsia"/>
          <w:b w:val="0"/>
          <w:i w:val="0"/>
          <w:caps w:val="0"/>
          <w:smallCaps w:val="0"/>
          <w:color w:val="auto"/>
        </w:rPr>
        <w:t>预测模式及参数</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_Toc20319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5.1.3 </w:t>
      </w:r>
      <w:r>
        <w:rPr>
          <w:rFonts w:hint="eastAsia"/>
          <w:b w:val="0"/>
          <w:i w:val="0"/>
          <w:caps w:val="0"/>
          <w:smallCaps w:val="0"/>
          <w:color w:val="auto"/>
        </w:rPr>
        <w:t>估算模式预测结果与评价</w:t>
      </w:r>
      <w:r>
        <w:rPr>
          <w:b w:val="0"/>
          <w:i w:val="0"/>
          <w:caps w:val="0"/>
          <w:smallCaps w:val="0"/>
          <w:color w:val="auto"/>
        </w:rPr>
        <w:tab/>
      </w:r>
      <w:r>
        <w:rPr>
          <w:rFonts w:hint="eastAsia"/>
          <w:b w:val="0"/>
          <w:i w:val="0"/>
          <w:caps w:val="0"/>
          <w:smallCaps w:val="0"/>
          <w:color w:val="auto"/>
          <w:lang w:val="en-US" w:eastAsia="zh-CN"/>
        </w:rPr>
        <w:t>5</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_Toc10493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5.1.4 </w:t>
      </w:r>
      <w:r>
        <w:rPr>
          <w:rFonts w:hint="eastAsia"/>
          <w:b w:val="0"/>
          <w:i w:val="0"/>
          <w:caps w:val="0"/>
          <w:smallCaps w:val="0"/>
          <w:color w:val="auto"/>
        </w:rPr>
        <w:t>大气环境防护距离</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_Toc24680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5.1.5 </w:t>
      </w:r>
      <w:r>
        <w:rPr>
          <w:rFonts w:hint="eastAsia"/>
          <w:b w:val="0"/>
          <w:i w:val="0"/>
          <w:caps w:val="0"/>
          <w:smallCaps w:val="0"/>
          <w:color w:val="auto"/>
        </w:rPr>
        <w:t>卫生防护距离</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_Toc20743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5.2 </w:t>
      </w:r>
      <w:r>
        <w:rPr>
          <w:rFonts w:hint="eastAsia"/>
          <w:b w:val="0"/>
          <w:i w:val="0"/>
          <w:caps w:val="0"/>
          <w:smallCaps w:val="0"/>
          <w:color w:val="auto"/>
        </w:rPr>
        <w:t>地表水</w:t>
      </w:r>
      <w:r>
        <w:rPr>
          <w:b w:val="0"/>
          <w:i w:val="0"/>
          <w:caps w:val="0"/>
          <w:smallCaps w:val="0"/>
          <w:color w:val="auto"/>
        </w:rPr>
        <w:t>环境影响分析</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_Toc20343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5.3 </w:t>
      </w:r>
      <w:r>
        <w:rPr>
          <w:rFonts w:hint="eastAsia"/>
          <w:b w:val="0"/>
          <w:i w:val="0"/>
          <w:caps w:val="0"/>
          <w:smallCaps w:val="0"/>
          <w:color w:val="auto"/>
        </w:rPr>
        <w:t>地下水</w:t>
      </w:r>
      <w:r>
        <w:rPr>
          <w:b w:val="0"/>
          <w:i w:val="0"/>
          <w:caps w:val="0"/>
          <w:smallCaps w:val="0"/>
          <w:color w:val="auto"/>
        </w:rPr>
        <w:t>环境影响</w:t>
      </w:r>
      <w:r>
        <w:rPr>
          <w:rFonts w:hint="eastAsia"/>
          <w:b w:val="0"/>
          <w:i w:val="0"/>
          <w:caps w:val="0"/>
          <w:smallCaps w:val="0"/>
          <w:color w:val="auto"/>
        </w:rPr>
        <w:t>评价</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_Toc25709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5.3.1 </w:t>
      </w:r>
      <w:r>
        <w:rPr>
          <w:rFonts w:hint="eastAsia"/>
          <w:b w:val="0"/>
          <w:i w:val="0"/>
          <w:caps w:val="0"/>
          <w:smallCaps w:val="0"/>
          <w:color w:val="auto"/>
        </w:rPr>
        <w:t>地下水敏感程度</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_Toc12588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5.3.2 水文地质条件</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_Toc12984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5.3.3 </w:t>
      </w:r>
      <w:r>
        <w:rPr>
          <w:rFonts w:hint="eastAsia"/>
          <w:b w:val="0"/>
          <w:i w:val="0"/>
          <w:caps w:val="0"/>
          <w:smallCaps w:val="0"/>
          <w:color w:val="auto"/>
        </w:rPr>
        <w:t>污染物特征</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_Toc5806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5.3.4 </w:t>
      </w:r>
      <w:r>
        <w:rPr>
          <w:rFonts w:hint="eastAsia"/>
          <w:b w:val="0"/>
          <w:i w:val="0"/>
          <w:caps w:val="0"/>
          <w:smallCaps w:val="0"/>
          <w:color w:val="auto"/>
        </w:rPr>
        <w:t>地下水环境影响预测</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_Toc4396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5.4 </w:t>
      </w:r>
      <w:r>
        <w:rPr>
          <w:b w:val="0"/>
          <w:i w:val="0"/>
          <w:caps w:val="0"/>
          <w:smallCaps w:val="0"/>
          <w:color w:val="auto"/>
        </w:rPr>
        <w:t>声环境影响预测与评价</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_Toc19968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5.4.1 </w:t>
      </w:r>
      <w:r>
        <w:rPr>
          <w:b w:val="0"/>
          <w:i w:val="0"/>
          <w:caps w:val="0"/>
          <w:smallCaps w:val="0"/>
          <w:color w:val="auto"/>
        </w:rPr>
        <w:t>预测源强</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_Toc29773 </w:instrText>
      </w:r>
      <w:r>
        <w:rPr>
          <w:rFonts w:eastAsia="宋体"/>
          <w:b w:val="0"/>
          <w:i w:val="0"/>
          <w:caps w:val="0"/>
          <w:smallCaps w:val="0"/>
          <w:color w:val="auto"/>
          <w:szCs w:val="24"/>
        </w:rPr>
        <w:fldChar w:fldCharType="separate"/>
      </w:r>
      <w:r>
        <w:rPr>
          <w:rFonts w:hint="eastAsia" w:cs="Times New Roman"/>
          <w:b w:val="0"/>
          <w:i w:val="0"/>
          <w:caps w:val="0"/>
          <w:smallCaps w:val="0"/>
          <w:color w:val="auto"/>
          <w:lang w:val="en-US" w:eastAsia="zh-CN"/>
        </w:rPr>
        <w:t xml:space="preserve">5.4.2 </w:t>
      </w:r>
      <w:r>
        <w:rPr>
          <w:rFonts w:hint="eastAsia" w:ascii="Times New Roman" w:hAnsi="Times New Roman" w:cs="Times New Roman"/>
          <w:b w:val="0"/>
          <w:i w:val="0"/>
          <w:caps w:val="0"/>
          <w:smallCaps w:val="0"/>
          <w:color w:val="auto"/>
        </w:rPr>
        <w:t>预测范围及预测内容</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_Toc1528 </w:instrText>
      </w:r>
      <w:r>
        <w:rPr>
          <w:rFonts w:eastAsia="宋体"/>
          <w:b w:val="0"/>
          <w:i w:val="0"/>
          <w:caps w:val="0"/>
          <w:smallCaps w:val="0"/>
          <w:color w:val="auto"/>
          <w:szCs w:val="24"/>
        </w:rPr>
        <w:fldChar w:fldCharType="separate"/>
      </w:r>
      <w:r>
        <w:rPr>
          <w:rFonts w:hint="eastAsia" w:cs="Times New Roman"/>
          <w:b w:val="0"/>
          <w:i w:val="0"/>
          <w:caps w:val="0"/>
          <w:smallCaps w:val="0"/>
          <w:color w:val="auto"/>
          <w:lang w:val="en-US" w:eastAsia="zh-CN"/>
        </w:rPr>
        <w:t xml:space="preserve">5.4.3 </w:t>
      </w:r>
      <w:r>
        <w:rPr>
          <w:rFonts w:hint="eastAsia" w:ascii="Times New Roman" w:hAnsi="Times New Roman" w:cs="Times New Roman"/>
          <w:b w:val="0"/>
          <w:i w:val="0"/>
          <w:caps w:val="0"/>
          <w:smallCaps w:val="0"/>
          <w:color w:val="auto"/>
        </w:rPr>
        <w:t>预测模式</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_Toc12913 </w:instrText>
      </w:r>
      <w:r>
        <w:rPr>
          <w:rFonts w:eastAsia="宋体"/>
          <w:b w:val="0"/>
          <w:i w:val="0"/>
          <w:caps w:val="0"/>
          <w:smallCaps w:val="0"/>
          <w:color w:val="auto"/>
          <w:szCs w:val="24"/>
        </w:rPr>
        <w:fldChar w:fldCharType="separate"/>
      </w:r>
      <w:r>
        <w:rPr>
          <w:rFonts w:hint="eastAsia" w:cs="Times New Roman"/>
          <w:b w:val="0"/>
          <w:i w:val="0"/>
          <w:caps w:val="0"/>
          <w:smallCaps w:val="0"/>
          <w:color w:val="auto"/>
          <w:lang w:val="en-US" w:eastAsia="zh-CN"/>
        </w:rPr>
        <w:t xml:space="preserve">5.4.4 </w:t>
      </w:r>
      <w:r>
        <w:rPr>
          <w:rFonts w:hint="eastAsia" w:ascii="Times New Roman" w:hAnsi="Times New Roman" w:cs="Times New Roman"/>
          <w:b w:val="0"/>
          <w:i w:val="0"/>
          <w:caps w:val="0"/>
          <w:smallCaps w:val="0"/>
          <w:color w:val="auto"/>
        </w:rPr>
        <w:t>预测结果</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_Toc31497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5.5 </w:t>
      </w:r>
      <w:r>
        <w:rPr>
          <w:b w:val="0"/>
          <w:i w:val="0"/>
          <w:caps w:val="0"/>
          <w:smallCaps w:val="0"/>
          <w:color w:val="auto"/>
        </w:rPr>
        <w:t>固体废物环境影响分析</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_Toc8170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5.6 </w:t>
      </w:r>
      <w:r>
        <w:rPr>
          <w:b w:val="0"/>
          <w:i w:val="0"/>
          <w:caps w:val="0"/>
          <w:smallCaps w:val="0"/>
          <w:color w:val="auto"/>
        </w:rPr>
        <w:t>生态环境影响分析</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4"/>
        <w:tabs>
          <w:tab w:val="right" w:leader="dot" w:pos="8902"/>
        </w:tabs>
        <w:rPr>
          <w:rFonts w:hint="eastAsia"/>
          <w:b w:val="0"/>
          <w:i w:val="0"/>
          <w:caps w:val="0"/>
          <w:smallCaps w:val="0"/>
          <w:color w:val="auto"/>
          <w:szCs w:val="24"/>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_Toc15163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 </w:t>
      </w:r>
      <w:r>
        <w:rPr>
          <w:rFonts w:hint="eastAsia"/>
          <w:b w:val="0"/>
          <w:i w:val="0"/>
          <w:caps w:val="0"/>
          <w:smallCaps w:val="0"/>
          <w:color w:val="auto"/>
        </w:rPr>
        <w:t>环保措施及其可行性论证</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rPr>
          <w:rFonts w:hint="default" w:eastAsia="宋体"/>
          <w:lang w:val="en-US" w:eastAsia="zh-CN"/>
        </w:rPr>
      </w:pPr>
      <w:r>
        <w:rPr>
          <w:rFonts w:hint="eastAsia"/>
          <w:b w:val="0"/>
          <w:i w:val="0"/>
          <w:caps w:val="0"/>
          <w:smallCaps w:val="0"/>
          <w:color w:val="auto"/>
          <w:lang w:val="en-US" w:eastAsia="zh-CN"/>
        </w:rPr>
        <w:t xml:space="preserve">6.1 </w:t>
      </w:r>
      <w:r>
        <w:rPr>
          <w:b w:val="0"/>
          <w:i w:val="0"/>
          <w:caps w:val="0"/>
          <w:smallCaps w:val="0"/>
          <w:color w:val="auto"/>
        </w:rPr>
        <w:t>废气治理措施及</w:t>
      </w:r>
      <w:r>
        <w:rPr>
          <w:rFonts w:hint="eastAsia"/>
          <w:b w:val="0"/>
          <w:i w:val="0"/>
          <w:caps w:val="0"/>
          <w:smallCaps w:val="0"/>
          <w:color w:val="auto"/>
        </w:rPr>
        <w:t>其</w:t>
      </w:r>
      <w:r>
        <w:rPr>
          <w:b w:val="0"/>
          <w:i w:val="0"/>
          <w:caps w:val="0"/>
          <w:smallCaps w:val="0"/>
          <w:color w:val="auto"/>
        </w:rPr>
        <w:t>可行性分析</w:t>
      </w:r>
      <w:r>
        <w:rPr>
          <w:rFonts w:hint="eastAsia"/>
          <w:b w:val="0"/>
          <w:i w:val="0"/>
          <w:caps w:val="0"/>
          <w:smallCaps w:val="0"/>
          <w:color w:val="auto"/>
          <w:lang w:val="en-US" w:eastAsia="zh-CN"/>
        </w:rPr>
        <w:t>........................................................................................................69</w:t>
      </w:r>
    </w:p>
    <w:p>
      <w:pPr>
        <w:rPr>
          <w:rFonts w:hint="eastAsia" w:eastAsia="宋体"/>
          <w:lang w:val="en-US" w:eastAsia="zh-CN"/>
        </w:rPr>
        <w:sectPr>
          <w:headerReference r:id="rId7" w:type="default"/>
          <w:footerReference r:id="rId8" w:type="default"/>
          <w:footerReference r:id="rId9" w:type="even"/>
          <w:pgSz w:w="11907" w:h="16840"/>
          <w:pgMar w:top="1474" w:right="1531" w:bottom="1418" w:left="1474" w:header="284" w:footer="851" w:gutter="0"/>
          <w:pgNumType w:fmt="decimal" w:start="1"/>
          <w:cols w:space="720" w:num="1"/>
          <w:docGrid w:linePitch="312" w:charSpace="0"/>
        </w:sectPr>
      </w:pPr>
    </w:p>
    <w:p>
      <w:pPr>
        <w:pStyle w:val="39"/>
        <w:tabs>
          <w:tab w:val="right" w:leader="dot" w:pos="8902"/>
        </w:tabs>
        <w:rPr>
          <w:b w:val="0"/>
          <w:i w:val="0"/>
          <w:caps w:val="0"/>
          <w:smallCaps w:val="0"/>
          <w:color w:val="auto"/>
        </w:rPr>
      </w:pP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_Toc17161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6.2 </w:t>
      </w:r>
      <w:r>
        <w:rPr>
          <w:b w:val="0"/>
          <w:i w:val="0"/>
          <w:caps w:val="0"/>
          <w:smallCaps w:val="0"/>
          <w:color w:val="auto"/>
        </w:rPr>
        <w:t>废水治理措施及技术经济可行性分析</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_Toc30932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6.2.1 </w:t>
      </w:r>
      <w:r>
        <w:rPr>
          <w:rFonts w:hint="eastAsia"/>
          <w:b w:val="0"/>
          <w:i w:val="0"/>
          <w:caps w:val="0"/>
          <w:smallCaps w:val="0"/>
          <w:color w:val="auto"/>
        </w:rPr>
        <w:t>废水来源及处理方式</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_Toc505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6.2.2 </w:t>
      </w:r>
      <w:r>
        <w:rPr>
          <w:rFonts w:hint="eastAsia"/>
          <w:b w:val="0"/>
          <w:i w:val="0"/>
          <w:caps w:val="0"/>
          <w:smallCaps w:val="0"/>
          <w:color w:val="auto"/>
        </w:rPr>
        <w:t>现有工程废水处理设施接纳</w:t>
      </w:r>
      <w:r>
        <w:rPr>
          <w:rFonts w:hint="eastAsia"/>
          <w:b w:val="0"/>
          <w:i w:val="0"/>
          <w:caps w:val="0"/>
          <w:smallCaps w:val="0"/>
          <w:color w:val="auto"/>
          <w:lang w:eastAsia="zh-CN"/>
        </w:rPr>
        <w:t>及处置</w:t>
      </w:r>
      <w:r>
        <w:rPr>
          <w:rFonts w:hint="eastAsia"/>
          <w:b w:val="0"/>
          <w:i w:val="0"/>
          <w:caps w:val="0"/>
          <w:smallCaps w:val="0"/>
          <w:color w:val="auto"/>
        </w:rPr>
        <w:t>可行性</w:t>
      </w:r>
      <w:r>
        <w:rPr>
          <w:b w:val="0"/>
          <w:i w:val="0"/>
          <w:caps w:val="0"/>
          <w:smallCaps w:val="0"/>
          <w:color w:val="auto"/>
        </w:rPr>
        <w:tab/>
      </w:r>
      <w:r>
        <w:rPr>
          <w:rFonts w:hint="eastAsia"/>
          <w:b w:val="0"/>
          <w:i w:val="0"/>
          <w:caps w:val="0"/>
          <w:smallCaps w:val="0"/>
          <w:color w:val="auto"/>
          <w:lang w:val="en-US" w:eastAsia="zh-CN"/>
        </w:rPr>
        <w:t>6</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_Toc1066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6.2.3 </w:t>
      </w:r>
      <w:r>
        <w:rPr>
          <w:rFonts w:hint="eastAsia"/>
          <w:b w:val="0"/>
          <w:i w:val="0"/>
          <w:caps w:val="0"/>
          <w:smallCaps w:val="0"/>
          <w:color w:val="auto"/>
        </w:rPr>
        <w:t>以新带老措施分析</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_Toc3369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6.3 </w:t>
      </w:r>
      <w:r>
        <w:rPr>
          <w:rFonts w:hint="eastAsia"/>
          <w:b w:val="0"/>
          <w:i w:val="0"/>
          <w:caps w:val="0"/>
          <w:smallCaps w:val="0"/>
          <w:color w:val="auto"/>
        </w:rPr>
        <w:t>地下水防治措施分析</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_Toc18983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6.3.1 源头控制措施</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_Toc14127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6.3.2 </w:t>
      </w:r>
      <w:r>
        <w:rPr>
          <w:rFonts w:hint="eastAsia"/>
          <w:b w:val="0"/>
          <w:i w:val="0"/>
          <w:caps w:val="0"/>
          <w:smallCaps w:val="0"/>
          <w:color w:val="auto"/>
        </w:rPr>
        <w:t>分区防护措施</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_Toc16450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6.3.3 </w:t>
      </w:r>
      <w:r>
        <w:rPr>
          <w:rFonts w:hint="eastAsia"/>
          <w:b w:val="0"/>
          <w:i w:val="0"/>
          <w:caps w:val="0"/>
          <w:smallCaps w:val="0"/>
          <w:color w:val="auto"/>
        </w:rPr>
        <w:t>地下水监测与管理</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_Toc16374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6.3.4 </w:t>
      </w:r>
      <w:r>
        <w:rPr>
          <w:rFonts w:hint="eastAsia"/>
          <w:b w:val="0"/>
          <w:i w:val="0"/>
          <w:caps w:val="0"/>
          <w:smallCaps w:val="0"/>
          <w:color w:val="auto"/>
        </w:rPr>
        <w:t>应急响应</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_Toc3527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6.4 </w:t>
      </w:r>
      <w:r>
        <w:rPr>
          <w:b w:val="0"/>
          <w:i w:val="0"/>
          <w:caps w:val="0"/>
          <w:smallCaps w:val="0"/>
          <w:color w:val="auto"/>
        </w:rPr>
        <w:t>噪声治理措施分析</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_Toc9341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6.5 </w:t>
      </w:r>
      <w:r>
        <w:rPr>
          <w:b w:val="0"/>
          <w:i w:val="0"/>
          <w:caps w:val="0"/>
          <w:smallCaps w:val="0"/>
          <w:color w:val="auto"/>
        </w:rPr>
        <w:t>固废处理措施分析</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_Toc27407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7 </w:t>
      </w:r>
      <w:r>
        <w:rPr>
          <w:b w:val="0"/>
          <w:i w:val="0"/>
          <w:caps w:val="0"/>
          <w:smallCaps w:val="0"/>
          <w:color w:val="auto"/>
        </w:rPr>
        <w:t>环境风险</w:t>
      </w:r>
      <w:r>
        <w:rPr>
          <w:rFonts w:hint="eastAsia"/>
          <w:b w:val="0"/>
          <w:i w:val="0"/>
          <w:caps w:val="0"/>
          <w:smallCaps w:val="0"/>
          <w:color w:val="auto"/>
          <w:lang w:eastAsia="zh-CN"/>
        </w:rPr>
        <w:t>分析及防控措施</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_Toc32664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7.1 </w:t>
      </w:r>
      <w:r>
        <w:rPr>
          <w:b w:val="0"/>
          <w:i w:val="0"/>
          <w:caps w:val="0"/>
          <w:smallCaps w:val="0"/>
          <w:color w:val="auto"/>
        </w:rPr>
        <w:t>评价目的</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_Toc5766 </w:instrText>
      </w:r>
      <w:r>
        <w:rPr>
          <w:rFonts w:eastAsia="宋体"/>
          <w:b w:val="0"/>
          <w:i w:val="0"/>
          <w:caps w:val="0"/>
          <w:smallCaps w:val="0"/>
          <w:color w:val="auto"/>
          <w:szCs w:val="24"/>
        </w:rPr>
        <w:fldChar w:fldCharType="separate"/>
      </w:r>
      <w:r>
        <w:rPr>
          <w:rFonts w:hint="eastAsia" w:cs="Times New Roman"/>
          <w:b w:val="0"/>
          <w:i w:val="0"/>
          <w:caps w:val="0"/>
          <w:smallCaps w:val="0"/>
          <w:color w:val="auto"/>
          <w:lang w:val="en-US" w:eastAsia="zh-CN"/>
        </w:rPr>
        <w:t xml:space="preserve">7.2 </w:t>
      </w:r>
      <w:r>
        <w:rPr>
          <w:rFonts w:ascii="Times New Roman" w:hAnsi="Times New Roman" w:cs="Times New Roman"/>
          <w:b w:val="0"/>
          <w:i w:val="0"/>
          <w:caps w:val="0"/>
          <w:smallCaps w:val="0"/>
          <w:color w:val="auto"/>
        </w:rPr>
        <w:t>预测模型筛选</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_Toc23990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7.3</w:t>
      </w:r>
      <w:r>
        <w:rPr>
          <w:rFonts w:hint="eastAsia"/>
          <w:b w:val="0"/>
          <w:i w:val="0"/>
          <w:caps w:val="0"/>
          <w:smallCaps w:val="0"/>
          <w:color w:val="auto"/>
        </w:rPr>
        <w:t>预测范围与计算点</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_Toc28914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7.4</w:t>
      </w:r>
      <w:r>
        <w:rPr>
          <w:rFonts w:hint="eastAsia"/>
          <w:b w:val="0"/>
          <w:i w:val="0"/>
          <w:caps w:val="0"/>
          <w:smallCaps w:val="0"/>
          <w:color w:val="auto"/>
        </w:rPr>
        <w:t>事故源参数</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_Toc12954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7.5</w:t>
      </w:r>
      <w:r>
        <w:rPr>
          <w:rFonts w:hint="eastAsia"/>
          <w:b w:val="0"/>
          <w:i w:val="0"/>
          <w:caps w:val="0"/>
          <w:smallCaps w:val="0"/>
          <w:color w:val="auto"/>
        </w:rPr>
        <w:t>气象参数</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_Toc7259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7.6</w:t>
      </w:r>
      <w:r>
        <w:rPr>
          <w:rFonts w:hint="eastAsia"/>
          <w:b w:val="0"/>
          <w:i w:val="0"/>
          <w:caps w:val="0"/>
          <w:smallCaps w:val="0"/>
          <w:color w:val="auto"/>
        </w:rPr>
        <w:t>大气毒性终点浓度值</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_Toc26456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7.7</w:t>
      </w:r>
      <w:r>
        <w:rPr>
          <w:rFonts w:hint="eastAsia"/>
          <w:b w:val="0"/>
          <w:i w:val="0"/>
          <w:caps w:val="0"/>
          <w:smallCaps w:val="0"/>
          <w:color w:val="auto"/>
        </w:rPr>
        <w:t>预测结果</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_Toc28751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7.7.1下风向不同距离处有毒有害物质的最大浓度</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_Toc20371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7.7.2预测小结</w:t>
      </w:r>
      <w:r>
        <w:rPr>
          <w:b w:val="0"/>
          <w:i w:val="0"/>
          <w:caps w:val="0"/>
          <w:smallCaps w:val="0"/>
          <w:color w:val="auto"/>
        </w:rPr>
        <w:tab/>
      </w:r>
      <w:r>
        <w:rPr>
          <w:rFonts w:hint="eastAsia"/>
          <w:b w:val="0"/>
          <w:i w:val="0"/>
          <w:caps w:val="0"/>
          <w:smallCaps w:val="0"/>
          <w:color w:val="auto"/>
          <w:lang w:val="en-US" w:eastAsia="zh-CN"/>
        </w:rPr>
        <w:t>7</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_Toc23423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7.8 环境风险防控措施</w:t>
      </w:r>
      <w:r>
        <w:rPr>
          <w:b w:val="0"/>
          <w:i w:val="0"/>
          <w:caps w:val="0"/>
          <w:smallCaps w:val="0"/>
          <w:color w:val="auto"/>
        </w:rPr>
        <w:tab/>
      </w:r>
      <w:r>
        <w:rPr>
          <w:rFonts w:hint="eastAsia"/>
          <w:b w:val="0"/>
          <w:i w:val="0"/>
          <w:caps w:val="0"/>
          <w:smallCaps w:val="0"/>
          <w:color w:val="auto"/>
          <w:lang w:val="en-US" w:eastAsia="zh-CN"/>
        </w:rPr>
        <w:t>8</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_Toc12804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7.8.1泄漏环境影响分析</w:t>
      </w:r>
      <w:r>
        <w:rPr>
          <w:b w:val="0"/>
          <w:i w:val="0"/>
          <w:caps w:val="0"/>
          <w:smallCaps w:val="0"/>
          <w:color w:val="auto"/>
        </w:rPr>
        <w:tab/>
      </w:r>
      <w:r>
        <w:rPr>
          <w:rFonts w:hint="eastAsia"/>
          <w:b w:val="0"/>
          <w:i w:val="0"/>
          <w:caps w:val="0"/>
          <w:smallCaps w:val="0"/>
          <w:color w:val="auto"/>
          <w:lang w:val="en-US" w:eastAsia="zh-CN"/>
        </w:rPr>
        <w:t>8</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_Toc6471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7.8.2</w:t>
      </w:r>
      <w:r>
        <w:rPr>
          <w:rFonts w:hint="eastAsia"/>
          <w:b w:val="0"/>
          <w:i w:val="0"/>
          <w:caps w:val="0"/>
          <w:smallCaps w:val="0"/>
          <w:color w:val="auto"/>
        </w:rPr>
        <w:t>风险管理及防范措施</w:t>
      </w:r>
      <w:r>
        <w:rPr>
          <w:b w:val="0"/>
          <w:i w:val="0"/>
          <w:caps w:val="0"/>
          <w:smallCaps w:val="0"/>
          <w:color w:val="auto"/>
        </w:rPr>
        <w:tab/>
      </w:r>
      <w:r>
        <w:rPr>
          <w:rFonts w:hint="eastAsia"/>
          <w:b w:val="0"/>
          <w:i w:val="0"/>
          <w:caps w:val="0"/>
          <w:smallCaps w:val="0"/>
          <w:color w:val="auto"/>
          <w:lang w:val="en-US" w:eastAsia="zh-CN"/>
        </w:rPr>
        <w:t>8</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_Toc22012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7.9 </w:t>
      </w:r>
      <w:r>
        <w:rPr>
          <w:b w:val="0"/>
          <w:i w:val="0"/>
          <w:caps w:val="0"/>
          <w:smallCaps w:val="0"/>
          <w:color w:val="auto"/>
        </w:rPr>
        <w:t>环境风险应急预案</w:t>
      </w:r>
      <w:r>
        <w:rPr>
          <w:b w:val="0"/>
          <w:i w:val="0"/>
          <w:caps w:val="0"/>
          <w:smallCaps w:val="0"/>
          <w:color w:val="auto"/>
        </w:rPr>
        <w:tab/>
      </w:r>
      <w:r>
        <w:rPr>
          <w:rFonts w:hint="eastAsia"/>
          <w:b w:val="0"/>
          <w:i w:val="0"/>
          <w:caps w:val="0"/>
          <w:smallCaps w:val="0"/>
          <w:color w:val="auto"/>
          <w:lang w:val="en-US" w:eastAsia="zh-CN"/>
        </w:rPr>
        <w:t>8</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_Toc28557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7.10 </w:t>
      </w:r>
      <w:r>
        <w:rPr>
          <w:b w:val="0"/>
          <w:i w:val="0"/>
          <w:caps w:val="0"/>
          <w:smallCaps w:val="0"/>
          <w:color w:val="auto"/>
        </w:rPr>
        <w:t>风险评价结论</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_Toc32315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8 </w:t>
      </w:r>
      <w:r>
        <w:rPr>
          <w:b w:val="0"/>
          <w:i w:val="0"/>
          <w:caps w:val="0"/>
          <w:smallCaps w:val="0"/>
          <w:color w:val="auto"/>
        </w:rPr>
        <w:t>环境经济损益分析</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_Toc8383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8.1 </w:t>
      </w:r>
      <w:r>
        <w:rPr>
          <w:b w:val="0"/>
          <w:i w:val="0"/>
          <w:caps w:val="0"/>
          <w:smallCaps w:val="0"/>
          <w:color w:val="auto"/>
        </w:rPr>
        <w:t>环境影响经济损益分析</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_Toc27513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8.2 </w:t>
      </w:r>
      <w:r>
        <w:rPr>
          <w:rFonts w:hint="eastAsia"/>
          <w:b w:val="0"/>
          <w:i w:val="0"/>
          <w:caps w:val="0"/>
          <w:smallCaps w:val="0"/>
          <w:color w:val="auto"/>
          <w:lang w:val="zh-CN" w:eastAsia="zh-CN"/>
        </w:rPr>
        <w:t>环保投资估算</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_Toc23215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8.3</w:t>
      </w:r>
      <w:r>
        <w:rPr>
          <w:rFonts w:hint="eastAsia"/>
          <w:b w:val="0"/>
          <w:i w:val="0"/>
          <w:caps w:val="0"/>
          <w:smallCaps w:val="0"/>
          <w:color w:val="auto"/>
          <w:lang w:val="zh-CN" w:eastAsia="zh-CN"/>
        </w:rPr>
        <w:t>环境保护效益分析</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1</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_Toc11341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8.4</w:t>
      </w:r>
      <w:r>
        <w:rPr>
          <w:rFonts w:hint="eastAsia"/>
          <w:b w:val="0"/>
          <w:i w:val="0"/>
          <w:caps w:val="0"/>
          <w:smallCaps w:val="0"/>
          <w:color w:val="auto"/>
          <w:lang w:val="zh-CN" w:eastAsia="zh-CN"/>
        </w:rPr>
        <w:t>工程经济效益与社会效益分析</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_Toc29021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8.5</w:t>
      </w:r>
      <w:r>
        <w:rPr>
          <w:rFonts w:hint="eastAsia"/>
          <w:b w:val="0"/>
          <w:i w:val="0"/>
          <w:caps w:val="0"/>
          <w:smallCaps w:val="0"/>
          <w:color w:val="auto"/>
          <w:lang w:val="zh-CN" w:eastAsia="zh-CN"/>
        </w:rPr>
        <w:t>环境经济损益分析小结</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2</w:t>
      </w:r>
    </w:p>
    <w:p>
      <w:pPr>
        <w:pStyle w:val="34"/>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_Toc28002 </w:instrText>
      </w:r>
      <w:r>
        <w:rPr>
          <w:rFonts w:eastAsia="宋体"/>
          <w:b w:val="0"/>
          <w:i w:val="0"/>
          <w:caps w:val="0"/>
          <w:smallCaps w:val="0"/>
          <w:color w:val="auto"/>
          <w:szCs w:val="24"/>
        </w:rPr>
        <w:fldChar w:fldCharType="separate"/>
      </w:r>
      <w:r>
        <w:rPr>
          <w:rFonts w:hint="eastAsia"/>
          <w:b w:val="0"/>
          <w:i w:val="0"/>
          <w:caps w:val="0"/>
          <w:smallCaps w:val="0"/>
          <w:color w:val="auto"/>
        </w:rPr>
        <w:t>9</w:t>
      </w:r>
      <w:r>
        <w:rPr>
          <w:b w:val="0"/>
          <w:i w:val="0"/>
          <w:caps w:val="0"/>
          <w:smallCaps w:val="0"/>
          <w:color w:val="auto"/>
        </w:rPr>
        <w:t xml:space="preserve"> 环境管理与监测计划</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_Toc27878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9.1 </w:t>
      </w:r>
      <w:r>
        <w:rPr>
          <w:b w:val="0"/>
          <w:i w:val="0"/>
          <w:caps w:val="0"/>
          <w:smallCaps w:val="0"/>
          <w:color w:val="auto"/>
        </w:rPr>
        <w:t>环境保护管理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_Toc21514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9.1.1 </w:t>
      </w:r>
      <w:r>
        <w:rPr>
          <w:b w:val="0"/>
          <w:i w:val="0"/>
          <w:caps w:val="0"/>
          <w:smallCaps w:val="0"/>
          <w:color w:val="auto"/>
        </w:rPr>
        <w:t>环保管理机构的设置</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3</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_Toc27711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9.1.2 </w:t>
      </w:r>
      <w:r>
        <w:rPr>
          <w:b w:val="0"/>
          <w:i w:val="0"/>
          <w:caps w:val="0"/>
          <w:smallCaps w:val="0"/>
          <w:color w:val="auto"/>
        </w:rPr>
        <w:t>环保管理机构职责</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_Toc32434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9.2 施工期的环境管理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4</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_Toc10842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9.3 施工期的环境监理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_Toc25035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9.3</w:t>
      </w:r>
      <w:r>
        <w:rPr>
          <w:rFonts w:hint="eastAsia"/>
          <w:b w:val="0"/>
          <w:i w:val="0"/>
          <w:caps w:val="0"/>
          <w:smallCaps w:val="0"/>
          <w:color w:val="auto"/>
        </w:rPr>
        <w:t>.1</w:t>
      </w:r>
      <w:r>
        <w:rPr>
          <w:b w:val="0"/>
          <w:i w:val="0"/>
          <w:caps w:val="0"/>
          <w:smallCaps w:val="0"/>
          <w:color w:val="auto"/>
        </w:rPr>
        <w:t xml:space="preserve"> 环境监理目标</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_Toc8684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9.3.2 环境监理内容</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5</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_Toc27631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9.3.3 环境监理的实施</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_Toc1202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9.4 </w:t>
      </w:r>
      <w:r>
        <w:rPr>
          <w:b w:val="0"/>
          <w:i w:val="0"/>
          <w:caps w:val="0"/>
          <w:smallCaps w:val="0"/>
          <w:color w:val="auto"/>
        </w:rPr>
        <w:t>污染物排放管理要求</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_Toc6026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9.4.1 </w:t>
      </w:r>
      <w:r>
        <w:rPr>
          <w:b w:val="0"/>
          <w:i w:val="0"/>
          <w:caps w:val="0"/>
          <w:smallCaps w:val="0"/>
          <w:color w:val="auto"/>
        </w:rPr>
        <w:t>环保措施要求</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_Toc29067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9.4.2</w:t>
      </w:r>
      <w:r>
        <w:rPr>
          <w:b w:val="0"/>
          <w:i w:val="0"/>
          <w:caps w:val="0"/>
          <w:smallCaps w:val="0"/>
          <w:color w:val="auto"/>
        </w:rPr>
        <w:t>污染物总量控制指标分析</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6</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_Toc28184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9.5 排污许可证制度</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_Toc21042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9.6 排污口规范化管理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_Toc27730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9.6.1 排污口规范化管理的基本原则</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7</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_Toc3995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9.6.2 排污口的技术要求</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_Toc16880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9.6.3 排污口立标管理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_Toc17105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9.6.4 污口建档管理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_Toc29506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9.7 </w:t>
      </w:r>
      <w:r>
        <w:rPr>
          <w:b w:val="0"/>
          <w:i w:val="0"/>
          <w:caps w:val="0"/>
          <w:smallCaps w:val="0"/>
          <w:color w:val="auto"/>
        </w:rPr>
        <w:t>环境监控机构设置</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8</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_Toc6310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9.7.1 </w:t>
      </w:r>
      <w:r>
        <w:rPr>
          <w:b w:val="0"/>
          <w:i w:val="0"/>
          <w:caps w:val="0"/>
          <w:smallCaps w:val="0"/>
          <w:color w:val="auto"/>
        </w:rPr>
        <w:t>监测计划</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26"/>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_Toc21639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9.7.2 </w:t>
      </w:r>
      <w:r>
        <w:rPr>
          <w:b w:val="0"/>
          <w:i w:val="0"/>
          <w:caps w:val="0"/>
          <w:smallCaps w:val="0"/>
          <w:color w:val="auto"/>
        </w:rPr>
        <w:t>监测数据管理</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39"/>
        <w:tabs>
          <w:tab w:val="right" w:leader="dot" w:pos="8902"/>
        </w:tabs>
        <w:rPr>
          <w:rFonts w:hint="eastAsia"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_Toc27692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9.8 </w:t>
      </w:r>
      <w:r>
        <w:rPr>
          <w:b w:val="0"/>
          <w:i w:val="0"/>
          <w:caps w:val="0"/>
          <w:smallCaps w:val="0"/>
          <w:color w:val="auto"/>
        </w:rPr>
        <w:t>环保设施验收监测</w:t>
      </w:r>
      <w:r>
        <w:rPr>
          <w:b w:val="0"/>
          <w:i w:val="0"/>
          <w:caps w:val="0"/>
          <w:smallCaps w:val="0"/>
          <w:color w:val="auto"/>
        </w:rPr>
        <w:tab/>
      </w:r>
      <w:r>
        <w:rPr>
          <w:rFonts w:hint="eastAsia"/>
          <w:b w:val="0"/>
          <w:i w:val="0"/>
          <w:caps w:val="0"/>
          <w:smallCaps w:val="0"/>
          <w:color w:val="auto"/>
          <w:lang w:val="en-US" w:eastAsia="zh-CN"/>
        </w:rPr>
        <w:t>9</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9</w:t>
      </w:r>
    </w:p>
    <w:p>
      <w:pPr>
        <w:pStyle w:val="34"/>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_Toc5393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 </w:t>
      </w:r>
      <w:r>
        <w:rPr>
          <w:b w:val="0"/>
          <w:i w:val="0"/>
          <w:caps w:val="0"/>
          <w:smallCaps w:val="0"/>
          <w:color w:val="auto"/>
        </w:rPr>
        <w:t>环境影响评价结论</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01</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_Toc5584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10.1 </w:t>
      </w:r>
      <w:r>
        <w:rPr>
          <w:b w:val="0"/>
          <w:i w:val="0"/>
          <w:caps w:val="0"/>
          <w:smallCaps w:val="0"/>
          <w:color w:val="auto"/>
        </w:rPr>
        <w:t>项目概况</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01</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_Toc121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10.2 </w:t>
      </w:r>
      <w:r>
        <w:rPr>
          <w:b w:val="0"/>
          <w:i w:val="0"/>
          <w:caps w:val="0"/>
          <w:smallCaps w:val="0"/>
          <w:color w:val="auto"/>
        </w:rPr>
        <w:t>环境质量现状</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01</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_Toc7228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10.3 </w:t>
      </w:r>
      <w:r>
        <w:rPr>
          <w:b w:val="0"/>
          <w:i w:val="0"/>
          <w:caps w:val="0"/>
          <w:smallCaps w:val="0"/>
          <w:color w:val="auto"/>
        </w:rPr>
        <w:t>主要环境影响</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01</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_Toc3688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10.4 </w:t>
      </w:r>
      <w:r>
        <w:rPr>
          <w:b w:val="0"/>
          <w:i w:val="0"/>
          <w:caps w:val="0"/>
          <w:smallCaps w:val="0"/>
          <w:color w:val="auto"/>
        </w:rPr>
        <w:t>公众参与</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02</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_Toc7543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10.5 环境保护措施</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03</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_Toc24006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10.6 </w:t>
      </w:r>
      <w:r>
        <w:rPr>
          <w:b w:val="0"/>
          <w:i w:val="0"/>
          <w:caps w:val="0"/>
          <w:smallCaps w:val="0"/>
          <w:color w:val="auto"/>
        </w:rPr>
        <w:t>环境影响经济损益分析结论</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03</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_Toc14809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10.7 </w:t>
      </w:r>
      <w:r>
        <w:rPr>
          <w:b w:val="0"/>
          <w:i w:val="0"/>
          <w:caps w:val="0"/>
          <w:smallCaps w:val="0"/>
          <w:color w:val="auto"/>
        </w:rPr>
        <w:t>环境管理与监测计划</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04</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_Toc24143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 xml:space="preserve">10.8 </w:t>
      </w:r>
      <w:r>
        <w:rPr>
          <w:b w:val="0"/>
          <w:i w:val="0"/>
          <w:caps w:val="0"/>
          <w:smallCaps w:val="0"/>
          <w:color w:val="auto"/>
        </w:rPr>
        <w:t>总结论</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04</w:t>
      </w:r>
    </w:p>
    <w:p>
      <w:pPr>
        <w:pStyle w:val="39"/>
        <w:tabs>
          <w:tab w:val="right" w:leader="dot" w:pos="8902"/>
        </w:tabs>
        <w:rPr>
          <w:rFonts w:hint="default" w:eastAsia="宋体"/>
          <w:b w:val="0"/>
          <w:i w:val="0"/>
          <w:caps w:val="0"/>
          <w:smallCaps w:val="0"/>
          <w:color w:val="auto"/>
          <w:lang w:val="en-US" w:eastAsia="zh-CN"/>
        </w:rPr>
      </w:pPr>
      <w:r>
        <w:rPr>
          <w:rFonts w:eastAsia="宋体"/>
          <w:b w:val="0"/>
          <w:i w:val="0"/>
          <w:caps w:val="0"/>
          <w:smallCaps w:val="0"/>
          <w:color w:val="auto"/>
          <w:szCs w:val="24"/>
        </w:rPr>
        <w:fldChar w:fldCharType="begin"/>
      </w:r>
      <w:r>
        <w:rPr>
          <w:rFonts w:eastAsia="宋体"/>
          <w:b w:val="0"/>
          <w:i w:val="0"/>
          <w:caps w:val="0"/>
          <w:smallCaps w:val="0"/>
          <w:color w:val="auto"/>
          <w:szCs w:val="24"/>
        </w:rPr>
        <w:instrText xml:space="preserve"> HYPERLINK \l _Toc22478 </w:instrText>
      </w:r>
      <w:r>
        <w:rPr>
          <w:rFonts w:eastAsia="宋体"/>
          <w:b w:val="0"/>
          <w:i w:val="0"/>
          <w:caps w:val="0"/>
          <w:smallCaps w:val="0"/>
          <w:color w:val="auto"/>
          <w:szCs w:val="24"/>
        </w:rPr>
        <w:fldChar w:fldCharType="separate"/>
      </w:r>
      <w:r>
        <w:rPr>
          <w:rFonts w:hint="eastAsia"/>
          <w:b w:val="0"/>
          <w:i w:val="0"/>
          <w:caps w:val="0"/>
          <w:smallCaps w:val="0"/>
          <w:color w:val="auto"/>
          <w:lang w:val="en-US" w:eastAsia="zh-CN"/>
        </w:rPr>
        <w:t>10.9 建议</w:t>
      </w:r>
      <w:r>
        <w:rPr>
          <w:b w:val="0"/>
          <w:i w:val="0"/>
          <w:caps w:val="0"/>
          <w:smallCaps w:val="0"/>
          <w:color w:val="auto"/>
        </w:rPr>
        <w:tab/>
      </w:r>
      <w:r>
        <w:rPr>
          <w:rFonts w:hint="eastAsia"/>
          <w:b w:val="0"/>
          <w:i w:val="0"/>
          <w:caps w:val="0"/>
          <w:smallCaps w:val="0"/>
          <w:color w:val="auto"/>
          <w:lang w:val="en-US" w:eastAsia="zh-CN"/>
        </w:rPr>
        <w:t>1</w:t>
      </w:r>
      <w:r>
        <w:rPr>
          <w:rFonts w:eastAsia="宋体"/>
          <w:b w:val="0"/>
          <w:i w:val="0"/>
          <w:caps w:val="0"/>
          <w:smallCaps w:val="0"/>
          <w:color w:val="auto"/>
          <w:szCs w:val="24"/>
        </w:rPr>
        <w:fldChar w:fldCharType="end"/>
      </w:r>
      <w:r>
        <w:rPr>
          <w:rFonts w:hint="eastAsia"/>
          <w:b w:val="0"/>
          <w:i w:val="0"/>
          <w:caps w:val="0"/>
          <w:smallCaps w:val="0"/>
          <w:color w:val="auto"/>
          <w:szCs w:val="24"/>
          <w:lang w:val="en-US" w:eastAsia="zh-CN"/>
        </w:rPr>
        <w:t>04</w:t>
      </w:r>
    </w:p>
    <w:p>
      <w:pPr>
        <w:pStyle w:val="34"/>
        <w:snapToGrid w:val="0"/>
        <w:spacing w:before="0" w:after="0" w:line="340" w:lineRule="atLeast"/>
        <w:rPr>
          <w:b w:val="0"/>
          <w:caps w:val="0"/>
          <w:color w:val="auto"/>
          <w:sz w:val="24"/>
          <w:szCs w:val="24"/>
        </w:rPr>
      </w:pPr>
      <w:r>
        <w:rPr>
          <w:rFonts w:eastAsia="宋体"/>
          <w:b w:val="0"/>
          <w:i w:val="0"/>
          <w:caps w:val="0"/>
          <w:smallCaps w:val="0"/>
          <w:color w:val="auto"/>
          <w:szCs w:val="24"/>
        </w:rPr>
        <w:fldChar w:fldCharType="end"/>
      </w:r>
    </w:p>
    <w:p>
      <w:pPr>
        <w:pStyle w:val="5"/>
        <w:spacing w:line="340" w:lineRule="atLeast"/>
        <w:ind w:firstLine="0" w:firstLineChars="0"/>
        <w:rPr>
          <w:b/>
          <w:snapToGrid w:val="0"/>
          <w:color w:val="auto"/>
          <w:szCs w:val="24"/>
        </w:rPr>
      </w:pPr>
    </w:p>
    <w:p>
      <w:pPr>
        <w:spacing w:line="360" w:lineRule="auto"/>
        <w:rPr>
          <w:rFonts w:ascii="Times New Roman" w:hAnsi="Times New Roman" w:cs="Times New Roman"/>
          <w:color w:val="auto"/>
          <w:sz w:val="24"/>
          <w:szCs w:val="24"/>
        </w:rPr>
        <w:sectPr>
          <w:footerReference r:id="rId10" w:type="default"/>
          <w:pgSz w:w="11907" w:h="16840"/>
          <w:pgMar w:top="1474" w:right="1531" w:bottom="1418" w:left="1474" w:header="284" w:footer="851" w:gutter="0"/>
          <w:pgNumType w:fmt="decimal"/>
          <w:cols w:space="720" w:num="1"/>
          <w:docGrid w:linePitch="312" w:charSpace="0"/>
        </w:sectPr>
      </w:pP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一、附图：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附图 1 项目地理位置图；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附图 2 项目四周图及现状照片；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附图 3 环境</w:t>
      </w:r>
      <w:r>
        <w:rPr>
          <w:rFonts w:hint="eastAsia" w:ascii="Times New Roman" w:hAnsi="Times New Roman" w:cs="Times New Roman"/>
          <w:color w:val="auto"/>
          <w:sz w:val="24"/>
          <w:szCs w:val="24"/>
          <w:lang w:eastAsia="zh-CN"/>
        </w:rPr>
        <w:t>噪声</w:t>
      </w:r>
      <w:r>
        <w:rPr>
          <w:rFonts w:ascii="Times New Roman" w:hAnsi="Times New Roman" w:cs="Times New Roman"/>
          <w:color w:val="auto"/>
          <w:sz w:val="24"/>
          <w:szCs w:val="24"/>
        </w:rPr>
        <w:t xml:space="preserve">监测点位图；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附图 4 引用项目监测布点与本项目位置关系示意图；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附图 5 项目</w:t>
      </w:r>
      <w:r>
        <w:rPr>
          <w:rFonts w:hint="eastAsia" w:ascii="Times New Roman" w:hAnsi="Times New Roman" w:cs="Times New Roman"/>
          <w:color w:val="auto"/>
          <w:sz w:val="24"/>
          <w:szCs w:val="24"/>
          <w:lang w:eastAsia="zh-CN"/>
        </w:rPr>
        <w:t>环保目标</w:t>
      </w:r>
      <w:r>
        <w:rPr>
          <w:rFonts w:ascii="Times New Roman" w:hAnsi="Times New Roman" w:cs="Times New Roman"/>
          <w:color w:val="auto"/>
          <w:sz w:val="24"/>
          <w:szCs w:val="24"/>
        </w:rPr>
        <w:t xml:space="preserve">分布图； </w:t>
      </w:r>
    </w:p>
    <w:p>
      <w:pPr>
        <w:spacing w:line="360" w:lineRule="auto"/>
        <w:rPr>
          <w:rFonts w:hint="eastAsia" w:ascii="Times New Roman" w:hAnsi="Times New Roman" w:eastAsia="宋体" w:cs="Times New Roman"/>
          <w:color w:val="auto"/>
          <w:sz w:val="24"/>
          <w:szCs w:val="24"/>
          <w:lang w:eastAsia="zh-CN"/>
        </w:rPr>
      </w:pPr>
      <w:r>
        <w:rPr>
          <w:rFonts w:ascii="Times New Roman" w:hAnsi="Times New Roman" w:cs="Times New Roman"/>
          <w:color w:val="auto"/>
          <w:sz w:val="24"/>
          <w:szCs w:val="24"/>
        </w:rPr>
        <w:t>附图 6 项目总平面布置图</w:t>
      </w:r>
      <w:r>
        <w:rPr>
          <w:rFonts w:hint="eastAsia" w:ascii="Times New Roman" w:hAnsi="Times New Roman" w:cs="Times New Roman"/>
          <w:color w:val="auto"/>
          <w:sz w:val="24"/>
          <w:szCs w:val="24"/>
          <w:lang w:eastAsia="zh-CN"/>
        </w:rPr>
        <w:t>。</w:t>
      </w:r>
    </w:p>
    <w:p>
      <w:pPr>
        <w:spacing w:line="360" w:lineRule="auto"/>
        <w:rPr>
          <w:rFonts w:ascii="Times New Roman" w:hAnsi="Times New Roman" w:cs="Times New Roman"/>
          <w:color w:val="auto"/>
          <w:sz w:val="24"/>
          <w:szCs w:val="24"/>
        </w:rPr>
      </w:pP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二、附件：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附件 1 环评委托书；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附件 2 评价标准执行函；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附件 3 环境现状监测质保单； </w:t>
      </w:r>
    </w:p>
    <w:p>
      <w:pPr>
        <w:spacing w:line="360" w:lineRule="auto"/>
        <w:rPr>
          <w:rFonts w:hint="eastAsia" w:ascii="Times New Roman" w:hAnsi="Times New Roman" w:cs="Times New Roman"/>
          <w:color w:val="auto"/>
          <w:sz w:val="24"/>
          <w:szCs w:val="24"/>
          <w:lang w:eastAsia="zh-CN"/>
        </w:rPr>
      </w:pPr>
      <w:r>
        <w:rPr>
          <w:rFonts w:ascii="Times New Roman" w:hAnsi="Times New Roman" w:cs="Times New Roman"/>
          <w:color w:val="auto"/>
          <w:sz w:val="24"/>
          <w:szCs w:val="24"/>
        </w:rPr>
        <w:t>附件 4 中国石化股份有限公司长岭分公司油品质量升级改扩建项目竣工验收</w:t>
      </w:r>
      <w:r>
        <w:rPr>
          <w:rFonts w:hint="eastAsia" w:ascii="Times New Roman" w:hAnsi="Times New Roman" w:cs="Times New Roman"/>
          <w:color w:val="auto"/>
          <w:sz w:val="24"/>
          <w:szCs w:val="24"/>
          <w:lang w:eastAsia="zh-CN"/>
        </w:rPr>
        <w:t>批复；</w:t>
      </w:r>
    </w:p>
    <w:p>
      <w:pPr>
        <w:pStyle w:val="2"/>
        <w:ind w:left="0" w:leftChars="0" w:firstLine="0" w:firstLineChars="0"/>
        <w:rPr>
          <w:rFonts w:hint="eastAsia" w:cs="Times New Roman"/>
          <w:color w:val="auto"/>
          <w:spacing w:val="0"/>
          <w:kern w:val="2"/>
          <w:sz w:val="24"/>
          <w:szCs w:val="24"/>
          <w:lang w:val="en-US" w:eastAsia="zh-CN" w:bidi="ar-SA"/>
        </w:rPr>
      </w:pPr>
      <w:r>
        <w:rPr>
          <w:rFonts w:hint="eastAsia" w:ascii="Times New Roman" w:hAnsi="Times New Roman" w:eastAsia="宋体" w:cs="Times New Roman"/>
          <w:color w:val="auto"/>
          <w:spacing w:val="0"/>
          <w:kern w:val="2"/>
          <w:sz w:val="24"/>
          <w:szCs w:val="24"/>
          <w:lang w:val="en-US" w:eastAsia="zh-CN" w:bidi="ar-SA"/>
        </w:rPr>
        <w:t>附件5</w:t>
      </w:r>
      <w:r>
        <w:rPr>
          <w:rFonts w:hint="eastAsia" w:cs="Times New Roman"/>
          <w:color w:val="auto"/>
          <w:spacing w:val="0"/>
          <w:kern w:val="2"/>
          <w:sz w:val="24"/>
          <w:szCs w:val="24"/>
          <w:lang w:val="en-US" w:eastAsia="zh-CN" w:bidi="ar-SA"/>
        </w:rPr>
        <w:t>　液化气站环评批复</w:t>
      </w:r>
    </w:p>
    <w:p>
      <w:pPr>
        <w:pStyle w:val="2"/>
        <w:ind w:left="0" w:leftChars="0" w:firstLine="0" w:firstLineChars="0"/>
        <w:rPr>
          <w:rFonts w:hint="eastAsia" w:cs="Times New Roman"/>
          <w:color w:val="auto"/>
          <w:spacing w:val="0"/>
          <w:kern w:val="2"/>
          <w:sz w:val="24"/>
          <w:szCs w:val="24"/>
          <w:lang w:val="en-US" w:eastAsia="zh-CN" w:bidi="ar-SA"/>
        </w:rPr>
      </w:pPr>
      <w:r>
        <w:rPr>
          <w:rFonts w:hint="eastAsia" w:cs="Times New Roman"/>
          <w:color w:val="auto"/>
          <w:spacing w:val="0"/>
          <w:kern w:val="2"/>
          <w:sz w:val="24"/>
          <w:szCs w:val="24"/>
          <w:lang w:val="en-US" w:eastAsia="zh-CN" w:bidi="ar-SA"/>
        </w:rPr>
        <w:t>附件6　液化气站安评批复</w:t>
      </w:r>
    </w:p>
    <w:p>
      <w:pPr>
        <w:pStyle w:val="2"/>
        <w:ind w:left="0" w:leftChars="0" w:firstLine="0" w:firstLineChars="0"/>
        <w:rPr>
          <w:rFonts w:hint="default" w:eastAsia="宋体" w:cs="Times New Roman"/>
          <w:color w:val="auto"/>
          <w:spacing w:val="0"/>
          <w:kern w:val="2"/>
          <w:sz w:val="24"/>
          <w:szCs w:val="24"/>
          <w:lang w:val="en-US" w:eastAsia="zh-CN" w:bidi="ar-SA"/>
        </w:rPr>
      </w:pPr>
      <w:r>
        <w:rPr>
          <w:rFonts w:hint="eastAsia" w:cs="Times New Roman"/>
          <w:color w:val="auto"/>
          <w:spacing w:val="0"/>
          <w:kern w:val="2"/>
          <w:sz w:val="24"/>
          <w:szCs w:val="24"/>
          <w:lang w:val="en-US" w:eastAsia="zh-CN" w:bidi="ar-SA"/>
        </w:rPr>
        <w:t>附件7  专家意见及签名</w:t>
      </w:r>
    </w:p>
    <w:p>
      <w:pPr>
        <w:spacing w:line="360" w:lineRule="auto"/>
        <w:rPr>
          <w:rFonts w:ascii="Times New Roman" w:hAnsi="Times New Roman" w:cs="Times New Roman"/>
          <w:color w:val="auto"/>
          <w:sz w:val="24"/>
          <w:szCs w:val="24"/>
        </w:rPr>
      </w:pP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三、附表： </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附表1　大气环境影响自查表；</w:t>
      </w:r>
    </w:p>
    <w:p>
      <w:pPr>
        <w:pStyle w:val="2"/>
        <w:ind w:left="0" w:leftChars="0" w:firstLine="0" w:firstLineChars="0"/>
        <w:rPr>
          <w:rFonts w:hint="default" w:eastAsia="宋体"/>
          <w:lang w:val="en-US" w:eastAsia="zh-CN"/>
        </w:rPr>
      </w:pPr>
      <w:r>
        <w:rPr>
          <w:rFonts w:hint="eastAsia" w:cs="Times New Roman"/>
          <w:color w:val="auto"/>
          <w:sz w:val="24"/>
          <w:szCs w:val="24"/>
          <w:lang w:eastAsia="zh-CN"/>
        </w:rPr>
        <w:t>附表</w:t>
      </w:r>
      <w:r>
        <w:rPr>
          <w:rFonts w:hint="eastAsia" w:cs="Times New Roman"/>
          <w:color w:val="auto"/>
          <w:sz w:val="24"/>
          <w:szCs w:val="24"/>
          <w:lang w:val="en-US" w:eastAsia="zh-CN"/>
        </w:rPr>
        <w:t>2  风险评价自查表</w:t>
      </w:r>
    </w:p>
    <w:p>
      <w:pPr>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附表</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　</w:t>
      </w:r>
      <w:r>
        <w:rPr>
          <w:rFonts w:hint="eastAsia" w:ascii="Times New Roman" w:hAnsi="Times New Roman" w:cs="Times New Roman"/>
          <w:color w:val="auto"/>
          <w:sz w:val="24"/>
          <w:szCs w:val="24"/>
          <w:lang w:val="en-US" w:eastAsia="zh-CN"/>
        </w:rPr>
        <w:t>建设项目环评审批基础信息表</w:t>
      </w:r>
    </w:p>
    <w:p>
      <w:pPr>
        <w:pStyle w:val="2"/>
        <w:ind w:left="0" w:leftChars="0" w:firstLine="0" w:firstLineChars="0"/>
        <w:rPr>
          <w:rFonts w:ascii="Times New Roman" w:hAnsi="Times New Roman" w:cs="Times New Roman"/>
          <w:color w:val="auto"/>
          <w:sz w:val="24"/>
          <w:szCs w:val="24"/>
        </w:rPr>
        <w:sectPr>
          <w:footerReference r:id="rId11" w:type="default"/>
          <w:pgSz w:w="11907" w:h="16840"/>
          <w:pgMar w:top="1474" w:right="1531" w:bottom="1418" w:left="1474" w:header="284" w:footer="851" w:gutter="0"/>
          <w:pgNumType w:fmt="decimal"/>
          <w:cols w:space="720" w:num="1"/>
          <w:docGrid w:linePitch="312" w:charSpace="0"/>
        </w:sectPr>
      </w:pPr>
    </w:p>
    <w:p>
      <w:pPr>
        <w:jc w:val="center"/>
        <w:outlineLvl w:val="0"/>
        <w:rPr>
          <w:rFonts w:ascii="Times New Roman" w:hAnsi="Times New Roman" w:cs="Times New Roman"/>
          <w:b/>
          <w:sz w:val="32"/>
          <w:szCs w:val="32"/>
        </w:rPr>
      </w:pPr>
      <w:bookmarkStart w:id="1" w:name="_Toc23799"/>
      <w:r>
        <w:rPr>
          <w:rFonts w:ascii="Times New Roman" w:hAnsi="Times New Roman" w:cs="Times New Roman"/>
          <w:b/>
          <w:sz w:val="32"/>
          <w:szCs w:val="32"/>
        </w:rPr>
        <w:t>概　述</w:t>
      </w:r>
      <w:bookmarkEnd w:id="1"/>
    </w:p>
    <w:p>
      <w:pPr>
        <w:spacing w:line="360" w:lineRule="auto"/>
        <w:rPr>
          <w:rFonts w:ascii="Times New Roman" w:hAnsi="Times New Roman" w:cs="Times New Roman"/>
          <w:b/>
          <w:sz w:val="28"/>
          <w:szCs w:val="28"/>
        </w:rPr>
      </w:pPr>
      <w:r>
        <w:rPr>
          <w:rFonts w:ascii="Times New Roman" w:hAnsi="Times New Roman" w:cs="Times New Roman"/>
          <w:b/>
          <w:sz w:val="28"/>
          <w:szCs w:val="28"/>
        </w:rPr>
        <w:t>1、项目由来</w:t>
      </w:r>
    </w:p>
    <w:p>
      <w:pPr>
        <w:autoSpaceDE w:val="0"/>
        <w:autoSpaceDN w:val="0"/>
        <w:spacing w:line="360" w:lineRule="auto"/>
        <w:ind w:firstLine="480" w:firstLineChars="200"/>
        <w:rPr>
          <w:rFonts w:ascii="Times New Roman" w:hAnsi="Times New Roman" w:cs="Times New Roman"/>
          <w:sz w:val="24"/>
        </w:rPr>
      </w:pPr>
      <w:r>
        <w:rPr>
          <w:rFonts w:ascii="Times New Roman" w:hAnsi="Times New Roman" w:cs="Times New Roman"/>
          <w:sz w:val="24"/>
        </w:rPr>
        <w:t>中国石油化工股份有限公司长岭分公司（以下简称长岭分公司）是中国石油化工股份有限公司直属国有大型工业企业，位于岳阳市云溪区（地理位置见附图 1），占地面积 8.4 平方公里。2010 年长岭分公司实施了800万吨/年油品质量升级改扩建项目，2016年2月800万吨/年油品质量升级改扩建项目已建成并通过竣工验收，公司现拥有近30套炼油化工装置，是中南地区重要的石油化工产业基地。</w:t>
      </w:r>
    </w:p>
    <w:p>
      <w:pPr>
        <w:autoSpaceDE w:val="0"/>
        <w:autoSpaceDN w:val="0"/>
        <w:spacing w:line="360" w:lineRule="auto"/>
        <w:ind w:firstLine="480" w:firstLineChars="200"/>
        <w:rPr>
          <w:rFonts w:ascii="Times New Roman" w:hAnsi="Times New Roman" w:cs="Times New Roman"/>
          <w:sz w:val="24"/>
        </w:rPr>
      </w:pPr>
      <w:r>
        <w:rPr>
          <w:rFonts w:ascii="Times New Roman" w:hAnsi="Times New Roman" w:cs="Times New Roman"/>
          <w:sz w:val="24"/>
        </w:rPr>
        <w:t>公司现有液氨装车位于炼油一部污水汽提装置区，公司炼油二部加氢污水汽提所产液氨通过管道送到此处，与炼油一部污水汽提装置所产液氨一起装车外售。因公司炼油一部污水汽提装置位于公司炼油生产区的东北角，公司厂大门位于西边，液氨车辆装车后需横穿炼油装置区方能出厂大门。2016年，在总部安全大检查时，指出了这一重大安全隐患，必须进行治理。因此，公司计划将液氨装车外委公司改制单位岳阳兴长集团公司，由岳阳兴长集团公司</w:t>
      </w:r>
      <w:r>
        <w:rPr>
          <w:rFonts w:hint="eastAsia" w:ascii="Times New Roman" w:hAnsi="Times New Roman" w:cs="Times New Roman"/>
          <w:sz w:val="24"/>
          <w:lang w:eastAsia="zh-CN"/>
        </w:rPr>
        <w:t>属下的油气分公司在</w:t>
      </w:r>
      <w:r>
        <w:rPr>
          <w:rFonts w:ascii="Times New Roman" w:hAnsi="Times New Roman" w:cs="Times New Roman"/>
          <w:sz w:val="24"/>
        </w:rPr>
        <w:t>液化气站内增设液氨装车台，长岭分公司仅新增炼油一部污水汽提装置区液氨罐区至液化气站液氨输送流程。</w:t>
      </w:r>
      <w:r>
        <w:rPr>
          <w:rFonts w:hint="eastAsia" w:ascii="Times New Roman" w:hAnsi="Times New Roman" w:cs="Times New Roman"/>
          <w:sz w:val="24"/>
          <w:u w:val="single"/>
          <w:lang w:eastAsia="zh-CN"/>
        </w:rPr>
        <w:t>本项目属于技改项目</w:t>
      </w:r>
      <w:r>
        <w:rPr>
          <w:rFonts w:hint="eastAsia" w:ascii="Times New Roman" w:hAnsi="Times New Roman" w:cs="Times New Roman"/>
          <w:sz w:val="24"/>
          <w:lang w:eastAsia="zh-CN"/>
        </w:rPr>
        <w:t>，</w:t>
      </w:r>
      <w:r>
        <w:rPr>
          <w:rFonts w:ascii="Times New Roman" w:hAnsi="Times New Roman" w:cs="Times New Roman"/>
          <w:sz w:val="24"/>
        </w:rPr>
        <w:t>本次仅对液氨装车隐患治理项目长岭分公司所属部分进行环境影响评价。</w:t>
      </w:r>
    </w:p>
    <w:p>
      <w:pPr>
        <w:autoSpaceDE w:val="0"/>
        <w:autoSpaceDN w:val="0"/>
        <w:spacing w:line="360" w:lineRule="auto"/>
        <w:ind w:firstLine="480" w:firstLineChars="200"/>
        <w:rPr>
          <w:rFonts w:hint="eastAsia" w:ascii="Times New Roman" w:hAnsi="Times New Roman" w:cs="Times New Roman"/>
          <w:sz w:val="24"/>
        </w:rPr>
      </w:pPr>
      <w:r>
        <w:rPr>
          <w:rFonts w:hint="eastAsia" w:ascii="Times New Roman" w:hAnsi="Times New Roman" w:cs="Times New Roman"/>
          <w:sz w:val="24"/>
        </w:rPr>
        <w:t>据《中华人民共和国环境保护法》、《中华人民共和国环境影响评价法》以及《建设项目环境保护管理条例》的有关规定，该建设项目应进行环境影响评价。长岭分公司委托湖南</w:t>
      </w:r>
      <w:r>
        <w:rPr>
          <w:rFonts w:hint="eastAsia" w:ascii="Times New Roman" w:hAnsi="Times New Roman" w:cs="Times New Roman"/>
          <w:sz w:val="24"/>
          <w:lang w:eastAsia="zh-CN"/>
        </w:rPr>
        <w:t>旌旗</w:t>
      </w:r>
      <w:r>
        <w:rPr>
          <w:rFonts w:hint="eastAsia" w:ascii="Times New Roman" w:hAnsi="Times New Roman" w:cs="Times New Roman"/>
          <w:sz w:val="24"/>
        </w:rPr>
        <w:t>环保科技有限公司承担了该项目的环境影响评价工作。根据《建设项目环境影响评价分类管理名录》（</w:t>
      </w:r>
      <w:r>
        <w:rPr>
          <w:rFonts w:hint="eastAsia" w:ascii="Times New Roman" w:hAnsi="Times New Roman" w:cs="Times New Roman"/>
          <w:sz w:val="24"/>
          <w:lang w:val="en-US" w:eastAsia="zh-CN"/>
        </w:rPr>
        <w:t>2018年</w:t>
      </w:r>
      <w:r>
        <w:rPr>
          <w:rFonts w:hint="eastAsia" w:ascii="Times New Roman" w:hAnsi="Times New Roman" w:cs="Times New Roman"/>
          <w:sz w:val="24"/>
        </w:rPr>
        <w:t>），</w:t>
      </w:r>
      <w:r>
        <w:rPr>
          <w:rFonts w:hint="eastAsia" w:ascii="Times New Roman" w:hAnsi="Times New Roman" w:cs="Times New Roman"/>
          <w:sz w:val="24"/>
          <w:u w:val="single"/>
        </w:rPr>
        <w:t>本项目属于其中</w:t>
      </w:r>
      <w:r>
        <w:rPr>
          <w:rFonts w:hint="eastAsia" w:ascii="Times New Roman" w:hAnsi="Times New Roman" w:cs="Times New Roman"/>
          <w:sz w:val="24"/>
          <w:u w:val="single"/>
          <w:lang w:eastAsia="zh-CN"/>
        </w:rPr>
        <w:t>四十九</w:t>
      </w:r>
      <w:r>
        <w:rPr>
          <w:rFonts w:hint="eastAsia" w:ascii="Times New Roman" w:hAnsi="Times New Roman" w:cs="Times New Roman"/>
          <w:sz w:val="24"/>
          <w:u w:val="single"/>
        </w:rPr>
        <w:t>、</w:t>
      </w:r>
      <w:r>
        <w:rPr>
          <w:rFonts w:hint="eastAsia" w:ascii="Times New Roman" w:hAnsi="Times New Roman" w:cs="Times New Roman"/>
          <w:sz w:val="24"/>
          <w:u w:val="single"/>
          <w:lang w:eastAsia="zh-CN"/>
        </w:rPr>
        <w:t>交通运输业、管道运输业和仓储业</w:t>
      </w:r>
      <w:r>
        <w:rPr>
          <w:rFonts w:hint="eastAsia" w:ascii="Times New Roman" w:hAnsi="Times New Roman" w:cs="Times New Roman"/>
          <w:sz w:val="24"/>
          <w:u w:val="single"/>
        </w:rPr>
        <w:t xml:space="preserve"> </w:t>
      </w:r>
      <w:r>
        <w:rPr>
          <w:rFonts w:hint="eastAsia" w:ascii="Times New Roman" w:hAnsi="Times New Roman" w:cs="Times New Roman"/>
          <w:sz w:val="24"/>
          <w:u w:val="single"/>
          <w:lang w:val="en-US" w:eastAsia="zh-CN"/>
        </w:rPr>
        <w:t>177</w:t>
      </w:r>
      <w:r>
        <w:rPr>
          <w:rFonts w:hint="default" w:ascii="Times New Roman" w:hAnsi="Times New Roman" w:cs="Times New Roman"/>
          <w:sz w:val="24"/>
          <w:u w:val="single"/>
        </w:rPr>
        <w:t xml:space="preserve"> </w:t>
      </w:r>
      <w:r>
        <w:rPr>
          <w:rFonts w:hint="eastAsia" w:ascii="Times New Roman" w:hAnsi="Times New Roman" w:cs="Times New Roman"/>
          <w:sz w:val="24"/>
          <w:u w:val="single"/>
          <w:lang w:eastAsia="zh-CN"/>
        </w:rPr>
        <w:t>化学品输送</w:t>
      </w:r>
      <w:r>
        <w:rPr>
          <w:rFonts w:hint="eastAsia" w:ascii="Times New Roman" w:hAnsi="Times New Roman" w:cs="Times New Roman"/>
          <w:sz w:val="24"/>
          <w:u w:val="single"/>
        </w:rPr>
        <w:t>，应编制环境影响报告书</w:t>
      </w:r>
      <w:r>
        <w:rPr>
          <w:rFonts w:hint="eastAsia" w:ascii="Times New Roman" w:hAnsi="Times New Roman" w:cs="Times New Roman"/>
          <w:sz w:val="24"/>
        </w:rPr>
        <w:t>。</w:t>
      </w:r>
    </w:p>
    <w:p>
      <w:pPr>
        <w:autoSpaceDE w:val="0"/>
        <w:autoSpaceDN w:val="0"/>
        <w:spacing w:line="360" w:lineRule="auto"/>
        <w:ind w:firstLine="480" w:firstLineChars="200"/>
        <w:rPr>
          <w:rFonts w:hint="default" w:ascii="Times New Roman" w:hAnsi="Times New Roman" w:cs="Times New Roman"/>
          <w:sz w:val="24"/>
          <w:lang w:val="en-US" w:eastAsia="zh-CN"/>
        </w:rPr>
      </w:pPr>
    </w:p>
    <w:p>
      <w:pPr>
        <w:autoSpaceDE w:val="0"/>
        <w:autoSpaceDN w:val="0"/>
        <w:spacing w:line="360" w:lineRule="auto"/>
        <w:rPr>
          <w:rFonts w:ascii="Times New Roman" w:hAnsi="Times New Roman" w:cs="Times New Roman"/>
          <w:sz w:val="24"/>
        </w:rPr>
      </w:pPr>
      <w:r>
        <w:rPr>
          <w:rFonts w:ascii="Times New Roman" w:hAnsi="Times New Roman" w:cs="Times New Roman"/>
          <w:b/>
          <w:sz w:val="28"/>
          <w:szCs w:val="28"/>
        </w:rPr>
        <w:t>2、项目特点</w:t>
      </w:r>
    </w:p>
    <w:p>
      <w:pPr>
        <w:autoSpaceDE w:val="0"/>
        <w:autoSpaceDN w:val="0"/>
        <w:spacing w:line="360" w:lineRule="auto"/>
        <w:ind w:firstLine="480" w:firstLineChars="200"/>
        <w:rPr>
          <w:rFonts w:ascii="Times New Roman" w:hAnsi="Times New Roman" w:cs="Times New Roman"/>
          <w:sz w:val="24"/>
          <w:szCs w:val="24"/>
        </w:rPr>
      </w:pPr>
      <w:r>
        <w:rPr>
          <w:rFonts w:ascii="Times New Roman" w:hAnsi="Times New Roman" w:cs="Times New Roman"/>
          <w:sz w:val="24"/>
        </w:rPr>
        <w:t>项目将充分依托公司现有的公辅工程，供电、供水、废水处理、风险应急等设施。</w:t>
      </w:r>
    </w:p>
    <w:p>
      <w:pPr>
        <w:autoSpaceDE w:val="0"/>
        <w:autoSpaceDN w:val="0"/>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根据本报告分析，项目产生的主要污染物为氨气、罐区废水、职工生活污水及初期雨水、生产设备运行噪声、生活垃圾、一般固废及危险固废，同时本项目还存在液氨泄漏的环境风险。 </w:t>
      </w:r>
    </w:p>
    <w:p>
      <w:pPr>
        <w:autoSpaceDE w:val="0"/>
        <w:autoSpaceDN w:val="0"/>
        <w:spacing w:line="360" w:lineRule="auto"/>
        <w:ind w:firstLine="480" w:firstLineChars="200"/>
        <w:rPr>
          <w:rFonts w:ascii="Times New Roman" w:hAnsi="Times New Roman" w:cs="Times New Roman"/>
          <w:sz w:val="24"/>
        </w:rPr>
      </w:pPr>
      <w:r>
        <w:rPr>
          <w:rFonts w:ascii="Times New Roman" w:hAnsi="Times New Roman" w:cs="Times New Roman"/>
          <w:sz w:val="24"/>
        </w:rPr>
        <w:t>因此项目在运营过程中应做好环境污染防治及风险防范应急措施，确保各污染物稳定达标排放、控制项目事故风险水平。</w:t>
      </w:r>
    </w:p>
    <w:p>
      <w:pPr>
        <w:pStyle w:val="22"/>
      </w:pPr>
    </w:p>
    <w:p>
      <w:pPr>
        <w:spacing w:line="360" w:lineRule="auto"/>
        <w:rPr>
          <w:rFonts w:ascii="Times New Roman" w:hAnsi="Times New Roman" w:cs="Times New Roman"/>
          <w:b/>
          <w:sz w:val="28"/>
          <w:szCs w:val="28"/>
        </w:rPr>
      </w:pPr>
      <w:r>
        <w:rPr>
          <w:rFonts w:ascii="Times New Roman" w:hAnsi="Times New Roman" w:cs="Times New Roman"/>
          <w:b/>
          <w:sz w:val="28"/>
          <w:szCs w:val="28"/>
        </w:rPr>
        <w:t>3、环境影响评价的工作过程</w:t>
      </w:r>
    </w:p>
    <w:p>
      <w:pPr>
        <w:autoSpaceDE w:val="0"/>
        <w:autoSpaceDN w:val="0"/>
        <w:spacing w:line="360" w:lineRule="auto"/>
        <w:ind w:firstLine="480" w:firstLineChars="200"/>
        <w:rPr>
          <w:rFonts w:ascii="Times New Roman" w:hAnsi="Times New Roman" w:cs="Times New Roman"/>
          <w:color w:val="auto"/>
          <w:kern w:val="0"/>
          <w:sz w:val="24"/>
          <w:szCs w:val="24"/>
        </w:rPr>
      </w:pPr>
      <w:r>
        <w:rPr>
          <w:rFonts w:ascii="Times New Roman" w:hAnsi="Times New Roman" w:cs="Times New Roman"/>
          <w:color w:val="auto"/>
          <w:sz w:val="24"/>
        </w:rPr>
        <w:t>我公司接受委托后，组织人员对该项目的工程内容、地址及周边环境进行了现场勘察。</w:t>
      </w:r>
    </w:p>
    <w:p>
      <w:pPr>
        <w:pStyle w:val="243"/>
        <w:spacing w:before="120" w:after="120"/>
        <w:rPr>
          <w:color w:val="auto"/>
        </w:rPr>
      </w:pPr>
      <w:r>
        <w:rPr>
          <w:color w:val="auto"/>
        </w:rPr>
        <w:t>本评价通过对项目周围的自然环境、社会环境以及空气、地表水、地下水、噪声、生态环境质量现状进行调查评价，预测和分析项目在营运过程中对周围环境的影响程度和范围，分析和论证工程采取的环境保护措施以及在技术上的可行性和经济上的合理性。同时提出切实可行的整改环保措施和防治污染对策，为有关部门进行项目环境管理提供科学的依据，使工程对环境的不良影响降到最低程度，保证区域经济建设的可持续发展。</w:t>
      </w:r>
    </w:p>
    <w:p>
      <w:pPr>
        <w:autoSpaceDE w:val="0"/>
        <w:autoSpaceDN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本次环境影响评价工作分三个阶段，即前期准备、调研和制定工作方案阶段，分析论证和预测评价阶段，环境影响评价文件编制阶段。</w:t>
      </w:r>
    </w:p>
    <w:p>
      <w:pPr>
        <w:pStyle w:val="245"/>
        <w:rPr>
          <w:rFonts w:ascii="Times New Roman" w:hAnsi="Times New Roman" w:cs="Times New Roman"/>
          <w:color w:val="auto"/>
        </w:rPr>
      </w:pPr>
      <w:r>
        <w:rPr>
          <w:rFonts w:ascii="Times New Roman" w:hAnsi="Times New Roman" w:cs="Times New Roman"/>
          <w:color w:val="auto"/>
        </w:rPr>
        <w:t>评价工作程序见下图。</w:t>
      </w:r>
    </w:p>
    <w:p>
      <w:pPr>
        <w:spacing w:line="360" w:lineRule="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drawing>
          <wp:inline distT="0" distB="0" distL="114300" distR="114300">
            <wp:extent cx="5819140" cy="5555615"/>
            <wp:effectExtent l="0" t="0" r="10160" b="6985"/>
            <wp:docPr id="174" name="图片 174" descr="1562851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1562851090(1)"/>
                    <pic:cNvPicPr>
                      <a:picLocks noChangeAspect="1"/>
                    </pic:cNvPicPr>
                  </pic:nvPicPr>
                  <pic:blipFill>
                    <a:blip r:embed="rId33"/>
                    <a:stretch>
                      <a:fillRect/>
                    </a:stretch>
                  </pic:blipFill>
                  <pic:spPr>
                    <a:xfrm>
                      <a:off x="0" y="0"/>
                      <a:ext cx="5819140" cy="5555615"/>
                    </a:xfrm>
                    <a:prstGeom prst="rect">
                      <a:avLst/>
                    </a:prstGeom>
                  </pic:spPr>
                </pic:pic>
              </a:graphicData>
            </a:graphic>
          </wp:inline>
        </w:drawing>
      </w:r>
    </w:p>
    <w:p>
      <w:pPr>
        <w:pStyle w:val="243"/>
        <w:spacing w:before="120" w:after="120"/>
        <w:ind w:firstLine="482"/>
        <w:jc w:val="center"/>
        <w:rPr>
          <w:rFonts w:ascii="Times New Roman" w:hAnsi="Times New Roman" w:cs="Times New Roman"/>
          <w:b/>
          <w:color w:val="auto"/>
          <w:sz w:val="28"/>
          <w:szCs w:val="28"/>
          <w:u w:val="single"/>
        </w:rPr>
      </w:pPr>
      <w:r>
        <w:rPr>
          <w:b/>
          <w:color w:val="auto"/>
          <w:u w:val="single"/>
        </w:rPr>
        <w:t xml:space="preserve">图1  </w:t>
      </w:r>
      <w:r>
        <w:rPr>
          <w:rFonts w:hint="eastAsia"/>
          <w:b/>
          <w:color w:val="auto"/>
          <w:u w:val="single"/>
          <w:lang w:eastAsia="zh-CN"/>
        </w:rPr>
        <w:t>建设项目环境影响评价工作程序图</w:t>
      </w:r>
    </w:p>
    <w:p>
      <w:pPr>
        <w:spacing w:line="360" w:lineRule="auto"/>
        <w:rPr>
          <w:rFonts w:ascii="Times New Roman" w:hAnsi="Times New Roman" w:cs="Times New Roman"/>
          <w:b/>
          <w:color w:val="auto"/>
          <w:sz w:val="28"/>
          <w:szCs w:val="28"/>
        </w:rPr>
      </w:pPr>
    </w:p>
    <w:p>
      <w:pPr>
        <w:spacing w:line="360" w:lineRule="auto"/>
        <w:rPr>
          <w:rFonts w:ascii="Times New Roman" w:hAnsi="Times New Roman" w:cs="Times New Roman"/>
          <w:b/>
          <w:color w:val="auto"/>
          <w:sz w:val="28"/>
          <w:szCs w:val="28"/>
        </w:rPr>
      </w:pPr>
      <w:r>
        <w:rPr>
          <w:rFonts w:ascii="Times New Roman" w:hAnsi="Times New Roman" w:cs="Times New Roman"/>
          <w:b/>
          <w:color w:val="auto"/>
          <w:sz w:val="28"/>
          <w:szCs w:val="28"/>
        </w:rPr>
        <w:t>4、关注的主要环境问题</w:t>
      </w:r>
    </w:p>
    <w:p>
      <w:pPr>
        <w:pStyle w:val="163"/>
        <w:spacing w:line="360" w:lineRule="auto"/>
        <w:ind w:firstLine="480"/>
        <w:rPr>
          <w:rStyle w:val="221"/>
          <w:rFonts w:ascii="Times New Roman" w:hAnsi="Times New Roman" w:cs="Times New Roman"/>
          <w:color w:val="auto"/>
        </w:rPr>
      </w:pPr>
      <w:r>
        <w:rPr>
          <w:rStyle w:val="221"/>
          <w:rFonts w:ascii="Times New Roman" w:hAnsi="Times New Roman" w:cs="Times New Roman"/>
          <w:color w:val="auto"/>
        </w:rPr>
        <w:t>由于项目</w:t>
      </w:r>
      <w:r>
        <w:rPr>
          <w:rStyle w:val="221"/>
          <w:rFonts w:hint="eastAsia" w:ascii="Times New Roman" w:hAnsi="Times New Roman" w:cs="Times New Roman"/>
          <w:color w:val="auto"/>
          <w:lang w:eastAsia="zh-CN"/>
        </w:rPr>
        <w:t>是</w:t>
      </w:r>
      <w:r>
        <w:rPr>
          <w:rStyle w:val="221"/>
          <w:rFonts w:ascii="Times New Roman" w:hAnsi="Times New Roman" w:cs="Times New Roman"/>
          <w:color w:val="auto"/>
        </w:rPr>
        <w:t>安全隐患治理项目，因此环评主要关注的环境问题为营运过程问题，主要如下：</w:t>
      </w:r>
    </w:p>
    <w:p>
      <w:pPr>
        <w:pStyle w:val="163"/>
        <w:spacing w:line="360" w:lineRule="auto"/>
        <w:ind w:firstLine="480"/>
        <w:rPr>
          <w:rStyle w:val="221"/>
          <w:rFonts w:ascii="Times New Roman" w:hAnsi="Times New Roman" w:cs="Times New Roman"/>
          <w:color w:val="auto"/>
        </w:rPr>
      </w:pPr>
      <w:r>
        <w:rPr>
          <w:rStyle w:val="221"/>
          <w:rFonts w:ascii="Times New Roman" w:hAnsi="Times New Roman" w:cs="Times New Roman"/>
          <w:color w:val="auto"/>
        </w:rPr>
        <w:t xml:space="preserve">（1）项目运营过程是否符合当前国家产业政策、清洁生产的要求、是否满足环境防护距离的要求。 </w:t>
      </w:r>
    </w:p>
    <w:p>
      <w:pPr>
        <w:pStyle w:val="163"/>
        <w:spacing w:line="360" w:lineRule="auto"/>
        <w:ind w:firstLine="480"/>
        <w:rPr>
          <w:rStyle w:val="221"/>
          <w:rFonts w:ascii="Times New Roman" w:hAnsi="Times New Roman" w:cs="Times New Roman"/>
          <w:color w:val="auto"/>
        </w:rPr>
      </w:pPr>
      <w:r>
        <w:rPr>
          <w:rStyle w:val="221"/>
          <w:rFonts w:ascii="Times New Roman" w:hAnsi="Times New Roman" w:cs="Times New Roman"/>
          <w:color w:val="auto"/>
        </w:rPr>
        <w:t xml:space="preserve">（2）项目废水处理的可行性，及能否满足达标排放要求。 </w:t>
      </w:r>
    </w:p>
    <w:p>
      <w:pPr>
        <w:pStyle w:val="163"/>
        <w:spacing w:line="360" w:lineRule="auto"/>
        <w:ind w:firstLine="480"/>
        <w:rPr>
          <w:rStyle w:val="221"/>
          <w:rFonts w:ascii="Times New Roman" w:hAnsi="Times New Roman" w:cs="Times New Roman"/>
          <w:color w:val="auto"/>
        </w:rPr>
      </w:pPr>
      <w:r>
        <w:rPr>
          <w:rStyle w:val="221"/>
          <w:rFonts w:ascii="Times New Roman" w:hAnsi="Times New Roman" w:cs="Times New Roman"/>
          <w:color w:val="auto"/>
        </w:rPr>
        <w:t>（3）项目的环境风险及风险防控措施，环境风险是否可达到可接受水平。</w:t>
      </w:r>
    </w:p>
    <w:p>
      <w:pPr>
        <w:pStyle w:val="163"/>
        <w:spacing w:line="360" w:lineRule="auto"/>
        <w:ind w:firstLine="0" w:firstLineChars="0"/>
        <w:rPr>
          <w:rStyle w:val="221"/>
          <w:rFonts w:ascii="Times New Roman" w:hAnsi="Times New Roman" w:cs="Times New Roman"/>
          <w:b/>
          <w:color w:val="auto"/>
          <w:sz w:val="28"/>
          <w:szCs w:val="28"/>
        </w:rPr>
      </w:pPr>
      <w:r>
        <w:rPr>
          <w:rStyle w:val="221"/>
          <w:rFonts w:ascii="Times New Roman" w:hAnsi="Times New Roman" w:cs="Times New Roman"/>
          <w:b/>
          <w:color w:val="auto"/>
          <w:sz w:val="28"/>
          <w:szCs w:val="28"/>
        </w:rPr>
        <w:t>5、环境影响报告书的主要结论</w:t>
      </w:r>
    </w:p>
    <w:p>
      <w:pPr>
        <w:pStyle w:val="163"/>
        <w:spacing w:line="360" w:lineRule="auto"/>
        <w:ind w:firstLine="480"/>
        <w:rPr>
          <w:rFonts w:ascii="Times New Roman" w:hAnsi="Times New Roman" w:cs="Times New Roman"/>
          <w:color w:val="auto"/>
        </w:rPr>
      </w:pPr>
      <w:r>
        <w:rPr>
          <w:rStyle w:val="221"/>
          <w:rFonts w:ascii="Times New Roman" w:hAnsi="Times New Roman" w:cs="Times New Roman"/>
          <w:color w:val="auto"/>
        </w:rPr>
        <w:t>本项目建于中石化长岭分公司用地范围内，周边无明显环境制约因素，</w:t>
      </w:r>
      <w:r>
        <w:rPr>
          <w:rFonts w:ascii="Times New Roman" w:hAnsi="Times New Roman" w:cs="Times New Roman"/>
          <w:color w:val="auto"/>
        </w:rPr>
        <w:t>环评单位通过调查和分析，依据监测资料和国家、地方有关法规和标准综合评价后认为，液氨装车隐患整治项目符合国家产业政策，生产过程中采用了清洁的生产工艺，所采用的污染防治措施技术经济可行，能保证各种污染物稳定达标排放，排放的污染物对周围环境影响较小。在落实各项环境保护对策措施和管理要求、加强风险防范和应急预案的前提下，从环境保护角度出发，本建设项目可行。</w:t>
      </w:r>
    </w:p>
    <w:p>
      <w:pPr>
        <w:pStyle w:val="5"/>
        <w:ind w:firstLine="480"/>
        <w:rPr>
          <w:color w:val="auto"/>
        </w:rPr>
      </w:pPr>
    </w:p>
    <w:p>
      <w:pPr>
        <w:pStyle w:val="5"/>
        <w:ind w:firstLine="480"/>
        <w:jc w:val="left"/>
        <w:rPr>
          <w:rFonts w:hint="eastAsia" w:eastAsia="宋体"/>
          <w:color w:val="auto"/>
          <w:lang w:eastAsia="zh-CN"/>
        </w:rPr>
        <w:sectPr>
          <w:headerReference r:id="rId12" w:type="default"/>
          <w:footerReference r:id="rId13" w:type="default"/>
          <w:pgSz w:w="11907" w:h="16840"/>
          <w:pgMar w:top="1474" w:right="1531" w:bottom="1418" w:left="1474" w:header="284" w:footer="851" w:gutter="0"/>
          <w:pgNumType w:fmt="decimal" w:start="1"/>
          <w:cols w:space="720" w:num="1"/>
          <w:docGrid w:linePitch="312" w:charSpace="0"/>
        </w:sectPr>
      </w:pPr>
    </w:p>
    <w:p>
      <w:pPr>
        <w:pStyle w:val="4"/>
        <w:jc w:val="both"/>
        <w:rPr>
          <w:color w:val="auto"/>
        </w:rPr>
      </w:pPr>
      <w:bookmarkStart w:id="2" w:name="_Toc16019"/>
      <w:bookmarkStart w:id="3" w:name="_Toc9003"/>
      <w:bookmarkStart w:id="4" w:name="_Toc306034518"/>
      <w:bookmarkStart w:id="5" w:name="_Toc280188808"/>
      <w:bookmarkStart w:id="6" w:name="_Toc2651"/>
      <w:bookmarkStart w:id="7" w:name="_Toc304810268"/>
      <w:bookmarkStart w:id="8" w:name="_Ref237165699"/>
      <w:bookmarkStart w:id="9" w:name="_Toc18685"/>
      <w:r>
        <w:rPr>
          <w:rFonts w:hint="eastAsia"/>
          <w:color w:val="auto"/>
          <w:lang w:val="en-US" w:eastAsia="zh-CN"/>
        </w:rPr>
        <w:t xml:space="preserve"> </w:t>
      </w:r>
      <w:r>
        <w:rPr>
          <w:color w:val="auto"/>
        </w:rPr>
        <w:t>总则</w:t>
      </w:r>
      <w:bookmarkEnd w:id="0"/>
      <w:bookmarkEnd w:id="2"/>
      <w:bookmarkEnd w:id="3"/>
      <w:bookmarkEnd w:id="4"/>
      <w:bookmarkEnd w:id="5"/>
      <w:bookmarkEnd w:id="6"/>
      <w:bookmarkEnd w:id="7"/>
      <w:bookmarkEnd w:id="8"/>
      <w:bookmarkEnd w:id="9"/>
    </w:p>
    <w:p>
      <w:pPr>
        <w:pStyle w:val="6"/>
        <w:spacing w:before="120" w:beforeLines="0" w:after="120" w:afterLines="0"/>
        <w:rPr>
          <w:color w:val="auto"/>
        </w:rPr>
      </w:pPr>
      <w:bookmarkStart w:id="10" w:name="_Toc12995"/>
      <w:bookmarkStart w:id="11" w:name="_Toc21817"/>
      <w:bookmarkStart w:id="12" w:name="_Toc3913"/>
      <w:bookmarkStart w:id="13" w:name="_Toc3131"/>
      <w:r>
        <w:rPr>
          <w:color w:val="auto"/>
        </w:rPr>
        <w:t>编制依据</w:t>
      </w:r>
      <w:bookmarkEnd w:id="10"/>
      <w:bookmarkEnd w:id="11"/>
      <w:bookmarkEnd w:id="12"/>
      <w:bookmarkEnd w:id="13"/>
    </w:p>
    <w:p>
      <w:pPr>
        <w:pStyle w:val="7"/>
        <w:spacing w:before="120" w:beforeLines="0" w:after="120" w:afterLines="0"/>
        <w:rPr>
          <w:color w:val="auto"/>
        </w:rPr>
      </w:pPr>
      <w:bookmarkStart w:id="14" w:name="_Toc6556"/>
      <w:bookmarkStart w:id="15" w:name="_Toc429"/>
      <w:bookmarkStart w:id="16" w:name="_Toc6337"/>
      <w:r>
        <w:rPr>
          <w:color w:val="auto"/>
        </w:rPr>
        <w:t>国家环境保护法律</w:t>
      </w:r>
      <w:bookmarkEnd w:id="14"/>
      <w:bookmarkEnd w:id="15"/>
      <w:bookmarkEnd w:id="16"/>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《中华人民共和国环境保护法》， 2014年4月24日修订，2015年1月1日起施行；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《中华人民共和国环境影响评价法》， 2018年12月修订；</w:t>
      </w:r>
    </w:p>
    <w:p>
      <w:pPr>
        <w:numPr>
          <w:ilvl w:val="0"/>
          <w:numId w:val="3"/>
        </w:numPr>
        <w:tabs>
          <w:tab w:val="left" w:pos="1260"/>
        </w:tabs>
        <w:spacing w:line="480" w:lineRule="exact"/>
        <w:ind w:left="0" w:firstLine="480" w:firstLineChars="200"/>
        <w:jc w:val="left"/>
        <w:rPr>
          <w:rFonts w:ascii="Times New Roman" w:hAnsi="Times New Roman"/>
          <w:color w:val="auto"/>
          <w:sz w:val="24"/>
          <w:szCs w:val="24"/>
        </w:rPr>
      </w:pPr>
      <w:r>
        <w:rPr>
          <w:rFonts w:hint="eastAsia" w:ascii="Times New Roman" w:hAnsi="Times New Roman"/>
          <w:color w:val="auto"/>
          <w:sz w:val="24"/>
          <w:szCs w:val="24"/>
        </w:rPr>
        <w:t>《中华人民共和国大气污染防治法》，</w:t>
      </w:r>
      <w:r>
        <w:rPr>
          <w:rFonts w:ascii="Times New Roman" w:hAnsi="Times New Roman"/>
          <w:color w:val="auto"/>
          <w:sz w:val="24"/>
          <w:szCs w:val="24"/>
        </w:rPr>
        <w:t>201</w:t>
      </w:r>
      <w:r>
        <w:rPr>
          <w:rFonts w:hint="eastAsia" w:ascii="Times New Roman" w:hAnsi="Times New Roman"/>
          <w:color w:val="auto"/>
          <w:sz w:val="24"/>
          <w:szCs w:val="24"/>
          <w:lang w:val="en-US" w:eastAsia="zh-CN"/>
        </w:rPr>
        <w:t>8</w:t>
      </w:r>
      <w:r>
        <w:rPr>
          <w:rFonts w:hint="eastAsia" w:ascii="Times New Roman" w:hAnsi="Times New Roman"/>
          <w:color w:val="auto"/>
          <w:sz w:val="24"/>
          <w:szCs w:val="24"/>
        </w:rPr>
        <w:t>年</w:t>
      </w:r>
      <w:r>
        <w:rPr>
          <w:rFonts w:hint="eastAsia" w:ascii="Times New Roman" w:hAnsi="Times New Roman"/>
          <w:color w:val="auto"/>
          <w:sz w:val="24"/>
          <w:szCs w:val="24"/>
          <w:lang w:val="en-US" w:eastAsia="zh-CN"/>
        </w:rPr>
        <w:t>10</w:t>
      </w:r>
      <w:r>
        <w:rPr>
          <w:rFonts w:hint="eastAsia" w:ascii="Times New Roman" w:hAnsi="Times New Roman"/>
          <w:color w:val="auto"/>
          <w:sz w:val="24"/>
          <w:szCs w:val="24"/>
        </w:rPr>
        <w:t>月</w:t>
      </w:r>
      <w:r>
        <w:rPr>
          <w:rFonts w:ascii="Times New Roman" w:hAnsi="Times New Roman"/>
          <w:color w:val="auto"/>
          <w:sz w:val="24"/>
          <w:szCs w:val="24"/>
        </w:rPr>
        <w:t>2</w:t>
      </w:r>
      <w:r>
        <w:rPr>
          <w:rFonts w:hint="eastAsia" w:ascii="Times New Roman" w:hAnsi="Times New Roman"/>
          <w:color w:val="auto"/>
          <w:sz w:val="24"/>
          <w:szCs w:val="24"/>
          <w:lang w:val="en-US" w:eastAsia="zh-CN"/>
        </w:rPr>
        <w:t>6</w:t>
      </w:r>
      <w:r>
        <w:rPr>
          <w:rFonts w:hint="eastAsia" w:ascii="Times New Roman" w:hAnsi="Times New Roman"/>
          <w:color w:val="auto"/>
          <w:sz w:val="24"/>
          <w:szCs w:val="24"/>
        </w:rPr>
        <w:t>日修</w:t>
      </w:r>
      <w:r>
        <w:rPr>
          <w:rFonts w:hint="eastAsia" w:ascii="Times New Roman" w:hAnsi="Times New Roman"/>
          <w:color w:val="auto"/>
          <w:sz w:val="24"/>
          <w:szCs w:val="24"/>
          <w:lang w:eastAsia="zh-CN"/>
        </w:rPr>
        <w:t>改</w:t>
      </w:r>
      <w:r>
        <w:rPr>
          <w:rFonts w:hint="eastAsia" w:ascii="Times New Roman" w:hAnsi="Times New Roman"/>
          <w:color w:val="auto"/>
          <w:sz w:val="24"/>
          <w:szCs w:val="24"/>
        </w:rPr>
        <w:t>；</w:t>
      </w:r>
    </w:p>
    <w:p>
      <w:pPr>
        <w:numPr>
          <w:ilvl w:val="0"/>
          <w:numId w:val="3"/>
        </w:numPr>
        <w:tabs>
          <w:tab w:val="left" w:pos="1260"/>
        </w:tabs>
        <w:spacing w:line="480" w:lineRule="exact"/>
        <w:ind w:left="0" w:firstLine="480" w:firstLineChars="200"/>
        <w:jc w:val="left"/>
        <w:rPr>
          <w:rFonts w:ascii="Times New Roman" w:hAnsi="Times New Roman"/>
          <w:color w:val="auto"/>
          <w:sz w:val="24"/>
          <w:szCs w:val="24"/>
        </w:rPr>
      </w:pPr>
      <w:r>
        <w:rPr>
          <w:rFonts w:hint="eastAsia" w:ascii="Times New Roman" w:hAnsi="Times New Roman"/>
          <w:color w:val="auto"/>
          <w:sz w:val="24"/>
          <w:szCs w:val="24"/>
        </w:rPr>
        <w:t>《中华人民共和国水污染防治法》，</w:t>
      </w:r>
      <w:r>
        <w:rPr>
          <w:rFonts w:ascii="Times New Roman" w:hAnsi="Times New Roman"/>
          <w:color w:val="auto"/>
          <w:sz w:val="24"/>
          <w:szCs w:val="24"/>
        </w:rPr>
        <w:t xml:space="preserve"> 2017</w:t>
      </w:r>
      <w:r>
        <w:rPr>
          <w:rFonts w:hint="eastAsia" w:ascii="Times New Roman" w:hAnsi="Times New Roman"/>
          <w:color w:val="auto"/>
          <w:sz w:val="24"/>
          <w:szCs w:val="24"/>
        </w:rPr>
        <w:t>年修订，</w:t>
      </w:r>
      <w:r>
        <w:rPr>
          <w:rFonts w:ascii="Times New Roman" w:hAnsi="Times New Roman"/>
          <w:color w:val="auto"/>
          <w:sz w:val="24"/>
          <w:szCs w:val="24"/>
        </w:rPr>
        <w:t>2018</w:t>
      </w:r>
      <w:r>
        <w:rPr>
          <w:rFonts w:hint="eastAsia" w:ascii="Times New Roman" w:hAnsi="Times New Roman"/>
          <w:color w:val="auto"/>
          <w:sz w:val="24"/>
          <w:szCs w:val="24"/>
        </w:rPr>
        <w:t>年</w:t>
      </w:r>
      <w:r>
        <w:rPr>
          <w:rFonts w:ascii="Times New Roman" w:hAnsi="Times New Roman"/>
          <w:color w:val="auto"/>
          <w:sz w:val="24"/>
          <w:szCs w:val="24"/>
        </w:rPr>
        <w:t>1</w:t>
      </w:r>
      <w:r>
        <w:rPr>
          <w:rFonts w:hint="eastAsia" w:ascii="Times New Roman" w:hAnsi="Times New Roman"/>
          <w:color w:val="auto"/>
          <w:sz w:val="24"/>
          <w:szCs w:val="24"/>
        </w:rPr>
        <w:t>月</w:t>
      </w:r>
      <w:r>
        <w:rPr>
          <w:rFonts w:ascii="Times New Roman" w:hAnsi="Times New Roman"/>
          <w:color w:val="auto"/>
          <w:sz w:val="24"/>
          <w:szCs w:val="24"/>
        </w:rPr>
        <w:t>1</w:t>
      </w:r>
      <w:r>
        <w:rPr>
          <w:rFonts w:hint="eastAsia" w:ascii="Times New Roman" w:hAnsi="Times New Roman"/>
          <w:color w:val="auto"/>
          <w:sz w:val="24"/>
          <w:szCs w:val="24"/>
        </w:rPr>
        <w:t>日起施行；</w:t>
      </w:r>
    </w:p>
    <w:p>
      <w:pPr>
        <w:numPr>
          <w:ilvl w:val="0"/>
          <w:numId w:val="3"/>
        </w:numPr>
        <w:tabs>
          <w:tab w:val="left" w:pos="1260"/>
        </w:tabs>
        <w:spacing w:line="480" w:lineRule="exact"/>
        <w:ind w:left="0" w:firstLine="480" w:firstLineChars="200"/>
        <w:jc w:val="left"/>
        <w:rPr>
          <w:rFonts w:ascii="Times New Roman" w:hAnsi="Times New Roman"/>
          <w:color w:val="auto"/>
          <w:sz w:val="24"/>
          <w:szCs w:val="24"/>
        </w:rPr>
      </w:pPr>
      <w:r>
        <w:rPr>
          <w:rFonts w:hint="eastAsia" w:ascii="Times New Roman" w:hAnsi="Times New Roman"/>
          <w:color w:val="auto"/>
          <w:sz w:val="24"/>
          <w:szCs w:val="24"/>
        </w:rPr>
        <w:t>《中华人民共和国环境噪声污染防治法》，</w:t>
      </w:r>
      <w:r>
        <w:rPr>
          <w:rFonts w:ascii="Times New Roman" w:hAnsi="Times New Roman"/>
          <w:color w:val="auto"/>
          <w:sz w:val="24"/>
          <w:szCs w:val="24"/>
        </w:rPr>
        <w:t xml:space="preserve"> 2018</w:t>
      </w:r>
      <w:r>
        <w:rPr>
          <w:rFonts w:hint="eastAsia" w:ascii="Times New Roman" w:hAnsi="Times New Roman"/>
          <w:color w:val="auto"/>
          <w:sz w:val="24"/>
          <w:szCs w:val="24"/>
        </w:rPr>
        <w:t>年</w:t>
      </w:r>
      <w:r>
        <w:rPr>
          <w:rFonts w:ascii="Times New Roman" w:hAnsi="Times New Roman"/>
          <w:color w:val="auto"/>
          <w:sz w:val="24"/>
          <w:szCs w:val="24"/>
        </w:rPr>
        <w:t>12</w:t>
      </w:r>
      <w:r>
        <w:rPr>
          <w:rFonts w:hint="eastAsia" w:ascii="Times New Roman" w:hAnsi="Times New Roman"/>
          <w:color w:val="auto"/>
          <w:sz w:val="24"/>
          <w:szCs w:val="24"/>
        </w:rPr>
        <w:t>月修订；</w:t>
      </w:r>
    </w:p>
    <w:p>
      <w:pPr>
        <w:numPr>
          <w:ilvl w:val="0"/>
          <w:numId w:val="3"/>
        </w:numPr>
        <w:tabs>
          <w:tab w:val="left" w:pos="1260"/>
        </w:tabs>
        <w:spacing w:line="480" w:lineRule="exact"/>
        <w:ind w:left="0" w:firstLine="480" w:firstLineChars="200"/>
        <w:jc w:val="left"/>
        <w:rPr>
          <w:rFonts w:ascii="Times New Roman" w:hAnsi="Times New Roman"/>
          <w:color w:val="auto"/>
          <w:sz w:val="24"/>
          <w:szCs w:val="24"/>
        </w:rPr>
      </w:pPr>
      <w:r>
        <w:rPr>
          <w:rFonts w:hint="eastAsia" w:ascii="Times New Roman" w:hAnsi="Times New Roman"/>
          <w:color w:val="auto"/>
          <w:sz w:val="24"/>
          <w:szCs w:val="24"/>
        </w:rPr>
        <w:t>《中华人民共和国固体废物污染环境防治法》，</w:t>
      </w:r>
      <w:r>
        <w:rPr>
          <w:rFonts w:ascii="Times New Roman" w:hAnsi="Times New Roman"/>
          <w:color w:val="auto"/>
          <w:sz w:val="24"/>
          <w:szCs w:val="24"/>
        </w:rPr>
        <w:t xml:space="preserve"> 201</w:t>
      </w:r>
      <w:r>
        <w:rPr>
          <w:rFonts w:hint="eastAsia" w:ascii="Times New Roman" w:hAnsi="Times New Roman"/>
          <w:color w:val="auto"/>
          <w:sz w:val="24"/>
          <w:szCs w:val="24"/>
          <w:lang w:val="en-US" w:eastAsia="zh-CN"/>
        </w:rPr>
        <w:t>6</w:t>
      </w:r>
      <w:r>
        <w:rPr>
          <w:rFonts w:hint="eastAsia" w:ascii="Times New Roman" w:hAnsi="Times New Roman"/>
          <w:color w:val="auto"/>
          <w:sz w:val="24"/>
          <w:szCs w:val="24"/>
        </w:rPr>
        <w:t>年</w:t>
      </w:r>
      <w:r>
        <w:rPr>
          <w:rFonts w:ascii="Times New Roman" w:hAnsi="Times New Roman"/>
          <w:color w:val="auto"/>
          <w:sz w:val="24"/>
          <w:szCs w:val="24"/>
        </w:rPr>
        <w:t>1</w:t>
      </w:r>
      <w:r>
        <w:rPr>
          <w:rFonts w:hint="eastAsia" w:ascii="Times New Roman" w:hAnsi="Times New Roman"/>
          <w:color w:val="auto"/>
          <w:sz w:val="24"/>
          <w:szCs w:val="24"/>
          <w:lang w:val="en-US" w:eastAsia="zh-CN"/>
        </w:rPr>
        <w:t>1</w:t>
      </w:r>
      <w:r>
        <w:rPr>
          <w:rFonts w:hint="eastAsia" w:ascii="Times New Roman" w:hAnsi="Times New Roman"/>
          <w:color w:val="auto"/>
          <w:sz w:val="24"/>
          <w:szCs w:val="24"/>
        </w:rPr>
        <w:t>月</w:t>
      </w:r>
      <w:r>
        <w:rPr>
          <w:rFonts w:hint="eastAsia" w:ascii="Times New Roman" w:hAnsi="Times New Roman"/>
          <w:color w:val="auto"/>
          <w:sz w:val="24"/>
          <w:szCs w:val="24"/>
          <w:lang w:val="en-US" w:eastAsia="zh-CN"/>
        </w:rPr>
        <w:t>7日第三次</w:t>
      </w:r>
      <w:r>
        <w:rPr>
          <w:rFonts w:hint="eastAsia" w:ascii="Times New Roman" w:hAnsi="Times New Roman"/>
          <w:color w:val="auto"/>
          <w:sz w:val="24"/>
          <w:szCs w:val="24"/>
        </w:rPr>
        <w:t>修</w:t>
      </w:r>
      <w:r>
        <w:rPr>
          <w:rFonts w:hint="eastAsia" w:ascii="Times New Roman" w:hAnsi="Times New Roman"/>
          <w:color w:val="auto"/>
          <w:sz w:val="24"/>
          <w:szCs w:val="24"/>
          <w:lang w:eastAsia="zh-CN"/>
        </w:rPr>
        <w:t>正</w:t>
      </w:r>
      <w:r>
        <w:rPr>
          <w:rFonts w:hint="eastAsia" w:ascii="Times New Roman" w:hAnsi="Times New Roman"/>
          <w:color w:val="auto"/>
          <w:sz w:val="24"/>
          <w:szCs w:val="24"/>
        </w:rPr>
        <w:t>；</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u w:val="single"/>
        </w:rPr>
      </w:pPr>
      <w:r>
        <w:rPr>
          <w:rFonts w:ascii="Times New Roman" w:hAnsi="Times New Roman" w:cs="Times New Roman" w:eastAsiaTheme="minorEastAsia"/>
          <w:color w:val="auto"/>
          <w:sz w:val="24"/>
          <w:szCs w:val="24"/>
          <w:u w:val="single"/>
        </w:rPr>
        <w:t>《中华人民共和国清洁生产促进法》， 201</w:t>
      </w:r>
      <w:r>
        <w:rPr>
          <w:rFonts w:hint="eastAsia" w:ascii="Times New Roman" w:hAnsi="Times New Roman" w:cs="Times New Roman" w:eastAsiaTheme="minorEastAsia"/>
          <w:color w:val="auto"/>
          <w:sz w:val="24"/>
          <w:szCs w:val="24"/>
          <w:u w:val="single"/>
          <w:lang w:val="en-US" w:eastAsia="zh-CN"/>
        </w:rPr>
        <w:t>6</w:t>
      </w:r>
      <w:r>
        <w:rPr>
          <w:rFonts w:ascii="Times New Roman" w:hAnsi="Times New Roman" w:cs="Times New Roman" w:eastAsiaTheme="minorEastAsia"/>
          <w:color w:val="auto"/>
          <w:sz w:val="24"/>
          <w:szCs w:val="24"/>
          <w:u w:val="single"/>
        </w:rPr>
        <w:t>年</w:t>
      </w:r>
      <w:r>
        <w:rPr>
          <w:rFonts w:hint="eastAsia" w:ascii="Times New Roman" w:hAnsi="Times New Roman" w:cs="Times New Roman" w:eastAsiaTheme="minorEastAsia"/>
          <w:color w:val="auto"/>
          <w:sz w:val="24"/>
          <w:szCs w:val="24"/>
          <w:u w:val="single"/>
          <w:lang w:val="en-US" w:eastAsia="zh-CN"/>
        </w:rPr>
        <w:t>5</w:t>
      </w:r>
      <w:r>
        <w:rPr>
          <w:rFonts w:ascii="Times New Roman" w:hAnsi="Times New Roman" w:cs="Times New Roman" w:eastAsiaTheme="minorEastAsia"/>
          <w:color w:val="auto"/>
          <w:sz w:val="24"/>
          <w:szCs w:val="24"/>
          <w:u w:val="single"/>
        </w:rPr>
        <w:t>月</w:t>
      </w:r>
      <w:r>
        <w:rPr>
          <w:rFonts w:hint="eastAsia" w:ascii="Times New Roman" w:hAnsi="Times New Roman" w:cs="Times New Roman" w:eastAsiaTheme="minorEastAsia"/>
          <w:color w:val="auto"/>
          <w:sz w:val="24"/>
          <w:szCs w:val="24"/>
          <w:u w:val="single"/>
          <w:lang w:val="en-US" w:eastAsia="zh-CN"/>
        </w:rPr>
        <w:t>16</w:t>
      </w:r>
      <w:r>
        <w:rPr>
          <w:rFonts w:ascii="Times New Roman" w:hAnsi="Times New Roman" w:cs="Times New Roman" w:eastAsiaTheme="minorEastAsia"/>
          <w:color w:val="auto"/>
          <w:sz w:val="24"/>
          <w:szCs w:val="24"/>
          <w:u w:val="single"/>
        </w:rPr>
        <w:t>日</w:t>
      </w:r>
      <w:r>
        <w:rPr>
          <w:rStyle w:val="57"/>
          <w:rFonts w:ascii="Times New Roman" w:hAnsi="Times New Roman" w:cs="Times New Roman" w:eastAsiaTheme="minorEastAsia"/>
          <w:color w:val="auto"/>
          <w:sz w:val="24"/>
          <w:szCs w:val="24"/>
          <w:u w:val="single"/>
        </w:rPr>
        <w:t>修订，</w:t>
      </w:r>
      <w:r>
        <w:rPr>
          <w:rFonts w:ascii="Times New Roman" w:hAnsi="Times New Roman" w:cs="Times New Roman" w:eastAsiaTheme="minorEastAsia"/>
          <w:color w:val="auto"/>
          <w:sz w:val="24"/>
          <w:szCs w:val="24"/>
          <w:u w:val="single"/>
        </w:rPr>
        <w:t>201</w:t>
      </w:r>
      <w:r>
        <w:rPr>
          <w:rFonts w:hint="eastAsia" w:ascii="Times New Roman" w:hAnsi="Times New Roman" w:cs="Times New Roman" w:eastAsiaTheme="minorEastAsia"/>
          <w:color w:val="auto"/>
          <w:sz w:val="24"/>
          <w:szCs w:val="24"/>
          <w:u w:val="single"/>
          <w:lang w:val="en-US" w:eastAsia="zh-CN"/>
        </w:rPr>
        <w:t>6</w:t>
      </w:r>
      <w:r>
        <w:rPr>
          <w:rFonts w:ascii="Times New Roman" w:hAnsi="Times New Roman" w:cs="Times New Roman" w:eastAsiaTheme="minorEastAsia"/>
          <w:color w:val="auto"/>
          <w:sz w:val="24"/>
          <w:szCs w:val="24"/>
          <w:u w:val="single"/>
        </w:rPr>
        <w:t>年7月1日起施行；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u w:val="single"/>
        </w:rPr>
      </w:pPr>
      <w:r>
        <w:rPr>
          <w:rFonts w:ascii="Times New Roman" w:hAnsi="Times New Roman" w:cs="Times New Roman" w:eastAsiaTheme="minorEastAsia"/>
          <w:color w:val="auto"/>
          <w:sz w:val="24"/>
          <w:szCs w:val="24"/>
          <w:u w:val="single"/>
        </w:rPr>
        <w:t>《中华人民共和国循环经济促进法》，20</w:t>
      </w:r>
      <w:r>
        <w:rPr>
          <w:rFonts w:hint="eastAsia" w:ascii="Times New Roman" w:hAnsi="Times New Roman" w:cs="Times New Roman" w:eastAsiaTheme="minorEastAsia"/>
          <w:color w:val="auto"/>
          <w:sz w:val="24"/>
          <w:szCs w:val="24"/>
          <w:u w:val="single"/>
          <w:lang w:val="en-US" w:eastAsia="zh-CN"/>
        </w:rPr>
        <w:t>18</w:t>
      </w:r>
      <w:r>
        <w:rPr>
          <w:rFonts w:ascii="Times New Roman" w:hAnsi="Times New Roman" w:cs="Times New Roman" w:eastAsiaTheme="minorEastAsia"/>
          <w:color w:val="auto"/>
          <w:sz w:val="24"/>
          <w:szCs w:val="24"/>
          <w:u w:val="single"/>
        </w:rPr>
        <w:t>年1</w:t>
      </w:r>
      <w:r>
        <w:rPr>
          <w:rFonts w:hint="eastAsia" w:ascii="Times New Roman" w:hAnsi="Times New Roman" w:cs="Times New Roman" w:eastAsiaTheme="minorEastAsia"/>
          <w:color w:val="auto"/>
          <w:sz w:val="24"/>
          <w:szCs w:val="24"/>
          <w:u w:val="single"/>
          <w:lang w:val="en-US" w:eastAsia="zh-CN"/>
        </w:rPr>
        <w:t>0</w:t>
      </w:r>
      <w:r>
        <w:rPr>
          <w:rFonts w:ascii="Times New Roman" w:hAnsi="Times New Roman" w:cs="Times New Roman" w:eastAsiaTheme="minorEastAsia"/>
          <w:color w:val="auto"/>
          <w:sz w:val="24"/>
          <w:szCs w:val="24"/>
          <w:u w:val="single"/>
        </w:rPr>
        <w:t>月</w:t>
      </w:r>
      <w:r>
        <w:rPr>
          <w:rFonts w:hint="eastAsia" w:ascii="Times New Roman" w:hAnsi="Times New Roman" w:cs="Times New Roman" w:eastAsiaTheme="minorEastAsia"/>
          <w:color w:val="auto"/>
          <w:sz w:val="24"/>
          <w:szCs w:val="24"/>
          <w:u w:val="single"/>
          <w:lang w:val="en-US" w:eastAsia="zh-CN"/>
        </w:rPr>
        <w:t>26</w:t>
      </w:r>
      <w:r>
        <w:rPr>
          <w:rFonts w:ascii="Times New Roman" w:hAnsi="Times New Roman" w:cs="Times New Roman" w:eastAsiaTheme="minorEastAsia"/>
          <w:color w:val="auto"/>
          <w:sz w:val="24"/>
          <w:szCs w:val="24"/>
          <w:u w:val="single"/>
        </w:rPr>
        <w:t>日起施行；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u w:val="single"/>
        </w:rPr>
      </w:pPr>
      <w:r>
        <w:rPr>
          <w:rFonts w:ascii="Times New Roman" w:hAnsi="Times New Roman" w:cs="Times New Roman" w:eastAsiaTheme="minorEastAsia"/>
          <w:color w:val="auto"/>
          <w:sz w:val="24"/>
          <w:szCs w:val="24"/>
          <w:u w:val="single"/>
        </w:rPr>
        <w:t>《中华人民共和国节约能源法》，20</w:t>
      </w:r>
      <w:r>
        <w:rPr>
          <w:rFonts w:hint="eastAsia" w:ascii="Times New Roman" w:hAnsi="Times New Roman" w:cs="Times New Roman" w:eastAsiaTheme="minorEastAsia"/>
          <w:color w:val="auto"/>
          <w:sz w:val="24"/>
          <w:szCs w:val="24"/>
          <w:u w:val="single"/>
          <w:lang w:val="en-US" w:eastAsia="zh-CN"/>
        </w:rPr>
        <w:t>18</w:t>
      </w:r>
      <w:r>
        <w:rPr>
          <w:rFonts w:ascii="Times New Roman" w:hAnsi="Times New Roman" w:cs="Times New Roman" w:eastAsiaTheme="minorEastAsia"/>
          <w:color w:val="auto"/>
          <w:sz w:val="24"/>
          <w:szCs w:val="24"/>
          <w:u w:val="single"/>
        </w:rPr>
        <w:t>年10月2</w:t>
      </w:r>
      <w:r>
        <w:rPr>
          <w:rFonts w:hint="eastAsia" w:ascii="Times New Roman" w:hAnsi="Times New Roman" w:cs="Times New Roman" w:eastAsiaTheme="minorEastAsia"/>
          <w:color w:val="auto"/>
          <w:sz w:val="24"/>
          <w:szCs w:val="24"/>
          <w:u w:val="single"/>
          <w:lang w:val="en-US" w:eastAsia="zh-CN"/>
        </w:rPr>
        <w:t>6</w:t>
      </w:r>
      <w:r>
        <w:rPr>
          <w:rFonts w:ascii="Times New Roman" w:hAnsi="Times New Roman" w:cs="Times New Roman" w:eastAsiaTheme="minorEastAsia"/>
          <w:color w:val="auto"/>
          <w:sz w:val="24"/>
          <w:szCs w:val="24"/>
          <w:u w:val="single"/>
        </w:rPr>
        <w:t>日；</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bCs/>
          <w:color w:val="auto"/>
          <w:sz w:val="24"/>
          <w:szCs w:val="24"/>
        </w:rPr>
        <w:t>《中华人民共和国可再生能源法》</w:t>
      </w:r>
      <w:r>
        <w:rPr>
          <w:rFonts w:ascii="Times New Roman" w:hAnsi="Times New Roman" w:cs="Times New Roman" w:eastAsiaTheme="minorEastAsia"/>
          <w:color w:val="auto"/>
          <w:sz w:val="24"/>
          <w:szCs w:val="24"/>
        </w:rPr>
        <w:t xml:space="preserve"> 2006年1月1日；</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《中华人民共和国土地管理法》，2004年8月28日修订并施行；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《中华人民共和国城乡规划法》，2015年4月24日修订并施行；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《中华人民共和国水土保持法》 2010年12月25日修订，2011年3月1日起施行；</w:t>
      </w:r>
    </w:p>
    <w:p>
      <w:pPr>
        <w:numPr>
          <w:ilvl w:val="0"/>
          <w:numId w:val="3"/>
        </w:numPr>
        <w:tabs>
          <w:tab w:val="left" w:pos="1260"/>
        </w:tabs>
        <w:spacing w:line="480" w:lineRule="exact"/>
        <w:ind w:left="0" w:firstLine="480" w:firstLineChars="200"/>
        <w:jc w:val="left"/>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《中华人民共和国安全生产法》 2014年8月31日修订，</w:t>
      </w:r>
      <w:r>
        <w:rPr>
          <w:rFonts w:ascii="Times New Roman" w:hAnsi="Times New Roman" w:cs="Times New Roman" w:eastAsiaTheme="minorEastAsia"/>
          <w:color w:val="auto"/>
          <w:kern w:val="0"/>
          <w:sz w:val="24"/>
          <w:szCs w:val="24"/>
        </w:rPr>
        <w:t>2014</w:t>
      </w:r>
      <w:r>
        <w:rPr>
          <w:rFonts w:ascii="Times New Roman" w:hAnsi="Times New Roman" w:cs="Times New Roman" w:eastAsiaTheme="minorEastAsia"/>
          <w:color w:val="auto"/>
          <w:sz w:val="24"/>
          <w:szCs w:val="24"/>
        </w:rPr>
        <w:t>年</w:t>
      </w:r>
      <w:r>
        <w:rPr>
          <w:rFonts w:ascii="Times New Roman" w:hAnsi="Times New Roman" w:cs="Times New Roman" w:eastAsiaTheme="minorEastAsia"/>
          <w:color w:val="auto"/>
          <w:kern w:val="0"/>
          <w:sz w:val="24"/>
          <w:szCs w:val="24"/>
        </w:rPr>
        <w:t>12</w:t>
      </w:r>
      <w:r>
        <w:rPr>
          <w:rFonts w:ascii="Times New Roman" w:hAnsi="Times New Roman" w:cs="Times New Roman" w:eastAsiaTheme="minorEastAsia"/>
          <w:color w:val="auto"/>
          <w:sz w:val="24"/>
          <w:szCs w:val="24"/>
        </w:rPr>
        <w:t>月</w:t>
      </w:r>
      <w:r>
        <w:rPr>
          <w:rFonts w:ascii="Times New Roman" w:hAnsi="Times New Roman" w:cs="Times New Roman" w:eastAsiaTheme="minorEastAsia"/>
          <w:color w:val="auto"/>
          <w:kern w:val="0"/>
          <w:sz w:val="24"/>
          <w:szCs w:val="24"/>
        </w:rPr>
        <w:t>1</w:t>
      </w:r>
      <w:r>
        <w:rPr>
          <w:rFonts w:ascii="Times New Roman" w:hAnsi="Times New Roman" w:cs="Times New Roman" w:eastAsiaTheme="minorEastAsia"/>
          <w:color w:val="auto"/>
          <w:sz w:val="24"/>
          <w:szCs w:val="24"/>
        </w:rPr>
        <w:t>日起施行</w:t>
      </w:r>
      <w:r>
        <w:rPr>
          <w:rFonts w:ascii="Times New Roman" w:hAnsi="Times New Roman" w:cs="Times New Roman" w:eastAsiaTheme="minorEastAsia"/>
          <w:color w:val="auto"/>
          <w:kern w:val="0"/>
          <w:sz w:val="24"/>
          <w:szCs w:val="24"/>
        </w:rPr>
        <w:t>；</w:t>
      </w:r>
    </w:p>
    <w:p>
      <w:pPr>
        <w:pStyle w:val="7"/>
        <w:spacing w:before="120" w:beforeLines="0" w:after="120" w:afterLines="0"/>
        <w:rPr>
          <w:color w:val="auto"/>
        </w:rPr>
      </w:pPr>
      <w:bookmarkStart w:id="17" w:name="_Toc665"/>
      <w:bookmarkStart w:id="18" w:name="_Toc14916"/>
      <w:bookmarkStart w:id="19" w:name="_Toc28050"/>
      <w:r>
        <w:rPr>
          <w:color w:val="auto"/>
        </w:rPr>
        <w:t>法规、部门规章及规范性文件</w:t>
      </w:r>
      <w:bookmarkEnd w:id="17"/>
      <w:bookmarkEnd w:id="18"/>
      <w:bookmarkEnd w:id="19"/>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rPr>
      </w:pPr>
      <w:r>
        <w:rPr>
          <w:rFonts w:ascii="Times New Roman" w:hAnsi="Times New Roman" w:cs="Times New Roman"/>
          <w:color w:val="auto"/>
          <w:sz w:val="24"/>
        </w:rPr>
        <w:t>《建设项目环境保护管理条例》 2017.7.16修订，2017.10.1起施行；</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rPr>
      </w:pPr>
      <w:r>
        <w:rPr>
          <w:rFonts w:ascii="Times New Roman" w:hAnsi="Times New Roman" w:cs="Times New Roman"/>
          <w:color w:val="auto"/>
          <w:sz w:val="24"/>
        </w:rPr>
        <w:t>《危险化学品安全管理条例》2013.12；</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rPr>
      </w:pPr>
      <w:r>
        <w:rPr>
          <w:rFonts w:ascii="Times New Roman" w:hAnsi="Times New Roman" w:cs="Times New Roman"/>
          <w:color w:val="auto"/>
          <w:sz w:val="24"/>
        </w:rPr>
        <w:t>《危险废物经营许可证管理办法》2016.2修订；</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《产业结构调整指导目录》（2011年本）（2013年修正）；</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《部分工业行业淘汰落后生产工艺装备和产品指导目录（2010年本）》（工产业〔2010〕第122号）；</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《国家危险废物名录》2016 版；</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《危险废物转移联单管理办法》</w:t>
      </w:r>
      <w:r>
        <w:rPr>
          <w:rFonts w:ascii="Times New Roman" w:hAnsi="Times New Roman" w:cs="Times New Roman"/>
          <w:color w:val="auto"/>
          <w:sz w:val="24"/>
        </w:rPr>
        <w:t>（原国家环保总局第5号令）；</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《建设项目环境影响评价分类管理名录》（生态环境部2018年修订）</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《国务院关于加强环境保护重点工作的意见》国发【2011】35号文；</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《关于进一步加强环境影响评价管理防范环境风险的通知》环发【2012】77号；</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《关于切实加强风险防范严格环境影响评价管理的通知》环发【2012】98号文；</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《突发环境事件应急预案管理暂行办法》环发【2010】113号</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《关于落实大气污染防治行动计划严格环境影响评价准入的通知》环办【2014】30号文；</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《大气污染防治行动计划》（2013年09月12日）；</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《水污染防治行动计划》（2015年4月2日）；</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《土壤污染防治行动计划》（2016年5月）；</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《“十三五”环境影响评价改革实施方案》（环环评[2016]95号）；</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《关于以改善环境质量为核心加强环境影响评价管理的通知》（环环评[2016]150号）；</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《关于做好环境影响评价制度与排污许可制衔接相关工作的通知》（环办环评[2017]84号）；</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关于印发《排污许可证管理暂行规定》的通知（环水体[2016]186号，2016.12.23）；</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《关于印发&lt;建设项目环境影响评价政府信息公开指南（试行）&gt;的通知》（环办[2013]103号）；</w:t>
      </w:r>
    </w:p>
    <w:p>
      <w:pPr>
        <w:numPr>
          <w:ilvl w:val="0"/>
          <w:numId w:val="4"/>
        </w:numPr>
        <w:tabs>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rPr>
        <w:t>《国务院办公厅关于印发危险化学品安全综合治理方案的通知》 （国办发〔2016〕88号）</w:t>
      </w:r>
    </w:p>
    <w:p>
      <w:pPr>
        <w:pStyle w:val="5"/>
        <w:numPr>
          <w:ilvl w:val="0"/>
          <w:numId w:val="4"/>
        </w:numPr>
        <w:tabs>
          <w:tab w:val="left" w:pos="567"/>
        </w:tabs>
        <w:spacing w:line="480" w:lineRule="exact"/>
        <w:ind w:left="0" w:firstLine="480" w:firstLineChars="0"/>
        <w:jc w:val="left"/>
        <w:rPr>
          <w:color w:val="auto"/>
          <w:szCs w:val="24"/>
        </w:rPr>
      </w:pPr>
      <w:r>
        <w:rPr>
          <w:color w:val="auto"/>
          <w:szCs w:val="24"/>
        </w:rPr>
        <w:t>《湖南省建设项目环境保护管理办法》湖南省人民政府令2007.10.1；</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《湖南省环境保护条例》（2013年修正）湖南省人大常委会。</w:t>
      </w:r>
    </w:p>
    <w:p>
      <w:pPr>
        <w:numPr>
          <w:ilvl w:val="0"/>
          <w:numId w:val="4"/>
        </w:numPr>
        <w:tabs>
          <w:tab w:val="left" w:pos="567"/>
          <w:tab w:val="left" w:pos="1260"/>
        </w:tabs>
        <w:spacing w:line="480" w:lineRule="exact"/>
        <w:ind w:left="0" w:firstLine="480" w:firstLineChars="200"/>
        <w:jc w:val="left"/>
        <w:rPr>
          <w:rFonts w:ascii="Times New Roman" w:hAnsi="Times New Roman" w:cs="Times New Roman"/>
          <w:color w:val="auto"/>
          <w:sz w:val="24"/>
          <w:szCs w:val="24"/>
        </w:rPr>
      </w:pPr>
      <w:r>
        <w:rPr>
          <w:rFonts w:ascii="Times New Roman" w:hAnsi="Times New Roman" w:cs="Times New Roman"/>
          <w:color w:val="auto"/>
          <w:sz w:val="24"/>
          <w:szCs w:val="24"/>
        </w:rPr>
        <w:t>关于做好环境影响评价制度与排污许可制衔接相关工作的通知(环办环评[2017]84号)</w:t>
      </w:r>
    </w:p>
    <w:p>
      <w:pPr>
        <w:pStyle w:val="7"/>
        <w:spacing w:before="120" w:beforeLines="0" w:after="120" w:afterLines="0"/>
        <w:rPr>
          <w:color w:val="auto"/>
        </w:rPr>
      </w:pPr>
      <w:bookmarkStart w:id="20" w:name="_Toc25330"/>
      <w:bookmarkStart w:id="21" w:name="_Toc15378"/>
      <w:bookmarkStart w:id="22" w:name="_Toc220122760"/>
      <w:bookmarkStart w:id="23" w:name="_Toc219258490"/>
      <w:bookmarkStart w:id="24" w:name="_Toc9384"/>
      <w:r>
        <w:rPr>
          <w:color w:val="auto"/>
        </w:rPr>
        <w:t>技术导则及规范</w:t>
      </w:r>
      <w:bookmarkEnd w:id="20"/>
      <w:bookmarkEnd w:id="21"/>
      <w:bookmarkEnd w:id="22"/>
      <w:bookmarkEnd w:id="23"/>
      <w:bookmarkEnd w:id="24"/>
    </w:p>
    <w:p>
      <w:pPr>
        <w:pStyle w:val="5"/>
        <w:numPr>
          <w:ilvl w:val="2"/>
          <w:numId w:val="5"/>
        </w:numPr>
        <w:spacing w:line="480" w:lineRule="exact"/>
        <w:ind w:left="0" w:firstLine="480" w:firstLineChars="0"/>
        <w:rPr>
          <w:snapToGrid w:val="0"/>
          <w:color w:val="auto"/>
          <w:kern w:val="0"/>
        </w:rPr>
      </w:pPr>
      <w:r>
        <w:rPr>
          <w:snapToGrid w:val="0"/>
          <w:color w:val="auto"/>
          <w:kern w:val="0"/>
        </w:rPr>
        <w:t>《建设项目环境影响评价技术导则  总纲》（HJ2.1-2016）；</w:t>
      </w:r>
    </w:p>
    <w:p>
      <w:pPr>
        <w:pStyle w:val="5"/>
        <w:numPr>
          <w:ilvl w:val="2"/>
          <w:numId w:val="5"/>
        </w:numPr>
        <w:spacing w:line="480" w:lineRule="exact"/>
        <w:ind w:left="0" w:firstLine="480" w:firstLineChars="0"/>
        <w:rPr>
          <w:snapToGrid w:val="0"/>
          <w:color w:val="auto"/>
          <w:kern w:val="0"/>
        </w:rPr>
      </w:pPr>
      <w:r>
        <w:rPr>
          <w:snapToGrid w:val="0"/>
          <w:color w:val="auto"/>
          <w:kern w:val="0"/>
        </w:rPr>
        <w:t>《环境影响评价技术导则  大气环境》（HJ2.2-2018）；</w:t>
      </w:r>
    </w:p>
    <w:p>
      <w:pPr>
        <w:pStyle w:val="5"/>
        <w:numPr>
          <w:ilvl w:val="2"/>
          <w:numId w:val="5"/>
        </w:numPr>
        <w:adjustRightInd w:val="0"/>
        <w:snapToGrid w:val="0"/>
        <w:spacing w:line="480" w:lineRule="exact"/>
        <w:ind w:left="0" w:firstLine="480" w:firstLineChars="0"/>
        <w:rPr>
          <w:snapToGrid w:val="0"/>
          <w:color w:val="auto"/>
          <w:kern w:val="0"/>
        </w:rPr>
      </w:pPr>
      <w:bookmarkStart w:id="25" w:name="_Toc219258491"/>
      <w:r>
        <w:rPr>
          <w:rFonts w:hint="eastAsia"/>
          <w:snapToGrid w:val="0"/>
          <w:color w:val="auto"/>
          <w:kern w:val="0"/>
        </w:rPr>
        <w:t>《环境影响评价技术导则</w:t>
      </w:r>
      <w:r>
        <w:rPr>
          <w:snapToGrid w:val="0"/>
          <w:color w:val="auto"/>
          <w:kern w:val="0"/>
        </w:rPr>
        <w:t xml:space="preserve">  </w:t>
      </w:r>
      <w:r>
        <w:rPr>
          <w:rFonts w:hint="eastAsia"/>
          <w:snapToGrid w:val="0"/>
          <w:color w:val="auto"/>
          <w:kern w:val="0"/>
        </w:rPr>
        <w:t>地</w:t>
      </w:r>
      <w:r>
        <w:rPr>
          <w:rFonts w:hint="eastAsia"/>
          <w:snapToGrid w:val="0"/>
          <w:color w:val="auto"/>
          <w:kern w:val="0"/>
          <w:lang w:eastAsia="zh-CN"/>
        </w:rPr>
        <w:t>表</w:t>
      </w:r>
      <w:r>
        <w:rPr>
          <w:rFonts w:hint="eastAsia"/>
          <w:snapToGrid w:val="0"/>
          <w:color w:val="auto"/>
          <w:kern w:val="0"/>
        </w:rPr>
        <w:t>水环境》（</w:t>
      </w:r>
      <w:r>
        <w:rPr>
          <w:snapToGrid w:val="0"/>
          <w:color w:val="auto"/>
          <w:kern w:val="0"/>
        </w:rPr>
        <w:t>HJ</w:t>
      </w:r>
      <w:r>
        <w:rPr>
          <w:rFonts w:hint="eastAsia"/>
          <w:snapToGrid w:val="0"/>
          <w:color w:val="auto"/>
          <w:kern w:val="0"/>
          <w:lang w:val="en-US" w:eastAsia="zh-CN"/>
        </w:rPr>
        <w:t>2</w:t>
      </w:r>
      <w:r>
        <w:rPr>
          <w:snapToGrid w:val="0"/>
          <w:color w:val="auto"/>
          <w:kern w:val="0"/>
        </w:rPr>
        <w:t>.3-2018</w:t>
      </w:r>
      <w:r>
        <w:rPr>
          <w:rFonts w:hint="eastAsia"/>
          <w:snapToGrid w:val="0"/>
          <w:color w:val="auto"/>
          <w:kern w:val="0"/>
        </w:rPr>
        <w:t>）；</w:t>
      </w:r>
    </w:p>
    <w:p>
      <w:pPr>
        <w:pStyle w:val="5"/>
        <w:numPr>
          <w:ilvl w:val="2"/>
          <w:numId w:val="5"/>
        </w:numPr>
        <w:adjustRightInd w:val="0"/>
        <w:snapToGrid w:val="0"/>
        <w:spacing w:line="480" w:lineRule="exact"/>
        <w:ind w:left="0" w:firstLine="480" w:firstLineChars="0"/>
        <w:rPr>
          <w:snapToGrid w:val="0"/>
          <w:color w:val="auto"/>
          <w:kern w:val="0"/>
        </w:rPr>
      </w:pPr>
      <w:r>
        <w:rPr>
          <w:rFonts w:hint="eastAsia"/>
          <w:snapToGrid w:val="0"/>
          <w:color w:val="auto"/>
          <w:kern w:val="0"/>
        </w:rPr>
        <w:t>《环境影响评价技术导则</w:t>
      </w:r>
      <w:r>
        <w:rPr>
          <w:snapToGrid w:val="0"/>
          <w:color w:val="auto"/>
          <w:kern w:val="0"/>
        </w:rPr>
        <w:t xml:space="preserve">  </w:t>
      </w:r>
      <w:r>
        <w:rPr>
          <w:rFonts w:hint="eastAsia"/>
          <w:snapToGrid w:val="0"/>
          <w:color w:val="auto"/>
          <w:kern w:val="0"/>
        </w:rPr>
        <w:t>地下水环境》（</w:t>
      </w:r>
      <w:r>
        <w:rPr>
          <w:snapToGrid w:val="0"/>
          <w:color w:val="auto"/>
          <w:kern w:val="0"/>
        </w:rPr>
        <w:t>HJ610-2016</w:t>
      </w:r>
      <w:r>
        <w:rPr>
          <w:rFonts w:hint="eastAsia"/>
          <w:snapToGrid w:val="0"/>
          <w:color w:val="auto"/>
          <w:kern w:val="0"/>
        </w:rPr>
        <w:t>）；</w:t>
      </w:r>
    </w:p>
    <w:p>
      <w:pPr>
        <w:pStyle w:val="5"/>
        <w:numPr>
          <w:ilvl w:val="2"/>
          <w:numId w:val="5"/>
        </w:numPr>
        <w:adjustRightInd w:val="0"/>
        <w:snapToGrid w:val="0"/>
        <w:spacing w:line="480" w:lineRule="exact"/>
        <w:ind w:left="0" w:firstLine="480" w:firstLineChars="0"/>
        <w:rPr>
          <w:snapToGrid w:val="0"/>
          <w:color w:val="auto"/>
          <w:kern w:val="0"/>
        </w:rPr>
      </w:pPr>
      <w:r>
        <w:rPr>
          <w:rFonts w:hint="eastAsia"/>
          <w:snapToGrid w:val="0"/>
          <w:color w:val="auto"/>
          <w:kern w:val="0"/>
        </w:rPr>
        <w:t>《环境影响评价技术导则</w:t>
      </w:r>
      <w:r>
        <w:rPr>
          <w:snapToGrid w:val="0"/>
          <w:color w:val="auto"/>
          <w:kern w:val="0"/>
        </w:rPr>
        <w:t xml:space="preserve">  </w:t>
      </w:r>
      <w:r>
        <w:rPr>
          <w:rFonts w:hint="eastAsia"/>
          <w:snapToGrid w:val="0"/>
          <w:color w:val="auto"/>
          <w:kern w:val="0"/>
        </w:rPr>
        <w:t>声环境》（</w:t>
      </w:r>
      <w:r>
        <w:rPr>
          <w:snapToGrid w:val="0"/>
          <w:color w:val="auto"/>
          <w:kern w:val="0"/>
        </w:rPr>
        <w:t>HJ2.4-2009</w:t>
      </w:r>
      <w:r>
        <w:rPr>
          <w:rFonts w:hint="eastAsia"/>
          <w:snapToGrid w:val="0"/>
          <w:color w:val="auto"/>
          <w:kern w:val="0"/>
        </w:rPr>
        <w:t>）；</w:t>
      </w:r>
    </w:p>
    <w:p>
      <w:pPr>
        <w:pStyle w:val="5"/>
        <w:numPr>
          <w:ilvl w:val="2"/>
          <w:numId w:val="5"/>
        </w:numPr>
        <w:adjustRightInd w:val="0"/>
        <w:snapToGrid w:val="0"/>
        <w:spacing w:line="480" w:lineRule="exact"/>
        <w:ind w:left="0" w:firstLine="480" w:firstLineChars="0"/>
        <w:rPr>
          <w:snapToGrid w:val="0"/>
          <w:color w:val="auto"/>
          <w:kern w:val="0"/>
        </w:rPr>
      </w:pPr>
      <w:r>
        <w:rPr>
          <w:rFonts w:hint="eastAsia"/>
          <w:snapToGrid w:val="0"/>
          <w:color w:val="auto"/>
          <w:kern w:val="0"/>
        </w:rPr>
        <w:t>《建设项目环境风险评价技术导则》（</w:t>
      </w:r>
      <w:r>
        <w:rPr>
          <w:snapToGrid w:val="0"/>
          <w:color w:val="auto"/>
          <w:kern w:val="0"/>
        </w:rPr>
        <w:t>HJ</w:t>
      </w:r>
      <w:r>
        <w:rPr>
          <w:rFonts w:hint="eastAsia"/>
          <w:snapToGrid w:val="0"/>
          <w:color w:val="auto"/>
          <w:kern w:val="0"/>
          <w:lang w:val="en-US" w:eastAsia="zh-CN"/>
        </w:rPr>
        <w:t>1</w:t>
      </w:r>
      <w:r>
        <w:rPr>
          <w:snapToGrid w:val="0"/>
          <w:color w:val="auto"/>
          <w:kern w:val="0"/>
        </w:rPr>
        <w:t>69-2018</w:t>
      </w:r>
      <w:r>
        <w:rPr>
          <w:rFonts w:hint="eastAsia"/>
          <w:snapToGrid w:val="0"/>
          <w:color w:val="auto"/>
          <w:kern w:val="0"/>
        </w:rPr>
        <w:t>）；</w:t>
      </w:r>
    </w:p>
    <w:p>
      <w:pPr>
        <w:pStyle w:val="5"/>
        <w:numPr>
          <w:ilvl w:val="2"/>
          <w:numId w:val="5"/>
        </w:numPr>
        <w:adjustRightInd w:val="0"/>
        <w:snapToGrid w:val="0"/>
        <w:spacing w:line="480" w:lineRule="exact"/>
        <w:ind w:left="0" w:firstLine="480" w:firstLineChars="0"/>
        <w:rPr>
          <w:snapToGrid w:val="0"/>
          <w:color w:val="auto"/>
          <w:kern w:val="0"/>
        </w:rPr>
      </w:pPr>
      <w:r>
        <w:rPr>
          <w:rFonts w:hint="eastAsia"/>
          <w:color w:val="auto"/>
        </w:rPr>
        <w:t>《环境影响评价技术导则</w:t>
      </w:r>
      <w:r>
        <w:rPr>
          <w:color w:val="auto"/>
        </w:rPr>
        <w:t xml:space="preserve">  </w:t>
      </w:r>
      <w:r>
        <w:rPr>
          <w:rFonts w:hint="eastAsia"/>
          <w:color w:val="auto"/>
        </w:rPr>
        <w:t>生态影响》（</w:t>
      </w:r>
      <w:r>
        <w:rPr>
          <w:color w:val="auto"/>
        </w:rPr>
        <w:t>HJ19-2011</w:t>
      </w:r>
      <w:r>
        <w:rPr>
          <w:rFonts w:hint="eastAsia"/>
          <w:color w:val="auto"/>
        </w:rPr>
        <w:t>）；</w:t>
      </w:r>
    </w:p>
    <w:p>
      <w:pPr>
        <w:pStyle w:val="5"/>
        <w:numPr>
          <w:ilvl w:val="2"/>
          <w:numId w:val="5"/>
        </w:numPr>
        <w:adjustRightInd w:val="0"/>
        <w:snapToGrid w:val="0"/>
        <w:spacing w:line="480" w:lineRule="exact"/>
        <w:ind w:left="0" w:firstLine="480" w:firstLineChars="0"/>
        <w:rPr>
          <w:snapToGrid w:val="0"/>
          <w:color w:val="auto"/>
          <w:kern w:val="0"/>
        </w:rPr>
      </w:pPr>
      <w:r>
        <w:rPr>
          <w:rFonts w:hint="eastAsia"/>
          <w:snapToGrid w:val="0"/>
          <w:color w:val="auto"/>
          <w:kern w:val="0"/>
        </w:rPr>
        <w:t>《环境影响评价技术导则</w:t>
      </w:r>
      <w:r>
        <w:rPr>
          <w:snapToGrid w:val="0"/>
          <w:color w:val="auto"/>
          <w:kern w:val="0"/>
        </w:rPr>
        <w:t xml:space="preserve">  </w:t>
      </w:r>
      <w:r>
        <w:rPr>
          <w:rFonts w:hint="eastAsia"/>
          <w:snapToGrid w:val="0"/>
          <w:color w:val="auto"/>
          <w:kern w:val="0"/>
          <w:lang w:eastAsia="zh-CN"/>
        </w:rPr>
        <w:t>土壤</w:t>
      </w:r>
      <w:r>
        <w:rPr>
          <w:rFonts w:hint="eastAsia"/>
          <w:snapToGrid w:val="0"/>
          <w:color w:val="auto"/>
          <w:kern w:val="0"/>
        </w:rPr>
        <w:t>环境》（</w:t>
      </w:r>
      <w:r>
        <w:rPr>
          <w:snapToGrid w:val="0"/>
          <w:color w:val="auto"/>
          <w:kern w:val="0"/>
        </w:rPr>
        <w:t>HJ</w:t>
      </w:r>
      <w:r>
        <w:rPr>
          <w:rFonts w:hint="eastAsia"/>
          <w:snapToGrid w:val="0"/>
          <w:color w:val="auto"/>
          <w:kern w:val="0"/>
          <w:lang w:val="en-US" w:eastAsia="zh-CN"/>
        </w:rPr>
        <w:t>964</w:t>
      </w:r>
      <w:r>
        <w:rPr>
          <w:snapToGrid w:val="0"/>
          <w:color w:val="auto"/>
          <w:kern w:val="0"/>
        </w:rPr>
        <w:t>-2018</w:t>
      </w:r>
      <w:r>
        <w:rPr>
          <w:rFonts w:hint="eastAsia"/>
          <w:snapToGrid w:val="0"/>
          <w:color w:val="auto"/>
          <w:kern w:val="0"/>
        </w:rPr>
        <w:t>）</w:t>
      </w:r>
    </w:p>
    <w:p>
      <w:pPr>
        <w:pStyle w:val="5"/>
        <w:numPr>
          <w:ilvl w:val="2"/>
          <w:numId w:val="5"/>
        </w:numPr>
        <w:adjustRightInd w:val="0"/>
        <w:snapToGrid w:val="0"/>
        <w:spacing w:line="480" w:lineRule="exact"/>
        <w:ind w:left="0" w:firstLine="480" w:firstLineChars="0"/>
        <w:rPr>
          <w:color w:val="auto"/>
          <w:kern w:val="0"/>
        </w:rPr>
      </w:pPr>
      <w:r>
        <w:rPr>
          <w:rFonts w:hint="eastAsia"/>
          <w:color w:val="auto"/>
          <w:kern w:val="0"/>
        </w:rPr>
        <w:t>《</w:t>
      </w:r>
      <w:r>
        <w:rPr>
          <w:rFonts w:hint="eastAsia"/>
          <w:color w:val="auto"/>
        </w:rPr>
        <w:t>危险化学品</w:t>
      </w:r>
      <w:r>
        <w:rPr>
          <w:rFonts w:hint="eastAsia"/>
          <w:color w:val="auto"/>
          <w:kern w:val="0"/>
        </w:rPr>
        <w:t>重大危险源辨识》（</w:t>
      </w:r>
      <w:r>
        <w:rPr>
          <w:color w:val="auto"/>
          <w:kern w:val="0"/>
        </w:rPr>
        <w:t>GB18218-20</w:t>
      </w:r>
      <w:r>
        <w:rPr>
          <w:rFonts w:hint="eastAsia"/>
          <w:color w:val="auto"/>
          <w:kern w:val="0"/>
          <w:lang w:val="en-US" w:eastAsia="zh-CN"/>
        </w:rPr>
        <w:t>18</w:t>
      </w:r>
      <w:r>
        <w:rPr>
          <w:rFonts w:hint="eastAsia"/>
          <w:color w:val="auto"/>
          <w:kern w:val="0"/>
        </w:rPr>
        <w:t>）；</w:t>
      </w:r>
    </w:p>
    <w:p>
      <w:pPr>
        <w:pStyle w:val="5"/>
        <w:numPr>
          <w:ilvl w:val="2"/>
          <w:numId w:val="5"/>
        </w:numPr>
        <w:spacing w:line="480" w:lineRule="exact"/>
        <w:ind w:left="0" w:firstLine="480" w:firstLineChars="0"/>
        <w:rPr>
          <w:color w:val="auto"/>
          <w:kern w:val="0"/>
        </w:rPr>
      </w:pPr>
      <w:r>
        <w:rPr>
          <w:color w:val="auto"/>
        </w:rPr>
        <w:t>《地表水和污水监测技术规范》（HJ/T91-2002）；</w:t>
      </w:r>
    </w:p>
    <w:p>
      <w:pPr>
        <w:pStyle w:val="5"/>
        <w:numPr>
          <w:ilvl w:val="2"/>
          <w:numId w:val="5"/>
        </w:numPr>
        <w:spacing w:line="480" w:lineRule="exact"/>
        <w:ind w:left="0" w:firstLine="480" w:firstLineChars="0"/>
        <w:rPr>
          <w:color w:val="auto"/>
          <w:kern w:val="0"/>
        </w:rPr>
      </w:pPr>
      <w:r>
        <w:rPr>
          <w:color w:val="auto"/>
        </w:rPr>
        <w:t>《地下水环境监测技术规范》（HJ/T164-2004）；</w:t>
      </w:r>
    </w:p>
    <w:p>
      <w:pPr>
        <w:pStyle w:val="5"/>
        <w:numPr>
          <w:ilvl w:val="2"/>
          <w:numId w:val="5"/>
        </w:numPr>
        <w:spacing w:line="480" w:lineRule="exact"/>
        <w:ind w:left="0" w:firstLine="480" w:firstLineChars="0"/>
        <w:rPr>
          <w:color w:val="auto"/>
          <w:kern w:val="0"/>
        </w:rPr>
      </w:pPr>
      <w:r>
        <w:rPr>
          <w:color w:val="auto"/>
        </w:rPr>
        <w:t>《大气污染治理工程技术导则》（HJ2000-2010）。</w:t>
      </w:r>
    </w:p>
    <w:p>
      <w:pPr>
        <w:pStyle w:val="5"/>
        <w:numPr>
          <w:ilvl w:val="2"/>
          <w:numId w:val="5"/>
        </w:numPr>
        <w:spacing w:line="480" w:lineRule="exact"/>
        <w:ind w:left="0" w:firstLine="480" w:firstLineChars="0"/>
        <w:rPr>
          <w:color w:val="auto"/>
          <w:kern w:val="0"/>
        </w:rPr>
      </w:pPr>
      <w:r>
        <w:rPr>
          <w:color w:val="auto"/>
        </w:rPr>
        <w:t>《建设项目危险废物环境影响评价指南》（环办【2017】第43号）</w:t>
      </w:r>
    </w:p>
    <w:p>
      <w:pPr>
        <w:pStyle w:val="7"/>
        <w:spacing w:before="120" w:beforeLines="0" w:after="120" w:afterLines="0"/>
        <w:rPr>
          <w:color w:val="auto"/>
        </w:rPr>
      </w:pPr>
      <w:bookmarkStart w:id="26" w:name="_Toc26872"/>
      <w:bookmarkStart w:id="27" w:name="_Toc27191"/>
      <w:bookmarkStart w:id="28" w:name="_Toc18392"/>
      <w:r>
        <w:rPr>
          <w:color w:val="auto"/>
        </w:rPr>
        <w:t>其他依据</w:t>
      </w:r>
      <w:bookmarkEnd w:id="25"/>
      <w:bookmarkEnd w:id="26"/>
      <w:bookmarkEnd w:id="27"/>
      <w:bookmarkEnd w:id="28"/>
    </w:p>
    <w:p>
      <w:pPr>
        <w:pStyle w:val="5"/>
        <w:ind w:firstLine="480"/>
        <w:rPr>
          <w:color w:val="auto"/>
        </w:rPr>
      </w:pPr>
      <w:r>
        <w:rPr>
          <w:color w:val="auto"/>
        </w:rPr>
        <w:t xml:space="preserve">（1）本项目环评合同； </w:t>
      </w:r>
    </w:p>
    <w:p>
      <w:pPr>
        <w:pStyle w:val="5"/>
        <w:ind w:firstLine="480"/>
        <w:rPr>
          <w:color w:val="auto"/>
        </w:rPr>
      </w:pPr>
      <w:r>
        <w:rPr>
          <w:color w:val="auto"/>
        </w:rPr>
        <w:t xml:space="preserve">（2）项目可行性研究报告； </w:t>
      </w:r>
    </w:p>
    <w:p>
      <w:pPr>
        <w:pStyle w:val="5"/>
        <w:ind w:firstLine="480"/>
        <w:rPr>
          <w:color w:val="auto"/>
        </w:rPr>
      </w:pPr>
      <w:r>
        <w:rPr>
          <w:color w:val="auto"/>
        </w:rPr>
        <w:t xml:space="preserve">（3）项目评价执行标准函； </w:t>
      </w:r>
    </w:p>
    <w:p>
      <w:pPr>
        <w:pStyle w:val="5"/>
        <w:ind w:firstLine="480"/>
        <w:rPr>
          <w:color w:val="auto"/>
        </w:rPr>
      </w:pPr>
      <w:r>
        <w:rPr>
          <w:color w:val="auto"/>
        </w:rPr>
        <w:t>（4）建设单位提供的其它资料。</w:t>
      </w:r>
    </w:p>
    <w:p>
      <w:pPr>
        <w:pStyle w:val="6"/>
        <w:spacing w:before="120" w:beforeLines="0" w:after="120" w:afterLines="0"/>
        <w:rPr>
          <w:color w:val="auto"/>
        </w:rPr>
      </w:pPr>
      <w:bookmarkStart w:id="29" w:name="_Toc4548"/>
      <w:bookmarkStart w:id="30" w:name="_Toc31584"/>
      <w:bookmarkStart w:id="31" w:name="_Toc32568"/>
      <w:bookmarkStart w:id="32" w:name="_Toc5545"/>
      <w:bookmarkStart w:id="33" w:name="_Toc304810271"/>
      <w:bookmarkStart w:id="34" w:name="_Toc306034521"/>
      <w:bookmarkStart w:id="35" w:name="_Toc220122761"/>
      <w:bookmarkStart w:id="36" w:name="_Toc280188811"/>
      <w:bookmarkStart w:id="37" w:name="_Toc219258492"/>
      <w:r>
        <w:rPr>
          <w:color w:val="auto"/>
        </w:rPr>
        <w:t>相关规划及环境功能区划</w:t>
      </w:r>
      <w:bookmarkEnd w:id="29"/>
      <w:bookmarkEnd w:id="30"/>
      <w:bookmarkEnd w:id="31"/>
      <w:bookmarkEnd w:id="32"/>
    </w:p>
    <w:p>
      <w:pPr>
        <w:pStyle w:val="7"/>
        <w:spacing w:before="120" w:beforeLines="0" w:after="120" w:afterLines="0"/>
        <w:rPr>
          <w:color w:val="auto"/>
        </w:rPr>
      </w:pPr>
      <w:bookmarkStart w:id="38" w:name="_Toc5782"/>
      <w:bookmarkStart w:id="39" w:name="_Toc16384"/>
      <w:bookmarkStart w:id="40" w:name="_Toc26156"/>
      <w:bookmarkStart w:id="41" w:name="_Toc220122763"/>
      <w:r>
        <w:rPr>
          <w:color w:val="auto"/>
        </w:rPr>
        <w:t>相关规划</w:t>
      </w:r>
      <w:bookmarkEnd w:id="38"/>
      <w:bookmarkEnd w:id="39"/>
      <w:bookmarkEnd w:id="40"/>
    </w:p>
    <w:bookmarkEnd w:id="41"/>
    <w:p>
      <w:pPr>
        <w:numPr>
          <w:ilvl w:val="0"/>
          <w:numId w:val="6"/>
        </w:numPr>
        <w:tabs>
          <w:tab w:val="left" w:pos="1260"/>
        </w:tabs>
        <w:spacing w:line="480" w:lineRule="exact"/>
        <w:jc w:val="left"/>
        <w:rPr>
          <w:rFonts w:ascii="Times New Roman" w:hAnsi="Times New Roman" w:cs="Times New Roman"/>
          <w:color w:val="auto"/>
          <w:sz w:val="24"/>
          <w:szCs w:val="24"/>
        </w:rPr>
      </w:pPr>
      <w:r>
        <w:rPr>
          <w:rFonts w:ascii="Times New Roman" w:hAnsi="Times New Roman" w:cs="Times New Roman"/>
          <w:color w:val="auto"/>
          <w:sz w:val="24"/>
          <w:szCs w:val="24"/>
        </w:rPr>
        <w:t>《国民经济和社会发展第十三个五年规划》2016年；</w:t>
      </w:r>
    </w:p>
    <w:p>
      <w:pPr>
        <w:numPr>
          <w:ilvl w:val="0"/>
          <w:numId w:val="6"/>
        </w:numPr>
        <w:tabs>
          <w:tab w:val="left" w:pos="1260"/>
        </w:tabs>
        <w:spacing w:line="480" w:lineRule="exact"/>
        <w:jc w:val="left"/>
        <w:rPr>
          <w:rFonts w:ascii="Times New Roman" w:hAnsi="Times New Roman" w:cs="Times New Roman"/>
          <w:color w:val="auto"/>
          <w:sz w:val="24"/>
          <w:szCs w:val="24"/>
        </w:rPr>
      </w:pPr>
      <w:r>
        <w:rPr>
          <w:rFonts w:ascii="Times New Roman" w:hAnsi="Times New Roman" w:cs="Times New Roman"/>
          <w:color w:val="auto"/>
          <w:sz w:val="24"/>
          <w:szCs w:val="24"/>
        </w:rPr>
        <w:t>《全国主体功能区划》国发【2010】46号；</w:t>
      </w:r>
    </w:p>
    <w:p>
      <w:pPr>
        <w:numPr>
          <w:ilvl w:val="0"/>
          <w:numId w:val="6"/>
        </w:numPr>
        <w:tabs>
          <w:tab w:val="left" w:pos="1260"/>
        </w:tabs>
        <w:spacing w:line="480" w:lineRule="exact"/>
        <w:jc w:val="left"/>
        <w:rPr>
          <w:rFonts w:ascii="Times New Roman" w:hAnsi="Times New Roman" w:cs="Times New Roman"/>
          <w:color w:val="auto"/>
          <w:sz w:val="24"/>
          <w:szCs w:val="24"/>
        </w:rPr>
      </w:pPr>
      <w:r>
        <w:rPr>
          <w:rFonts w:ascii="Times New Roman" w:hAnsi="Times New Roman" w:cs="Times New Roman"/>
          <w:color w:val="auto"/>
          <w:sz w:val="24"/>
          <w:szCs w:val="24"/>
        </w:rPr>
        <w:t>《湖南省国民经济和社会发展第十三个五年规划纲要》2016；</w:t>
      </w:r>
    </w:p>
    <w:p>
      <w:pPr>
        <w:pStyle w:val="5"/>
        <w:widowControl/>
        <w:numPr>
          <w:ilvl w:val="0"/>
          <w:numId w:val="6"/>
        </w:numPr>
        <w:adjustRightInd/>
        <w:snapToGrid/>
        <w:spacing w:line="480" w:lineRule="exact"/>
        <w:ind w:firstLineChars="0"/>
        <w:jc w:val="left"/>
        <w:rPr>
          <w:color w:val="auto"/>
          <w:szCs w:val="24"/>
        </w:rPr>
      </w:pPr>
      <w:r>
        <w:rPr>
          <w:color w:val="auto"/>
          <w:szCs w:val="24"/>
        </w:rPr>
        <w:t>《湖南省“十三五”环境保护规划》湘环【2016】25号；</w:t>
      </w:r>
    </w:p>
    <w:p>
      <w:pPr>
        <w:pStyle w:val="5"/>
        <w:widowControl/>
        <w:numPr>
          <w:ilvl w:val="0"/>
          <w:numId w:val="6"/>
        </w:numPr>
        <w:adjustRightInd/>
        <w:snapToGrid/>
        <w:spacing w:line="480" w:lineRule="exact"/>
        <w:ind w:firstLineChars="0"/>
        <w:jc w:val="left"/>
        <w:rPr>
          <w:color w:val="auto"/>
          <w:szCs w:val="24"/>
        </w:rPr>
      </w:pPr>
      <w:r>
        <w:rPr>
          <w:color w:val="auto"/>
          <w:szCs w:val="24"/>
        </w:rPr>
        <w:t>《岳阳市城市总体规划》（2008-2030年）；</w:t>
      </w:r>
    </w:p>
    <w:p>
      <w:pPr>
        <w:pStyle w:val="5"/>
        <w:widowControl/>
        <w:numPr>
          <w:ilvl w:val="0"/>
          <w:numId w:val="6"/>
        </w:numPr>
        <w:adjustRightInd/>
        <w:snapToGrid/>
        <w:spacing w:line="480" w:lineRule="exact"/>
        <w:ind w:firstLineChars="0"/>
        <w:jc w:val="left"/>
        <w:rPr>
          <w:color w:val="auto"/>
          <w:szCs w:val="24"/>
        </w:rPr>
      </w:pPr>
      <w:r>
        <w:rPr>
          <w:color w:val="auto"/>
          <w:szCs w:val="24"/>
        </w:rPr>
        <w:t>《岳阳市国民经济和社会发展第十三个五年规划》；</w:t>
      </w:r>
    </w:p>
    <w:p>
      <w:pPr>
        <w:pStyle w:val="5"/>
        <w:widowControl/>
        <w:numPr>
          <w:ilvl w:val="0"/>
          <w:numId w:val="6"/>
        </w:numPr>
        <w:adjustRightInd/>
        <w:snapToGrid/>
        <w:spacing w:line="480" w:lineRule="exact"/>
        <w:ind w:firstLineChars="0"/>
        <w:jc w:val="left"/>
        <w:rPr>
          <w:color w:val="auto"/>
          <w:szCs w:val="24"/>
        </w:rPr>
      </w:pPr>
      <w:r>
        <w:rPr>
          <w:color w:val="auto"/>
        </w:rPr>
        <w:t>《</w:t>
      </w:r>
      <w:r>
        <w:rPr>
          <w:color w:val="auto"/>
          <w:szCs w:val="24"/>
        </w:rPr>
        <w:t>岳阳市</w:t>
      </w:r>
      <w:r>
        <w:rPr>
          <w:color w:val="auto"/>
        </w:rPr>
        <w:t>环境保护和生态建设“十三五”规划》，2017年；</w:t>
      </w:r>
    </w:p>
    <w:p>
      <w:pPr>
        <w:pStyle w:val="5"/>
        <w:widowControl/>
        <w:numPr>
          <w:ilvl w:val="0"/>
          <w:numId w:val="6"/>
        </w:numPr>
        <w:adjustRightInd/>
        <w:snapToGrid/>
        <w:spacing w:line="480" w:lineRule="exact"/>
        <w:ind w:firstLineChars="0"/>
        <w:jc w:val="left"/>
        <w:rPr>
          <w:color w:val="auto"/>
          <w:szCs w:val="24"/>
        </w:rPr>
      </w:pPr>
      <w:r>
        <w:rPr>
          <w:color w:val="auto"/>
          <w:szCs w:val="24"/>
        </w:rPr>
        <w:t>《湖南省主要水系地表水环境功能区划》（DB 43/023-2005）</w:t>
      </w:r>
    </w:p>
    <w:p>
      <w:pPr>
        <w:pStyle w:val="5"/>
        <w:widowControl/>
        <w:numPr>
          <w:ilvl w:val="0"/>
          <w:numId w:val="6"/>
        </w:numPr>
        <w:adjustRightInd/>
        <w:snapToGrid/>
        <w:spacing w:line="480" w:lineRule="exact"/>
        <w:ind w:firstLineChars="0"/>
        <w:jc w:val="left"/>
        <w:rPr>
          <w:color w:val="auto"/>
          <w:szCs w:val="24"/>
        </w:rPr>
      </w:pPr>
      <w:r>
        <w:rPr>
          <w:color w:val="auto"/>
          <w:szCs w:val="24"/>
        </w:rPr>
        <w:t>《岳阳市水环境功能区划分》</w:t>
      </w:r>
    </w:p>
    <w:p>
      <w:pPr>
        <w:pStyle w:val="7"/>
        <w:spacing w:before="120" w:beforeLines="0" w:after="120" w:afterLines="0"/>
        <w:rPr>
          <w:color w:val="auto"/>
        </w:rPr>
      </w:pPr>
      <w:bookmarkStart w:id="42" w:name="_Toc10537"/>
      <w:bookmarkStart w:id="43" w:name="_Toc10662"/>
      <w:bookmarkStart w:id="44" w:name="_Toc14287"/>
      <w:r>
        <w:rPr>
          <w:color w:val="auto"/>
        </w:rPr>
        <w:t>环境功能区划</w:t>
      </w:r>
      <w:bookmarkEnd w:id="42"/>
      <w:bookmarkEnd w:id="43"/>
      <w:bookmarkEnd w:id="44"/>
    </w:p>
    <w:p>
      <w:pPr>
        <w:pStyle w:val="5"/>
        <w:ind w:firstLine="480"/>
        <w:rPr>
          <w:color w:val="auto"/>
        </w:rPr>
      </w:pPr>
      <w:r>
        <w:rPr>
          <w:color w:val="auto"/>
        </w:rPr>
        <w:t>本项目位于湖南岳阳云溪长岭片区中国石油化工股份有限公司长岭分公司厂内，项目所在区大气环境执行《环境空气质量标准》（GB3095-2012）中的二级标准；声环境 执行《声环境质量标准》（GB3096-2008）中的 3 类标准；项目废水经厂区污水处理系 统处理达标后排入长江，该江段执行《地表水环境质量标准》（GB3838- 2002）中 III 类标准；项目区地下水执行《地下水质量标准》（GB/T14848-2017）中的 III 类标准。</w:t>
      </w:r>
    </w:p>
    <w:p>
      <w:pPr>
        <w:pStyle w:val="5"/>
        <w:ind w:firstLine="480"/>
        <w:rPr>
          <w:color w:val="auto"/>
        </w:rPr>
      </w:pPr>
      <w:r>
        <w:rPr>
          <w:color w:val="auto"/>
        </w:rPr>
        <w:t>项目所在区域的环境功能属性见表1-1。</w:t>
      </w:r>
    </w:p>
    <w:p>
      <w:pPr>
        <w:pStyle w:val="18"/>
        <w:rPr>
          <w:color w:val="auto"/>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1</w:t>
      </w:r>
      <w:r>
        <w:rPr>
          <w:color w:val="auto"/>
        </w:rPr>
        <w:fldChar w:fldCharType="end"/>
      </w:r>
      <w:r>
        <w:rPr>
          <w:color w:val="auto"/>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color w:val="auto"/>
        </w:rPr>
        <w:t xml:space="preserve">  项目所在区域环境功能属性</w:t>
      </w:r>
    </w:p>
    <w:tbl>
      <w:tblPr>
        <w:tblStyle w:val="45"/>
        <w:tblW w:w="8522"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50"/>
        <w:gridCol w:w="1379"/>
        <w:gridCol w:w="1380"/>
        <w:gridCol w:w="501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blHeader/>
          <w:jc w:val="center"/>
        </w:trPr>
        <w:tc>
          <w:tcPr>
            <w:tcW w:w="750" w:type="dxa"/>
            <w:vAlign w:val="center"/>
          </w:tcPr>
          <w:p>
            <w:pPr>
              <w:pStyle w:val="168"/>
              <w:rPr>
                <w:color w:val="auto"/>
              </w:rPr>
            </w:pPr>
            <w:r>
              <w:rPr>
                <w:color w:val="auto"/>
              </w:rPr>
              <w:t>编号</w:t>
            </w:r>
          </w:p>
        </w:tc>
        <w:tc>
          <w:tcPr>
            <w:tcW w:w="2759" w:type="dxa"/>
            <w:gridSpan w:val="2"/>
            <w:vAlign w:val="center"/>
          </w:tcPr>
          <w:p>
            <w:pPr>
              <w:pStyle w:val="168"/>
              <w:rPr>
                <w:color w:val="auto"/>
              </w:rPr>
            </w:pPr>
            <w:r>
              <w:rPr>
                <w:color w:val="auto"/>
              </w:rPr>
              <w:t>项目</w:t>
            </w:r>
          </w:p>
        </w:tc>
        <w:tc>
          <w:tcPr>
            <w:tcW w:w="5013" w:type="dxa"/>
            <w:vAlign w:val="center"/>
          </w:tcPr>
          <w:p>
            <w:pPr>
              <w:pStyle w:val="168"/>
              <w:rPr>
                <w:color w:val="auto"/>
              </w:rPr>
            </w:pPr>
            <w:r>
              <w:rPr>
                <w:color w:val="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blHeader/>
          <w:jc w:val="center"/>
        </w:trPr>
        <w:tc>
          <w:tcPr>
            <w:tcW w:w="750" w:type="dxa"/>
            <w:vAlign w:val="center"/>
          </w:tcPr>
          <w:p>
            <w:pPr>
              <w:pStyle w:val="168"/>
              <w:rPr>
                <w:color w:val="auto"/>
              </w:rPr>
            </w:pPr>
            <w:r>
              <w:rPr>
                <w:color w:val="auto"/>
              </w:rPr>
              <w:t>1</w:t>
            </w:r>
          </w:p>
        </w:tc>
        <w:tc>
          <w:tcPr>
            <w:tcW w:w="2759" w:type="dxa"/>
            <w:gridSpan w:val="2"/>
            <w:vAlign w:val="center"/>
          </w:tcPr>
          <w:p>
            <w:pPr>
              <w:pStyle w:val="168"/>
              <w:rPr>
                <w:color w:val="auto"/>
              </w:rPr>
            </w:pPr>
            <w:r>
              <w:rPr>
                <w:color w:val="auto"/>
              </w:rPr>
              <w:t>是否在“饮用水源保护区”内</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66" w:hRule="atLeast"/>
          <w:jc w:val="center"/>
        </w:trPr>
        <w:tc>
          <w:tcPr>
            <w:tcW w:w="750" w:type="dxa"/>
            <w:vMerge w:val="restart"/>
            <w:vAlign w:val="center"/>
          </w:tcPr>
          <w:p>
            <w:pPr>
              <w:jc w:val="center"/>
              <w:rPr>
                <w:rFonts w:ascii="Times New Roman" w:hAnsi="Times New Roman" w:cs="Times New Roman"/>
                <w:color w:val="auto"/>
              </w:rPr>
            </w:pPr>
            <w:r>
              <w:rPr>
                <w:rFonts w:ascii="Times New Roman" w:hAnsi="Times New Roman" w:cs="Times New Roman"/>
                <w:color w:val="auto"/>
              </w:rPr>
              <w:t>2</w:t>
            </w:r>
          </w:p>
        </w:tc>
        <w:tc>
          <w:tcPr>
            <w:tcW w:w="1379" w:type="dxa"/>
            <w:vMerge w:val="restart"/>
            <w:vAlign w:val="center"/>
          </w:tcPr>
          <w:p>
            <w:pPr>
              <w:pStyle w:val="168"/>
              <w:rPr>
                <w:color w:val="auto"/>
              </w:rPr>
            </w:pPr>
            <w:r>
              <w:rPr>
                <w:color w:val="auto"/>
              </w:rPr>
              <w:t>水环境功能区</w:t>
            </w:r>
          </w:p>
        </w:tc>
        <w:tc>
          <w:tcPr>
            <w:tcW w:w="1380" w:type="dxa"/>
            <w:vAlign w:val="center"/>
          </w:tcPr>
          <w:p>
            <w:pPr>
              <w:pStyle w:val="168"/>
              <w:jc w:val="both"/>
              <w:rPr>
                <w:color w:val="auto"/>
              </w:rPr>
            </w:pPr>
            <w:r>
              <w:rPr>
                <w:color w:val="auto"/>
              </w:rPr>
              <w:t>地表水</w:t>
            </w:r>
          </w:p>
        </w:tc>
        <w:tc>
          <w:tcPr>
            <w:tcW w:w="5013" w:type="dxa"/>
            <w:vAlign w:val="center"/>
          </w:tcPr>
          <w:p>
            <w:pPr>
              <w:pStyle w:val="168"/>
              <w:rPr>
                <w:color w:val="auto"/>
              </w:rPr>
            </w:pPr>
            <w:r>
              <w:rPr>
                <w:color w:val="auto"/>
              </w:rPr>
              <w:t>项目所在的长江段执行《地表水环境质量标准》（GB3838-2002）III类标准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Merge w:val="continue"/>
            <w:vAlign w:val="center"/>
          </w:tcPr>
          <w:p>
            <w:pPr>
              <w:rPr>
                <w:rFonts w:ascii="Times New Roman" w:hAnsi="Times New Roman" w:cs="Times New Roman"/>
                <w:color w:val="auto"/>
              </w:rPr>
            </w:pPr>
          </w:p>
        </w:tc>
        <w:tc>
          <w:tcPr>
            <w:tcW w:w="1379" w:type="dxa"/>
            <w:vMerge w:val="continue"/>
            <w:vAlign w:val="center"/>
          </w:tcPr>
          <w:p>
            <w:pPr>
              <w:rPr>
                <w:rFonts w:ascii="Times New Roman" w:hAnsi="Times New Roman" w:cs="Times New Roman"/>
                <w:color w:val="auto"/>
              </w:rPr>
            </w:pPr>
          </w:p>
        </w:tc>
        <w:tc>
          <w:tcPr>
            <w:tcW w:w="1380" w:type="dxa"/>
            <w:vAlign w:val="center"/>
          </w:tcPr>
          <w:p>
            <w:pPr>
              <w:rPr>
                <w:rFonts w:ascii="Times New Roman" w:hAnsi="Times New Roman" w:cs="Times New Roman"/>
                <w:color w:val="auto"/>
              </w:rPr>
            </w:pPr>
            <w:r>
              <w:rPr>
                <w:rFonts w:ascii="Times New Roman" w:hAnsi="Times New Roman" w:cs="Times New Roman"/>
                <w:color w:val="auto"/>
              </w:rPr>
              <w:t>地下水</w:t>
            </w:r>
          </w:p>
        </w:tc>
        <w:tc>
          <w:tcPr>
            <w:tcW w:w="5013" w:type="dxa"/>
            <w:vAlign w:val="center"/>
          </w:tcPr>
          <w:p>
            <w:pPr>
              <w:pStyle w:val="168"/>
              <w:rPr>
                <w:color w:val="auto"/>
              </w:rPr>
            </w:pPr>
            <w:r>
              <w:rPr>
                <w:color w:val="auto"/>
              </w:rPr>
              <w:t>执行《地下水质量标准》（GB3838-2002）III类标准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3</w:t>
            </w:r>
          </w:p>
        </w:tc>
        <w:tc>
          <w:tcPr>
            <w:tcW w:w="2759" w:type="dxa"/>
            <w:gridSpan w:val="2"/>
            <w:vAlign w:val="center"/>
          </w:tcPr>
          <w:p>
            <w:pPr>
              <w:pStyle w:val="168"/>
              <w:rPr>
                <w:color w:val="auto"/>
              </w:rPr>
            </w:pPr>
            <w:r>
              <w:rPr>
                <w:color w:val="auto"/>
              </w:rPr>
              <w:t>环境空气质量功能区</w:t>
            </w:r>
          </w:p>
        </w:tc>
        <w:tc>
          <w:tcPr>
            <w:tcW w:w="5013" w:type="dxa"/>
            <w:vAlign w:val="center"/>
          </w:tcPr>
          <w:p>
            <w:pPr>
              <w:pStyle w:val="168"/>
              <w:rPr>
                <w:color w:val="auto"/>
              </w:rPr>
            </w:pPr>
            <w:r>
              <w:rPr>
                <w:color w:val="auto"/>
              </w:rPr>
              <w:t>二类区，执行《环境空气质量标准》中二级标准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4</w:t>
            </w:r>
          </w:p>
        </w:tc>
        <w:tc>
          <w:tcPr>
            <w:tcW w:w="2759" w:type="dxa"/>
            <w:gridSpan w:val="2"/>
            <w:vAlign w:val="center"/>
          </w:tcPr>
          <w:p>
            <w:pPr>
              <w:pStyle w:val="168"/>
              <w:rPr>
                <w:color w:val="auto"/>
              </w:rPr>
            </w:pPr>
            <w:r>
              <w:rPr>
                <w:color w:val="auto"/>
              </w:rPr>
              <w:t>声环境功能区</w:t>
            </w:r>
          </w:p>
        </w:tc>
        <w:tc>
          <w:tcPr>
            <w:tcW w:w="5013" w:type="dxa"/>
            <w:vAlign w:val="center"/>
          </w:tcPr>
          <w:p>
            <w:pPr>
              <w:pStyle w:val="168"/>
              <w:rPr>
                <w:color w:val="auto"/>
              </w:rPr>
            </w:pPr>
            <w:r>
              <w:rPr>
                <w:color w:val="auto"/>
              </w:rPr>
              <w:t>3类区，执行《声环境质量标准》中3类标准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5</w:t>
            </w:r>
          </w:p>
        </w:tc>
        <w:tc>
          <w:tcPr>
            <w:tcW w:w="2759" w:type="dxa"/>
            <w:gridSpan w:val="2"/>
            <w:vAlign w:val="center"/>
          </w:tcPr>
          <w:p>
            <w:pPr>
              <w:pStyle w:val="168"/>
              <w:rPr>
                <w:color w:val="auto"/>
              </w:rPr>
            </w:pPr>
            <w:r>
              <w:rPr>
                <w:color w:val="auto"/>
              </w:rPr>
              <w:t>是否基本农田保护区</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6</w:t>
            </w:r>
          </w:p>
        </w:tc>
        <w:tc>
          <w:tcPr>
            <w:tcW w:w="2759" w:type="dxa"/>
            <w:gridSpan w:val="2"/>
            <w:vAlign w:val="center"/>
          </w:tcPr>
          <w:p>
            <w:pPr>
              <w:pStyle w:val="168"/>
              <w:rPr>
                <w:color w:val="auto"/>
              </w:rPr>
            </w:pPr>
            <w:r>
              <w:rPr>
                <w:color w:val="auto"/>
              </w:rPr>
              <w:t>是否森林公园</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7</w:t>
            </w:r>
          </w:p>
        </w:tc>
        <w:tc>
          <w:tcPr>
            <w:tcW w:w="2759" w:type="dxa"/>
            <w:gridSpan w:val="2"/>
            <w:vAlign w:val="center"/>
          </w:tcPr>
          <w:p>
            <w:pPr>
              <w:pStyle w:val="168"/>
              <w:rPr>
                <w:color w:val="auto"/>
              </w:rPr>
            </w:pPr>
            <w:r>
              <w:rPr>
                <w:color w:val="auto"/>
              </w:rPr>
              <w:t>是否生态功能保护区</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8</w:t>
            </w:r>
          </w:p>
        </w:tc>
        <w:tc>
          <w:tcPr>
            <w:tcW w:w="2759" w:type="dxa"/>
            <w:gridSpan w:val="2"/>
            <w:vAlign w:val="center"/>
          </w:tcPr>
          <w:p>
            <w:pPr>
              <w:pStyle w:val="168"/>
              <w:rPr>
                <w:color w:val="auto"/>
              </w:rPr>
            </w:pPr>
            <w:r>
              <w:rPr>
                <w:color w:val="auto"/>
              </w:rPr>
              <w:t>是否水土流失重点防治区</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9</w:t>
            </w:r>
          </w:p>
        </w:tc>
        <w:tc>
          <w:tcPr>
            <w:tcW w:w="2759" w:type="dxa"/>
            <w:gridSpan w:val="2"/>
            <w:vAlign w:val="center"/>
          </w:tcPr>
          <w:p>
            <w:pPr>
              <w:pStyle w:val="168"/>
              <w:rPr>
                <w:color w:val="auto"/>
              </w:rPr>
            </w:pPr>
            <w:r>
              <w:rPr>
                <w:color w:val="auto"/>
              </w:rPr>
              <w:t>是否人口密集区</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10</w:t>
            </w:r>
          </w:p>
        </w:tc>
        <w:tc>
          <w:tcPr>
            <w:tcW w:w="2759" w:type="dxa"/>
            <w:gridSpan w:val="2"/>
            <w:vAlign w:val="center"/>
          </w:tcPr>
          <w:p>
            <w:pPr>
              <w:pStyle w:val="168"/>
              <w:rPr>
                <w:color w:val="auto"/>
              </w:rPr>
            </w:pPr>
            <w:r>
              <w:rPr>
                <w:color w:val="auto"/>
              </w:rPr>
              <w:t>是否重点文物保护单位</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11</w:t>
            </w:r>
          </w:p>
        </w:tc>
        <w:tc>
          <w:tcPr>
            <w:tcW w:w="2759" w:type="dxa"/>
            <w:gridSpan w:val="2"/>
            <w:vAlign w:val="center"/>
          </w:tcPr>
          <w:p>
            <w:pPr>
              <w:pStyle w:val="168"/>
              <w:rPr>
                <w:color w:val="auto"/>
              </w:rPr>
            </w:pPr>
            <w:r>
              <w:rPr>
                <w:color w:val="auto"/>
              </w:rPr>
              <w:t>是否水库库区</w:t>
            </w:r>
          </w:p>
        </w:tc>
        <w:tc>
          <w:tcPr>
            <w:tcW w:w="5013" w:type="dxa"/>
            <w:vAlign w:val="center"/>
          </w:tcPr>
          <w:p>
            <w:pPr>
              <w:pStyle w:val="168"/>
              <w:rPr>
                <w:color w:val="auto"/>
              </w:rPr>
            </w:pPr>
            <w:r>
              <w:rPr>
                <w:color w:val="auto"/>
              </w:rPr>
              <w:t>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12</w:t>
            </w:r>
          </w:p>
        </w:tc>
        <w:tc>
          <w:tcPr>
            <w:tcW w:w="2759" w:type="dxa"/>
            <w:gridSpan w:val="2"/>
            <w:vAlign w:val="center"/>
          </w:tcPr>
          <w:p>
            <w:pPr>
              <w:pStyle w:val="168"/>
              <w:rPr>
                <w:color w:val="auto"/>
              </w:rPr>
            </w:pPr>
            <w:r>
              <w:rPr>
                <w:color w:val="auto"/>
              </w:rPr>
              <w:t>是否污水处理厂集水范围</w:t>
            </w:r>
          </w:p>
        </w:tc>
        <w:tc>
          <w:tcPr>
            <w:tcW w:w="5013" w:type="dxa"/>
            <w:vAlign w:val="center"/>
          </w:tcPr>
          <w:p>
            <w:pPr>
              <w:pStyle w:val="168"/>
              <w:rPr>
                <w:color w:val="auto"/>
              </w:rPr>
            </w:pPr>
            <w:r>
              <w:rPr>
                <w:color w:val="auto"/>
              </w:rPr>
              <w:t>是（中石化长岭分公司污水处理厂）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750" w:type="dxa"/>
            <w:vAlign w:val="center"/>
          </w:tcPr>
          <w:p>
            <w:pPr>
              <w:pStyle w:val="168"/>
              <w:rPr>
                <w:color w:val="auto"/>
              </w:rPr>
            </w:pPr>
            <w:r>
              <w:rPr>
                <w:color w:val="auto"/>
              </w:rPr>
              <w:t>13</w:t>
            </w:r>
          </w:p>
        </w:tc>
        <w:tc>
          <w:tcPr>
            <w:tcW w:w="2759" w:type="dxa"/>
            <w:gridSpan w:val="2"/>
            <w:vAlign w:val="center"/>
          </w:tcPr>
          <w:p>
            <w:pPr>
              <w:pStyle w:val="168"/>
              <w:rPr>
                <w:color w:val="auto"/>
              </w:rPr>
            </w:pPr>
            <w:r>
              <w:rPr>
                <w:color w:val="auto"/>
              </w:rPr>
              <w:t>是否属于生态敏感与脆弱区</w:t>
            </w:r>
          </w:p>
        </w:tc>
        <w:tc>
          <w:tcPr>
            <w:tcW w:w="5013" w:type="dxa"/>
            <w:vAlign w:val="center"/>
          </w:tcPr>
          <w:p>
            <w:pPr>
              <w:pStyle w:val="168"/>
              <w:rPr>
                <w:color w:val="auto"/>
              </w:rPr>
            </w:pPr>
            <w:r>
              <w:rPr>
                <w:color w:val="auto"/>
              </w:rPr>
              <w:t>否</w:t>
            </w:r>
          </w:p>
        </w:tc>
      </w:tr>
      <w:bookmarkEnd w:id="33"/>
      <w:bookmarkEnd w:id="34"/>
      <w:bookmarkEnd w:id="35"/>
      <w:bookmarkEnd w:id="36"/>
      <w:bookmarkEnd w:id="37"/>
    </w:tbl>
    <w:p>
      <w:pPr>
        <w:pStyle w:val="6"/>
        <w:spacing w:before="120" w:beforeLines="0" w:after="120" w:afterLines="0"/>
        <w:rPr>
          <w:color w:val="auto"/>
        </w:rPr>
      </w:pPr>
      <w:bookmarkStart w:id="45" w:name="_Toc26176"/>
      <w:bookmarkStart w:id="46" w:name="_Toc29256"/>
      <w:bookmarkStart w:id="47" w:name="_Toc9887"/>
      <w:bookmarkStart w:id="48" w:name="_Toc2451"/>
      <w:bookmarkStart w:id="49" w:name="_Toc304810273"/>
      <w:bookmarkStart w:id="50" w:name="_Toc306034523"/>
      <w:bookmarkStart w:id="51" w:name="_Toc280188813"/>
      <w:bookmarkStart w:id="52" w:name="_Toc220122767"/>
      <w:bookmarkStart w:id="53" w:name="_Toc219258493"/>
      <w:r>
        <w:rPr>
          <w:color w:val="auto"/>
        </w:rPr>
        <w:t>评价因子识别与筛选</w:t>
      </w:r>
      <w:bookmarkEnd w:id="45"/>
      <w:bookmarkEnd w:id="46"/>
      <w:bookmarkEnd w:id="47"/>
      <w:bookmarkEnd w:id="48"/>
    </w:p>
    <w:p>
      <w:pPr>
        <w:pStyle w:val="7"/>
        <w:spacing w:before="120" w:beforeLines="0" w:after="120" w:afterLines="0"/>
        <w:rPr>
          <w:color w:val="auto"/>
        </w:rPr>
      </w:pPr>
      <w:bookmarkStart w:id="54" w:name="_Toc9362"/>
      <w:bookmarkStart w:id="55" w:name="_Toc10390"/>
      <w:bookmarkStart w:id="56" w:name="_Toc26146"/>
      <w:r>
        <w:rPr>
          <w:color w:val="auto"/>
        </w:rPr>
        <w:t>评价因子识别</w:t>
      </w:r>
      <w:bookmarkEnd w:id="54"/>
      <w:bookmarkEnd w:id="55"/>
      <w:bookmarkEnd w:id="56"/>
    </w:p>
    <w:p>
      <w:pPr>
        <w:spacing w:line="360" w:lineRule="auto"/>
        <w:ind w:firstLine="480" w:firstLineChars="200"/>
        <w:rPr>
          <w:color w:val="auto"/>
        </w:rPr>
      </w:pPr>
      <w:r>
        <w:rPr>
          <w:rFonts w:ascii="Times New Roman" w:hAnsi="Times New Roman" w:cs="Times New Roman"/>
          <w:color w:val="auto"/>
          <w:sz w:val="24"/>
          <w:szCs w:val="24"/>
        </w:rPr>
        <w:t>为正确分析该项目建设可能对自然环境、生态环境产生的影响，结合项目生产工艺、排污特征以及地区的环境状况，采用矩阵法对可能受项目影响的环境要素进行识别，其结果见表</w:t>
      </w:r>
      <w:r>
        <w:rPr>
          <w:rFonts w:hint="eastAsia" w:ascii="Times New Roman" w:hAnsi="Times New Roman" w:cs="Times New Roman"/>
          <w:color w:val="auto"/>
          <w:sz w:val="24"/>
          <w:szCs w:val="24"/>
        </w:rPr>
        <w:t>1.3-1</w:t>
      </w:r>
      <w:r>
        <w:rPr>
          <w:rFonts w:ascii="Times New Roman" w:hAnsi="Times New Roman" w:cs="Times New Roman"/>
          <w:color w:val="auto"/>
          <w:sz w:val="24"/>
          <w:szCs w:val="24"/>
        </w:rPr>
        <w:t>。</w:t>
      </w:r>
    </w:p>
    <w:p>
      <w:pPr>
        <w:pStyle w:val="18"/>
        <w:rPr>
          <w:color w:val="auto"/>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1</w:t>
      </w:r>
      <w:r>
        <w:rPr>
          <w:color w:val="auto"/>
        </w:rPr>
        <w:fldChar w:fldCharType="end"/>
      </w:r>
      <w:r>
        <w:rPr>
          <w:rFonts w:hint="eastAsia"/>
          <w:color w:val="auto"/>
        </w:rPr>
        <w:t>.3-1</w:t>
      </w:r>
      <w:r>
        <w:rPr>
          <w:color w:val="auto"/>
        </w:rPr>
        <w:t xml:space="preserve">    环境影响因素识别结果</w:t>
      </w:r>
    </w:p>
    <w:tbl>
      <w:tblPr>
        <w:tblStyle w:val="45"/>
        <w:tblW w:w="83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39"/>
        <w:gridCol w:w="1703"/>
        <w:gridCol w:w="845"/>
        <w:gridCol w:w="846"/>
        <w:gridCol w:w="846"/>
        <w:gridCol w:w="846"/>
        <w:gridCol w:w="846"/>
        <w:gridCol w:w="846"/>
        <w:gridCol w:w="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120" w:hRule="atLeast"/>
          <w:tblHeader/>
          <w:jc w:val="center"/>
        </w:trPr>
        <w:tc>
          <w:tcPr>
            <w:tcW w:w="2442" w:type="dxa"/>
            <w:gridSpan w:val="2"/>
            <w:vMerge w:val="restart"/>
            <w:tcBorders>
              <w:tl2br w:val="nil"/>
              <w:tr2bl w:val="nil"/>
            </w:tcBorders>
            <w:vAlign w:val="center"/>
          </w:tcPr>
          <w:p>
            <w:pPr>
              <w:pStyle w:val="168"/>
              <w:rPr>
                <w:color w:val="auto"/>
              </w:rPr>
            </w:pPr>
            <w:r>
              <w:rPr>
                <w:color w:val="auto"/>
              </w:rPr>
              <w:t>类别</w:t>
            </w:r>
          </w:p>
        </w:tc>
        <w:tc>
          <w:tcPr>
            <w:tcW w:w="3383" w:type="dxa"/>
            <w:gridSpan w:val="4"/>
            <w:tcBorders>
              <w:tl2br w:val="nil"/>
              <w:tr2bl w:val="nil"/>
            </w:tcBorders>
            <w:vAlign w:val="center"/>
          </w:tcPr>
          <w:p>
            <w:pPr>
              <w:pStyle w:val="168"/>
              <w:rPr>
                <w:color w:val="auto"/>
              </w:rPr>
            </w:pPr>
            <w:r>
              <w:rPr>
                <w:color w:val="auto"/>
              </w:rPr>
              <w:t>自然环境</w:t>
            </w:r>
          </w:p>
        </w:tc>
        <w:tc>
          <w:tcPr>
            <w:tcW w:w="2537" w:type="dxa"/>
            <w:gridSpan w:val="3"/>
            <w:tcBorders>
              <w:tl2br w:val="nil"/>
              <w:tr2bl w:val="nil"/>
            </w:tcBorders>
            <w:vAlign w:val="center"/>
          </w:tcPr>
          <w:p>
            <w:pPr>
              <w:pStyle w:val="168"/>
              <w:rPr>
                <w:color w:val="auto"/>
              </w:rPr>
            </w:pPr>
            <w:r>
              <w:rPr>
                <w:color w:val="auto"/>
              </w:rPr>
              <w:t>生态环境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25" w:hRule="atLeast"/>
          <w:tblHeader/>
          <w:jc w:val="center"/>
        </w:trPr>
        <w:tc>
          <w:tcPr>
            <w:tcW w:w="2442" w:type="dxa"/>
            <w:gridSpan w:val="2"/>
            <w:vMerge w:val="continue"/>
            <w:tcBorders>
              <w:tl2br w:val="nil"/>
              <w:tr2bl w:val="nil"/>
            </w:tcBorders>
            <w:vAlign w:val="center"/>
          </w:tcPr>
          <w:p>
            <w:pPr>
              <w:rPr>
                <w:rFonts w:ascii="Times New Roman" w:hAnsi="Times New Roman" w:cs="Times New Roman"/>
                <w:color w:val="auto"/>
              </w:rPr>
            </w:pPr>
          </w:p>
        </w:tc>
        <w:tc>
          <w:tcPr>
            <w:tcW w:w="845" w:type="dxa"/>
            <w:tcBorders>
              <w:tl2br w:val="nil"/>
              <w:tr2bl w:val="nil"/>
            </w:tcBorders>
            <w:vAlign w:val="center"/>
          </w:tcPr>
          <w:p>
            <w:pPr>
              <w:pStyle w:val="168"/>
              <w:rPr>
                <w:color w:val="auto"/>
              </w:rPr>
            </w:pPr>
            <w:r>
              <w:rPr>
                <w:color w:val="auto"/>
              </w:rPr>
              <w:t>环境空气</w:t>
            </w:r>
          </w:p>
        </w:tc>
        <w:tc>
          <w:tcPr>
            <w:tcW w:w="846" w:type="dxa"/>
            <w:tcBorders>
              <w:tl2br w:val="nil"/>
              <w:tr2bl w:val="nil"/>
            </w:tcBorders>
            <w:vAlign w:val="center"/>
          </w:tcPr>
          <w:p>
            <w:pPr>
              <w:pStyle w:val="168"/>
              <w:rPr>
                <w:color w:val="auto"/>
              </w:rPr>
            </w:pPr>
            <w:r>
              <w:rPr>
                <w:color w:val="auto"/>
              </w:rPr>
              <w:t>地表水</w:t>
            </w:r>
          </w:p>
        </w:tc>
        <w:tc>
          <w:tcPr>
            <w:tcW w:w="846" w:type="dxa"/>
            <w:tcBorders>
              <w:tl2br w:val="nil"/>
              <w:tr2bl w:val="nil"/>
            </w:tcBorders>
            <w:vAlign w:val="center"/>
          </w:tcPr>
          <w:p>
            <w:pPr>
              <w:pStyle w:val="168"/>
              <w:rPr>
                <w:color w:val="auto"/>
              </w:rPr>
            </w:pPr>
            <w:r>
              <w:rPr>
                <w:color w:val="auto"/>
              </w:rPr>
              <w:t>地下水</w:t>
            </w:r>
          </w:p>
        </w:tc>
        <w:tc>
          <w:tcPr>
            <w:tcW w:w="846" w:type="dxa"/>
            <w:tcBorders>
              <w:tl2br w:val="nil"/>
              <w:tr2bl w:val="nil"/>
            </w:tcBorders>
            <w:vAlign w:val="center"/>
          </w:tcPr>
          <w:p>
            <w:pPr>
              <w:pStyle w:val="168"/>
              <w:rPr>
                <w:color w:val="auto"/>
              </w:rPr>
            </w:pPr>
            <w:r>
              <w:rPr>
                <w:color w:val="auto"/>
              </w:rPr>
              <w:t>声环境</w:t>
            </w:r>
          </w:p>
        </w:tc>
        <w:tc>
          <w:tcPr>
            <w:tcW w:w="846" w:type="dxa"/>
            <w:tcBorders>
              <w:tl2br w:val="nil"/>
              <w:tr2bl w:val="nil"/>
            </w:tcBorders>
            <w:vAlign w:val="center"/>
          </w:tcPr>
          <w:p>
            <w:pPr>
              <w:pStyle w:val="168"/>
              <w:rPr>
                <w:color w:val="auto"/>
              </w:rPr>
            </w:pPr>
            <w:r>
              <w:rPr>
                <w:color w:val="auto"/>
              </w:rPr>
              <w:t>植被</w:t>
            </w:r>
          </w:p>
        </w:tc>
        <w:tc>
          <w:tcPr>
            <w:tcW w:w="846" w:type="dxa"/>
            <w:tcBorders>
              <w:tl2br w:val="nil"/>
              <w:tr2bl w:val="nil"/>
            </w:tcBorders>
            <w:vAlign w:val="center"/>
          </w:tcPr>
          <w:p>
            <w:pPr>
              <w:pStyle w:val="168"/>
              <w:rPr>
                <w:color w:val="auto"/>
              </w:rPr>
            </w:pPr>
            <w:r>
              <w:rPr>
                <w:color w:val="auto"/>
              </w:rPr>
              <w:t>野生生物</w:t>
            </w:r>
          </w:p>
        </w:tc>
        <w:tc>
          <w:tcPr>
            <w:tcW w:w="845" w:type="dxa"/>
            <w:tcBorders>
              <w:tl2br w:val="nil"/>
              <w:tr2bl w:val="nil"/>
            </w:tcBorders>
            <w:vAlign w:val="center"/>
          </w:tcPr>
          <w:p>
            <w:pPr>
              <w:pStyle w:val="168"/>
              <w:rPr>
                <w:color w:val="auto"/>
              </w:rPr>
            </w:pPr>
            <w:r>
              <w:rPr>
                <w:color w:val="auto"/>
              </w:rPr>
              <w:t>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40" w:hRule="atLeast"/>
          <w:jc w:val="center"/>
        </w:trPr>
        <w:tc>
          <w:tcPr>
            <w:tcW w:w="739" w:type="dxa"/>
            <w:vMerge w:val="restart"/>
            <w:tcBorders>
              <w:tl2br w:val="nil"/>
              <w:tr2bl w:val="nil"/>
            </w:tcBorders>
            <w:vAlign w:val="center"/>
          </w:tcPr>
          <w:p>
            <w:pPr>
              <w:pStyle w:val="168"/>
              <w:rPr>
                <w:color w:val="auto"/>
              </w:rPr>
            </w:pPr>
            <w:r>
              <w:rPr>
                <w:color w:val="auto"/>
              </w:rPr>
              <w:t>施工期</w:t>
            </w:r>
          </w:p>
        </w:tc>
        <w:tc>
          <w:tcPr>
            <w:tcW w:w="1703" w:type="dxa"/>
            <w:tcBorders>
              <w:tl2br w:val="nil"/>
              <w:tr2bl w:val="nil"/>
            </w:tcBorders>
            <w:vAlign w:val="center"/>
          </w:tcPr>
          <w:p>
            <w:pPr>
              <w:pStyle w:val="168"/>
              <w:rPr>
                <w:color w:val="auto"/>
              </w:rPr>
            </w:pPr>
            <w:r>
              <w:rPr>
                <w:color w:val="auto"/>
              </w:rPr>
              <w:t>土石方工程</w:t>
            </w:r>
          </w:p>
        </w:tc>
        <w:tc>
          <w:tcPr>
            <w:tcW w:w="845" w:type="dxa"/>
            <w:tcBorders>
              <w:tl2br w:val="nil"/>
              <w:tr2bl w:val="nil"/>
            </w:tcBorders>
            <w:vAlign w:val="center"/>
          </w:tcPr>
          <w:p>
            <w:pPr>
              <w:pStyle w:val="168"/>
              <w:rPr>
                <w:color w:val="auto"/>
              </w:rPr>
            </w:pPr>
            <w:r>
              <w:rPr>
                <w:color w:val="auto"/>
              </w:rPr>
              <w:t>-1D</w:t>
            </w:r>
          </w:p>
        </w:tc>
        <w:tc>
          <w:tcPr>
            <w:tcW w:w="846" w:type="dxa"/>
            <w:tcBorders>
              <w:tl2br w:val="nil"/>
              <w:tr2bl w:val="nil"/>
            </w:tcBorders>
            <w:vAlign w:val="center"/>
          </w:tcPr>
          <w:p>
            <w:pPr>
              <w:pStyle w:val="168"/>
              <w:rPr>
                <w:color w:val="auto"/>
              </w:rPr>
            </w:pPr>
            <w:r>
              <w:rPr>
                <w:color w:val="auto"/>
              </w:rPr>
              <w:t xml:space="preserve">-1D </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-1D</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-1D</w:t>
            </w:r>
          </w:p>
        </w:tc>
        <w:tc>
          <w:tcPr>
            <w:tcW w:w="845" w:type="dxa"/>
            <w:tcBorders>
              <w:tl2br w:val="nil"/>
              <w:tr2bl w:val="nil"/>
            </w:tcBorders>
            <w:vAlign w:val="center"/>
          </w:tcPr>
          <w:p>
            <w:pPr>
              <w:pStyle w:val="168"/>
              <w:rPr>
                <w:color w:val="auto"/>
              </w:rPr>
            </w:pPr>
            <w:r>
              <w:rPr>
                <w:color w:val="auto"/>
              </w:rPr>
              <w:t>-1D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建筑施工</w:t>
            </w:r>
          </w:p>
        </w:tc>
        <w:tc>
          <w:tcPr>
            <w:tcW w:w="845" w:type="dxa"/>
            <w:tcBorders>
              <w:tl2br w:val="nil"/>
              <w:tr2bl w:val="nil"/>
            </w:tcBorders>
            <w:vAlign w:val="center"/>
          </w:tcPr>
          <w:p>
            <w:pPr>
              <w:pStyle w:val="168"/>
              <w:rPr>
                <w:color w:val="auto"/>
              </w:rPr>
            </w:pPr>
            <w:r>
              <w:rPr>
                <w:color w:val="auto"/>
              </w:rPr>
              <w:t>-1D</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-1D</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设备安装</w:t>
            </w:r>
          </w:p>
        </w:tc>
        <w:tc>
          <w:tcPr>
            <w:tcW w:w="845"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-1D</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restart"/>
            <w:tcBorders>
              <w:tl2br w:val="nil"/>
              <w:tr2bl w:val="nil"/>
            </w:tcBorders>
            <w:vAlign w:val="center"/>
          </w:tcPr>
          <w:p>
            <w:pPr>
              <w:pStyle w:val="168"/>
              <w:rPr>
                <w:color w:val="auto"/>
              </w:rPr>
            </w:pPr>
            <w:r>
              <w:rPr>
                <w:color w:val="auto"/>
              </w:rPr>
              <w:t>营运期</w:t>
            </w:r>
          </w:p>
        </w:tc>
        <w:tc>
          <w:tcPr>
            <w:tcW w:w="1703" w:type="dxa"/>
            <w:tcBorders>
              <w:tl2br w:val="nil"/>
              <w:tr2bl w:val="nil"/>
            </w:tcBorders>
            <w:vAlign w:val="center"/>
          </w:tcPr>
          <w:p>
            <w:pPr>
              <w:pStyle w:val="168"/>
              <w:rPr>
                <w:color w:val="auto"/>
              </w:rPr>
            </w:pPr>
            <w:r>
              <w:rPr>
                <w:color w:val="auto"/>
              </w:rPr>
              <w:t>废气</w:t>
            </w:r>
          </w:p>
        </w:tc>
        <w:tc>
          <w:tcPr>
            <w:tcW w:w="845"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废水</w:t>
            </w:r>
          </w:p>
        </w:tc>
        <w:tc>
          <w:tcPr>
            <w:tcW w:w="845"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噪声</w:t>
            </w:r>
          </w:p>
        </w:tc>
        <w:tc>
          <w:tcPr>
            <w:tcW w:w="845"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固废</w:t>
            </w:r>
          </w:p>
        </w:tc>
        <w:tc>
          <w:tcPr>
            <w:tcW w:w="845"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cantSplit/>
          <w:trHeight w:val="284" w:hRule="atLeast"/>
          <w:jc w:val="center"/>
        </w:trPr>
        <w:tc>
          <w:tcPr>
            <w:tcW w:w="739" w:type="dxa"/>
            <w:vMerge w:val="continue"/>
            <w:tcBorders>
              <w:tl2br w:val="nil"/>
              <w:tr2bl w:val="nil"/>
            </w:tcBorders>
            <w:vAlign w:val="center"/>
          </w:tcPr>
          <w:p>
            <w:pPr>
              <w:rPr>
                <w:rFonts w:ascii="Times New Roman" w:hAnsi="Times New Roman" w:cs="Times New Roman"/>
                <w:color w:val="auto"/>
              </w:rPr>
            </w:pPr>
          </w:p>
        </w:tc>
        <w:tc>
          <w:tcPr>
            <w:tcW w:w="1703" w:type="dxa"/>
            <w:tcBorders>
              <w:tl2br w:val="nil"/>
              <w:tr2bl w:val="nil"/>
            </w:tcBorders>
            <w:vAlign w:val="center"/>
          </w:tcPr>
          <w:p>
            <w:pPr>
              <w:pStyle w:val="168"/>
              <w:rPr>
                <w:color w:val="auto"/>
              </w:rPr>
            </w:pPr>
            <w:r>
              <w:rPr>
                <w:color w:val="auto"/>
              </w:rPr>
              <w:t>项目正常运营</w:t>
            </w:r>
          </w:p>
        </w:tc>
        <w:tc>
          <w:tcPr>
            <w:tcW w:w="845"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-1C</w:t>
            </w:r>
          </w:p>
        </w:tc>
        <w:tc>
          <w:tcPr>
            <w:tcW w:w="846" w:type="dxa"/>
            <w:tcBorders>
              <w:tl2br w:val="nil"/>
              <w:tr2bl w:val="nil"/>
            </w:tcBorders>
            <w:vAlign w:val="center"/>
          </w:tcPr>
          <w:p>
            <w:pPr>
              <w:pStyle w:val="168"/>
              <w:rPr>
                <w:color w:val="auto"/>
              </w:rPr>
            </w:pPr>
            <w:r>
              <w:rPr>
                <w:color w:val="auto"/>
              </w:rPr>
              <w:t>--</w:t>
            </w:r>
          </w:p>
        </w:tc>
        <w:tc>
          <w:tcPr>
            <w:tcW w:w="846" w:type="dxa"/>
            <w:tcBorders>
              <w:tl2br w:val="nil"/>
              <w:tr2bl w:val="nil"/>
            </w:tcBorders>
            <w:vAlign w:val="center"/>
          </w:tcPr>
          <w:p>
            <w:pPr>
              <w:pStyle w:val="168"/>
              <w:rPr>
                <w:color w:val="auto"/>
              </w:rPr>
            </w:pPr>
            <w:r>
              <w:rPr>
                <w:color w:val="auto"/>
              </w:rPr>
              <w:t>--</w:t>
            </w:r>
          </w:p>
        </w:tc>
        <w:tc>
          <w:tcPr>
            <w:tcW w:w="845" w:type="dxa"/>
            <w:tcBorders>
              <w:tl2br w:val="nil"/>
              <w:tr2bl w:val="nil"/>
            </w:tcBorders>
            <w:vAlign w:val="center"/>
          </w:tcPr>
          <w:p>
            <w:pPr>
              <w:pStyle w:val="168"/>
              <w:rPr>
                <w:color w:val="auto"/>
              </w:rPr>
            </w:pPr>
            <w:r>
              <w:rPr>
                <w:color w:val="auto"/>
              </w:rPr>
              <w:t>+1C</w:t>
            </w:r>
          </w:p>
        </w:tc>
      </w:tr>
    </w:tbl>
    <w:p>
      <w:pPr>
        <w:spacing w:line="360" w:lineRule="exact"/>
        <w:rPr>
          <w:rFonts w:ascii="Times New Roman" w:hAnsi="Times New Roman" w:eastAsia="黑体" w:cs="Times New Roman"/>
          <w:color w:val="auto"/>
          <w:szCs w:val="24"/>
        </w:rPr>
      </w:pPr>
      <w:r>
        <w:rPr>
          <w:rFonts w:ascii="Times New Roman" w:hAnsi="Times New Roman" w:eastAsia="黑体" w:cs="Times New Roman"/>
          <w:color w:val="auto"/>
          <w:szCs w:val="24"/>
        </w:rPr>
        <w:t>备注：(1)表中“+”表示正效益，“-”表示负效益；</w:t>
      </w:r>
    </w:p>
    <w:p>
      <w:pPr>
        <w:spacing w:line="360" w:lineRule="exact"/>
        <w:ind w:firstLine="630" w:firstLineChars="300"/>
        <w:rPr>
          <w:rFonts w:ascii="Times New Roman" w:hAnsi="Times New Roman" w:eastAsia="黑体" w:cs="Times New Roman"/>
          <w:color w:val="auto"/>
          <w:szCs w:val="24"/>
        </w:rPr>
      </w:pPr>
      <w:r>
        <w:rPr>
          <w:rFonts w:ascii="Times New Roman" w:hAnsi="Times New Roman" w:eastAsia="黑体" w:cs="Times New Roman"/>
          <w:color w:val="auto"/>
          <w:szCs w:val="24"/>
        </w:rPr>
        <w:t>(2)表中数字表示影响的相对程度，“1”表示影响较小，“2”表示影响中等，“3”表示影响较大；</w:t>
      </w:r>
    </w:p>
    <w:p>
      <w:pPr>
        <w:spacing w:line="360" w:lineRule="exact"/>
        <w:ind w:firstLine="630" w:firstLineChars="300"/>
        <w:rPr>
          <w:rFonts w:ascii="Times New Roman" w:hAnsi="Times New Roman" w:eastAsia="黑体" w:cs="Times New Roman"/>
          <w:color w:val="auto"/>
          <w:szCs w:val="24"/>
        </w:rPr>
      </w:pPr>
      <w:r>
        <w:rPr>
          <w:rFonts w:ascii="Times New Roman" w:hAnsi="Times New Roman" w:eastAsia="黑体" w:cs="Times New Roman"/>
          <w:color w:val="auto"/>
          <w:szCs w:val="24"/>
        </w:rPr>
        <w:t>(3)表中“D”表示短期影响，“C”表示长期影响</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由表1.3-1可以看出，本工程的建设对环境的影响是多方面的，既存在短期、局部及可恢复的正、负影响，也存在长期的或正或负的影响。施工期主要表现在对自然环境要素产生一定程度的负面影响，主要环境影响因素为环境空气、声环境、水土流失，均随着施工期的结束而消失；营运期对环境的不利影响是长期存在的，在生产过程中，主要影响因素表现在环境空气、水环境和声环境等方面。</w:t>
      </w:r>
    </w:p>
    <w:p>
      <w:pPr>
        <w:pStyle w:val="7"/>
        <w:spacing w:before="120" w:beforeLines="0" w:after="120" w:afterLines="0"/>
        <w:rPr>
          <w:color w:val="auto"/>
        </w:rPr>
      </w:pPr>
      <w:bookmarkStart w:id="57" w:name="_Toc12702"/>
      <w:bookmarkStart w:id="58" w:name="_Toc21534"/>
      <w:bookmarkStart w:id="59" w:name="_Toc6080"/>
      <w:r>
        <w:rPr>
          <w:color w:val="auto"/>
        </w:rPr>
        <w:t>评价因子筛选</w:t>
      </w:r>
      <w:bookmarkEnd w:id="57"/>
      <w:bookmarkEnd w:id="58"/>
      <w:bookmarkEnd w:id="59"/>
    </w:p>
    <w:p>
      <w:pPr>
        <w:pStyle w:val="5"/>
        <w:spacing w:line="480" w:lineRule="exact"/>
        <w:ind w:firstLine="480"/>
        <w:rPr>
          <w:color w:val="auto"/>
        </w:rPr>
      </w:pPr>
      <w:r>
        <w:rPr>
          <w:color w:val="auto"/>
        </w:rPr>
        <w:t>根据工程性质、生产工艺与污染物排放特点，确定本项目评价因子，详见表1</w:t>
      </w:r>
      <w:r>
        <w:rPr>
          <w:rFonts w:hint="eastAsia"/>
          <w:color w:val="auto"/>
          <w:lang w:val="en-US" w:eastAsia="zh-CN"/>
        </w:rPr>
        <w:t>.3-2</w:t>
      </w:r>
      <w:r>
        <w:rPr>
          <w:color w:val="auto"/>
        </w:rPr>
        <w:t>。</w:t>
      </w:r>
    </w:p>
    <w:p>
      <w:pPr>
        <w:pStyle w:val="5"/>
        <w:spacing w:line="480" w:lineRule="exact"/>
        <w:ind w:firstLine="480"/>
        <w:rPr>
          <w:color w:val="auto"/>
        </w:rPr>
      </w:pPr>
    </w:p>
    <w:p>
      <w:pPr>
        <w:pStyle w:val="5"/>
        <w:spacing w:line="480" w:lineRule="exact"/>
        <w:ind w:firstLine="482"/>
        <w:jc w:val="center"/>
        <w:rPr>
          <w:b/>
          <w:color w:val="auto"/>
        </w:rPr>
      </w:pPr>
      <w:r>
        <w:rPr>
          <w:b/>
          <w:color w:val="auto"/>
        </w:rPr>
        <w:t xml:space="preserve">表 </w:t>
      </w:r>
      <w:r>
        <w:rPr>
          <w:rFonts w:hint="eastAsia"/>
          <w:b/>
          <w:color w:val="auto"/>
          <w:lang w:val="en-US" w:eastAsia="zh-CN"/>
        </w:rPr>
        <w:t>1.3-2</w:t>
      </w:r>
      <w:r>
        <w:rPr>
          <w:b/>
          <w:color w:val="auto"/>
        </w:rPr>
        <w:t xml:space="preserve"> 评价因子一览表</w:t>
      </w:r>
    </w:p>
    <w:tbl>
      <w:tblPr>
        <w:tblStyle w:val="45"/>
        <w:tblW w:w="8522"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71"/>
        <w:gridCol w:w="1139"/>
        <w:gridCol w:w="1416"/>
        <w:gridCol w:w="529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tblHeader/>
          <w:jc w:val="center"/>
        </w:trPr>
        <w:tc>
          <w:tcPr>
            <w:tcW w:w="671" w:type="dxa"/>
            <w:tcBorders>
              <w:tl2br w:val="nil"/>
              <w:tr2bl w:val="nil"/>
            </w:tcBorders>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139" w:type="dxa"/>
            <w:tcBorders>
              <w:tl2br w:val="nil"/>
              <w:tr2bl w:val="nil"/>
            </w:tcBorders>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环境要素</w:t>
            </w:r>
          </w:p>
        </w:tc>
        <w:tc>
          <w:tcPr>
            <w:tcW w:w="1416" w:type="dxa"/>
            <w:tcBorders>
              <w:tl2br w:val="nil"/>
              <w:tr2bl w:val="nil"/>
            </w:tcBorders>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评价类别</w:t>
            </w:r>
          </w:p>
        </w:tc>
        <w:tc>
          <w:tcPr>
            <w:tcW w:w="5296" w:type="dxa"/>
            <w:tcBorders>
              <w:tl2br w:val="nil"/>
              <w:tr2bl w:val="nil"/>
            </w:tcBorders>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评价因子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492" w:hRule="atLeast"/>
          <w:jc w:val="center"/>
        </w:trPr>
        <w:tc>
          <w:tcPr>
            <w:tcW w:w="671"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139"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大气环境</w:t>
            </w: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现状评价</w:t>
            </w:r>
          </w:p>
        </w:tc>
        <w:tc>
          <w:tcPr>
            <w:tcW w:w="5296" w:type="dxa"/>
            <w:tcBorders>
              <w:tl2br w:val="nil"/>
              <w:tr2bl w:val="nil"/>
            </w:tcBorders>
            <w:vAlign w:val="center"/>
          </w:tcPr>
          <w:p>
            <w:pPr>
              <w:spacing w:line="360" w:lineRule="exact"/>
              <w:jc w:val="center"/>
              <w:rPr>
                <w:rFonts w:hint="eastAsia" w:ascii="Times New Roman" w:hAnsi="Times New Roman" w:eastAsia="宋体" w:cs="Times New Roman"/>
                <w:color w:val="auto"/>
                <w:szCs w:val="21"/>
                <w:lang w:eastAsia="zh-CN"/>
              </w:rPr>
            </w:pPr>
            <w:r>
              <w:rPr>
                <w:rFonts w:ascii="Times New Roman" w:hAnsi="Times New Roman" w:cs="Times New Roman"/>
                <w:color w:val="auto"/>
                <w:szCs w:val="21"/>
              </w:rPr>
              <w:t>SO</w:t>
            </w:r>
            <w:r>
              <w:rPr>
                <w:rFonts w:ascii="Times New Roman" w:hAnsi="Times New Roman" w:cs="Times New Roman"/>
                <w:color w:val="auto"/>
                <w:szCs w:val="21"/>
                <w:vertAlign w:val="subscript"/>
              </w:rPr>
              <w:t>2</w:t>
            </w:r>
            <w:r>
              <w:rPr>
                <w:rFonts w:ascii="Times New Roman" w:hAnsi="Times New Roman" w:cs="Times New Roman"/>
                <w:color w:val="auto"/>
                <w:szCs w:val="21"/>
              </w:rPr>
              <w:t>、PM</w:t>
            </w:r>
            <w:r>
              <w:rPr>
                <w:rFonts w:ascii="Times New Roman" w:hAnsi="Times New Roman" w:cs="Times New Roman"/>
                <w:color w:val="auto"/>
                <w:szCs w:val="21"/>
                <w:vertAlign w:val="subscript"/>
              </w:rPr>
              <w:t>10</w:t>
            </w:r>
            <w:r>
              <w:rPr>
                <w:rFonts w:ascii="Times New Roman" w:hAnsi="Times New Roman" w:cs="Times New Roman"/>
                <w:color w:val="auto"/>
                <w:szCs w:val="21"/>
              </w:rPr>
              <w:t>、NO</w:t>
            </w:r>
            <w:r>
              <w:rPr>
                <w:rFonts w:ascii="Times New Roman" w:hAnsi="Times New Roman" w:cs="Times New Roman"/>
                <w:color w:val="auto"/>
                <w:szCs w:val="21"/>
                <w:vertAlign w:val="subscript"/>
              </w:rPr>
              <w:t>2</w:t>
            </w:r>
            <w:r>
              <w:rPr>
                <w:rFonts w:ascii="Times New Roman" w:hAnsi="Times New Roman" w:cs="Times New Roman"/>
                <w:color w:val="auto"/>
                <w:szCs w:val="21"/>
              </w:rPr>
              <w:t>、TSP、</w:t>
            </w:r>
            <w:r>
              <w:rPr>
                <w:rFonts w:hint="eastAsia" w:ascii="Times New Roman" w:hAnsi="Times New Roman" w:cs="Times New Roman"/>
                <w:color w:val="auto"/>
                <w:szCs w:val="21"/>
                <w:lang w:eastAsia="zh-CN"/>
              </w:rPr>
              <w:t>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50"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影响评价</w:t>
            </w:r>
          </w:p>
        </w:tc>
        <w:tc>
          <w:tcPr>
            <w:tcW w:w="5296" w:type="dxa"/>
            <w:tcBorders>
              <w:tl2br w:val="nil"/>
              <w:tr2bl w:val="nil"/>
            </w:tcBorders>
            <w:vAlign w:val="center"/>
          </w:tcPr>
          <w:p>
            <w:pPr>
              <w:spacing w:line="360" w:lineRule="exact"/>
              <w:jc w:val="center"/>
              <w:rPr>
                <w:rFonts w:hint="eastAsia" w:ascii="Times New Roman" w:hAnsi="Times New Roman" w:eastAsia="宋体" w:cs="Times New Roman"/>
                <w:color w:val="auto"/>
                <w:szCs w:val="21"/>
                <w:lang w:eastAsia="zh-CN"/>
              </w:rPr>
            </w:pPr>
            <w:r>
              <w:rPr>
                <w:rFonts w:ascii="Times New Roman" w:hAnsi="Times New Roman" w:cs="Times New Roman"/>
                <w:color w:val="auto"/>
                <w:szCs w:val="21"/>
                <w:u w:val="single"/>
              </w:rPr>
              <w:t>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26" w:hRule="atLeast"/>
          <w:jc w:val="center"/>
        </w:trPr>
        <w:tc>
          <w:tcPr>
            <w:tcW w:w="671"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1139"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地表水</w:t>
            </w: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现状评价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pH、DO、COD、BOD</w:t>
            </w:r>
            <w:r>
              <w:rPr>
                <w:rFonts w:ascii="Times New Roman" w:hAnsi="Times New Roman" w:cs="Times New Roman"/>
                <w:color w:val="auto"/>
                <w:szCs w:val="21"/>
                <w:vertAlign w:val="subscript"/>
              </w:rPr>
              <w:t>5</w:t>
            </w:r>
            <w:r>
              <w:rPr>
                <w:rFonts w:ascii="Times New Roman" w:hAnsi="Times New Roman" w:cs="Times New Roman"/>
                <w:color w:val="auto"/>
                <w:szCs w:val="21"/>
              </w:rPr>
              <w:t>、石油类、NH</w:t>
            </w:r>
            <w:r>
              <w:rPr>
                <w:rFonts w:ascii="Times New Roman" w:hAnsi="Times New Roman" w:cs="Times New Roman"/>
                <w:color w:val="auto"/>
                <w:szCs w:val="21"/>
                <w:vertAlign w:val="subscript"/>
              </w:rPr>
              <w:t>3</w:t>
            </w:r>
            <w:r>
              <w:rPr>
                <w:rFonts w:ascii="Times New Roman" w:hAnsi="Times New Roman" w:cs="Times New Roman"/>
                <w:color w:val="auto"/>
                <w:szCs w:val="21"/>
              </w:rPr>
              <w:t>-N、SS、TN、TP、氯化物、硫化物、硫酸盐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54"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rPr>
              <w:t>污染源评价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COD、NH</w:t>
            </w:r>
            <w:r>
              <w:rPr>
                <w:rFonts w:ascii="Times New Roman" w:hAnsi="Times New Roman" w:cs="Times New Roman"/>
                <w:color w:val="auto"/>
                <w:szCs w:val="21"/>
                <w:vertAlign w:val="subscript"/>
              </w:rPr>
              <w:t>3</w:t>
            </w:r>
            <w:r>
              <w:rPr>
                <w:rFonts w:ascii="Times New Roman" w:hAnsi="Times New Roman" w:cs="Times New Roman"/>
                <w:color w:val="auto"/>
                <w:szCs w:val="21"/>
              </w:rPr>
              <w:t>-N</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60"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影响评价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无（废水排入工业集中污水处理厂）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60" w:hRule="atLeast"/>
          <w:jc w:val="center"/>
        </w:trPr>
        <w:tc>
          <w:tcPr>
            <w:tcW w:w="671"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1139"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地下水</w:t>
            </w: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现状评价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pH、总硬度、硫酸盐、氯化物、氨氮、硝酸盐氮、亚硝酸盐氮、挥发性酚类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23"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影响评价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COD</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16" w:hRule="atLeast"/>
          <w:jc w:val="center"/>
        </w:trPr>
        <w:tc>
          <w:tcPr>
            <w:tcW w:w="671"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1139" w:type="dxa"/>
            <w:vMerge w:val="restart"/>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声环境</w:t>
            </w: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现状评价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昼、夜Leq（A）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64"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rPr>
              <w:t>污染源评价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rPr>
              <w:t>A声级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35" w:hRule="atLeast"/>
          <w:jc w:val="center"/>
        </w:trPr>
        <w:tc>
          <w:tcPr>
            <w:tcW w:w="671" w:type="dxa"/>
            <w:vMerge w:val="continue"/>
            <w:tcBorders>
              <w:tl2br w:val="nil"/>
              <w:tr2bl w:val="nil"/>
            </w:tcBorders>
            <w:vAlign w:val="center"/>
          </w:tcPr>
          <w:p>
            <w:pPr>
              <w:rPr>
                <w:rFonts w:ascii="Times New Roman" w:hAnsi="Times New Roman" w:cs="Times New Roman"/>
                <w:color w:val="auto"/>
              </w:rPr>
            </w:pPr>
          </w:p>
        </w:tc>
        <w:tc>
          <w:tcPr>
            <w:tcW w:w="1139" w:type="dxa"/>
            <w:vMerge w:val="continue"/>
            <w:tcBorders>
              <w:tl2br w:val="nil"/>
              <w:tr2bl w:val="nil"/>
            </w:tcBorders>
            <w:vAlign w:val="center"/>
          </w:tcPr>
          <w:p>
            <w:pPr>
              <w:rPr>
                <w:rFonts w:ascii="Times New Roman" w:hAnsi="Times New Roman" w:cs="Times New Roman"/>
                <w:color w:val="auto"/>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影响评价</w:t>
            </w:r>
          </w:p>
        </w:tc>
        <w:tc>
          <w:tcPr>
            <w:tcW w:w="5296"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Leq（A）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35" w:hRule="atLeast"/>
          <w:jc w:val="center"/>
        </w:trPr>
        <w:tc>
          <w:tcPr>
            <w:tcW w:w="671" w:type="dxa"/>
            <w:vMerge w:val="restart"/>
            <w:tcBorders>
              <w:tl2br w:val="nil"/>
              <w:tr2bl w:val="nil"/>
            </w:tcBorders>
            <w:vAlign w:val="center"/>
          </w:tcPr>
          <w:p>
            <w:pPr>
              <w:jc w:val="center"/>
              <w:rPr>
                <w:rFonts w:hint="eastAsia"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5</w:t>
            </w:r>
          </w:p>
        </w:tc>
        <w:tc>
          <w:tcPr>
            <w:tcW w:w="1139" w:type="dxa"/>
            <w:vMerge w:val="restart"/>
            <w:tcBorders>
              <w:tl2br w:val="nil"/>
              <w:tr2bl w:val="nil"/>
            </w:tcBorders>
            <w:vAlign w:val="center"/>
          </w:tcPr>
          <w:p>
            <w:pPr>
              <w:rPr>
                <w:rFonts w:hint="eastAsia" w:ascii="Times New Roman" w:hAnsi="Times New Roman" w:eastAsia="宋体" w:cs="Times New Roman"/>
                <w:color w:val="auto"/>
                <w:u w:val="single"/>
                <w:lang w:eastAsia="zh-CN"/>
              </w:rPr>
            </w:pPr>
            <w:r>
              <w:rPr>
                <w:rFonts w:hint="eastAsia" w:ascii="Times New Roman" w:hAnsi="Times New Roman" w:cs="Times New Roman"/>
                <w:color w:val="auto"/>
                <w:u w:val="single"/>
                <w:lang w:eastAsia="zh-CN"/>
              </w:rPr>
              <w:t>土壤环境</w:t>
            </w:r>
          </w:p>
        </w:tc>
        <w:tc>
          <w:tcPr>
            <w:tcW w:w="1416" w:type="dxa"/>
            <w:tcBorders>
              <w:tl2br w:val="nil"/>
              <w:tr2bl w:val="nil"/>
            </w:tcBorders>
            <w:vAlign w:val="center"/>
          </w:tcPr>
          <w:p>
            <w:pPr>
              <w:spacing w:line="360" w:lineRule="exact"/>
              <w:jc w:val="center"/>
              <w:rPr>
                <w:rFonts w:ascii="Times New Roman" w:hAnsi="Times New Roman" w:cs="Times New Roman"/>
                <w:color w:val="auto"/>
                <w:szCs w:val="21"/>
                <w:u w:val="single"/>
              </w:rPr>
            </w:pPr>
            <w:r>
              <w:rPr>
                <w:rFonts w:ascii="Times New Roman" w:hAnsi="Times New Roman" w:cs="Times New Roman"/>
                <w:color w:val="auto"/>
                <w:szCs w:val="21"/>
                <w:u w:val="single"/>
              </w:rPr>
              <w:t>现状评价</w:t>
            </w:r>
          </w:p>
        </w:tc>
        <w:tc>
          <w:tcPr>
            <w:tcW w:w="5296" w:type="dxa"/>
            <w:tcBorders>
              <w:tl2br w:val="nil"/>
              <w:tr2bl w:val="nil"/>
            </w:tcBorders>
            <w:vAlign w:val="center"/>
          </w:tcPr>
          <w:p>
            <w:pPr>
              <w:spacing w:line="360" w:lineRule="exact"/>
              <w:jc w:val="center"/>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eastAsia="zh-CN"/>
              </w:rPr>
              <w:t>铅、镉、汞、砷、六价铬、铜、镍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35" w:hRule="atLeast"/>
          <w:jc w:val="center"/>
        </w:trPr>
        <w:tc>
          <w:tcPr>
            <w:tcW w:w="671" w:type="dxa"/>
            <w:vMerge w:val="continue"/>
            <w:tcBorders>
              <w:tl2br w:val="nil"/>
              <w:tr2bl w:val="nil"/>
            </w:tcBorders>
            <w:vAlign w:val="center"/>
          </w:tcPr>
          <w:p>
            <w:pPr>
              <w:jc w:val="center"/>
              <w:rPr>
                <w:rFonts w:hint="eastAsia" w:ascii="Times New Roman" w:hAnsi="Times New Roman" w:cs="Times New Roman"/>
                <w:color w:val="auto"/>
                <w:u w:val="single"/>
                <w:lang w:val="en-US" w:eastAsia="zh-CN"/>
              </w:rPr>
            </w:pPr>
          </w:p>
        </w:tc>
        <w:tc>
          <w:tcPr>
            <w:tcW w:w="1139" w:type="dxa"/>
            <w:vMerge w:val="continue"/>
            <w:tcBorders>
              <w:tl2br w:val="nil"/>
              <w:tr2bl w:val="nil"/>
            </w:tcBorders>
            <w:vAlign w:val="center"/>
          </w:tcPr>
          <w:p>
            <w:pPr>
              <w:rPr>
                <w:rFonts w:hint="eastAsia" w:ascii="Times New Roman" w:hAnsi="Times New Roman" w:cs="Times New Roman"/>
                <w:color w:val="auto"/>
                <w:u w:val="single"/>
                <w:lang w:eastAsia="zh-CN"/>
              </w:rPr>
            </w:pPr>
          </w:p>
        </w:tc>
        <w:tc>
          <w:tcPr>
            <w:tcW w:w="1416" w:type="dxa"/>
            <w:tcBorders>
              <w:tl2br w:val="nil"/>
              <w:tr2bl w:val="nil"/>
            </w:tcBorders>
            <w:vAlign w:val="center"/>
          </w:tcPr>
          <w:p>
            <w:pPr>
              <w:spacing w:line="360" w:lineRule="exact"/>
              <w:jc w:val="center"/>
              <w:rPr>
                <w:rFonts w:ascii="Times New Roman" w:hAnsi="Times New Roman" w:cs="Times New Roman"/>
                <w:color w:val="auto"/>
                <w:szCs w:val="21"/>
                <w:u w:val="single"/>
              </w:rPr>
            </w:pPr>
            <w:r>
              <w:rPr>
                <w:rFonts w:ascii="Times New Roman" w:hAnsi="Times New Roman" w:cs="Times New Roman"/>
                <w:color w:val="auto"/>
                <w:szCs w:val="21"/>
                <w:u w:val="single"/>
              </w:rPr>
              <w:t>影响评价</w:t>
            </w:r>
          </w:p>
        </w:tc>
        <w:tc>
          <w:tcPr>
            <w:tcW w:w="5296" w:type="dxa"/>
            <w:tcBorders>
              <w:tl2br w:val="nil"/>
              <w:tr2bl w:val="nil"/>
            </w:tcBorders>
            <w:vAlign w:val="center"/>
          </w:tcPr>
          <w:p>
            <w:pPr>
              <w:spacing w:line="360" w:lineRule="exact"/>
              <w:jc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671" w:type="dxa"/>
            <w:tcBorders>
              <w:tl2br w:val="nil"/>
              <w:tr2bl w:val="nil"/>
            </w:tcBorders>
            <w:vAlign w:val="center"/>
          </w:tcPr>
          <w:p>
            <w:pPr>
              <w:spacing w:line="360" w:lineRule="exact"/>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6</w:t>
            </w:r>
          </w:p>
        </w:tc>
        <w:tc>
          <w:tcPr>
            <w:tcW w:w="1139" w:type="dxa"/>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固体废物</w:t>
            </w:r>
          </w:p>
        </w:tc>
        <w:tc>
          <w:tcPr>
            <w:tcW w:w="6712" w:type="dxa"/>
            <w:gridSpan w:val="2"/>
            <w:tcBorders>
              <w:tl2br w:val="nil"/>
              <w:tr2bl w:val="nil"/>
            </w:tcBorders>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废润滑油、生活垃圾等</w:t>
            </w:r>
          </w:p>
        </w:tc>
      </w:tr>
    </w:tbl>
    <w:p>
      <w:pPr>
        <w:pStyle w:val="6"/>
        <w:spacing w:before="120" w:beforeLines="0" w:after="120" w:afterLines="0"/>
        <w:rPr>
          <w:color w:val="auto"/>
        </w:rPr>
      </w:pPr>
      <w:bookmarkStart w:id="60" w:name="_Toc930"/>
      <w:bookmarkStart w:id="61" w:name="_Toc6903"/>
      <w:bookmarkStart w:id="62" w:name="_Toc14373"/>
      <w:bookmarkStart w:id="63" w:name="_Toc7136"/>
      <w:r>
        <w:rPr>
          <w:color w:val="auto"/>
        </w:rPr>
        <w:t>评价标准</w:t>
      </w:r>
      <w:bookmarkEnd w:id="49"/>
      <w:bookmarkEnd w:id="50"/>
      <w:bookmarkEnd w:id="51"/>
      <w:bookmarkEnd w:id="52"/>
      <w:bookmarkEnd w:id="53"/>
      <w:bookmarkEnd w:id="60"/>
      <w:bookmarkEnd w:id="61"/>
      <w:bookmarkEnd w:id="62"/>
      <w:bookmarkEnd w:id="63"/>
    </w:p>
    <w:p>
      <w:pPr>
        <w:pStyle w:val="5"/>
        <w:ind w:firstLine="480"/>
        <w:rPr>
          <w:color w:val="auto"/>
        </w:rPr>
      </w:pPr>
      <w:r>
        <w:rPr>
          <w:color w:val="auto"/>
        </w:rPr>
        <w:t>根据</w:t>
      </w:r>
      <w:r>
        <w:rPr>
          <w:rFonts w:hint="eastAsia"/>
          <w:color w:val="auto"/>
        </w:rPr>
        <w:t>岳阳市环境保护局</w:t>
      </w:r>
      <w:r>
        <w:rPr>
          <w:color w:val="auto"/>
        </w:rPr>
        <w:t>云溪区分局标准执行函，本项目执行标准如下：</w:t>
      </w:r>
    </w:p>
    <w:p>
      <w:pPr>
        <w:pStyle w:val="7"/>
        <w:spacing w:before="120" w:beforeLines="0" w:after="120" w:afterLines="0"/>
        <w:rPr>
          <w:color w:val="auto"/>
        </w:rPr>
      </w:pPr>
      <w:bookmarkStart w:id="64" w:name="_Toc219258494"/>
      <w:bookmarkStart w:id="65" w:name="_Toc220122768"/>
      <w:bookmarkStart w:id="66" w:name="_Toc28301"/>
      <w:bookmarkStart w:id="67" w:name="_Toc1146"/>
      <w:bookmarkStart w:id="68" w:name="_Toc26153"/>
      <w:r>
        <w:rPr>
          <w:color w:val="auto"/>
        </w:rPr>
        <w:t>环境质量标准</w:t>
      </w:r>
      <w:bookmarkEnd w:id="64"/>
      <w:bookmarkEnd w:id="65"/>
      <w:bookmarkEnd w:id="66"/>
      <w:bookmarkEnd w:id="67"/>
      <w:bookmarkEnd w:id="68"/>
    </w:p>
    <w:p>
      <w:pPr>
        <w:pStyle w:val="8"/>
        <w:numPr>
          <w:ilvl w:val="3"/>
          <w:numId w:val="0"/>
        </w:numPr>
        <w:spacing w:line="480" w:lineRule="exact"/>
        <w:ind w:left="420" w:leftChars="200"/>
        <w:rPr>
          <w:bCs w:val="0"/>
          <w:color w:val="auto"/>
          <w:szCs w:val="20"/>
          <w:u w:val="single"/>
        </w:rPr>
      </w:pPr>
      <w:r>
        <w:rPr>
          <w:bCs w:val="0"/>
          <w:color w:val="auto"/>
          <w:szCs w:val="20"/>
          <w:u w:val="single"/>
        </w:rPr>
        <w:t>（1）环境空气质量标准</w:t>
      </w:r>
    </w:p>
    <w:p>
      <w:pPr>
        <w:pStyle w:val="5"/>
        <w:spacing w:line="480" w:lineRule="exact"/>
        <w:ind w:firstLine="480"/>
        <w:rPr>
          <w:color w:val="auto"/>
          <w:szCs w:val="24"/>
          <w:u w:val="single"/>
        </w:rPr>
      </w:pPr>
      <w:r>
        <w:rPr>
          <w:color w:val="auto"/>
          <w:szCs w:val="24"/>
          <w:u w:val="single"/>
        </w:rPr>
        <w:t>常规因子：NO</w:t>
      </w:r>
      <w:r>
        <w:rPr>
          <w:color w:val="auto"/>
          <w:szCs w:val="24"/>
          <w:u w:val="single"/>
          <w:vertAlign w:val="subscript"/>
        </w:rPr>
        <w:t>2</w:t>
      </w:r>
      <w:r>
        <w:rPr>
          <w:color w:val="auto"/>
          <w:szCs w:val="24"/>
          <w:u w:val="single"/>
        </w:rPr>
        <w:t>、PM</w:t>
      </w:r>
      <w:r>
        <w:rPr>
          <w:color w:val="auto"/>
          <w:szCs w:val="24"/>
          <w:u w:val="single"/>
          <w:vertAlign w:val="subscript"/>
        </w:rPr>
        <w:t>10</w:t>
      </w:r>
      <w:r>
        <w:rPr>
          <w:color w:val="auto"/>
          <w:szCs w:val="24"/>
          <w:u w:val="single"/>
        </w:rPr>
        <w:t>、SO</w:t>
      </w:r>
      <w:r>
        <w:rPr>
          <w:color w:val="auto"/>
          <w:szCs w:val="24"/>
          <w:u w:val="single"/>
          <w:vertAlign w:val="subscript"/>
        </w:rPr>
        <w:t>2</w:t>
      </w:r>
      <w:r>
        <w:rPr>
          <w:color w:val="auto"/>
          <w:szCs w:val="24"/>
          <w:u w:val="single"/>
        </w:rPr>
        <w:t>、TSP执行《环境空气质量标准》（GB3095-2012）</w:t>
      </w:r>
      <w:r>
        <w:rPr>
          <w:color w:val="auto"/>
          <w:u w:val="single"/>
        </w:rPr>
        <w:t>中</w:t>
      </w:r>
      <w:r>
        <w:rPr>
          <w:color w:val="auto"/>
          <w:szCs w:val="24"/>
          <w:u w:val="single"/>
        </w:rPr>
        <w:t>二级标准；特征因子：</w:t>
      </w:r>
      <w:r>
        <w:rPr>
          <w:color w:val="auto"/>
          <w:u w:val="single"/>
        </w:rPr>
        <w:t>氨</w:t>
      </w:r>
      <w:r>
        <w:rPr>
          <w:rFonts w:hint="eastAsia"/>
          <w:bCs/>
          <w:color w:val="auto"/>
          <w:u w:val="single"/>
        </w:rPr>
        <w:t>参照执行</w:t>
      </w:r>
      <w:r>
        <w:rPr>
          <w:rFonts w:hint="eastAsia"/>
          <w:snapToGrid w:val="0"/>
          <w:color w:val="auto"/>
          <w:kern w:val="0"/>
          <w:u w:val="single"/>
        </w:rPr>
        <w:t>《环境影响评价技术导则</w:t>
      </w:r>
      <w:r>
        <w:rPr>
          <w:snapToGrid w:val="0"/>
          <w:color w:val="auto"/>
          <w:kern w:val="0"/>
          <w:u w:val="single"/>
        </w:rPr>
        <w:t xml:space="preserve">  </w:t>
      </w:r>
      <w:r>
        <w:rPr>
          <w:rFonts w:hint="eastAsia"/>
          <w:snapToGrid w:val="0"/>
          <w:color w:val="auto"/>
          <w:kern w:val="0"/>
          <w:u w:val="single"/>
        </w:rPr>
        <w:t>大气环境》（</w:t>
      </w:r>
      <w:r>
        <w:rPr>
          <w:snapToGrid w:val="0"/>
          <w:color w:val="auto"/>
          <w:kern w:val="0"/>
          <w:u w:val="single"/>
        </w:rPr>
        <w:t>HJ2.2-2018</w:t>
      </w:r>
      <w:r>
        <w:rPr>
          <w:rFonts w:hint="eastAsia"/>
          <w:snapToGrid w:val="0"/>
          <w:color w:val="auto"/>
          <w:kern w:val="0"/>
          <w:u w:val="single"/>
        </w:rPr>
        <w:t>）</w:t>
      </w:r>
      <w:r>
        <w:rPr>
          <w:rFonts w:hint="eastAsia"/>
          <w:snapToGrid w:val="0"/>
          <w:color w:val="auto"/>
          <w:kern w:val="0"/>
          <w:u w:val="single"/>
          <w:lang w:eastAsia="zh-CN"/>
        </w:rPr>
        <w:t>附录</w:t>
      </w:r>
      <w:r>
        <w:rPr>
          <w:rFonts w:hint="eastAsia"/>
          <w:snapToGrid w:val="0"/>
          <w:color w:val="auto"/>
          <w:kern w:val="0"/>
          <w:u w:val="single"/>
          <w:lang w:val="en-US" w:eastAsia="zh-CN"/>
        </w:rPr>
        <w:t>D推荐值</w:t>
      </w:r>
      <w:r>
        <w:rPr>
          <w:rFonts w:hint="eastAsia"/>
          <w:color w:val="auto"/>
          <w:u w:val="single"/>
        </w:rPr>
        <w:t>。</w:t>
      </w:r>
      <w:r>
        <w:rPr>
          <w:color w:val="auto"/>
          <w:szCs w:val="24"/>
          <w:u w:val="single"/>
        </w:rPr>
        <w:t>具体标准值详见表</w:t>
      </w:r>
      <w:r>
        <w:rPr>
          <w:rFonts w:hint="eastAsia"/>
          <w:color w:val="auto"/>
          <w:szCs w:val="24"/>
          <w:u w:val="single"/>
          <w:lang w:val="en-US" w:eastAsia="zh-CN"/>
        </w:rPr>
        <w:t>1.4-1</w:t>
      </w:r>
      <w:r>
        <w:rPr>
          <w:color w:val="auto"/>
          <w:szCs w:val="24"/>
          <w:u w:val="single"/>
        </w:rPr>
        <w:t>。</w:t>
      </w:r>
    </w:p>
    <w:p>
      <w:pPr>
        <w:pStyle w:val="5"/>
        <w:spacing w:line="480" w:lineRule="exact"/>
        <w:ind w:firstLine="480"/>
        <w:rPr>
          <w:color w:val="auto"/>
          <w:u w:val="single"/>
        </w:rPr>
      </w:pPr>
    </w:p>
    <w:p>
      <w:pPr>
        <w:pStyle w:val="5"/>
        <w:spacing w:line="480" w:lineRule="exact"/>
        <w:ind w:firstLine="2409" w:firstLineChars="1000"/>
        <w:rPr>
          <w:color w:val="auto"/>
          <w:u w:val="single"/>
        </w:rPr>
      </w:pPr>
      <w:r>
        <w:rPr>
          <w:b/>
          <w:color w:val="auto"/>
          <w:u w:val="single"/>
        </w:rPr>
        <w:t xml:space="preserve">表 </w:t>
      </w:r>
      <w:r>
        <w:rPr>
          <w:rFonts w:hint="eastAsia"/>
          <w:b/>
          <w:color w:val="auto"/>
          <w:u w:val="single"/>
          <w:lang w:val="en-US" w:eastAsia="zh-CN"/>
        </w:rPr>
        <w:t>1.4-1</w:t>
      </w:r>
      <w:r>
        <w:rPr>
          <w:b/>
          <w:color w:val="auto"/>
          <w:u w:val="single"/>
        </w:rPr>
        <w:t xml:space="preserve">  环境空气质量标准值</w:t>
      </w:r>
    </w:p>
    <w:tbl>
      <w:tblPr>
        <w:tblStyle w:val="45"/>
        <w:tblW w:w="8184" w:type="dxa"/>
        <w:tblInd w:w="22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50"/>
        <w:gridCol w:w="2434"/>
        <w:gridCol w:w="765"/>
        <w:gridCol w:w="1292"/>
        <w:gridCol w:w="1312"/>
        <w:gridCol w:w="922"/>
        <w:gridCol w:w="80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82" w:hRule="atLeast"/>
          <w:tblHeader/>
        </w:trPr>
        <w:tc>
          <w:tcPr>
            <w:tcW w:w="650" w:type="dxa"/>
            <w:vMerge w:val="restart"/>
            <w:tcBorders>
              <w:top w:val="single" w:color="auto" w:sz="4"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类别</w:t>
            </w:r>
          </w:p>
        </w:tc>
        <w:tc>
          <w:tcPr>
            <w:tcW w:w="2434" w:type="dxa"/>
            <w:vMerge w:val="restart"/>
            <w:tcBorders>
              <w:top w:val="single" w:color="auto" w:sz="4"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标准名称</w:t>
            </w:r>
          </w:p>
        </w:tc>
        <w:tc>
          <w:tcPr>
            <w:tcW w:w="765" w:type="dxa"/>
            <w:vMerge w:val="restart"/>
            <w:tcBorders>
              <w:top w:val="single" w:color="auto" w:sz="4"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类别</w:t>
            </w:r>
          </w:p>
        </w:tc>
        <w:tc>
          <w:tcPr>
            <w:tcW w:w="3526" w:type="dxa"/>
            <w:gridSpan w:val="3"/>
            <w:tcBorders>
              <w:top w:val="single" w:color="auto" w:sz="4"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标准限值</w:t>
            </w:r>
          </w:p>
        </w:tc>
        <w:tc>
          <w:tcPr>
            <w:tcW w:w="809" w:type="dxa"/>
            <w:vMerge w:val="restart"/>
            <w:tcBorders>
              <w:top w:val="single" w:color="auto" w:sz="4"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单位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96" w:hRule="atLeast"/>
          <w:tblHeader/>
        </w:trPr>
        <w:tc>
          <w:tcPr>
            <w:tcW w:w="650" w:type="dxa"/>
            <w:vMerge w:val="continue"/>
            <w:tcBorders>
              <w:top w:val="single" w:color="auto" w:sz="4" w:space="0"/>
              <w:left w:val="single" w:color="auto" w:sz="4" w:space="0"/>
              <w:bottom w:val="single" w:color="auto" w:sz="6"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top w:val="single" w:color="auto" w:sz="4"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top w:val="single" w:color="auto" w:sz="4"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292"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参数名称</w:t>
            </w: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平均时间</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b/>
                <w:snapToGrid w:val="0"/>
                <w:color w:val="auto"/>
                <w:kern w:val="0"/>
                <w:szCs w:val="21"/>
                <w:u w:val="single"/>
              </w:rPr>
            </w:pPr>
            <w:r>
              <w:rPr>
                <w:rFonts w:ascii="Times New Roman" w:hAnsi="Times New Roman" w:cs="Times New Roman"/>
                <w:b/>
                <w:snapToGrid w:val="0"/>
                <w:color w:val="auto"/>
                <w:kern w:val="0"/>
                <w:szCs w:val="21"/>
                <w:u w:val="single"/>
              </w:rPr>
              <w:t>限值</w:t>
            </w:r>
          </w:p>
        </w:tc>
        <w:tc>
          <w:tcPr>
            <w:tcW w:w="809" w:type="dxa"/>
            <w:vMerge w:val="continue"/>
            <w:tcBorders>
              <w:top w:val="single" w:color="auto" w:sz="4" w:space="0"/>
              <w:left w:val="single" w:color="auto" w:sz="6" w:space="0"/>
              <w:bottom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restart"/>
            <w:tcBorders>
              <w:top w:val="single" w:color="auto" w:sz="6" w:space="0"/>
              <w:left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环境</w:t>
            </w:r>
          </w:p>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空气</w:t>
            </w:r>
          </w:p>
        </w:tc>
        <w:tc>
          <w:tcPr>
            <w:tcW w:w="2434" w:type="dxa"/>
            <w:vMerge w:val="restart"/>
            <w:tcBorders>
              <w:top w:val="single" w:color="auto" w:sz="6" w:space="0"/>
              <w:left w:val="single" w:color="auto" w:sz="6" w:space="0"/>
              <w:right w:val="single" w:color="auto" w:sz="6" w:space="0"/>
            </w:tcBorders>
            <w:vAlign w:val="center"/>
          </w:tcPr>
          <w:p>
            <w:pPr>
              <w:pStyle w:val="165"/>
              <w:tabs>
                <w:tab w:val="left" w:pos="420"/>
              </w:tabs>
              <w:adjustRightInd w:val="0"/>
              <w:spacing w:line="320" w:lineRule="exact"/>
              <w:rPr>
                <w:rFonts w:ascii="Times New Roman" w:hAnsi="Times New Roman" w:eastAsia="宋体" w:cs="Times New Roman"/>
                <w:snapToGrid w:val="0"/>
                <w:color w:val="auto"/>
                <w:sz w:val="21"/>
                <w:u w:val="single"/>
              </w:rPr>
            </w:pPr>
            <w:r>
              <w:rPr>
                <w:rFonts w:ascii="Times New Roman" w:hAnsi="Times New Roman" w:eastAsia="宋体" w:cs="Times New Roman"/>
                <w:snapToGrid w:val="0"/>
                <w:color w:val="auto"/>
                <w:sz w:val="21"/>
                <w:u w:val="single"/>
              </w:rPr>
              <w:t>《环境空气质量标准》（GB3095-2012）</w:t>
            </w:r>
          </w:p>
        </w:tc>
        <w:tc>
          <w:tcPr>
            <w:tcW w:w="765" w:type="dxa"/>
            <w:vMerge w:val="restart"/>
            <w:tcBorders>
              <w:top w:val="single" w:color="auto" w:sz="6" w:space="0"/>
              <w:left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二级</w:t>
            </w:r>
          </w:p>
        </w:tc>
        <w:tc>
          <w:tcPr>
            <w:tcW w:w="1292"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二氧化氮(NO</w:t>
            </w:r>
            <w:r>
              <w:rPr>
                <w:rFonts w:ascii="Times New Roman" w:hAnsi="Times New Roman" w:cs="Times New Roman"/>
                <w:snapToGrid w:val="0"/>
                <w:color w:val="auto"/>
                <w:kern w:val="0"/>
                <w:szCs w:val="21"/>
                <w:u w:val="single"/>
                <w:vertAlign w:val="subscript"/>
              </w:rPr>
              <w:t>2</w:t>
            </w:r>
            <w:r>
              <w:rPr>
                <w:rFonts w:ascii="Times New Roman" w:hAnsi="Times New Roman" w:cs="Times New Roman"/>
                <w:snapToGrid w:val="0"/>
                <w:color w:val="auto"/>
                <w:kern w:val="0"/>
                <w:szCs w:val="21"/>
                <w:u w:val="single"/>
              </w:rPr>
              <w:t>)</w:t>
            </w: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年平均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40</w:t>
            </w:r>
          </w:p>
        </w:tc>
        <w:tc>
          <w:tcPr>
            <w:tcW w:w="809" w:type="dxa"/>
            <w:vMerge w:val="restart"/>
            <w:tcBorders>
              <w:top w:val="single" w:color="auto" w:sz="6" w:space="0"/>
              <w:left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color w:val="auto"/>
                <w:szCs w:val="21"/>
                <w:u w:val="single"/>
              </w:rPr>
              <w:t>μg/m³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top w:val="single" w:color="auto" w:sz="6"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24小时平均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80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top w:val="single" w:color="auto" w:sz="6"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1小时平均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200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可吸入颗粒物(PM</w:t>
            </w:r>
            <w:r>
              <w:rPr>
                <w:rFonts w:ascii="Times New Roman" w:hAnsi="Times New Roman" w:cs="Times New Roman"/>
                <w:snapToGrid w:val="0"/>
                <w:color w:val="auto"/>
                <w:kern w:val="0"/>
                <w:szCs w:val="21"/>
                <w:u w:val="single"/>
                <w:vertAlign w:val="subscript"/>
              </w:rPr>
              <w:t>10</w:t>
            </w:r>
            <w:r>
              <w:rPr>
                <w:rFonts w:ascii="Times New Roman" w:hAnsi="Times New Roman" w:cs="Times New Roman"/>
                <w:snapToGrid w:val="0"/>
                <w:color w:val="auto"/>
                <w:kern w:val="0"/>
                <w:szCs w:val="21"/>
                <w:u w:val="single"/>
              </w:rPr>
              <w:t>)</w:t>
            </w: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年平均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70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top w:val="single" w:color="auto" w:sz="6"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24小时平均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150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restart"/>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二氧化硫（SO</w:t>
            </w:r>
            <w:r>
              <w:rPr>
                <w:rFonts w:ascii="Times New Roman" w:hAnsi="Times New Roman" w:cs="Times New Roman"/>
                <w:snapToGrid w:val="0"/>
                <w:color w:val="auto"/>
                <w:kern w:val="0"/>
                <w:szCs w:val="21"/>
                <w:u w:val="single"/>
                <w:vertAlign w:val="subscript"/>
              </w:rPr>
              <w:t>2</w:t>
            </w:r>
            <w:r>
              <w:rPr>
                <w:rFonts w:ascii="Times New Roman" w:hAnsi="Times New Roman" w:cs="Times New Roman"/>
                <w:snapToGrid w:val="0"/>
                <w:color w:val="auto"/>
                <w:kern w:val="0"/>
                <w:szCs w:val="21"/>
                <w:u w:val="single"/>
              </w:rPr>
              <w:t>）</w:t>
            </w: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年平均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60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top w:val="single" w:color="auto" w:sz="6" w:space="0"/>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6" w:space="0"/>
              <w:left w:val="single" w:color="auto" w:sz="6" w:space="0"/>
              <w:bottom w:val="single" w:color="auto" w:sz="6"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24小时平均</w:t>
            </w:r>
          </w:p>
        </w:tc>
        <w:tc>
          <w:tcPr>
            <w:tcW w:w="922" w:type="dxa"/>
            <w:tcBorders>
              <w:top w:val="single" w:color="auto" w:sz="6" w:space="0"/>
              <w:left w:val="single" w:color="auto" w:sz="4" w:space="0"/>
              <w:bottom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150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27"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top w:val="single" w:color="auto" w:sz="6" w:space="0"/>
              <w:left w:val="single" w:color="auto" w:sz="6" w:space="0"/>
              <w:bottom w:val="single" w:color="auto" w:sz="4"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6" w:space="0"/>
              <w:left w:val="single" w:color="auto" w:sz="6" w:space="0"/>
              <w:bottom w:val="single" w:color="auto" w:sz="4"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1小时平均</w:t>
            </w:r>
          </w:p>
        </w:tc>
        <w:tc>
          <w:tcPr>
            <w:tcW w:w="922" w:type="dxa"/>
            <w:tcBorders>
              <w:top w:val="single" w:color="auto" w:sz="6" w:space="0"/>
              <w:left w:val="single" w:color="auto" w:sz="4" w:space="0"/>
              <w:bottom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500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55"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restart"/>
            <w:tcBorders>
              <w:top w:val="single" w:color="auto" w:sz="4" w:space="0"/>
              <w:left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总悬浮颗粒物(TSP)</w:t>
            </w:r>
          </w:p>
        </w:tc>
        <w:tc>
          <w:tcPr>
            <w:tcW w:w="1312" w:type="dxa"/>
            <w:tcBorders>
              <w:top w:val="single" w:color="auto" w:sz="4" w:space="0"/>
              <w:left w:val="single" w:color="auto" w:sz="6" w:space="0"/>
              <w:bottom w:val="single" w:color="auto" w:sz="4"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年平均</w:t>
            </w:r>
          </w:p>
        </w:tc>
        <w:tc>
          <w:tcPr>
            <w:tcW w:w="922" w:type="dxa"/>
            <w:tcBorders>
              <w:top w:val="single" w:color="auto" w:sz="4" w:space="0"/>
              <w:left w:val="single" w:color="auto" w:sz="4" w:space="0"/>
              <w:bottom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200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85"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vMerge w:val="continue"/>
            <w:tcBorders>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765" w:type="dxa"/>
            <w:vMerge w:val="continue"/>
            <w:tcBorders>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292" w:type="dxa"/>
            <w:vMerge w:val="continue"/>
            <w:tcBorders>
              <w:left w:val="single" w:color="auto" w:sz="6" w:space="0"/>
              <w:bottom w:val="single" w:color="auto" w:sz="6" w:space="0"/>
              <w:right w:val="single" w:color="auto" w:sz="6" w:space="0"/>
            </w:tcBorders>
            <w:vAlign w:val="center"/>
          </w:tcPr>
          <w:p>
            <w:pPr>
              <w:rPr>
                <w:rFonts w:ascii="Times New Roman" w:hAnsi="Times New Roman" w:cs="Times New Roman"/>
                <w:color w:val="auto"/>
                <w:u w:val="single"/>
              </w:rPr>
            </w:pPr>
          </w:p>
        </w:tc>
        <w:tc>
          <w:tcPr>
            <w:tcW w:w="1312" w:type="dxa"/>
            <w:tcBorders>
              <w:top w:val="single" w:color="auto" w:sz="4" w:space="0"/>
              <w:left w:val="single" w:color="auto" w:sz="6" w:space="0"/>
              <w:bottom w:val="single" w:color="auto" w:sz="4" w:space="0"/>
              <w:right w:val="single" w:color="auto" w:sz="4"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24小时平均</w:t>
            </w:r>
          </w:p>
        </w:tc>
        <w:tc>
          <w:tcPr>
            <w:tcW w:w="922" w:type="dxa"/>
            <w:tcBorders>
              <w:top w:val="single" w:color="auto" w:sz="4" w:space="0"/>
              <w:left w:val="single" w:color="auto" w:sz="4" w:space="0"/>
              <w:bottom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snapToGrid w:val="0"/>
                <w:color w:val="auto"/>
                <w:kern w:val="0"/>
                <w:szCs w:val="21"/>
                <w:u w:val="single"/>
              </w:rPr>
            </w:pPr>
            <w:r>
              <w:rPr>
                <w:rFonts w:ascii="Times New Roman" w:hAnsi="Times New Roman" w:cs="Times New Roman"/>
                <w:snapToGrid w:val="0"/>
                <w:color w:val="auto"/>
                <w:kern w:val="0"/>
                <w:szCs w:val="21"/>
                <w:u w:val="single"/>
              </w:rPr>
              <w:t>300</w:t>
            </w:r>
          </w:p>
        </w:tc>
        <w:tc>
          <w:tcPr>
            <w:tcW w:w="809" w:type="dxa"/>
            <w:vMerge w:val="continue"/>
            <w:tcBorders>
              <w:left w:val="single" w:color="auto" w:sz="6" w:space="0"/>
              <w:right w:val="single" w:color="auto" w:sz="4" w:space="0"/>
            </w:tcBorders>
            <w:vAlign w:val="center"/>
          </w:tcPr>
          <w:p>
            <w:pPr>
              <w:rPr>
                <w:rFonts w:ascii="Times New Roman" w:hAnsi="Times New Roman" w:cs="Times New Roman"/>
                <w:color w:val="auto"/>
                <w:u w:val="singl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62" w:hRule="atLeast"/>
        </w:trPr>
        <w:tc>
          <w:tcPr>
            <w:tcW w:w="650" w:type="dxa"/>
            <w:vMerge w:val="continue"/>
            <w:tcBorders>
              <w:left w:val="single" w:color="auto" w:sz="4" w:space="0"/>
              <w:right w:val="single" w:color="auto" w:sz="6" w:space="0"/>
            </w:tcBorders>
            <w:vAlign w:val="center"/>
          </w:tcPr>
          <w:p>
            <w:pPr>
              <w:rPr>
                <w:rFonts w:ascii="Times New Roman" w:hAnsi="Times New Roman" w:cs="Times New Roman"/>
                <w:color w:val="auto"/>
                <w:u w:val="single"/>
              </w:rPr>
            </w:pPr>
          </w:p>
        </w:tc>
        <w:tc>
          <w:tcPr>
            <w:tcW w:w="2434" w:type="dxa"/>
            <w:tcBorders>
              <w:top w:val="single" w:color="auto" w:sz="4" w:space="0"/>
              <w:left w:val="single" w:color="auto" w:sz="6" w:space="0"/>
              <w:right w:val="single" w:color="auto" w:sz="6" w:space="0"/>
            </w:tcBorders>
            <w:vAlign w:val="center"/>
          </w:tcPr>
          <w:p>
            <w:pPr>
              <w:adjustRightInd w:val="0"/>
              <w:snapToGrid w:val="0"/>
              <w:spacing w:line="320" w:lineRule="exact"/>
              <w:jc w:val="center"/>
              <w:rPr>
                <w:rFonts w:ascii="Times New Roman" w:hAnsi="Times New Roman" w:cs="Times New Roman"/>
                <w:color w:val="auto"/>
                <w:szCs w:val="24"/>
                <w:u w:val="single"/>
              </w:rPr>
            </w:pPr>
            <w:r>
              <w:rPr>
                <w:rFonts w:ascii="Times New Roman" w:hAnsi="Times New Roman" w:eastAsia="宋体" w:cs="Times New Roman"/>
                <w:snapToGrid w:val="0"/>
                <w:color w:val="auto"/>
                <w:sz w:val="21"/>
                <w:u w:val="single"/>
              </w:rPr>
              <w:t>《</w:t>
            </w:r>
            <w:r>
              <w:rPr>
                <w:rFonts w:hint="eastAsia"/>
                <w:snapToGrid w:val="0"/>
                <w:color w:val="auto"/>
                <w:kern w:val="0"/>
                <w:u w:val="single"/>
              </w:rPr>
              <w:t>环境影响评价技术导则</w:t>
            </w:r>
            <w:r>
              <w:rPr>
                <w:snapToGrid w:val="0"/>
                <w:color w:val="auto"/>
                <w:kern w:val="0"/>
                <w:u w:val="single"/>
              </w:rPr>
              <w:t xml:space="preserve">  </w:t>
            </w:r>
            <w:r>
              <w:rPr>
                <w:rFonts w:hint="eastAsia"/>
                <w:snapToGrid w:val="0"/>
                <w:color w:val="auto"/>
                <w:kern w:val="0"/>
                <w:u w:val="single"/>
              </w:rPr>
              <w:t>大气环境》（</w:t>
            </w:r>
            <w:r>
              <w:rPr>
                <w:snapToGrid w:val="0"/>
                <w:color w:val="auto"/>
                <w:kern w:val="0"/>
                <w:u w:val="single"/>
              </w:rPr>
              <w:t>HJ2.2-2018</w:t>
            </w:r>
            <w:r>
              <w:rPr>
                <w:rFonts w:hint="eastAsia"/>
                <w:snapToGrid w:val="0"/>
                <w:color w:val="auto"/>
                <w:kern w:val="0"/>
                <w:u w:val="single"/>
              </w:rPr>
              <w:t>）</w:t>
            </w:r>
            <w:r>
              <w:rPr>
                <w:rFonts w:hint="eastAsia"/>
                <w:snapToGrid w:val="0"/>
                <w:color w:val="auto"/>
                <w:kern w:val="0"/>
                <w:u w:val="single"/>
                <w:lang w:eastAsia="zh-CN"/>
              </w:rPr>
              <w:t>附录</w:t>
            </w:r>
            <w:r>
              <w:rPr>
                <w:rFonts w:hint="eastAsia"/>
                <w:snapToGrid w:val="0"/>
                <w:color w:val="auto"/>
                <w:kern w:val="0"/>
                <w:u w:val="single"/>
                <w:lang w:val="en-US" w:eastAsia="zh-CN"/>
              </w:rPr>
              <w:t>D</w:t>
            </w:r>
          </w:p>
        </w:tc>
        <w:tc>
          <w:tcPr>
            <w:tcW w:w="765" w:type="dxa"/>
            <w:tcBorders>
              <w:top w:val="single" w:color="auto" w:sz="4" w:space="0"/>
              <w:left w:val="single" w:color="auto" w:sz="6" w:space="0"/>
              <w:bottom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1292" w:type="dxa"/>
            <w:tcBorders>
              <w:top w:val="single" w:color="auto" w:sz="4" w:space="0"/>
              <w:left w:val="single" w:color="auto" w:sz="6" w:space="0"/>
              <w:bottom w:val="single" w:color="auto" w:sz="4" w:space="0"/>
              <w:right w:val="single" w:color="auto" w:sz="6" w:space="0"/>
            </w:tcBorders>
            <w:vAlign w:val="center"/>
          </w:tcPr>
          <w:p>
            <w:pPr>
              <w:adjustRightInd w:val="0"/>
              <w:snapToGrid w:val="0"/>
              <w:spacing w:line="320" w:lineRule="exact"/>
              <w:jc w:val="center"/>
              <w:rPr>
                <w:rFonts w:ascii="Times New Roman" w:hAnsi="Times New Roman" w:cs="Times New Roman"/>
                <w:color w:val="auto"/>
                <w:kern w:val="0"/>
                <w:szCs w:val="21"/>
                <w:u w:val="single"/>
              </w:rPr>
            </w:pPr>
            <w:r>
              <w:rPr>
                <w:rFonts w:ascii="Times New Roman" w:hAnsi="Times New Roman" w:cs="Times New Roman"/>
                <w:color w:val="auto"/>
                <w:kern w:val="0"/>
                <w:szCs w:val="21"/>
                <w:u w:val="single"/>
              </w:rPr>
              <w:t>氨（NH</w:t>
            </w:r>
            <w:r>
              <w:rPr>
                <w:rFonts w:ascii="Times New Roman" w:hAnsi="Times New Roman" w:cs="Times New Roman"/>
                <w:color w:val="auto"/>
                <w:kern w:val="0"/>
                <w:szCs w:val="21"/>
                <w:u w:val="single"/>
                <w:vertAlign w:val="subscript"/>
              </w:rPr>
              <w:t>3</w:t>
            </w:r>
            <w:r>
              <w:rPr>
                <w:rFonts w:ascii="Times New Roman" w:hAnsi="Times New Roman" w:cs="Times New Roman"/>
                <w:color w:val="auto"/>
                <w:kern w:val="0"/>
                <w:szCs w:val="21"/>
                <w:u w:val="single"/>
              </w:rPr>
              <w:t>）</w:t>
            </w:r>
          </w:p>
        </w:tc>
        <w:tc>
          <w:tcPr>
            <w:tcW w:w="1312" w:type="dxa"/>
            <w:tcBorders>
              <w:top w:val="single" w:color="auto" w:sz="4" w:space="0"/>
              <w:left w:val="single" w:color="auto" w:sz="6" w:space="0"/>
              <w:bottom w:val="single" w:color="auto" w:sz="4" w:space="0"/>
              <w:right w:val="single" w:color="auto" w:sz="4" w:space="0"/>
            </w:tcBorders>
            <w:vAlign w:val="center"/>
          </w:tcPr>
          <w:p>
            <w:pPr>
              <w:adjustRightInd w:val="0"/>
              <w:snapToGrid w:val="0"/>
              <w:spacing w:line="320" w:lineRule="exact"/>
              <w:jc w:val="center"/>
              <w:rPr>
                <w:rFonts w:ascii="Times New Roman" w:hAnsi="Times New Roman" w:cs="Times New Roman"/>
                <w:color w:val="auto"/>
                <w:szCs w:val="21"/>
                <w:u w:val="single"/>
              </w:rPr>
            </w:pPr>
            <w:r>
              <w:rPr>
                <w:rFonts w:ascii="Times New Roman" w:hAnsi="Times New Roman" w:cs="Times New Roman"/>
                <w:snapToGrid w:val="0"/>
                <w:color w:val="auto"/>
                <w:kern w:val="0"/>
                <w:szCs w:val="21"/>
                <w:u w:val="single"/>
              </w:rPr>
              <w:t>1小时平均</w:t>
            </w:r>
          </w:p>
        </w:tc>
        <w:tc>
          <w:tcPr>
            <w:tcW w:w="922" w:type="dxa"/>
            <w:tcBorders>
              <w:top w:val="single" w:color="auto" w:sz="4" w:space="0"/>
              <w:left w:val="single" w:color="auto" w:sz="4" w:space="0"/>
              <w:bottom w:val="single" w:color="auto" w:sz="4"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200</w:t>
            </w:r>
          </w:p>
        </w:tc>
        <w:tc>
          <w:tcPr>
            <w:tcW w:w="809" w:type="dxa"/>
            <w:vMerge w:val="continue"/>
            <w:tcBorders>
              <w:left w:val="single" w:color="auto" w:sz="6" w:space="0"/>
              <w:right w:val="single" w:color="auto" w:sz="4" w:space="0"/>
            </w:tcBorders>
            <w:vAlign w:val="center"/>
          </w:tcPr>
          <w:p>
            <w:pPr>
              <w:spacing w:line="320" w:lineRule="exact"/>
              <w:rPr>
                <w:rFonts w:ascii="Times New Roman" w:hAnsi="Times New Roman" w:cs="Times New Roman"/>
                <w:color w:val="auto"/>
                <w:szCs w:val="21"/>
                <w:u w:val="single"/>
              </w:rPr>
            </w:pPr>
          </w:p>
        </w:tc>
      </w:tr>
    </w:tbl>
    <w:p>
      <w:pPr>
        <w:pStyle w:val="8"/>
        <w:numPr>
          <w:ilvl w:val="3"/>
          <w:numId w:val="0"/>
        </w:numPr>
        <w:spacing w:line="480" w:lineRule="exact"/>
        <w:ind w:left="420" w:leftChars="200"/>
        <w:rPr>
          <w:bCs w:val="0"/>
          <w:color w:val="auto"/>
          <w:szCs w:val="20"/>
        </w:rPr>
      </w:pPr>
      <w:r>
        <w:rPr>
          <w:bCs w:val="0"/>
          <w:color w:val="auto"/>
          <w:szCs w:val="20"/>
        </w:rPr>
        <w:t>（2）地表水环境质量标准</w:t>
      </w:r>
    </w:p>
    <w:p>
      <w:pPr>
        <w:pStyle w:val="5"/>
        <w:spacing w:line="480" w:lineRule="exact"/>
        <w:ind w:firstLine="480"/>
        <w:rPr>
          <w:color w:val="auto"/>
        </w:rPr>
      </w:pPr>
      <w:r>
        <w:rPr>
          <w:color w:val="auto"/>
        </w:rPr>
        <w:t>长江执行《地表水环境质量标准》（GB3838-2002）Ⅲ类标准。具体标准见表1-5。</w:t>
      </w:r>
    </w:p>
    <w:p>
      <w:pPr>
        <w:pStyle w:val="18"/>
        <w:tabs>
          <w:tab w:val="left" w:pos="2042"/>
          <w:tab w:val="center" w:pos="4518"/>
        </w:tabs>
        <w:jc w:val="left"/>
        <w:rPr>
          <w:color w:val="auto"/>
        </w:rPr>
      </w:pPr>
      <w:r>
        <w:rPr>
          <w:color w:val="auto"/>
        </w:rPr>
        <w:tab/>
      </w:r>
    </w:p>
    <w:p>
      <w:pPr>
        <w:pStyle w:val="18"/>
        <w:tabs>
          <w:tab w:val="left" w:pos="2042"/>
          <w:tab w:val="center" w:pos="4518"/>
        </w:tabs>
        <w:jc w:val="center"/>
        <w:rPr>
          <w:color w:val="auto"/>
        </w:rPr>
      </w:pPr>
      <w:r>
        <w:rPr>
          <w:color w:val="auto"/>
        </w:rPr>
        <w:t xml:space="preserve">表 </w:t>
      </w:r>
      <w:r>
        <w:rPr>
          <w:rFonts w:hint="eastAsia"/>
          <w:color w:val="auto"/>
          <w:lang w:val="en-US" w:eastAsia="zh-CN"/>
        </w:rPr>
        <w:t>1.4-2</w:t>
      </w:r>
      <w:r>
        <w:rPr>
          <w:color w:val="auto"/>
        </w:rPr>
        <w:t xml:space="preserve"> 地表水环境质量标准    单位：mg/L</w:t>
      </w:r>
    </w:p>
    <w:tbl>
      <w:tblPr>
        <w:tblStyle w:val="45"/>
        <w:tblW w:w="765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6"/>
        <w:gridCol w:w="1172"/>
        <w:gridCol w:w="2661"/>
        <w:gridCol w:w="12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b/>
                <w:bCs/>
                <w:color w:val="auto"/>
              </w:rPr>
            </w:pPr>
            <w:r>
              <w:rPr>
                <w:b/>
                <w:bCs/>
                <w:color w:val="auto"/>
              </w:rPr>
              <w:t>项目</w:t>
            </w:r>
          </w:p>
        </w:tc>
        <w:tc>
          <w:tcPr>
            <w:tcW w:w="1172" w:type="dxa"/>
            <w:tcBorders>
              <w:tl2br w:val="nil"/>
              <w:tr2bl w:val="nil"/>
            </w:tcBorders>
            <w:vAlign w:val="center"/>
          </w:tcPr>
          <w:p>
            <w:pPr>
              <w:pStyle w:val="168"/>
              <w:rPr>
                <w:b/>
                <w:bCs/>
                <w:color w:val="auto"/>
              </w:rPr>
            </w:pPr>
            <w:r>
              <w:rPr>
                <w:b/>
                <w:bCs/>
                <w:color w:val="auto"/>
              </w:rPr>
              <w:t>Ⅲ类</w:t>
            </w:r>
          </w:p>
        </w:tc>
        <w:tc>
          <w:tcPr>
            <w:tcW w:w="2661" w:type="dxa"/>
            <w:tcBorders>
              <w:tl2br w:val="nil"/>
              <w:tr2bl w:val="nil"/>
            </w:tcBorders>
            <w:vAlign w:val="center"/>
          </w:tcPr>
          <w:p>
            <w:pPr>
              <w:pStyle w:val="168"/>
              <w:rPr>
                <w:b/>
                <w:bCs/>
                <w:color w:val="auto"/>
              </w:rPr>
            </w:pPr>
            <w:r>
              <w:rPr>
                <w:b/>
                <w:bCs/>
                <w:color w:val="auto"/>
              </w:rPr>
              <w:t>项目</w:t>
            </w:r>
          </w:p>
        </w:tc>
        <w:tc>
          <w:tcPr>
            <w:tcW w:w="1271" w:type="dxa"/>
            <w:tcBorders>
              <w:tl2br w:val="nil"/>
              <w:tr2bl w:val="nil"/>
            </w:tcBorders>
            <w:vAlign w:val="center"/>
          </w:tcPr>
          <w:p>
            <w:pPr>
              <w:pStyle w:val="168"/>
              <w:rPr>
                <w:b/>
                <w:bCs/>
                <w:color w:val="auto"/>
              </w:rPr>
            </w:pPr>
            <w:r>
              <w:rPr>
                <w:b/>
                <w:bCs/>
                <w:color w:val="auto"/>
              </w:rPr>
              <w:t>Ⅲ类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pH</w:t>
            </w:r>
            <w:r>
              <w:rPr>
                <w:rFonts w:hint="eastAsia"/>
                <w:color w:val="auto"/>
              </w:rPr>
              <w:t>（无量纲）</w:t>
            </w:r>
          </w:p>
        </w:tc>
        <w:tc>
          <w:tcPr>
            <w:tcW w:w="1172" w:type="dxa"/>
            <w:tcBorders>
              <w:tl2br w:val="nil"/>
              <w:tr2bl w:val="nil"/>
            </w:tcBorders>
            <w:vAlign w:val="center"/>
          </w:tcPr>
          <w:p>
            <w:pPr>
              <w:pStyle w:val="168"/>
              <w:rPr>
                <w:color w:val="auto"/>
              </w:rPr>
            </w:pPr>
            <w:r>
              <w:rPr>
                <w:color w:val="auto"/>
              </w:rPr>
              <w:t>6-9</w:t>
            </w:r>
          </w:p>
        </w:tc>
        <w:tc>
          <w:tcPr>
            <w:tcW w:w="2661" w:type="dxa"/>
            <w:tcBorders>
              <w:tl2br w:val="nil"/>
              <w:tr2bl w:val="nil"/>
            </w:tcBorders>
            <w:vAlign w:val="center"/>
          </w:tcPr>
          <w:p>
            <w:pPr>
              <w:pStyle w:val="168"/>
              <w:rPr>
                <w:color w:val="auto"/>
              </w:rPr>
            </w:pPr>
            <w:r>
              <w:rPr>
                <w:color w:val="auto"/>
              </w:rPr>
              <w:t>COD</w:t>
            </w:r>
          </w:p>
        </w:tc>
        <w:tc>
          <w:tcPr>
            <w:tcW w:w="1271" w:type="dxa"/>
            <w:tcBorders>
              <w:tl2br w:val="nil"/>
              <w:tr2bl w:val="nil"/>
            </w:tcBorders>
            <w:vAlign w:val="center"/>
          </w:tcPr>
          <w:p>
            <w:pPr>
              <w:pStyle w:val="168"/>
              <w:rPr>
                <w:color w:val="auto"/>
              </w:rPr>
            </w:pPr>
            <w:r>
              <w:rPr>
                <w:color w:val="auto"/>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DO</w:t>
            </w:r>
          </w:p>
        </w:tc>
        <w:tc>
          <w:tcPr>
            <w:tcW w:w="1172" w:type="dxa"/>
            <w:tcBorders>
              <w:tl2br w:val="nil"/>
              <w:tr2bl w:val="nil"/>
            </w:tcBorders>
            <w:vAlign w:val="center"/>
          </w:tcPr>
          <w:p>
            <w:pPr>
              <w:pStyle w:val="168"/>
              <w:rPr>
                <w:color w:val="auto"/>
              </w:rPr>
            </w:pPr>
            <w:r>
              <w:rPr>
                <w:color w:val="auto"/>
              </w:rPr>
              <w:t>≥5</w:t>
            </w:r>
          </w:p>
        </w:tc>
        <w:tc>
          <w:tcPr>
            <w:tcW w:w="2661" w:type="dxa"/>
            <w:tcBorders>
              <w:tl2br w:val="nil"/>
              <w:tr2bl w:val="nil"/>
            </w:tcBorders>
            <w:vAlign w:val="center"/>
          </w:tcPr>
          <w:p>
            <w:pPr>
              <w:pStyle w:val="168"/>
              <w:rPr>
                <w:color w:val="auto"/>
              </w:rPr>
            </w:pPr>
            <w:r>
              <w:rPr>
                <w:color w:val="auto"/>
              </w:rPr>
              <w:t>NH3-N</w:t>
            </w:r>
          </w:p>
        </w:tc>
        <w:tc>
          <w:tcPr>
            <w:tcW w:w="1271" w:type="dxa"/>
            <w:tcBorders>
              <w:tl2br w:val="nil"/>
              <w:tr2bl w:val="nil"/>
            </w:tcBorders>
            <w:vAlign w:val="center"/>
          </w:tcPr>
          <w:p>
            <w:pPr>
              <w:pStyle w:val="168"/>
              <w:rPr>
                <w:color w:val="auto"/>
              </w:rPr>
            </w:pPr>
            <w:r>
              <w:rPr>
                <w:color w:val="auto"/>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BOD</w:t>
            </w:r>
            <w:r>
              <w:rPr>
                <w:color w:val="auto"/>
                <w:vertAlign w:val="subscript"/>
              </w:rPr>
              <w:t>5</w:t>
            </w:r>
          </w:p>
        </w:tc>
        <w:tc>
          <w:tcPr>
            <w:tcW w:w="1172" w:type="dxa"/>
            <w:tcBorders>
              <w:tl2br w:val="nil"/>
              <w:tr2bl w:val="nil"/>
            </w:tcBorders>
            <w:vAlign w:val="center"/>
          </w:tcPr>
          <w:p>
            <w:pPr>
              <w:pStyle w:val="168"/>
              <w:rPr>
                <w:color w:val="auto"/>
              </w:rPr>
            </w:pPr>
            <w:r>
              <w:rPr>
                <w:color w:val="auto"/>
              </w:rPr>
              <w:t>≤4</w:t>
            </w:r>
          </w:p>
        </w:tc>
        <w:tc>
          <w:tcPr>
            <w:tcW w:w="2661" w:type="dxa"/>
            <w:tcBorders>
              <w:tl2br w:val="nil"/>
              <w:tr2bl w:val="nil"/>
            </w:tcBorders>
            <w:vAlign w:val="center"/>
          </w:tcPr>
          <w:p>
            <w:pPr>
              <w:pStyle w:val="168"/>
              <w:rPr>
                <w:color w:val="auto"/>
              </w:rPr>
            </w:pPr>
            <w:r>
              <w:rPr>
                <w:color w:val="auto"/>
              </w:rPr>
              <w:t>TN（湖、库，以N计）</w:t>
            </w:r>
          </w:p>
        </w:tc>
        <w:tc>
          <w:tcPr>
            <w:tcW w:w="1271" w:type="dxa"/>
            <w:tcBorders>
              <w:tl2br w:val="nil"/>
              <w:tr2bl w:val="nil"/>
            </w:tcBorders>
            <w:vAlign w:val="center"/>
          </w:tcPr>
          <w:p>
            <w:pPr>
              <w:pStyle w:val="168"/>
              <w:rPr>
                <w:color w:val="auto"/>
              </w:rPr>
            </w:pPr>
            <w:r>
              <w:rPr>
                <w:color w:val="auto"/>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TP</w:t>
            </w:r>
          </w:p>
        </w:tc>
        <w:tc>
          <w:tcPr>
            <w:tcW w:w="1172" w:type="dxa"/>
            <w:tcBorders>
              <w:tl2br w:val="nil"/>
              <w:tr2bl w:val="nil"/>
            </w:tcBorders>
            <w:vAlign w:val="center"/>
          </w:tcPr>
          <w:p>
            <w:pPr>
              <w:pStyle w:val="168"/>
              <w:rPr>
                <w:color w:val="auto"/>
              </w:rPr>
            </w:pPr>
            <w:r>
              <w:rPr>
                <w:color w:val="auto"/>
              </w:rPr>
              <w:t>≤0.2</w:t>
            </w:r>
          </w:p>
        </w:tc>
        <w:tc>
          <w:tcPr>
            <w:tcW w:w="2661" w:type="dxa"/>
            <w:tcBorders>
              <w:tl2br w:val="nil"/>
              <w:tr2bl w:val="nil"/>
            </w:tcBorders>
            <w:vAlign w:val="center"/>
          </w:tcPr>
          <w:p>
            <w:pPr>
              <w:pStyle w:val="168"/>
              <w:rPr>
                <w:color w:val="auto"/>
              </w:rPr>
            </w:pPr>
            <w:r>
              <w:rPr>
                <w:color w:val="auto"/>
              </w:rPr>
              <w:t>挥发酚</w:t>
            </w:r>
          </w:p>
        </w:tc>
        <w:tc>
          <w:tcPr>
            <w:tcW w:w="1271" w:type="dxa"/>
            <w:tcBorders>
              <w:tl2br w:val="nil"/>
              <w:tr2bl w:val="nil"/>
            </w:tcBorders>
            <w:vAlign w:val="center"/>
          </w:tcPr>
          <w:p>
            <w:pPr>
              <w:pStyle w:val="168"/>
              <w:rPr>
                <w:color w:val="auto"/>
              </w:rPr>
            </w:pPr>
            <w:r>
              <w:rPr>
                <w:color w:val="auto"/>
              </w:rPr>
              <w:t>≤0.005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粪大肠菌群(个/L)</w:t>
            </w:r>
          </w:p>
        </w:tc>
        <w:tc>
          <w:tcPr>
            <w:tcW w:w="1172" w:type="dxa"/>
            <w:tcBorders>
              <w:tl2br w:val="nil"/>
              <w:tr2bl w:val="nil"/>
            </w:tcBorders>
            <w:vAlign w:val="center"/>
          </w:tcPr>
          <w:p>
            <w:pPr>
              <w:pStyle w:val="168"/>
              <w:rPr>
                <w:color w:val="auto"/>
              </w:rPr>
            </w:pPr>
            <w:r>
              <w:rPr>
                <w:color w:val="auto"/>
              </w:rPr>
              <w:t>≤10000</w:t>
            </w:r>
          </w:p>
        </w:tc>
        <w:tc>
          <w:tcPr>
            <w:tcW w:w="2661" w:type="dxa"/>
            <w:tcBorders>
              <w:tl2br w:val="nil"/>
              <w:tr2bl w:val="nil"/>
            </w:tcBorders>
            <w:vAlign w:val="center"/>
          </w:tcPr>
          <w:p>
            <w:pPr>
              <w:pStyle w:val="168"/>
              <w:rPr>
                <w:color w:val="auto"/>
              </w:rPr>
            </w:pPr>
            <w:r>
              <w:rPr>
                <w:color w:val="auto"/>
              </w:rPr>
              <w:t>石油类</w:t>
            </w:r>
          </w:p>
        </w:tc>
        <w:tc>
          <w:tcPr>
            <w:tcW w:w="1271" w:type="dxa"/>
            <w:tcBorders>
              <w:tl2br w:val="nil"/>
              <w:tr2bl w:val="nil"/>
            </w:tcBorders>
            <w:vAlign w:val="center"/>
          </w:tcPr>
          <w:p>
            <w:pPr>
              <w:pStyle w:val="168"/>
              <w:rPr>
                <w:color w:val="auto"/>
              </w:rPr>
            </w:pPr>
            <w:r>
              <w:rPr>
                <w:color w:val="auto"/>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硫化物</w:t>
            </w:r>
          </w:p>
        </w:tc>
        <w:tc>
          <w:tcPr>
            <w:tcW w:w="1172" w:type="dxa"/>
            <w:tcBorders>
              <w:tl2br w:val="nil"/>
              <w:tr2bl w:val="nil"/>
            </w:tcBorders>
            <w:vAlign w:val="center"/>
          </w:tcPr>
          <w:p>
            <w:pPr>
              <w:pStyle w:val="168"/>
              <w:rPr>
                <w:color w:val="auto"/>
              </w:rPr>
            </w:pPr>
            <w:r>
              <w:rPr>
                <w:color w:val="auto"/>
              </w:rPr>
              <w:t>≤0.2</w:t>
            </w:r>
          </w:p>
        </w:tc>
        <w:tc>
          <w:tcPr>
            <w:tcW w:w="2661" w:type="dxa"/>
            <w:tcBorders>
              <w:tl2br w:val="nil"/>
              <w:tr2bl w:val="nil"/>
            </w:tcBorders>
            <w:vAlign w:val="center"/>
          </w:tcPr>
          <w:p>
            <w:pPr>
              <w:pStyle w:val="168"/>
              <w:rPr>
                <w:color w:val="auto"/>
              </w:rPr>
            </w:pPr>
            <w:r>
              <w:rPr>
                <w:color w:val="auto"/>
              </w:rPr>
              <w:t>氯化物</w:t>
            </w:r>
          </w:p>
        </w:tc>
        <w:tc>
          <w:tcPr>
            <w:tcW w:w="1271" w:type="dxa"/>
            <w:tcBorders>
              <w:tl2br w:val="nil"/>
              <w:tr2bl w:val="nil"/>
            </w:tcBorders>
            <w:vAlign w:val="center"/>
          </w:tcPr>
          <w:p>
            <w:pPr>
              <w:pStyle w:val="168"/>
              <w:rPr>
                <w:color w:val="auto"/>
              </w:rPr>
            </w:pPr>
            <w:r>
              <w:rPr>
                <w:color w:val="auto"/>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jc w:val="center"/>
        </w:trPr>
        <w:tc>
          <w:tcPr>
            <w:tcW w:w="2546" w:type="dxa"/>
            <w:tcBorders>
              <w:tl2br w:val="nil"/>
              <w:tr2bl w:val="nil"/>
            </w:tcBorders>
            <w:vAlign w:val="center"/>
          </w:tcPr>
          <w:p>
            <w:pPr>
              <w:pStyle w:val="168"/>
              <w:rPr>
                <w:color w:val="auto"/>
              </w:rPr>
            </w:pPr>
            <w:r>
              <w:rPr>
                <w:color w:val="auto"/>
              </w:rPr>
              <w:t>硫酸盐</w:t>
            </w:r>
          </w:p>
        </w:tc>
        <w:tc>
          <w:tcPr>
            <w:tcW w:w="1172" w:type="dxa"/>
            <w:tcBorders>
              <w:tl2br w:val="nil"/>
              <w:tr2bl w:val="nil"/>
            </w:tcBorders>
            <w:vAlign w:val="center"/>
          </w:tcPr>
          <w:p>
            <w:pPr>
              <w:pStyle w:val="168"/>
              <w:rPr>
                <w:color w:val="auto"/>
              </w:rPr>
            </w:pPr>
            <w:r>
              <w:rPr>
                <w:color w:val="auto"/>
              </w:rPr>
              <w:t>250</w:t>
            </w:r>
          </w:p>
        </w:tc>
        <w:tc>
          <w:tcPr>
            <w:tcW w:w="2661" w:type="dxa"/>
            <w:tcBorders>
              <w:tl2br w:val="nil"/>
              <w:tr2bl w:val="nil"/>
            </w:tcBorders>
            <w:vAlign w:val="center"/>
          </w:tcPr>
          <w:p>
            <w:pPr>
              <w:pStyle w:val="168"/>
              <w:rPr>
                <w:color w:val="auto"/>
              </w:rPr>
            </w:pPr>
            <w:r>
              <w:rPr>
                <w:color w:val="auto"/>
              </w:rPr>
              <w:t>/</w:t>
            </w:r>
          </w:p>
        </w:tc>
        <w:tc>
          <w:tcPr>
            <w:tcW w:w="1271" w:type="dxa"/>
            <w:tcBorders>
              <w:tl2br w:val="nil"/>
              <w:tr2bl w:val="nil"/>
            </w:tcBorders>
            <w:vAlign w:val="center"/>
          </w:tcPr>
          <w:p>
            <w:pPr>
              <w:pStyle w:val="168"/>
              <w:rPr>
                <w:color w:val="auto"/>
              </w:rPr>
            </w:pPr>
            <w:r>
              <w:rPr>
                <w:color w:val="auto"/>
              </w:rPr>
              <w:t>/</w:t>
            </w:r>
          </w:p>
        </w:tc>
      </w:tr>
    </w:tbl>
    <w:p>
      <w:pPr>
        <w:pStyle w:val="8"/>
        <w:numPr>
          <w:ilvl w:val="3"/>
          <w:numId w:val="0"/>
        </w:numPr>
        <w:spacing w:line="480" w:lineRule="exact"/>
        <w:ind w:left="420" w:leftChars="200"/>
        <w:rPr>
          <w:bCs w:val="0"/>
          <w:color w:val="auto"/>
          <w:szCs w:val="20"/>
        </w:rPr>
      </w:pPr>
      <w:r>
        <w:rPr>
          <w:bCs w:val="0"/>
          <w:color w:val="auto"/>
          <w:szCs w:val="20"/>
        </w:rPr>
        <w:t>（3）地下水环境质量标准</w:t>
      </w:r>
    </w:p>
    <w:p>
      <w:pPr>
        <w:pStyle w:val="5"/>
        <w:spacing w:line="480" w:lineRule="exact"/>
        <w:ind w:firstLine="480"/>
        <w:rPr>
          <w:color w:val="auto"/>
          <w:szCs w:val="24"/>
        </w:rPr>
      </w:pPr>
      <w:r>
        <w:rPr>
          <w:color w:val="auto"/>
          <w:szCs w:val="24"/>
        </w:rPr>
        <w:t>地下水执行《地下水质量标准》（GB/T14848-2017）Ⅲ类标准，具体见表</w:t>
      </w:r>
      <w:r>
        <w:rPr>
          <w:rFonts w:hint="eastAsia"/>
          <w:color w:val="auto"/>
          <w:szCs w:val="24"/>
          <w:lang w:val="en-US" w:eastAsia="zh-CN"/>
        </w:rPr>
        <w:t>1.4-3</w:t>
      </w:r>
      <w:r>
        <w:rPr>
          <w:color w:val="auto"/>
          <w:szCs w:val="24"/>
        </w:rPr>
        <w:t>。</w:t>
      </w:r>
    </w:p>
    <w:p>
      <w:pPr>
        <w:pStyle w:val="5"/>
        <w:spacing w:line="480" w:lineRule="exact"/>
        <w:ind w:firstLine="480"/>
        <w:rPr>
          <w:color w:val="auto"/>
          <w:szCs w:val="24"/>
        </w:rPr>
      </w:pPr>
    </w:p>
    <w:p>
      <w:pPr>
        <w:pStyle w:val="18"/>
        <w:tabs>
          <w:tab w:val="left" w:pos="2042"/>
          <w:tab w:val="center" w:pos="4518"/>
        </w:tabs>
        <w:jc w:val="center"/>
        <w:rPr>
          <w:rFonts w:hint="eastAsia"/>
          <w:color w:val="auto"/>
          <w:lang w:val="en-US" w:eastAsia="zh-CN"/>
        </w:rPr>
      </w:pPr>
      <w:r>
        <w:rPr>
          <w:rFonts w:hint="eastAsia"/>
          <w:color w:val="auto"/>
          <w:lang w:val="en-US" w:eastAsia="zh-CN"/>
        </w:rPr>
        <w:t>表 1.4-3  地下水质量标准   单位：mg/L</w:t>
      </w:r>
    </w:p>
    <w:tbl>
      <w:tblPr>
        <w:tblStyle w:val="45"/>
        <w:tblW w:w="8522"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08"/>
        <w:gridCol w:w="1276"/>
        <w:gridCol w:w="1275"/>
        <w:gridCol w:w="911"/>
        <w:gridCol w:w="1219"/>
        <w:gridCol w:w="1414"/>
        <w:gridCol w:w="101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08" w:type="dxa"/>
            <w:vAlign w:val="center"/>
          </w:tcPr>
          <w:p>
            <w:pPr>
              <w:pStyle w:val="168"/>
              <w:rPr>
                <w:b/>
                <w:color w:val="auto"/>
              </w:rPr>
            </w:pPr>
            <w:r>
              <w:rPr>
                <w:b/>
                <w:color w:val="auto"/>
              </w:rPr>
              <w:t>项目</w:t>
            </w:r>
          </w:p>
        </w:tc>
        <w:tc>
          <w:tcPr>
            <w:tcW w:w="1276"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pH</w:t>
            </w:r>
          </w:p>
        </w:tc>
        <w:tc>
          <w:tcPr>
            <w:tcW w:w="1275"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总硬度</w:t>
            </w:r>
          </w:p>
        </w:tc>
        <w:tc>
          <w:tcPr>
            <w:tcW w:w="911"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耗氧量</w:t>
            </w:r>
          </w:p>
        </w:tc>
        <w:tc>
          <w:tcPr>
            <w:tcW w:w="1219"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氯化物</w:t>
            </w:r>
          </w:p>
        </w:tc>
        <w:tc>
          <w:tcPr>
            <w:tcW w:w="1414"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挥发性酚类</w:t>
            </w:r>
          </w:p>
        </w:tc>
        <w:tc>
          <w:tcPr>
            <w:tcW w:w="1019" w:type="dxa"/>
            <w:vAlign w:val="center"/>
          </w:tcPr>
          <w:p>
            <w:pPr>
              <w:spacing w:line="360" w:lineRule="exact"/>
              <w:jc w:val="center"/>
              <w:rPr>
                <w:rFonts w:ascii="Times New Roman" w:hAnsi="Times New Roman" w:cs="Times New Roman"/>
                <w:b/>
                <w:color w:val="auto"/>
                <w:kern w:val="0"/>
                <w:szCs w:val="24"/>
              </w:rPr>
            </w:pPr>
            <w:r>
              <w:rPr>
                <w:rFonts w:ascii="Times New Roman" w:hAnsi="Times New Roman" w:cs="Times New Roman"/>
                <w:b/>
                <w:color w:val="auto"/>
                <w:kern w:val="0"/>
                <w:szCs w:val="24"/>
              </w:rPr>
              <w:t>氨氮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08" w:type="dxa"/>
            <w:tcBorders>
              <w:bottom w:val="double" w:color="auto" w:sz="4" w:space="0"/>
            </w:tcBorders>
            <w:vAlign w:val="center"/>
          </w:tcPr>
          <w:p>
            <w:pPr>
              <w:pStyle w:val="168"/>
              <w:rPr>
                <w:color w:val="auto"/>
              </w:rPr>
            </w:pPr>
            <w:r>
              <w:rPr>
                <w:color w:val="auto"/>
              </w:rPr>
              <w:t>Ⅲ 类标准值</w:t>
            </w:r>
          </w:p>
        </w:tc>
        <w:tc>
          <w:tcPr>
            <w:tcW w:w="1276" w:type="dxa"/>
            <w:tcBorders>
              <w:bottom w:val="double" w:color="auto" w:sz="4" w:space="0"/>
            </w:tcBorders>
            <w:vAlign w:val="center"/>
          </w:tcPr>
          <w:p>
            <w:pPr>
              <w:pStyle w:val="168"/>
              <w:rPr>
                <w:color w:val="auto"/>
              </w:rPr>
            </w:pPr>
            <w:r>
              <w:rPr>
                <w:color w:val="auto"/>
              </w:rPr>
              <w:t>6.5～8.5</w:t>
            </w:r>
          </w:p>
        </w:tc>
        <w:tc>
          <w:tcPr>
            <w:tcW w:w="1275" w:type="dxa"/>
            <w:tcBorders>
              <w:bottom w:val="double" w:color="auto" w:sz="4" w:space="0"/>
            </w:tcBorders>
            <w:vAlign w:val="center"/>
          </w:tcPr>
          <w:p>
            <w:pPr>
              <w:pStyle w:val="168"/>
              <w:rPr>
                <w:color w:val="auto"/>
              </w:rPr>
            </w:pPr>
            <w:r>
              <w:rPr>
                <w:color w:val="auto"/>
              </w:rPr>
              <w:t>≤450</w:t>
            </w:r>
          </w:p>
        </w:tc>
        <w:tc>
          <w:tcPr>
            <w:tcW w:w="911" w:type="dxa"/>
            <w:tcBorders>
              <w:bottom w:val="double" w:color="auto" w:sz="4" w:space="0"/>
            </w:tcBorders>
            <w:vAlign w:val="center"/>
          </w:tcPr>
          <w:p>
            <w:pPr>
              <w:pStyle w:val="168"/>
              <w:rPr>
                <w:color w:val="auto"/>
              </w:rPr>
            </w:pPr>
            <w:r>
              <w:rPr>
                <w:color w:val="auto"/>
              </w:rPr>
              <w:t>≤3</w:t>
            </w:r>
          </w:p>
        </w:tc>
        <w:tc>
          <w:tcPr>
            <w:tcW w:w="1219" w:type="dxa"/>
            <w:tcBorders>
              <w:bottom w:val="double" w:color="auto" w:sz="4" w:space="0"/>
            </w:tcBorders>
            <w:vAlign w:val="center"/>
          </w:tcPr>
          <w:p>
            <w:pPr>
              <w:pStyle w:val="168"/>
              <w:rPr>
                <w:color w:val="auto"/>
              </w:rPr>
            </w:pPr>
            <w:r>
              <w:rPr>
                <w:color w:val="auto"/>
              </w:rPr>
              <w:t>≤250</w:t>
            </w:r>
          </w:p>
        </w:tc>
        <w:tc>
          <w:tcPr>
            <w:tcW w:w="1414" w:type="dxa"/>
            <w:tcBorders>
              <w:bottom w:val="double" w:color="auto" w:sz="4" w:space="0"/>
            </w:tcBorders>
            <w:vAlign w:val="center"/>
          </w:tcPr>
          <w:p>
            <w:pPr>
              <w:pStyle w:val="168"/>
              <w:rPr>
                <w:color w:val="auto"/>
              </w:rPr>
            </w:pPr>
            <w:r>
              <w:rPr>
                <w:color w:val="auto"/>
              </w:rPr>
              <w:t>≤0.002</w:t>
            </w:r>
          </w:p>
        </w:tc>
        <w:tc>
          <w:tcPr>
            <w:tcW w:w="1019" w:type="dxa"/>
            <w:tcBorders>
              <w:bottom w:val="double" w:color="auto" w:sz="4" w:space="0"/>
            </w:tcBorders>
            <w:vAlign w:val="center"/>
          </w:tcPr>
          <w:p>
            <w:pPr>
              <w:pStyle w:val="168"/>
              <w:rPr>
                <w:color w:val="auto"/>
              </w:rPr>
            </w:pPr>
            <w:r>
              <w:rPr>
                <w:color w:val="auto"/>
              </w:rPr>
              <w:t>≤0.5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08" w:type="dxa"/>
            <w:tcBorders>
              <w:top w:val="double" w:color="auto" w:sz="4" w:space="0"/>
            </w:tcBorders>
            <w:vAlign w:val="center"/>
          </w:tcPr>
          <w:p>
            <w:pPr>
              <w:pStyle w:val="168"/>
              <w:rPr>
                <w:b/>
                <w:color w:val="auto"/>
              </w:rPr>
            </w:pPr>
            <w:r>
              <w:rPr>
                <w:b/>
                <w:color w:val="auto"/>
              </w:rPr>
              <w:t>项目</w:t>
            </w:r>
          </w:p>
        </w:tc>
        <w:tc>
          <w:tcPr>
            <w:tcW w:w="1276" w:type="dxa"/>
            <w:tcBorders>
              <w:top w:val="double" w:color="auto" w:sz="4" w:space="0"/>
            </w:tcBorders>
            <w:vAlign w:val="center"/>
          </w:tcPr>
          <w:p>
            <w:pPr>
              <w:pStyle w:val="168"/>
              <w:rPr>
                <w:b/>
                <w:color w:val="auto"/>
              </w:rPr>
            </w:pPr>
            <w:r>
              <w:rPr>
                <w:b/>
                <w:color w:val="auto"/>
              </w:rPr>
              <w:t>总大肠菌群</w:t>
            </w:r>
          </w:p>
        </w:tc>
        <w:tc>
          <w:tcPr>
            <w:tcW w:w="1275" w:type="dxa"/>
            <w:tcBorders>
              <w:top w:val="double" w:color="auto" w:sz="4" w:space="0"/>
            </w:tcBorders>
            <w:vAlign w:val="center"/>
          </w:tcPr>
          <w:p>
            <w:pPr>
              <w:pStyle w:val="168"/>
              <w:rPr>
                <w:b/>
                <w:color w:val="auto"/>
              </w:rPr>
            </w:pPr>
            <w:r>
              <w:rPr>
                <w:b/>
                <w:color w:val="auto"/>
              </w:rPr>
              <w:t>亚硝酸盐</w:t>
            </w:r>
          </w:p>
        </w:tc>
        <w:tc>
          <w:tcPr>
            <w:tcW w:w="911" w:type="dxa"/>
            <w:tcBorders>
              <w:top w:val="double" w:color="auto" w:sz="4" w:space="0"/>
            </w:tcBorders>
            <w:vAlign w:val="center"/>
          </w:tcPr>
          <w:p>
            <w:pPr>
              <w:pStyle w:val="168"/>
              <w:rPr>
                <w:b/>
                <w:color w:val="auto"/>
              </w:rPr>
            </w:pPr>
            <w:r>
              <w:rPr>
                <w:b/>
                <w:color w:val="auto"/>
              </w:rPr>
              <w:t>硝酸盐</w:t>
            </w:r>
          </w:p>
        </w:tc>
        <w:tc>
          <w:tcPr>
            <w:tcW w:w="1219" w:type="dxa"/>
            <w:tcBorders>
              <w:top w:val="double" w:color="auto" w:sz="4" w:space="0"/>
            </w:tcBorders>
            <w:vAlign w:val="center"/>
          </w:tcPr>
          <w:p>
            <w:pPr>
              <w:pStyle w:val="168"/>
              <w:rPr>
                <w:b/>
                <w:color w:val="auto"/>
              </w:rPr>
            </w:pPr>
            <w:r>
              <w:rPr>
                <w:b/>
                <w:color w:val="auto"/>
              </w:rPr>
              <w:t>硫化物</w:t>
            </w:r>
          </w:p>
        </w:tc>
        <w:tc>
          <w:tcPr>
            <w:tcW w:w="1414" w:type="dxa"/>
            <w:tcBorders>
              <w:top w:val="double" w:color="auto" w:sz="4" w:space="0"/>
            </w:tcBorders>
            <w:vAlign w:val="center"/>
          </w:tcPr>
          <w:p>
            <w:pPr>
              <w:pStyle w:val="168"/>
              <w:rPr>
                <w:color w:val="auto"/>
              </w:rPr>
            </w:pPr>
            <w:r>
              <w:rPr>
                <w:color w:val="auto"/>
              </w:rPr>
              <w:t>/</w:t>
            </w:r>
          </w:p>
        </w:tc>
        <w:tc>
          <w:tcPr>
            <w:tcW w:w="1019" w:type="dxa"/>
            <w:tcBorders>
              <w:top w:val="double" w:color="auto" w:sz="4" w:space="0"/>
            </w:tcBorders>
            <w:vAlign w:val="center"/>
          </w:tcPr>
          <w:p>
            <w:pPr>
              <w:pStyle w:val="168"/>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08" w:type="dxa"/>
            <w:vAlign w:val="center"/>
          </w:tcPr>
          <w:p>
            <w:pPr>
              <w:pStyle w:val="168"/>
              <w:rPr>
                <w:color w:val="auto"/>
              </w:rPr>
            </w:pPr>
            <w:r>
              <w:rPr>
                <w:color w:val="auto"/>
              </w:rPr>
              <w:t>Ⅲ 类标准值</w:t>
            </w:r>
          </w:p>
        </w:tc>
        <w:tc>
          <w:tcPr>
            <w:tcW w:w="1276" w:type="dxa"/>
            <w:vAlign w:val="center"/>
          </w:tcPr>
          <w:p>
            <w:pPr>
              <w:pStyle w:val="168"/>
              <w:rPr>
                <w:color w:val="auto"/>
              </w:rPr>
            </w:pPr>
            <w:r>
              <w:rPr>
                <w:color w:val="auto"/>
              </w:rPr>
              <w:t>≤3.0</w:t>
            </w:r>
          </w:p>
        </w:tc>
        <w:tc>
          <w:tcPr>
            <w:tcW w:w="1275" w:type="dxa"/>
            <w:vAlign w:val="center"/>
          </w:tcPr>
          <w:p>
            <w:pPr>
              <w:pStyle w:val="168"/>
              <w:rPr>
                <w:color w:val="auto"/>
              </w:rPr>
            </w:pPr>
            <w:r>
              <w:rPr>
                <w:color w:val="auto"/>
              </w:rPr>
              <w:t>≤1.0</w:t>
            </w:r>
          </w:p>
        </w:tc>
        <w:tc>
          <w:tcPr>
            <w:tcW w:w="911" w:type="dxa"/>
            <w:vAlign w:val="center"/>
          </w:tcPr>
          <w:p>
            <w:pPr>
              <w:pStyle w:val="168"/>
              <w:rPr>
                <w:color w:val="auto"/>
              </w:rPr>
            </w:pPr>
            <w:r>
              <w:rPr>
                <w:color w:val="auto"/>
              </w:rPr>
              <w:t>≤20</w:t>
            </w:r>
          </w:p>
        </w:tc>
        <w:tc>
          <w:tcPr>
            <w:tcW w:w="1219" w:type="dxa"/>
            <w:vAlign w:val="center"/>
          </w:tcPr>
          <w:p>
            <w:pPr>
              <w:pStyle w:val="168"/>
              <w:rPr>
                <w:color w:val="auto"/>
              </w:rPr>
            </w:pPr>
            <w:r>
              <w:rPr>
                <w:color w:val="auto"/>
              </w:rPr>
              <w:t>≤0.02</w:t>
            </w:r>
          </w:p>
        </w:tc>
        <w:tc>
          <w:tcPr>
            <w:tcW w:w="1414" w:type="dxa"/>
            <w:vAlign w:val="center"/>
          </w:tcPr>
          <w:p>
            <w:pPr>
              <w:pStyle w:val="168"/>
              <w:rPr>
                <w:color w:val="auto"/>
              </w:rPr>
            </w:pPr>
            <w:r>
              <w:rPr>
                <w:color w:val="auto"/>
              </w:rPr>
              <w:t>/</w:t>
            </w:r>
          </w:p>
        </w:tc>
        <w:tc>
          <w:tcPr>
            <w:tcW w:w="1019" w:type="dxa"/>
            <w:vAlign w:val="center"/>
          </w:tcPr>
          <w:p>
            <w:pPr>
              <w:pStyle w:val="168"/>
              <w:rPr>
                <w:color w:val="auto"/>
              </w:rPr>
            </w:pPr>
            <w:r>
              <w:rPr>
                <w:color w:val="auto"/>
              </w:rPr>
              <w:t>/</w:t>
            </w:r>
          </w:p>
        </w:tc>
      </w:tr>
    </w:tbl>
    <w:p>
      <w:pPr>
        <w:pStyle w:val="8"/>
        <w:numPr>
          <w:ilvl w:val="3"/>
          <w:numId w:val="0"/>
        </w:numPr>
        <w:spacing w:line="480" w:lineRule="exact"/>
        <w:ind w:left="420" w:leftChars="200"/>
        <w:rPr>
          <w:bCs w:val="0"/>
          <w:color w:val="auto"/>
          <w:szCs w:val="20"/>
        </w:rPr>
      </w:pPr>
      <w:r>
        <w:rPr>
          <w:bCs w:val="0"/>
          <w:color w:val="auto"/>
          <w:szCs w:val="20"/>
        </w:rPr>
        <w:t>（4）声环境质量标准</w:t>
      </w:r>
    </w:p>
    <w:p>
      <w:pPr>
        <w:pStyle w:val="5"/>
        <w:spacing w:line="480" w:lineRule="exact"/>
        <w:ind w:firstLine="480"/>
        <w:rPr>
          <w:color w:val="auto"/>
        </w:rPr>
      </w:pPr>
      <w:r>
        <w:rPr>
          <w:color w:val="auto"/>
        </w:rPr>
        <w:t>区域声环境执行《声环境质量标准》（GB3096-2008）中的3类标准。具体标准值见表</w:t>
      </w:r>
      <w:r>
        <w:rPr>
          <w:rFonts w:hint="eastAsia"/>
          <w:color w:val="auto"/>
          <w:lang w:val="en-US" w:eastAsia="zh-CN"/>
        </w:rPr>
        <w:t>1.4-4</w:t>
      </w:r>
      <w:r>
        <w:rPr>
          <w:color w:val="auto"/>
        </w:rPr>
        <w:t>。</w:t>
      </w:r>
    </w:p>
    <w:p>
      <w:pPr>
        <w:pStyle w:val="18"/>
        <w:tabs>
          <w:tab w:val="left" w:pos="2042"/>
          <w:tab w:val="center" w:pos="4518"/>
        </w:tabs>
        <w:jc w:val="center"/>
        <w:rPr>
          <w:rFonts w:hint="eastAsia"/>
          <w:color w:val="auto"/>
          <w:lang w:val="en-US" w:eastAsia="zh-CN"/>
        </w:rPr>
      </w:pPr>
      <w:r>
        <w:rPr>
          <w:rFonts w:hint="eastAsia"/>
          <w:color w:val="auto"/>
          <w:lang w:val="en-US" w:eastAsia="zh-CN"/>
        </w:rPr>
        <w:t>表1.4-4  声环境质量标准   单位：dB（A）</w:t>
      </w:r>
    </w:p>
    <w:tbl>
      <w:tblPr>
        <w:tblStyle w:val="45"/>
        <w:tblW w:w="7988" w:type="dxa"/>
        <w:tblInd w:w="534"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307"/>
        <w:gridCol w:w="2841"/>
        <w:gridCol w:w="284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230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类别</w:t>
            </w:r>
          </w:p>
        </w:tc>
        <w:tc>
          <w:tcPr>
            <w:tcW w:w="2841"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昼间</w:t>
            </w:r>
          </w:p>
        </w:tc>
        <w:tc>
          <w:tcPr>
            <w:tcW w:w="2840"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夜间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230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3类</w:t>
            </w:r>
          </w:p>
        </w:tc>
        <w:tc>
          <w:tcPr>
            <w:tcW w:w="2841"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65</w:t>
            </w:r>
          </w:p>
        </w:tc>
        <w:tc>
          <w:tcPr>
            <w:tcW w:w="284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55</w:t>
            </w:r>
          </w:p>
        </w:tc>
      </w:tr>
    </w:tbl>
    <w:p>
      <w:pPr>
        <w:pStyle w:val="8"/>
        <w:numPr>
          <w:ilvl w:val="3"/>
          <w:numId w:val="0"/>
        </w:numPr>
        <w:spacing w:line="480" w:lineRule="exact"/>
        <w:ind w:left="420" w:leftChars="200"/>
        <w:rPr>
          <w:bCs w:val="0"/>
          <w:color w:val="auto"/>
          <w:szCs w:val="20"/>
        </w:rPr>
      </w:pPr>
      <w:bookmarkStart w:id="69" w:name="_Toc26008"/>
      <w:bookmarkStart w:id="70" w:name="_Toc25013"/>
      <w:bookmarkStart w:id="71" w:name="_Toc145729967"/>
      <w:bookmarkStart w:id="72" w:name="_Toc143430038"/>
      <w:bookmarkStart w:id="73" w:name="_Toc219258495"/>
      <w:bookmarkStart w:id="74" w:name="_Toc220122769"/>
      <w:bookmarkStart w:id="75" w:name="_Toc143430296"/>
      <w:bookmarkStart w:id="76" w:name="_Toc143963763"/>
      <w:r>
        <w:rPr>
          <w:bCs w:val="0"/>
          <w:color w:val="auto"/>
          <w:szCs w:val="20"/>
        </w:rPr>
        <w:t>（5）土壤环境质量标准</w:t>
      </w:r>
    </w:p>
    <w:p>
      <w:pPr>
        <w:pStyle w:val="5"/>
        <w:spacing w:line="480" w:lineRule="exact"/>
        <w:ind w:firstLine="480"/>
        <w:rPr>
          <w:rFonts w:hint="eastAsia"/>
          <w:color w:val="auto"/>
          <w:lang w:val="en-US" w:eastAsia="zh-CN"/>
        </w:rPr>
      </w:pPr>
      <w:r>
        <w:rPr>
          <w:rFonts w:hint="eastAsia"/>
          <w:color w:val="auto"/>
          <w:lang w:val="en-US" w:eastAsia="zh-CN"/>
        </w:rPr>
        <w:t>本项目用地为第二类用地，执行《建设用地土壤污染风险管控标准》（GB36600-2018）中表1中第二类用地的筛选值和管控值。根据土地利用实际现状，选定铅、镉、汞、砷、铬、铜、镍作为本次环境质量调查的主要土壤质量监测因子。各因子质量控制风险管控值见下表：</w:t>
      </w:r>
    </w:p>
    <w:p>
      <w:pPr>
        <w:pStyle w:val="18"/>
        <w:spacing w:line="360" w:lineRule="auto"/>
        <w:ind w:firstLine="198"/>
        <w:rPr>
          <w:color w:val="auto"/>
          <w:sz w:val="21"/>
        </w:rPr>
      </w:pPr>
    </w:p>
    <w:p>
      <w:pPr>
        <w:pStyle w:val="18"/>
        <w:tabs>
          <w:tab w:val="left" w:pos="2042"/>
          <w:tab w:val="center" w:pos="4518"/>
        </w:tabs>
        <w:jc w:val="center"/>
        <w:rPr>
          <w:rFonts w:hint="eastAsia"/>
          <w:color w:val="auto"/>
          <w:lang w:val="en-US" w:eastAsia="zh-CN"/>
        </w:rPr>
      </w:pPr>
      <w:r>
        <w:rPr>
          <w:rFonts w:hint="eastAsia"/>
          <w:color w:val="auto"/>
          <w:lang w:val="en-US" w:eastAsia="zh-CN"/>
        </w:rPr>
        <w:t>表1.4-5  土壤质量管控值（单位：mg/kg）</w:t>
      </w:r>
    </w:p>
    <w:tbl>
      <w:tblPr>
        <w:tblStyle w:val="45"/>
        <w:tblW w:w="9268" w:type="dxa"/>
        <w:jc w:val="center"/>
        <w:tblInd w:w="-1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3"/>
        <w:gridCol w:w="1017"/>
        <w:gridCol w:w="1018"/>
        <w:gridCol w:w="1018"/>
        <w:gridCol w:w="1018"/>
        <w:gridCol w:w="1018"/>
        <w:gridCol w:w="1018"/>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8" w:hRule="atLeast"/>
          <w:jc w:val="center"/>
        </w:trPr>
        <w:tc>
          <w:tcPr>
            <w:tcW w:w="2143"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质量</w:t>
            </w:r>
          </w:p>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因子</w:t>
            </w:r>
          </w:p>
        </w:tc>
        <w:tc>
          <w:tcPr>
            <w:tcW w:w="10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铅</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镉</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汞</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砷</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六价铬</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铜</w:t>
            </w:r>
          </w:p>
        </w:tc>
        <w:tc>
          <w:tcPr>
            <w:tcW w:w="10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jc w:val="center"/>
        </w:trPr>
        <w:tc>
          <w:tcPr>
            <w:tcW w:w="2143" w:type="dxa"/>
            <w:vAlign w:val="center"/>
          </w:tcPr>
          <w:p>
            <w:pPr>
              <w:pStyle w:val="5"/>
              <w:spacing w:line="240" w:lineRule="atLeast"/>
              <w:ind w:firstLine="0" w:firstLineChars="0"/>
              <w:jc w:val="center"/>
              <w:rPr>
                <w:color w:val="auto"/>
                <w:sz w:val="21"/>
                <w:szCs w:val="24"/>
              </w:rPr>
            </w:pPr>
            <w:r>
              <w:rPr>
                <w:color w:val="auto"/>
                <w:sz w:val="21"/>
                <w:szCs w:val="24"/>
              </w:rPr>
              <w:t>管控值</w:t>
            </w:r>
          </w:p>
        </w:tc>
        <w:tc>
          <w:tcPr>
            <w:tcW w:w="1017" w:type="dxa"/>
            <w:vAlign w:val="center"/>
          </w:tcPr>
          <w:p>
            <w:pPr>
              <w:pStyle w:val="5"/>
              <w:spacing w:line="240" w:lineRule="atLeast"/>
              <w:ind w:firstLine="0" w:firstLineChars="0"/>
              <w:jc w:val="center"/>
              <w:rPr>
                <w:color w:val="auto"/>
                <w:sz w:val="21"/>
                <w:szCs w:val="24"/>
              </w:rPr>
            </w:pPr>
            <w:r>
              <w:rPr>
                <w:color w:val="auto"/>
                <w:sz w:val="21"/>
                <w:szCs w:val="24"/>
              </w:rPr>
              <w:t>2500</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172</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82</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140</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78</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36000</w:t>
            </w:r>
          </w:p>
        </w:tc>
        <w:tc>
          <w:tcPr>
            <w:tcW w:w="1018" w:type="dxa"/>
            <w:vAlign w:val="center"/>
          </w:tcPr>
          <w:p>
            <w:pPr>
              <w:pStyle w:val="5"/>
              <w:spacing w:line="240" w:lineRule="atLeast"/>
              <w:ind w:firstLine="0" w:firstLineChars="0"/>
              <w:jc w:val="center"/>
              <w:rPr>
                <w:color w:val="auto"/>
                <w:sz w:val="21"/>
                <w:szCs w:val="24"/>
              </w:rPr>
            </w:pPr>
            <w:r>
              <w:rPr>
                <w:color w:val="auto"/>
                <w:sz w:val="21"/>
                <w:szCs w:val="24"/>
              </w:rPr>
              <w:t>2000</w:t>
            </w:r>
          </w:p>
        </w:tc>
      </w:tr>
    </w:tbl>
    <w:p>
      <w:pPr>
        <w:pStyle w:val="5"/>
        <w:ind w:firstLine="480"/>
        <w:rPr>
          <w:color w:val="auto"/>
          <w:szCs w:val="24"/>
        </w:rPr>
      </w:pPr>
    </w:p>
    <w:p>
      <w:pPr>
        <w:pStyle w:val="7"/>
        <w:spacing w:before="120" w:beforeLines="0" w:after="120" w:afterLines="0"/>
        <w:rPr>
          <w:color w:val="auto"/>
        </w:rPr>
      </w:pPr>
      <w:bookmarkStart w:id="77" w:name="_Toc28221"/>
      <w:r>
        <w:rPr>
          <w:color w:val="auto"/>
        </w:rPr>
        <w:t>污染物排放标准</w:t>
      </w:r>
      <w:bookmarkEnd w:id="69"/>
      <w:bookmarkEnd w:id="70"/>
      <w:bookmarkEnd w:id="71"/>
      <w:bookmarkEnd w:id="72"/>
      <w:bookmarkEnd w:id="73"/>
      <w:bookmarkEnd w:id="74"/>
      <w:bookmarkEnd w:id="75"/>
      <w:bookmarkEnd w:id="76"/>
      <w:bookmarkEnd w:id="77"/>
    </w:p>
    <w:p>
      <w:pPr>
        <w:pStyle w:val="8"/>
        <w:numPr>
          <w:ilvl w:val="3"/>
          <w:numId w:val="0"/>
        </w:numPr>
        <w:ind w:left="420" w:leftChars="200"/>
        <w:rPr>
          <w:bCs w:val="0"/>
          <w:color w:val="auto"/>
          <w:szCs w:val="20"/>
        </w:rPr>
      </w:pPr>
      <w:r>
        <w:rPr>
          <w:bCs w:val="0"/>
          <w:color w:val="auto"/>
          <w:szCs w:val="20"/>
        </w:rPr>
        <w:t>（1）废气排放标准</w:t>
      </w:r>
    </w:p>
    <w:p>
      <w:pPr>
        <w:pStyle w:val="18"/>
        <w:spacing w:line="480" w:lineRule="exact"/>
        <w:ind w:firstLine="480" w:firstLineChars="200"/>
        <w:jc w:val="left"/>
        <w:rPr>
          <w:rFonts w:hint="eastAsia" w:ascii="Calibri" w:hAnsi="Calibri" w:eastAsia="宋体" w:cs="Arial"/>
          <w:b w:val="0"/>
          <w:color w:val="auto"/>
          <w:kern w:val="2"/>
          <w:sz w:val="24"/>
          <w:szCs w:val="22"/>
          <w:lang w:val="en-US" w:eastAsia="zh-CN" w:bidi="ar-SA"/>
        </w:rPr>
      </w:pPr>
      <w:r>
        <w:rPr>
          <w:rFonts w:hint="eastAsia" w:ascii="Calibri" w:hAnsi="Calibri" w:eastAsia="宋体" w:cs="Arial"/>
          <w:b w:val="0"/>
          <w:color w:val="auto"/>
          <w:kern w:val="2"/>
          <w:sz w:val="24"/>
          <w:szCs w:val="22"/>
          <w:lang w:val="en-US" w:eastAsia="zh-CN" w:bidi="ar-SA"/>
        </w:rPr>
        <w:t>根据云溪区环保分局出具的本项目环评执行标准函，拟建项目以无组织废气氨作为废气的评价因子。</w:t>
      </w:r>
      <w:r>
        <w:rPr>
          <w:rFonts w:hint="eastAsia" w:ascii="Calibri" w:hAnsi="Calibri" w:eastAsia="宋体" w:cs="Arial"/>
          <w:b w:val="0"/>
          <w:color w:val="auto"/>
          <w:kern w:val="2"/>
          <w:sz w:val="24"/>
          <w:szCs w:val="22"/>
          <w:u w:val="single"/>
          <w:lang w:val="en-US" w:eastAsia="zh-CN" w:bidi="ar-SA"/>
        </w:rPr>
        <w:t>氨执行《</w:t>
      </w:r>
      <w:r>
        <w:rPr>
          <w:rFonts w:hint="eastAsia" w:ascii="Calibri" w:hAnsi="Calibri" w:cs="Arial"/>
          <w:b w:val="0"/>
          <w:color w:val="auto"/>
          <w:kern w:val="2"/>
          <w:sz w:val="24"/>
          <w:szCs w:val="22"/>
          <w:u w:val="single"/>
          <w:lang w:val="en-US" w:eastAsia="zh-CN" w:bidi="ar-SA"/>
        </w:rPr>
        <w:t>恶臭污染物排放标准</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GB14554</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93</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表1恶臭污染物厂界标准值（二级新改扩建）</w:t>
      </w:r>
      <w:r>
        <w:rPr>
          <w:rFonts w:hint="eastAsia" w:ascii="Calibri" w:hAnsi="Calibri" w:eastAsia="宋体" w:cs="Arial"/>
          <w:b w:val="0"/>
          <w:color w:val="auto"/>
          <w:kern w:val="2"/>
          <w:sz w:val="24"/>
          <w:szCs w:val="22"/>
          <w:lang w:val="en-US" w:eastAsia="zh-CN" w:bidi="ar-SA"/>
        </w:rPr>
        <w:t>，</w:t>
      </w:r>
      <w:r>
        <w:rPr>
          <w:rFonts w:hint="eastAsia" w:ascii="Calibri" w:hAnsi="Calibri" w:eastAsia="宋体" w:cs="Arial"/>
          <w:b w:val="0"/>
          <w:color w:val="auto"/>
          <w:kern w:val="2"/>
          <w:sz w:val="24"/>
          <w:szCs w:val="22"/>
          <w:u w:val="single"/>
          <w:lang w:val="en-US" w:eastAsia="zh-CN" w:bidi="ar-SA"/>
        </w:rPr>
        <w:t>详见表1.4-5。</w:t>
      </w:r>
    </w:p>
    <w:p>
      <w:pPr>
        <w:rPr>
          <w:rFonts w:hint="eastAsia"/>
          <w:lang w:val="en-US" w:eastAsia="zh-CN"/>
        </w:rPr>
      </w:pPr>
    </w:p>
    <w:p>
      <w:pPr>
        <w:pStyle w:val="18"/>
        <w:tabs>
          <w:tab w:val="left" w:pos="2042"/>
          <w:tab w:val="center" w:pos="4518"/>
        </w:tabs>
        <w:jc w:val="center"/>
        <w:rPr>
          <w:rFonts w:hint="eastAsia"/>
          <w:color w:val="auto"/>
          <w:lang w:val="en-US" w:eastAsia="zh-CN"/>
        </w:rPr>
      </w:pPr>
      <w:r>
        <w:rPr>
          <w:rFonts w:hint="eastAsia"/>
          <w:color w:val="auto"/>
          <w:lang w:val="en-US" w:eastAsia="zh-CN"/>
        </w:rPr>
        <w:t>表 1.4-5　恶臭污染物厂界标准值</w:t>
      </w:r>
    </w:p>
    <w:tbl>
      <w:tblPr>
        <w:tblStyle w:val="46"/>
        <w:tblW w:w="725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6"/>
        <w:gridCol w:w="4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136" w:type="dxa"/>
          </w:tcPr>
          <w:p>
            <w:pPr>
              <w:pStyle w:val="5"/>
              <w:spacing w:line="240" w:lineRule="atLeast"/>
              <w:ind w:firstLine="0" w:firstLineChars="0"/>
              <w:jc w:val="center"/>
              <w:rPr>
                <w:b/>
                <w:bCs/>
                <w:color w:val="auto"/>
                <w:szCs w:val="24"/>
                <w:u w:val="single"/>
              </w:rPr>
            </w:pPr>
            <w:r>
              <w:rPr>
                <w:b/>
                <w:bCs/>
                <w:color w:val="auto"/>
                <w:szCs w:val="24"/>
                <w:u w:val="single"/>
              </w:rPr>
              <w:t>污染物</w:t>
            </w:r>
          </w:p>
        </w:tc>
        <w:tc>
          <w:tcPr>
            <w:tcW w:w="4119" w:type="dxa"/>
          </w:tcPr>
          <w:p>
            <w:pPr>
              <w:pStyle w:val="5"/>
              <w:spacing w:line="240" w:lineRule="atLeast"/>
              <w:ind w:firstLine="0" w:firstLineChars="0"/>
              <w:jc w:val="center"/>
              <w:rPr>
                <w:b/>
                <w:bCs/>
                <w:color w:val="auto"/>
                <w:szCs w:val="24"/>
                <w:u w:val="single"/>
              </w:rPr>
            </w:pPr>
            <w:r>
              <w:rPr>
                <w:b/>
                <w:bCs/>
                <w:color w:val="auto"/>
                <w:szCs w:val="24"/>
                <w:u w:val="single"/>
              </w:rPr>
              <w:t>浓度限值(mg/m</w:t>
            </w:r>
            <w:r>
              <w:rPr>
                <w:b/>
                <w:bCs/>
                <w:color w:val="auto"/>
                <w:szCs w:val="24"/>
                <w:u w:val="single"/>
                <w:vertAlign w:val="superscript"/>
              </w:rPr>
              <w:t>3</w:t>
            </w:r>
            <w:r>
              <w:rPr>
                <w:b/>
                <w:bCs/>
                <w:color w:val="auto"/>
                <w:szCs w:val="24"/>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136" w:type="dxa"/>
          </w:tcPr>
          <w:p>
            <w:pPr>
              <w:snapToGrid w:val="0"/>
              <w:spacing w:line="360" w:lineRule="exact"/>
              <w:jc w:val="center"/>
              <w:rPr>
                <w:rFonts w:ascii="Times New Roman" w:hAnsi="Times New Roman" w:cs="Times New Roman"/>
                <w:color w:val="auto"/>
                <w:szCs w:val="21"/>
                <w:u w:val="single"/>
              </w:rPr>
            </w:pPr>
            <w:r>
              <w:rPr>
                <w:rFonts w:ascii="Times New Roman" w:hAnsi="Times New Roman" w:cs="Times New Roman"/>
                <w:color w:val="auto"/>
                <w:szCs w:val="21"/>
                <w:u w:val="single"/>
              </w:rPr>
              <w:t>氨</w:t>
            </w:r>
          </w:p>
        </w:tc>
        <w:tc>
          <w:tcPr>
            <w:tcW w:w="4119" w:type="dxa"/>
          </w:tcPr>
          <w:p>
            <w:pPr>
              <w:snapToGrid w:val="0"/>
              <w:spacing w:line="360" w:lineRule="exact"/>
              <w:jc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1.5</w:t>
            </w:r>
          </w:p>
        </w:tc>
      </w:tr>
    </w:tbl>
    <w:p>
      <w:pPr>
        <w:pStyle w:val="5"/>
        <w:ind w:firstLine="480"/>
        <w:jc w:val="center"/>
        <w:rPr>
          <w:color w:val="auto"/>
        </w:rPr>
      </w:pPr>
    </w:p>
    <w:p>
      <w:pPr>
        <w:pStyle w:val="8"/>
        <w:numPr>
          <w:ilvl w:val="3"/>
          <w:numId w:val="0"/>
        </w:numPr>
        <w:ind w:left="420" w:leftChars="200"/>
        <w:rPr>
          <w:bCs w:val="0"/>
          <w:color w:val="auto"/>
          <w:szCs w:val="20"/>
        </w:rPr>
      </w:pPr>
      <w:r>
        <w:rPr>
          <w:bCs w:val="0"/>
          <w:color w:val="auto"/>
          <w:szCs w:val="20"/>
        </w:rPr>
        <w:t>（2）废水排放标准</w:t>
      </w:r>
    </w:p>
    <w:p>
      <w:pPr>
        <w:pStyle w:val="18"/>
        <w:spacing w:line="480" w:lineRule="exact"/>
        <w:ind w:firstLine="480" w:firstLineChars="200"/>
        <w:jc w:val="left"/>
        <w:rPr>
          <w:b w:val="0"/>
          <w:color w:val="auto"/>
        </w:rPr>
      </w:pPr>
      <w:bookmarkStart w:id="78" w:name="_Toc220122770"/>
      <w:bookmarkStart w:id="79" w:name="_Toc219258496"/>
      <w:bookmarkStart w:id="80" w:name="_Toc143430040"/>
      <w:bookmarkStart w:id="81" w:name="_Toc143430298"/>
      <w:bookmarkStart w:id="82" w:name="_Toc145729969"/>
      <w:bookmarkStart w:id="83" w:name="_Toc143963765"/>
      <w:r>
        <w:rPr>
          <w:rFonts w:hint="eastAsia" w:ascii="Calibri" w:hAnsi="Calibri" w:eastAsia="宋体" w:cs="Arial"/>
          <w:b w:val="0"/>
          <w:color w:val="auto"/>
          <w:kern w:val="2"/>
          <w:sz w:val="24"/>
          <w:szCs w:val="22"/>
          <w:lang w:val="en-US" w:eastAsia="zh-CN" w:bidi="ar-SA"/>
        </w:rPr>
        <w:t>项目污水经长岭分公司污水处理场处理后排入长江，长岭污水处理厂总排口执</w:t>
      </w:r>
      <w:r>
        <w:rPr>
          <w:rFonts w:ascii="Calibri" w:hAnsi="Calibri" w:eastAsia="宋体" w:cs="Arial"/>
          <w:b w:val="0"/>
          <w:color w:val="auto"/>
          <w:kern w:val="2"/>
          <w:sz w:val="24"/>
          <w:szCs w:val="22"/>
          <w:lang w:val="en-US" w:eastAsia="zh-CN" w:bidi="ar-SA"/>
        </w:rPr>
        <w:t xml:space="preserve"> </w:t>
      </w:r>
      <w:r>
        <w:rPr>
          <w:rFonts w:hint="eastAsia" w:ascii="Calibri" w:hAnsi="Calibri" w:eastAsia="宋体" w:cs="Arial"/>
          <w:b w:val="0"/>
          <w:color w:val="auto"/>
          <w:kern w:val="2"/>
          <w:sz w:val="24"/>
          <w:szCs w:val="22"/>
          <w:lang w:val="en-US" w:eastAsia="zh-CN" w:bidi="ar-SA"/>
        </w:rPr>
        <w:t>行《石油炼制工业污染物排放标准》（</w:t>
      </w:r>
      <w:r>
        <w:rPr>
          <w:rFonts w:ascii="Calibri" w:hAnsi="Calibri" w:eastAsia="宋体" w:cs="Arial"/>
          <w:b w:val="0"/>
          <w:color w:val="auto"/>
          <w:kern w:val="2"/>
          <w:sz w:val="24"/>
          <w:szCs w:val="22"/>
          <w:lang w:val="en-US" w:eastAsia="zh-CN" w:bidi="ar-SA"/>
        </w:rPr>
        <w:t>GB31570-2015</w:t>
      </w:r>
      <w:r>
        <w:rPr>
          <w:rFonts w:hint="eastAsia" w:ascii="Calibri" w:hAnsi="Calibri" w:eastAsia="宋体" w:cs="Arial"/>
          <w:b w:val="0"/>
          <w:color w:val="auto"/>
          <w:kern w:val="2"/>
          <w:sz w:val="24"/>
          <w:szCs w:val="22"/>
          <w:lang w:val="en-US" w:eastAsia="zh-CN" w:bidi="ar-SA"/>
        </w:rPr>
        <w:t>）表1直接排放标准。</w:t>
      </w:r>
      <w:r>
        <w:rPr>
          <w:rFonts w:ascii="Calibri" w:hAnsi="Calibri" w:eastAsia="宋体" w:cs="Arial"/>
          <w:b w:val="0"/>
          <w:color w:val="auto"/>
          <w:kern w:val="2"/>
          <w:sz w:val="24"/>
          <w:szCs w:val="22"/>
          <w:lang w:val="en-US" w:eastAsia="zh-CN" w:bidi="ar-SA"/>
        </w:rPr>
        <w:t>项</w:t>
      </w:r>
      <w:r>
        <w:rPr>
          <w:b w:val="0"/>
          <w:color w:val="auto"/>
        </w:rPr>
        <w:t>目污水排放标准详见下表</w:t>
      </w:r>
      <w:r>
        <w:rPr>
          <w:rFonts w:hint="eastAsia"/>
          <w:b w:val="0"/>
          <w:bCs/>
          <w:color w:val="auto"/>
          <w:lang w:val="en-US" w:eastAsia="zh-CN"/>
        </w:rPr>
        <w:t>1.4-6</w:t>
      </w:r>
      <w:r>
        <w:rPr>
          <w:b w:val="0"/>
          <w:color w:val="auto"/>
        </w:rPr>
        <w:t>。</w:t>
      </w:r>
    </w:p>
    <w:p>
      <w:pPr>
        <w:pStyle w:val="18"/>
        <w:spacing w:line="480" w:lineRule="exact"/>
        <w:ind w:firstLine="482" w:firstLineChars="200"/>
        <w:rPr>
          <w:b w:val="0"/>
          <w:color w:val="auto"/>
        </w:rPr>
      </w:pPr>
      <w:r>
        <w:rPr>
          <w:color w:val="auto"/>
        </w:rPr>
        <w:t>表</w:t>
      </w:r>
      <w:r>
        <w:rPr>
          <w:rFonts w:hint="eastAsia"/>
          <w:color w:val="auto"/>
          <w:lang w:val="en-US" w:eastAsia="zh-CN"/>
        </w:rPr>
        <w:t>1.4-6</w:t>
      </w:r>
      <w:r>
        <w:rPr>
          <w:color w:val="auto"/>
          <w:sz w:val="21"/>
          <w:szCs w:val="21"/>
        </w:rPr>
        <w:t xml:space="preserve">  </w:t>
      </w:r>
      <w:r>
        <w:rPr>
          <w:color w:val="auto"/>
        </w:rPr>
        <w:t>水污染物排放限值 单位：mg/L（pH 除外）</w:t>
      </w:r>
    </w:p>
    <w:tbl>
      <w:tblPr>
        <w:tblStyle w:val="45"/>
        <w:tblW w:w="750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2405"/>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jc w:val="center"/>
        </w:trPr>
        <w:tc>
          <w:tcPr>
            <w:tcW w:w="1843" w:type="dxa"/>
          </w:tcPr>
          <w:p>
            <w:pPr>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项目</w:t>
            </w:r>
          </w:p>
        </w:tc>
        <w:tc>
          <w:tcPr>
            <w:tcW w:w="2405" w:type="dxa"/>
            <w:vAlign w:val="center"/>
          </w:tcPr>
          <w:p>
            <w:pPr>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最高允许浓度</w:t>
            </w:r>
          </w:p>
        </w:tc>
        <w:tc>
          <w:tcPr>
            <w:tcW w:w="3260" w:type="dxa"/>
            <w:vAlign w:val="center"/>
          </w:tcPr>
          <w:p>
            <w:pPr>
              <w:snapToGrid w:val="0"/>
              <w:jc w:val="center"/>
              <w:rPr>
                <w:rFonts w:ascii="Times New Roman" w:hAnsi="Times New Roman" w:cs="Times New Roman"/>
                <w:b/>
                <w:color w:val="auto"/>
                <w:szCs w:val="21"/>
              </w:rPr>
            </w:pPr>
            <w:r>
              <w:rPr>
                <w:rFonts w:ascii="Times New Roman" w:hAnsi="Times New Roman" w:cs="Times New Roman"/>
                <w:b/>
                <w:color w:val="auto"/>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80" w:hRule="atLeas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pH</w:t>
            </w:r>
          </w:p>
        </w:tc>
        <w:tc>
          <w:tcPr>
            <w:tcW w:w="2405"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6～9</w:t>
            </w:r>
          </w:p>
        </w:tc>
        <w:tc>
          <w:tcPr>
            <w:tcW w:w="3260" w:type="dxa"/>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b/>
                <w:color w:val="auto"/>
                <w:szCs w:val="21"/>
              </w:rPr>
              <w:t>《石油炼制工业污染物排放 标准》（GB31570-2015）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80" w:hRule="atLeas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SS</w:t>
            </w:r>
          </w:p>
        </w:tc>
        <w:tc>
          <w:tcPr>
            <w:tcW w:w="2405"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70</w:t>
            </w:r>
          </w:p>
        </w:tc>
        <w:tc>
          <w:tcPr>
            <w:tcW w:w="3260" w:type="dxa"/>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65" w:hRule="atLeas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COD</w:t>
            </w:r>
          </w:p>
        </w:tc>
        <w:tc>
          <w:tcPr>
            <w:tcW w:w="2405" w:type="dxa"/>
            <w:vAlign w:val="center"/>
          </w:tcPr>
          <w:p>
            <w:pPr>
              <w:snapToGrid w:val="0"/>
              <w:spacing w:line="36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60</w:t>
            </w:r>
          </w:p>
        </w:tc>
        <w:tc>
          <w:tcPr>
            <w:tcW w:w="3260" w:type="dxa"/>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氨氮</w:t>
            </w:r>
          </w:p>
        </w:tc>
        <w:tc>
          <w:tcPr>
            <w:tcW w:w="2405" w:type="dxa"/>
            <w:vAlign w:val="center"/>
          </w:tcPr>
          <w:p>
            <w:pPr>
              <w:snapToGrid w:val="0"/>
              <w:spacing w:line="360" w:lineRule="exact"/>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8</w:t>
            </w:r>
          </w:p>
        </w:tc>
        <w:tc>
          <w:tcPr>
            <w:tcW w:w="3260" w:type="dxa"/>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石油类</w:t>
            </w:r>
          </w:p>
        </w:tc>
        <w:tc>
          <w:tcPr>
            <w:tcW w:w="2405"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3260" w:type="dxa"/>
            <w:vMerge w:val="continue"/>
            <w:vAlign w:val="center"/>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43"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硫化物</w:t>
            </w:r>
          </w:p>
        </w:tc>
        <w:tc>
          <w:tcPr>
            <w:tcW w:w="2405" w:type="dxa"/>
            <w:vAlign w:val="center"/>
          </w:tcPr>
          <w:p>
            <w:pPr>
              <w:snapToGrid w:val="0"/>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3260" w:type="dxa"/>
            <w:vMerge w:val="continue"/>
            <w:vAlign w:val="center"/>
          </w:tcPr>
          <w:p>
            <w:pPr>
              <w:spacing w:line="360" w:lineRule="exact"/>
              <w:jc w:val="center"/>
              <w:rPr>
                <w:rFonts w:ascii="Times New Roman" w:hAnsi="Times New Roman" w:cs="Times New Roman"/>
                <w:color w:val="auto"/>
                <w:szCs w:val="21"/>
              </w:rPr>
            </w:pPr>
          </w:p>
        </w:tc>
      </w:tr>
      <w:bookmarkEnd w:id="78"/>
      <w:bookmarkEnd w:id="79"/>
    </w:tbl>
    <w:p>
      <w:pPr>
        <w:pStyle w:val="8"/>
        <w:numPr>
          <w:ilvl w:val="3"/>
          <w:numId w:val="0"/>
        </w:numPr>
        <w:spacing w:line="480" w:lineRule="exact"/>
        <w:ind w:left="420" w:leftChars="200"/>
        <w:rPr>
          <w:bCs w:val="0"/>
          <w:color w:val="auto"/>
          <w:szCs w:val="20"/>
        </w:rPr>
      </w:pPr>
      <w:r>
        <w:rPr>
          <w:bCs w:val="0"/>
          <w:color w:val="auto"/>
          <w:szCs w:val="20"/>
        </w:rPr>
        <w:t>（3）噪声排放标准</w:t>
      </w:r>
    </w:p>
    <w:p>
      <w:pPr>
        <w:pStyle w:val="5"/>
        <w:spacing w:line="480" w:lineRule="exact"/>
        <w:ind w:firstLine="480"/>
        <w:rPr>
          <w:color w:val="auto"/>
        </w:rPr>
      </w:pPr>
      <w:r>
        <w:rPr>
          <w:color w:val="auto"/>
        </w:rPr>
        <w:t>项目施工期噪声执行《建筑施工场界环境噪声排放标准》（GB12523-2011）；运营期噪声执行《工业企业厂界环境噪声排放标准》（GB12348-2008）中的3类标准</w:t>
      </w:r>
      <w:bookmarkEnd w:id="80"/>
      <w:bookmarkEnd w:id="81"/>
      <w:bookmarkEnd w:id="82"/>
      <w:bookmarkEnd w:id="83"/>
      <w:r>
        <w:rPr>
          <w:color w:val="auto"/>
        </w:rPr>
        <w:t>。</w:t>
      </w:r>
    </w:p>
    <w:p>
      <w:pPr>
        <w:pStyle w:val="18"/>
        <w:spacing w:line="480" w:lineRule="exact"/>
        <w:ind w:firstLine="482" w:firstLineChars="200"/>
        <w:rPr>
          <w:color w:val="auto"/>
          <w:sz w:val="21"/>
          <w:szCs w:val="21"/>
        </w:rPr>
      </w:pPr>
      <w:r>
        <w:rPr>
          <w:color w:val="auto"/>
        </w:rPr>
        <w:t xml:space="preserve">表 </w:t>
      </w:r>
      <w:r>
        <w:rPr>
          <w:rFonts w:hint="eastAsia"/>
          <w:color w:val="auto"/>
          <w:lang w:val="en-US" w:eastAsia="zh-CN"/>
        </w:rPr>
        <w:t>1.4-7</w:t>
      </w:r>
      <w:r>
        <w:rPr>
          <w:color w:val="auto"/>
          <w:sz w:val="21"/>
          <w:szCs w:val="21"/>
        </w:rPr>
        <w:t xml:space="preserve">  </w:t>
      </w:r>
      <w:r>
        <w:rPr>
          <w:color w:val="auto"/>
        </w:rPr>
        <w:t>噪声排放标准一览表（单位：dB（A））</w:t>
      </w:r>
    </w:p>
    <w:tbl>
      <w:tblPr>
        <w:tblStyle w:val="45"/>
        <w:tblW w:w="858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991"/>
        <w:gridCol w:w="709"/>
        <w:gridCol w:w="756"/>
        <w:gridCol w:w="4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35"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噪声</w:t>
            </w:r>
          </w:p>
        </w:tc>
        <w:tc>
          <w:tcPr>
            <w:tcW w:w="991"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阶段</w:t>
            </w:r>
          </w:p>
        </w:tc>
        <w:tc>
          <w:tcPr>
            <w:tcW w:w="709"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昼间</w:t>
            </w:r>
          </w:p>
        </w:tc>
        <w:tc>
          <w:tcPr>
            <w:tcW w:w="75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夜间</w:t>
            </w:r>
          </w:p>
        </w:tc>
        <w:tc>
          <w:tcPr>
            <w:tcW w:w="4994" w:type="dxa"/>
            <w:vAlign w:val="center"/>
          </w:tcPr>
          <w:p>
            <w:pPr>
              <w:spacing w:line="360" w:lineRule="exact"/>
              <w:jc w:val="center"/>
              <w:rPr>
                <w:rFonts w:ascii="Times New Roman" w:hAnsi="Times New Roman" w:cs="Times New Roman"/>
                <w:b/>
                <w:color w:val="auto"/>
                <w:spacing w:val="-10"/>
                <w:szCs w:val="21"/>
              </w:rPr>
            </w:pPr>
            <w:r>
              <w:rPr>
                <w:rFonts w:ascii="Times New Roman" w:hAnsi="Times New Roman" w:cs="Times New Roman"/>
                <w:b/>
                <w:color w:val="auto"/>
                <w:spacing w:val="-10"/>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1" w:hRule="atLeast"/>
          <w:jc w:val="center"/>
        </w:trPr>
        <w:tc>
          <w:tcPr>
            <w:tcW w:w="1135" w:type="dxa"/>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等效连续A声级</w:t>
            </w:r>
          </w:p>
        </w:tc>
        <w:tc>
          <w:tcPr>
            <w:tcW w:w="991"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施工期</w:t>
            </w:r>
          </w:p>
        </w:tc>
        <w:tc>
          <w:tcPr>
            <w:tcW w:w="709"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lang w:val="zh-CN"/>
              </w:rPr>
              <w:t>70</w:t>
            </w:r>
          </w:p>
        </w:tc>
        <w:tc>
          <w:tcPr>
            <w:tcW w:w="7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lang w:val="zh-CN"/>
              </w:rPr>
              <w:t>55</w:t>
            </w:r>
          </w:p>
        </w:tc>
        <w:tc>
          <w:tcPr>
            <w:tcW w:w="4994" w:type="dxa"/>
            <w:vAlign w:val="center"/>
          </w:tcPr>
          <w:p>
            <w:pPr>
              <w:spacing w:line="360" w:lineRule="exact"/>
              <w:jc w:val="center"/>
              <w:rPr>
                <w:rFonts w:ascii="Times New Roman" w:hAnsi="Times New Roman" w:cs="Times New Roman"/>
                <w:color w:val="auto"/>
                <w:spacing w:val="-10"/>
                <w:szCs w:val="21"/>
              </w:rPr>
            </w:pPr>
            <w:r>
              <w:rPr>
                <w:rFonts w:ascii="Times New Roman" w:hAnsi="Times New Roman" w:cs="Times New Roman"/>
                <w:bCs/>
                <w:color w:val="auto"/>
                <w:spacing w:val="-10"/>
                <w:szCs w:val="21"/>
              </w:rPr>
              <w:t>《建筑施工场界环境噪声排放标准》</w:t>
            </w:r>
            <w:r>
              <w:rPr>
                <w:rFonts w:ascii="Times New Roman" w:hAnsi="Times New Roman" w:cs="Times New Roman"/>
                <w:color w:val="auto"/>
                <w:spacing w:val="-10"/>
                <w:szCs w:val="21"/>
              </w:rPr>
              <w:t>（GB12523-2011）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jc w:val="center"/>
        </w:trPr>
        <w:tc>
          <w:tcPr>
            <w:tcW w:w="1135" w:type="dxa"/>
            <w:vMerge w:val="continue"/>
            <w:vAlign w:val="center"/>
          </w:tcPr>
          <w:p>
            <w:pPr>
              <w:rPr>
                <w:rFonts w:ascii="Times New Roman" w:hAnsi="Times New Roman" w:cs="Times New Roman"/>
                <w:color w:val="auto"/>
              </w:rPr>
            </w:pPr>
          </w:p>
        </w:tc>
        <w:tc>
          <w:tcPr>
            <w:tcW w:w="991"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运营期</w:t>
            </w:r>
          </w:p>
        </w:tc>
        <w:tc>
          <w:tcPr>
            <w:tcW w:w="709"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65</w:t>
            </w:r>
          </w:p>
        </w:tc>
        <w:tc>
          <w:tcPr>
            <w:tcW w:w="7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55</w:t>
            </w:r>
          </w:p>
        </w:tc>
        <w:tc>
          <w:tcPr>
            <w:tcW w:w="4994" w:type="dxa"/>
            <w:vAlign w:val="center"/>
          </w:tcPr>
          <w:p>
            <w:pPr>
              <w:spacing w:line="360" w:lineRule="exact"/>
              <w:jc w:val="center"/>
              <w:rPr>
                <w:rFonts w:ascii="Times New Roman" w:hAnsi="Times New Roman" w:cs="Times New Roman"/>
                <w:color w:val="auto"/>
                <w:spacing w:val="-10"/>
                <w:szCs w:val="21"/>
              </w:rPr>
            </w:pPr>
            <w:r>
              <w:rPr>
                <w:rFonts w:ascii="Times New Roman" w:hAnsi="Times New Roman" w:cs="Times New Roman"/>
                <w:color w:val="auto"/>
                <w:spacing w:val="-10"/>
                <w:szCs w:val="21"/>
              </w:rPr>
              <w:t>《工业企业厂界环境噪声排放标准》(GB12348-2008)3类</w:t>
            </w:r>
          </w:p>
        </w:tc>
      </w:tr>
    </w:tbl>
    <w:p>
      <w:pPr>
        <w:pStyle w:val="8"/>
        <w:numPr>
          <w:ilvl w:val="3"/>
          <w:numId w:val="0"/>
        </w:numPr>
        <w:spacing w:line="480" w:lineRule="exact"/>
        <w:ind w:left="420" w:leftChars="200"/>
        <w:rPr>
          <w:bCs w:val="0"/>
          <w:color w:val="auto"/>
          <w:szCs w:val="20"/>
        </w:rPr>
      </w:pPr>
      <w:r>
        <w:rPr>
          <w:bCs w:val="0"/>
          <w:color w:val="auto"/>
          <w:szCs w:val="20"/>
        </w:rPr>
        <w:t>（4）固体废物污染控制标准</w:t>
      </w:r>
    </w:p>
    <w:p>
      <w:pPr>
        <w:pStyle w:val="5"/>
        <w:spacing w:line="480" w:lineRule="exact"/>
        <w:ind w:firstLine="480"/>
        <w:rPr>
          <w:color w:val="auto"/>
          <w:szCs w:val="24"/>
        </w:rPr>
      </w:pPr>
      <w:r>
        <w:rPr>
          <w:color w:val="auto"/>
        </w:rPr>
        <w:t>一般固废执行《一般工业固体废物贮存、处置场污染控制</w:t>
      </w:r>
      <w:r>
        <w:rPr>
          <w:color w:val="auto"/>
          <w:szCs w:val="24"/>
        </w:rPr>
        <w:t>标准》（GB18599-2001）及2013年修改单；</w:t>
      </w:r>
      <w:r>
        <w:rPr>
          <w:color w:val="auto"/>
        </w:rPr>
        <w:t>危险废物执行《危险废物贮存污染控制标准》（GB18597-2001）</w:t>
      </w:r>
      <w:r>
        <w:rPr>
          <w:color w:val="auto"/>
          <w:szCs w:val="24"/>
        </w:rPr>
        <w:t>及2013年修改单</w:t>
      </w:r>
      <w:r>
        <w:rPr>
          <w:color w:val="auto"/>
        </w:rPr>
        <w:t>。</w:t>
      </w:r>
    </w:p>
    <w:p>
      <w:pPr>
        <w:pStyle w:val="6"/>
        <w:spacing w:before="120" w:beforeLines="0" w:after="120" w:afterLines="0"/>
        <w:rPr>
          <w:color w:val="auto"/>
        </w:rPr>
      </w:pPr>
      <w:bookmarkStart w:id="84" w:name="_Toc219258499"/>
      <w:bookmarkStart w:id="85" w:name="_Toc23724"/>
      <w:bookmarkStart w:id="86" w:name="_Toc304810275"/>
      <w:bookmarkStart w:id="87" w:name="_Toc306034525"/>
      <w:bookmarkStart w:id="88" w:name="_Toc1566"/>
      <w:bookmarkStart w:id="89" w:name="_Toc220122773"/>
      <w:bookmarkStart w:id="90" w:name="_Toc2308"/>
      <w:bookmarkStart w:id="91" w:name="_Toc280188815"/>
      <w:bookmarkStart w:id="92" w:name="_Toc1211"/>
      <w:r>
        <w:rPr>
          <w:color w:val="auto"/>
        </w:rPr>
        <w:t>评价工作等级</w:t>
      </w:r>
      <w:bookmarkEnd w:id="84"/>
      <w:r>
        <w:rPr>
          <w:color w:val="auto"/>
        </w:rPr>
        <w:t>及评价范围</w:t>
      </w:r>
      <w:bookmarkEnd w:id="85"/>
      <w:bookmarkEnd w:id="86"/>
      <w:bookmarkEnd w:id="87"/>
      <w:bookmarkEnd w:id="88"/>
      <w:bookmarkEnd w:id="89"/>
      <w:bookmarkEnd w:id="90"/>
      <w:bookmarkEnd w:id="91"/>
      <w:bookmarkEnd w:id="92"/>
    </w:p>
    <w:p>
      <w:pPr>
        <w:pStyle w:val="7"/>
        <w:spacing w:before="120" w:beforeLines="0" w:after="120" w:afterLines="0"/>
        <w:rPr>
          <w:color w:val="auto"/>
        </w:rPr>
      </w:pPr>
      <w:bookmarkStart w:id="93" w:name="_Toc13637"/>
      <w:bookmarkStart w:id="94" w:name="_Toc2793"/>
      <w:bookmarkStart w:id="95" w:name="_Toc10073"/>
      <w:r>
        <w:rPr>
          <w:color w:val="auto"/>
        </w:rPr>
        <w:t>大气环境影响评价等级及范围</w:t>
      </w:r>
      <w:bookmarkEnd w:id="93"/>
      <w:bookmarkEnd w:id="94"/>
      <w:bookmarkEnd w:id="95"/>
    </w:p>
    <w:p>
      <w:pPr>
        <w:spacing w:line="360" w:lineRule="auto"/>
        <w:ind w:firstLine="480" w:firstLineChars="200"/>
        <w:rPr>
          <w:color w:val="auto"/>
          <w:sz w:val="24"/>
        </w:rPr>
      </w:pPr>
      <w:r>
        <w:rPr>
          <w:rFonts w:hint="eastAsia"/>
          <w:color w:val="auto"/>
          <w:sz w:val="24"/>
        </w:rPr>
        <w:t>（1）评价等级</w:t>
      </w:r>
    </w:p>
    <w:p>
      <w:pPr>
        <w:spacing w:line="360" w:lineRule="auto"/>
        <w:ind w:firstLine="480" w:firstLineChars="200"/>
        <w:jc w:val="left"/>
        <w:rPr>
          <w:color w:val="auto"/>
          <w:sz w:val="24"/>
        </w:rPr>
      </w:pPr>
      <w:r>
        <w:rPr>
          <w:rFonts w:hint="eastAsia"/>
          <w:color w:val="auto"/>
          <w:sz w:val="24"/>
        </w:rPr>
        <w:t>本工程面源排放的主要环境空气污染物为NH</w:t>
      </w:r>
      <w:r>
        <w:rPr>
          <w:rFonts w:hint="eastAsia"/>
          <w:color w:val="auto"/>
          <w:sz w:val="24"/>
          <w:vertAlign w:val="subscript"/>
        </w:rPr>
        <w:t>3</w:t>
      </w:r>
      <w:r>
        <w:rPr>
          <w:rFonts w:hint="eastAsia"/>
          <w:color w:val="auto"/>
          <w:sz w:val="24"/>
        </w:rPr>
        <w:t>。根据《环境影响评价技术导则—大气环境》（HJ2.2-2018）的规定，采用导则推荐的</w:t>
      </w:r>
      <w:r>
        <w:rPr>
          <w:rFonts w:ascii="Times New Roman" w:hAnsi="Times New Roman"/>
          <w:color w:val="auto"/>
          <w:sz w:val="24"/>
        </w:rPr>
        <w:t>AERSCREEN</w:t>
      </w:r>
      <w:r>
        <w:rPr>
          <w:rFonts w:hint="eastAsia"/>
          <w:color w:val="auto"/>
          <w:sz w:val="24"/>
        </w:rPr>
        <w:t>模型分别计算它们的最大地面浓度占标率Pi及不同距离分布，</w:t>
      </w:r>
    </w:p>
    <w:p>
      <w:pPr>
        <w:spacing w:line="360" w:lineRule="auto"/>
        <w:rPr>
          <w:color w:val="auto"/>
          <w:sz w:val="24"/>
        </w:rPr>
      </w:pPr>
      <w:r>
        <w:rPr>
          <w:rFonts w:hint="eastAsia"/>
          <w:color w:val="auto"/>
          <w:sz w:val="24"/>
        </w:rPr>
        <w:t>其中 Pi 定义为：</w:t>
      </w:r>
    </w:p>
    <w:p>
      <w:pPr>
        <w:jc w:val="center"/>
        <w:rPr>
          <w:rFonts w:ascii="Times New Roman" w:hAnsi="Times New Roman" w:cs="Times New Roman"/>
          <w:color w:val="auto"/>
          <w:position w:val="-30"/>
        </w:rPr>
      </w:pPr>
      <w:r>
        <w:rPr>
          <w:rFonts w:ascii="Times New Roman" w:hAnsi="Times New Roman" w:cs="Times New Roman"/>
          <w:color w:val="auto"/>
          <w:position w:val="-30"/>
        </w:rPr>
        <w:object>
          <v:shape id="_x0000_i1025" o:spt="75" type="#_x0000_t75" style="height:35.5pt;width:101.5pt;" o:ole="t" filled="f" o:preferrelative="t" stroked="f" coordsize="21600,21600">
            <v:path/>
            <v:fill on="f" focussize="0,0"/>
            <v:stroke on="f" joinstyle="miter"/>
            <v:imagedata r:id="rId35" o:title=""/>
            <o:lock v:ext="edit" aspectratio="t"/>
            <w10:wrap type="none"/>
            <w10:anchorlock/>
          </v:shape>
          <o:OLEObject Type="Embed" ProgID="Equation.3" ShapeID="_x0000_i1025" DrawAspect="Content" ObjectID="_1468075725" r:id="rId34">
            <o:LockedField>false</o:LockedField>
          </o:OLEObject>
        </w:object>
      </w:r>
    </w:p>
    <w:p>
      <w:pPr>
        <w:spacing w:line="360" w:lineRule="auto"/>
        <w:ind w:firstLine="480" w:firstLineChars="200"/>
        <w:jc w:val="left"/>
        <w:rPr>
          <w:color w:val="auto"/>
          <w:sz w:val="24"/>
        </w:rPr>
      </w:pPr>
      <w:r>
        <w:rPr>
          <w:rFonts w:hint="eastAsia"/>
          <w:color w:val="auto"/>
          <w:sz w:val="24"/>
        </w:rPr>
        <w:t>式中：</w:t>
      </w:r>
    </w:p>
    <w:p>
      <w:pPr>
        <w:spacing w:line="360" w:lineRule="auto"/>
        <w:ind w:firstLine="480" w:firstLineChars="200"/>
        <w:jc w:val="left"/>
        <w:rPr>
          <w:color w:val="auto"/>
          <w:sz w:val="24"/>
        </w:rPr>
      </w:pPr>
      <w:r>
        <w:rPr>
          <w:rFonts w:hint="eastAsia"/>
          <w:color w:val="auto"/>
          <w:sz w:val="24"/>
        </w:rPr>
        <w:t>Pi—第 i 个污染物的最大地面浓度占标率，%；</w:t>
      </w:r>
    </w:p>
    <w:p>
      <w:pPr>
        <w:spacing w:line="360" w:lineRule="auto"/>
        <w:ind w:firstLine="480" w:firstLineChars="200"/>
        <w:jc w:val="left"/>
        <w:rPr>
          <w:color w:val="auto"/>
          <w:sz w:val="24"/>
        </w:rPr>
      </w:pPr>
      <w:r>
        <w:rPr>
          <w:rFonts w:hint="eastAsia"/>
          <w:color w:val="auto"/>
          <w:sz w:val="24"/>
        </w:rPr>
        <w:t>Ci—采用估算模式计算出的第 i 个污染物的最大地面浓度，mg/Nm</w:t>
      </w:r>
      <w:r>
        <w:rPr>
          <w:rFonts w:hint="eastAsia"/>
          <w:color w:val="auto"/>
          <w:sz w:val="24"/>
          <w:vertAlign w:val="superscript"/>
        </w:rPr>
        <w:t>3</w:t>
      </w:r>
      <w:r>
        <w:rPr>
          <w:rFonts w:hint="eastAsia"/>
          <w:color w:val="auto"/>
          <w:sz w:val="24"/>
        </w:rPr>
        <w:t>；</w:t>
      </w:r>
    </w:p>
    <w:p>
      <w:pPr>
        <w:spacing w:line="360" w:lineRule="auto"/>
        <w:ind w:firstLine="480" w:firstLineChars="200"/>
        <w:jc w:val="left"/>
        <w:rPr>
          <w:color w:val="auto"/>
          <w:sz w:val="24"/>
        </w:rPr>
      </w:pPr>
      <w:r>
        <w:rPr>
          <w:rFonts w:hint="eastAsia"/>
          <w:color w:val="auto"/>
          <w:sz w:val="24"/>
        </w:rPr>
        <w:t>C oi—污染物评价标准，mg/Nm</w:t>
      </w:r>
      <w:r>
        <w:rPr>
          <w:rFonts w:hint="eastAsia"/>
          <w:color w:val="auto"/>
          <w:sz w:val="24"/>
          <w:vertAlign w:val="superscript"/>
        </w:rPr>
        <w:t>3</w:t>
      </w:r>
      <w:r>
        <w:rPr>
          <w:rFonts w:hint="eastAsia"/>
          <w:color w:val="auto"/>
          <w:sz w:val="24"/>
        </w:rPr>
        <w:t>。</w:t>
      </w:r>
    </w:p>
    <w:p>
      <w:pPr>
        <w:spacing w:line="360" w:lineRule="auto"/>
        <w:ind w:firstLine="480" w:firstLineChars="200"/>
        <w:jc w:val="left"/>
        <w:rPr>
          <w:color w:val="auto"/>
          <w:sz w:val="24"/>
        </w:rPr>
      </w:pPr>
      <w:r>
        <w:rPr>
          <w:rFonts w:hint="eastAsia"/>
          <w:color w:val="auto"/>
          <w:sz w:val="24"/>
        </w:rPr>
        <w:t>评价因子和评价标准见表1.5-1，污染物排放参数见表1.5-2，估算模型参数见表 1.5-3，评价等级判别见表1.5-4，污染物最大落地浓度占标率见表 1.5-5。</w:t>
      </w:r>
    </w:p>
    <w:p>
      <w:pPr>
        <w:pStyle w:val="2"/>
        <w:ind w:left="420" w:firstLine="420"/>
        <w:rPr>
          <w:rFonts w:hint="eastAsia"/>
          <w:color w:val="auto"/>
        </w:rPr>
      </w:pPr>
    </w:p>
    <w:p>
      <w:pPr>
        <w:pStyle w:val="18"/>
        <w:wordWrap w:val="0"/>
        <w:rPr>
          <w:rFonts w:hint="eastAsia" w:asciiTheme="majorEastAsia" w:hAnsiTheme="majorEastAsia" w:eastAsiaTheme="majorEastAsia" w:cstheme="majorEastAsia"/>
          <w:color w:val="auto"/>
          <w:u w:val="single"/>
        </w:rPr>
      </w:pPr>
      <w:r>
        <w:rPr>
          <w:rFonts w:hint="eastAsia" w:asciiTheme="majorEastAsia" w:hAnsiTheme="majorEastAsia" w:eastAsiaTheme="majorEastAsia" w:cstheme="majorEastAsia"/>
          <w:color w:val="auto"/>
          <w:u w:val="single"/>
        </w:rPr>
        <w:t>表 1.5-1 评价因子和评价标准</w:t>
      </w:r>
    </w:p>
    <w:tbl>
      <w:tblPr>
        <w:tblStyle w:val="46"/>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1639"/>
        <w:gridCol w:w="1867"/>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2" w:hRule="atLeast"/>
        </w:trPr>
        <w:tc>
          <w:tcPr>
            <w:tcW w:w="2130" w:type="dxa"/>
            <w:vAlign w:val="center"/>
          </w:tcPr>
          <w:p>
            <w:pPr>
              <w:jc w:val="center"/>
              <w:rPr>
                <w:b/>
                <w:bCs/>
                <w:color w:val="auto"/>
                <w:u w:val="single"/>
              </w:rPr>
            </w:pPr>
            <w:r>
              <w:rPr>
                <w:rFonts w:hint="eastAsia"/>
                <w:b/>
                <w:bCs/>
                <w:color w:val="auto"/>
                <w:u w:val="single"/>
              </w:rPr>
              <w:t>评价因子</w:t>
            </w:r>
          </w:p>
        </w:tc>
        <w:tc>
          <w:tcPr>
            <w:tcW w:w="1639" w:type="dxa"/>
            <w:vAlign w:val="center"/>
          </w:tcPr>
          <w:p>
            <w:pPr>
              <w:jc w:val="center"/>
              <w:rPr>
                <w:b/>
                <w:bCs/>
                <w:color w:val="auto"/>
                <w:u w:val="single"/>
              </w:rPr>
            </w:pPr>
            <w:r>
              <w:rPr>
                <w:rFonts w:hint="eastAsia"/>
                <w:b/>
                <w:bCs/>
                <w:color w:val="auto"/>
                <w:u w:val="single"/>
              </w:rPr>
              <w:t>平均时段</w:t>
            </w:r>
          </w:p>
        </w:tc>
        <w:tc>
          <w:tcPr>
            <w:tcW w:w="1867" w:type="dxa"/>
            <w:vAlign w:val="center"/>
          </w:tcPr>
          <w:p>
            <w:pPr>
              <w:jc w:val="center"/>
              <w:rPr>
                <w:b/>
                <w:bCs/>
                <w:color w:val="auto"/>
                <w:u w:val="single"/>
              </w:rPr>
            </w:pPr>
            <w:r>
              <w:rPr>
                <w:rFonts w:hint="eastAsia"/>
                <w:b/>
                <w:bCs/>
                <w:color w:val="auto"/>
                <w:u w:val="single"/>
              </w:rPr>
              <w:t>标准值ug/m</w:t>
            </w:r>
            <w:r>
              <w:rPr>
                <w:rFonts w:hint="eastAsia"/>
                <w:b/>
                <w:bCs/>
                <w:color w:val="auto"/>
                <w:u w:val="single"/>
                <w:vertAlign w:val="superscript"/>
              </w:rPr>
              <w:t>3</w:t>
            </w:r>
          </w:p>
        </w:tc>
        <w:tc>
          <w:tcPr>
            <w:tcW w:w="2883" w:type="dxa"/>
            <w:vAlign w:val="center"/>
          </w:tcPr>
          <w:p>
            <w:pPr>
              <w:jc w:val="center"/>
              <w:rPr>
                <w:b/>
                <w:bCs/>
                <w:color w:val="auto"/>
                <w:u w:val="single"/>
              </w:rPr>
            </w:pPr>
            <w:r>
              <w:rPr>
                <w:rFonts w:hint="eastAsia"/>
                <w:b/>
                <w:bCs/>
                <w:color w:val="auto"/>
                <w:u w:val="singl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trPr>
        <w:tc>
          <w:tcPr>
            <w:tcW w:w="2130" w:type="dxa"/>
            <w:vAlign w:val="center"/>
          </w:tcPr>
          <w:p>
            <w:pPr>
              <w:jc w:val="center"/>
              <w:rPr>
                <w:rFonts w:hint="default" w:eastAsia="宋体"/>
                <w:color w:val="auto"/>
                <w:u w:val="single"/>
                <w:lang w:val="en-US" w:eastAsia="zh-CN"/>
              </w:rPr>
            </w:pPr>
            <w:r>
              <w:rPr>
                <w:rFonts w:hint="eastAsia"/>
                <w:color w:val="auto"/>
                <w:u w:val="single"/>
              </w:rPr>
              <w:t>NH</w:t>
            </w:r>
            <w:r>
              <w:rPr>
                <w:rFonts w:hint="eastAsia"/>
                <w:color w:val="auto"/>
                <w:u w:val="single"/>
                <w:vertAlign w:val="subscript"/>
              </w:rPr>
              <w:t>3</w:t>
            </w:r>
          </w:p>
        </w:tc>
        <w:tc>
          <w:tcPr>
            <w:tcW w:w="1639" w:type="dxa"/>
            <w:vAlign w:val="center"/>
          </w:tcPr>
          <w:p>
            <w:pPr>
              <w:jc w:val="center"/>
              <w:rPr>
                <w:color w:val="auto"/>
                <w:u w:val="single"/>
              </w:rPr>
            </w:pPr>
            <w:r>
              <w:rPr>
                <w:rFonts w:hint="eastAsia"/>
                <w:color w:val="auto"/>
                <w:u w:val="single"/>
              </w:rPr>
              <w:t>1小时平均</w:t>
            </w:r>
          </w:p>
        </w:tc>
        <w:tc>
          <w:tcPr>
            <w:tcW w:w="1867" w:type="dxa"/>
            <w:vAlign w:val="center"/>
          </w:tcPr>
          <w:p>
            <w:pPr>
              <w:jc w:val="center"/>
              <w:rPr>
                <w:color w:val="auto"/>
                <w:u w:val="single"/>
              </w:rPr>
            </w:pPr>
            <w:r>
              <w:rPr>
                <w:rFonts w:hint="eastAsia"/>
                <w:color w:val="auto"/>
                <w:u w:val="single"/>
              </w:rPr>
              <w:t>200</w:t>
            </w:r>
          </w:p>
        </w:tc>
        <w:tc>
          <w:tcPr>
            <w:tcW w:w="2883" w:type="dxa"/>
            <w:vAlign w:val="center"/>
          </w:tcPr>
          <w:p>
            <w:pPr>
              <w:jc w:val="center"/>
              <w:rPr>
                <w:color w:val="auto"/>
                <w:u w:val="single"/>
              </w:rPr>
            </w:pPr>
            <w:r>
              <w:rPr>
                <w:rFonts w:hint="eastAsia"/>
                <w:color w:val="auto"/>
                <w:u w:val="single"/>
              </w:rPr>
              <w:t>《环境影响评价技术导则大气环境》（HJ2.2-2018）</w:t>
            </w:r>
          </w:p>
        </w:tc>
      </w:tr>
    </w:tbl>
    <w:p>
      <w:pPr>
        <w:pStyle w:val="18"/>
        <w:wordWrap w:val="0"/>
        <w:rPr>
          <w:color w:val="auto"/>
        </w:rPr>
      </w:pPr>
    </w:p>
    <w:p>
      <w:pPr>
        <w:rPr>
          <w:color w:val="auto"/>
        </w:rPr>
      </w:pPr>
    </w:p>
    <w:p>
      <w:pPr>
        <w:pStyle w:val="18"/>
        <w:wordWrap w:val="0"/>
        <w:rPr>
          <w:rFonts w:hint="eastAsia" w:asciiTheme="majorEastAsia" w:hAnsiTheme="majorEastAsia" w:eastAsiaTheme="majorEastAsia" w:cstheme="majorEastAsia"/>
          <w:color w:val="auto"/>
          <w:u w:val="single"/>
        </w:rPr>
      </w:pPr>
      <w:r>
        <w:rPr>
          <w:rFonts w:hint="eastAsia" w:asciiTheme="majorEastAsia" w:hAnsiTheme="majorEastAsia" w:eastAsiaTheme="majorEastAsia" w:cstheme="majorEastAsia"/>
          <w:color w:val="auto"/>
          <w:u w:val="single"/>
        </w:rPr>
        <w:t>表 1.5-2主要废气污染源参数一览表（矩形面源）</w:t>
      </w:r>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169"/>
        <w:gridCol w:w="1181"/>
        <w:gridCol w:w="911"/>
        <w:gridCol w:w="889"/>
        <w:gridCol w:w="923"/>
        <w:gridCol w:w="842"/>
        <w:gridCol w:w="623"/>
        <w:gridCol w:w="808"/>
        <w:gridCol w:w="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57" w:type="dxa"/>
            <w:vMerge w:val="restart"/>
            <w:vAlign w:val="center"/>
          </w:tcPr>
          <w:p>
            <w:pPr>
              <w:jc w:val="center"/>
              <w:rPr>
                <w:color w:val="auto"/>
                <w:u w:val="single"/>
              </w:rPr>
            </w:pPr>
            <w:r>
              <w:rPr>
                <w:color w:val="auto"/>
                <w:u w:val="single"/>
              </w:rPr>
              <w:t>污染源名称</w:t>
            </w:r>
          </w:p>
        </w:tc>
        <w:tc>
          <w:tcPr>
            <w:tcW w:w="2350" w:type="dxa"/>
            <w:gridSpan w:val="2"/>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左下角</w:t>
            </w:r>
            <w:r>
              <w:rPr>
                <w:rFonts w:ascii="Times New Roman" w:hAnsi="Times New Roman" w:cs="Times New Roman"/>
                <w:color w:val="auto"/>
                <w:szCs w:val="21"/>
                <w:u w:val="single"/>
              </w:rPr>
              <w:t>坐标(</w:t>
            </w:r>
            <w:r>
              <w:rPr>
                <w:rFonts w:ascii="Times New Roman" w:hAnsi="Times New Roman" w:cs="Times New Roman"/>
                <w:color w:val="auto"/>
                <w:szCs w:val="21"/>
                <w:u w:val="single"/>
                <w:vertAlign w:val="superscript"/>
              </w:rPr>
              <w:t>o</w:t>
            </w:r>
            <w:r>
              <w:rPr>
                <w:rFonts w:ascii="Times New Roman" w:hAnsi="Times New Roman" w:cs="Times New Roman"/>
                <w:color w:val="auto"/>
                <w:szCs w:val="21"/>
                <w:u w:val="single"/>
              </w:rPr>
              <w:t>)</w:t>
            </w:r>
          </w:p>
        </w:tc>
        <w:tc>
          <w:tcPr>
            <w:tcW w:w="911" w:type="dxa"/>
            <w:vMerge w:val="restart"/>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海拔高度(</w:t>
            </w:r>
            <w:r>
              <w:rPr>
                <w:rFonts w:ascii="Times New Roman" w:hAnsi="Times New Roman" w:cs="Times New Roman"/>
                <w:color w:val="auto"/>
                <w:szCs w:val="21"/>
                <w:u w:val="single"/>
              </w:rPr>
              <w:t>m)</w:t>
            </w:r>
          </w:p>
        </w:tc>
        <w:tc>
          <w:tcPr>
            <w:tcW w:w="2654" w:type="dxa"/>
            <w:gridSpan w:val="3"/>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矩形面源</w:t>
            </w:r>
          </w:p>
        </w:tc>
        <w:tc>
          <w:tcPr>
            <w:tcW w:w="623" w:type="dxa"/>
            <w:vMerge w:val="restart"/>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污染物</w:t>
            </w:r>
          </w:p>
        </w:tc>
        <w:tc>
          <w:tcPr>
            <w:tcW w:w="808" w:type="dxa"/>
            <w:vMerge w:val="restart"/>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排放速率</w:t>
            </w:r>
          </w:p>
        </w:tc>
        <w:tc>
          <w:tcPr>
            <w:tcW w:w="683" w:type="dxa"/>
            <w:vMerge w:val="restart"/>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96" w:hRule="atLeast"/>
        </w:trPr>
        <w:tc>
          <w:tcPr>
            <w:tcW w:w="1257" w:type="dxa"/>
            <w:vMerge w:val="continue"/>
            <w:vAlign w:val="center"/>
          </w:tcPr>
          <w:p>
            <w:pPr>
              <w:snapToGrid w:val="0"/>
              <w:jc w:val="center"/>
              <w:rPr>
                <w:rFonts w:ascii="Times New Roman" w:hAnsi="Times New Roman" w:cs="Times New Roman"/>
                <w:color w:val="auto"/>
                <w:szCs w:val="21"/>
                <w:u w:val="single"/>
              </w:rPr>
            </w:pPr>
          </w:p>
        </w:tc>
        <w:tc>
          <w:tcPr>
            <w:tcW w:w="1169" w:type="dxa"/>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经度</w:t>
            </w:r>
          </w:p>
        </w:tc>
        <w:tc>
          <w:tcPr>
            <w:tcW w:w="1181" w:type="dxa"/>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经度</w:t>
            </w:r>
          </w:p>
        </w:tc>
        <w:tc>
          <w:tcPr>
            <w:tcW w:w="911" w:type="dxa"/>
            <w:vMerge w:val="continue"/>
            <w:vAlign w:val="center"/>
          </w:tcPr>
          <w:p>
            <w:pPr>
              <w:snapToGrid w:val="0"/>
              <w:jc w:val="center"/>
              <w:rPr>
                <w:rFonts w:ascii="Times New Roman" w:hAnsi="Times New Roman" w:cs="Times New Roman"/>
                <w:color w:val="auto"/>
                <w:szCs w:val="21"/>
                <w:u w:val="single"/>
              </w:rPr>
            </w:pPr>
          </w:p>
        </w:tc>
        <w:tc>
          <w:tcPr>
            <w:tcW w:w="889" w:type="dxa"/>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长度</w:t>
            </w:r>
          </w:p>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w:t>
            </w:r>
            <w:r>
              <w:rPr>
                <w:rFonts w:ascii="Times New Roman" w:hAnsi="Times New Roman" w:cs="Times New Roman"/>
                <w:color w:val="auto"/>
                <w:szCs w:val="21"/>
                <w:u w:val="single"/>
              </w:rPr>
              <w:t>m)</w:t>
            </w:r>
          </w:p>
        </w:tc>
        <w:tc>
          <w:tcPr>
            <w:tcW w:w="923" w:type="dxa"/>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宽度</w:t>
            </w:r>
          </w:p>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w:t>
            </w:r>
            <w:r>
              <w:rPr>
                <w:rFonts w:ascii="Times New Roman" w:hAnsi="Times New Roman" w:cs="Times New Roman"/>
                <w:color w:val="auto"/>
                <w:szCs w:val="21"/>
                <w:u w:val="single"/>
              </w:rPr>
              <w:t>m)</w:t>
            </w:r>
          </w:p>
        </w:tc>
        <w:tc>
          <w:tcPr>
            <w:tcW w:w="842" w:type="dxa"/>
            <w:vAlign w:val="center"/>
          </w:tcPr>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有效</w:t>
            </w:r>
          </w:p>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高度</w:t>
            </w:r>
          </w:p>
          <w:p>
            <w:pPr>
              <w:snapToGrid w:val="0"/>
              <w:jc w:val="center"/>
              <w:rPr>
                <w:rFonts w:ascii="Times New Roman" w:hAnsi="Times New Roman" w:cs="Times New Roman"/>
                <w:color w:val="auto"/>
                <w:szCs w:val="21"/>
                <w:u w:val="single"/>
              </w:rPr>
            </w:pPr>
            <w:r>
              <w:rPr>
                <w:rFonts w:hint="eastAsia" w:ascii="Times New Roman" w:hAnsi="Times New Roman" w:cs="Times New Roman"/>
                <w:color w:val="auto"/>
                <w:szCs w:val="21"/>
                <w:u w:val="single"/>
              </w:rPr>
              <w:t>(</w:t>
            </w:r>
            <w:r>
              <w:rPr>
                <w:rFonts w:ascii="Times New Roman" w:hAnsi="Times New Roman" w:cs="Times New Roman"/>
                <w:color w:val="auto"/>
                <w:szCs w:val="21"/>
                <w:u w:val="single"/>
              </w:rPr>
              <w:t>m)</w:t>
            </w:r>
          </w:p>
        </w:tc>
        <w:tc>
          <w:tcPr>
            <w:tcW w:w="623" w:type="dxa"/>
            <w:vMerge w:val="continue"/>
            <w:vAlign w:val="center"/>
          </w:tcPr>
          <w:p>
            <w:pPr>
              <w:snapToGrid w:val="0"/>
              <w:jc w:val="center"/>
              <w:rPr>
                <w:rFonts w:ascii="Times New Roman" w:hAnsi="Times New Roman" w:cs="Times New Roman"/>
                <w:color w:val="auto"/>
                <w:szCs w:val="21"/>
                <w:u w:val="single"/>
              </w:rPr>
            </w:pPr>
          </w:p>
        </w:tc>
        <w:tc>
          <w:tcPr>
            <w:tcW w:w="808" w:type="dxa"/>
            <w:vMerge w:val="continue"/>
            <w:vAlign w:val="center"/>
          </w:tcPr>
          <w:p>
            <w:pPr>
              <w:snapToGrid w:val="0"/>
              <w:jc w:val="center"/>
              <w:rPr>
                <w:rFonts w:ascii="Times New Roman" w:hAnsi="Times New Roman" w:cs="Times New Roman"/>
                <w:color w:val="auto"/>
                <w:szCs w:val="21"/>
                <w:u w:val="single"/>
              </w:rPr>
            </w:pPr>
          </w:p>
        </w:tc>
        <w:tc>
          <w:tcPr>
            <w:tcW w:w="683" w:type="dxa"/>
            <w:vMerge w:val="continue"/>
            <w:vAlign w:val="center"/>
          </w:tcPr>
          <w:p>
            <w:pPr>
              <w:snapToGrid w:val="0"/>
              <w:jc w:val="center"/>
              <w:rPr>
                <w:rFonts w:ascii="Times New Roman" w:hAnsi="Times New Roman" w:cs="Times New Roman"/>
                <w:color w:val="auto"/>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trPr>
        <w:tc>
          <w:tcPr>
            <w:tcW w:w="1257" w:type="dxa"/>
            <w:vAlign w:val="center"/>
          </w:tcPr>
          <w:p>
            <w:pPr>
              <w:jc w:val="center"/>
              <w:rPr>
                <w:color w:val="auto"/>
                <w:u w:val="single"/>
              </w:rPr>
            </w:pPr>
            <w:r>
              <w:rPr>
                <w:color w:val="auto"/>
                <w:u w:val="single"/>
              </w:rPr>
              <w:t>矩形面源</w:t>
            </w:r>
          </w:p>
        </w:tc>
        <w:tc>
          <w:tcPr>
            <w:tcW w:w="1169" w:type="dxa"/>
            <w:vAlign w:val="center"/>
          </w:tcPr>
          <w:p>
            <w:pPr>
              <w:jc w:val="center"/>
              <w:rPr>
                <w:color w:val="auto"/>
                <w:u w:val="single"/>
              </w:rPr>
            </w:pPr>
            <w:r>
              <w:rPr>
                <w:color w:val="auto"/>
                <w:u w:val="single"/>
              </w:rPr>
              <w:t>113.37244</w:t>
            </w:r>
          </w:p>
        </w:tc>
        <w:tc>
          <w:tcPr>
            <w:tcW w:w="1181" w:type="dxa"/>
            <w:vAlign w:val="center"/>
          </w:tcPr>
          <w:p>
            <w:pPr>
              <w:jc w:val="center"/>
              <w:rPr>
                <w:color w:val="auto"/>
                <w:u w:val="single"/>
              </w:rPr>
            </w:pPr>
            <w:r>
              <w:rPr>
                <w:color w:val="auto"/>
                <w:u w:val="single"/>
              </w:rPr>
              <w:t>29.541476</w:t>
            </w:r>
          </w:p>
        </w:tc>
        <w:tc>
          <w:tcPr>
            <w:tcW w:w="911" w:type="dxa"/>
            <w:vAlign w:val="center"/>
          </w:tcPr>
          <w:p>
            <w:pPr>
              <w:jc w:val="center"/>
              <w:rPr>
                <w:color w:val="auto"/>
                <w:u w:val="single"/>
              </w:rPr>
            </w:pPr>
            <w:r>
              <w:rPr>
                <w:color w:val="auto"/>
                <w:u w:val="single"/>
              </w:rPr>
              <w:t>59.0</w:t>
            </w:r>
          </w:p>
        </w:tc>
        <w:tc>
          <w:tcPr>
            <w:tcW w:w="889" w:type="dxa"/>
            <w:vAlign w:val="center"/>
          </w:tcPr>
          <w:p>
            <w:pPr>
              <w:jc w:val="center"/>
              <w:rPr>
                <w:color w:val="auto"/>
                <w:u w:val="single"/>
              </w:rPr>
            </w:pPr>
            <w:r>
              <w:rPr>
                <w:color w:val="auto"/>
                <w:u w:val="single"/>
              </w:rPr>
              <w:t>844.19</w:t>
            </w:r>
          </w:p>
        </w:tc>
        <w:tc>
          <w:tcPr>
            <w:tcW w:w="923" w:type="dxa"/>
            <w:vAlign w:val="center"/>
          </w:tcPr>
          <w:p>
            <w:pPr>
              <w:jc w:val="center"/>
              <w:rPr>
                <w:color w:val="auto"/>
                <w:u w:val="single"/>
              </w:rPr>
            </w:pPr>
            <w:r>
              <w:rPr>
                <w:color w:val="auto"/>
                <w:u w:val="single"/>
              </w:rPr>
              <w:t>185.47</w:t>
            </w:r>
          </w:p>
        </w:tc>
        <w:tc>
          <w:tcPr>
            <w:tcW w:w="842" w:type="dxa"/>
            <w:vAlign w:val="center"/>
          </w:tcPr>
          <w:p>
            <w:pPr>
              <w:jc w:val="center"/>
              <w:rPr>
                <w:color w:val="auto"/>
                <w:u w:val="single"/>
              </w:rPr>
            </w:pPr>
            <w:r>
              <w:rPr>
                <w:color w:val="auto"/>
                <w:u w:val="single"/>
              </w:rPr>
              <w:t>10.0</w:t>
            </w:r>
          </w:p>
        </w:tc>
        <w:tc>
          <w:tcPr>
            <w:tcW w:w="623" w:type="dxa"/>
            <w:vAlign w:val="center"/>
          </w:tcPr>
          <w:p>
            <w:pPr>
              <w:jc w:val="center"/>
              <w:rPr>
                <w:color w:val="auto"/>
                <w:u w:val="single"/>
              </w:rPr>
            </w:pPr>
            <w:r>
              <w:rPr>
                <w:color w:val="auto"/>
                <w:u w:val="single"/>
              </w:rPr>
              <w:t>NH</w:t>
            </w:r>
            <w:r>
              <w:rPr>
                <w:color w:val="auto"/>
                <w:u w:val="single"/>
                <w:vertAlign w:val="subscript"/>
              </w:rPr>
              <w:t>3</w:t>
            </w:r>
            <w:r>
              <w:rPr>
                <w:color w:val="auto"/>
                <w:u w:val="single"/>
              </w:rPr>
              <w:t xml:space="preserve">   </w:t>
            </w:r>
          </w:p>
        </w:tc>
        <w:tc>
          <w:tcPr>
            <w:tcW w:w="808" w:type="dxa"/>
            <w:vAlign w:val="center"/>
          </w:tcPr>
          <w:p>
            <w:pPr>
              <w:rPr>
                <w:color w:val="auto"/>
                <w:u w:val="single"/>
              </w:rPr>
            </w:pPr>
            <w:r>
              <w:rPr>
                <w:color w:val="auto"/>
                <w:u w:val="single"/>
              </w:rPr>
              <w:t xml:space="preserve">4.7E-4    </w:t>
            </w:r>
          </w:p>
        </w:tc>
        <w:tc>
          <w:tcPr>
            <w:tcW w:w="683" w:type="dxa"/>
            <w:vAlign w:val="center"/>
          </w:tcPr>
          <w:p>
            <w:pPr>
              <w:jc w:val="center"/>
              <w:rPr>
                <w:color w:val="auto"/>
                <w:u w:val="single"/>
              </w:rPr>
            </w:pPr>
            <w:r>
              <w:rPr>
                <w:color w:val="auto"/>
                <w:u w:val="single"/>
              </w:rPr>
              <w:t>g/s</w:t>
            </w:r>
          </w:p>
        </w:tc>
      </w:tr>
    </w:tbl>
    <w:p>
      <w:pPr>
        <w:pStyle w:val="2"/>
        <w:ind w:left="420" w:firstLine="420"/>
        <w:rPr>
          <w:color w:val="auto"/>
        </w:rPr>
      </w:pPr>
    </w:p>
    <w:p>
      <w:pPr>
        <w:pStyle w:val="2"/>
        <w:ind w:left="420" w:firstLine="420"/>
        <w:rPr>
          <w:color w:val="auto"/>
        </w:rPr>
      </w:pPr>
    </w:p>
    <w:p>
      <w:pPr>
        <w:pStyle w:val="2"/>
        <w:ind w:left="420" w:firstLine="420"/>
        <w:rPr>
          <w:color w:val="auto"/>
        </w:rPr>
      </w:pPr>
    </w:p>
    <w:p>
      <w:pPr>
        <w:pStyle w:val="2"/>
        <w:ind w:left="420" w:firstLine="420"/>
        <w:rPr>
          <w:color w:val="auto"/>
        </w:rPr>
      </w:pPr>
    </w:p>
    <w:p>
      <w:pPr>
        <w:pStyle w:val="18"/>
        <w:wordWrap w:val="0"/>
        <w:rPr>
          <w:color w:val="auto"/>
          <w:szCs w:val="24"/>
        </w:rPr>
      </w:pPr>
      <w:r>
        <w:rPr>
          <w:color w:val="auto"/>
        </w:rPr>
        <w:t xml:space="preserve">表 </w:t>
      </w:r>
      <w:r>
        <w:rPr>
          <w:rFonts w:hint="eastAsia"/>
          <w:color w:val="auto"/>
        </w:rPr>
        <w:t>15.-3</w:t>
      </w:r>
      <w:r>
        <w:rPr>
          <w:color w:val="auto"/>
        </w:rPr>
        <w:t xml:space="preserve">  </w:t>
      </w:r>
      <w:r>
        <w:rPr>
          <w:color w:val="auto"/>
          <w:szCs w:val="24"/>
        </w:rPr>
        <w:t>估算模型参数表</w:t>
      </w:r>
    </w:p>
    <w:tbl>
      <w:tblPr>
        <w:tblStyle w:val="46"/>
        <w:tblW w:w="8529"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303"/>
        <w:gridCol w:w="2654"/>
        <w:gridCol w:w="357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参数</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取值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城市农村/选项</w:t>
            </w: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城市/农村</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农村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wordWrap w:val="0"/>
              <w:adjustRightInd w:val="0"/>
              <w:snapToGrid w:val="0"/>
              <w:jc w:val="center"/>
              <w:rPr>
                <w:rFonts w:ascii="Times New Roman" w:hAnsi="Times New Roman" w:cs="Times New Roman"/>
                <w:color w:val="auto"/>
                <w:sz w:val="20"/>
              </w:rPr>
            </w:pP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人口数(城市人口数)</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最高环境温度</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40.4 °C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最低环境温度</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-3.9 °C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土地利用类型</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农田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4957" w:type="dxa"/>
            <w:gridSpan w:val="2"/>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区域湿度条件</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中等湿度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是否考虑地形</w:t>
            </w: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考虑地形</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是</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wordWrap w:val="0"/>
              <w:adjustRightInd w:val="0"/>
              <w:snapToGrid w:val="0"/>
              <w:jc w:val="center"/>
              <w:rPr>
                <w:rFonts w:ascii="Times New Roman" w:hAnsi="Times New Roman" w:cs="Times New Roman"/>
                <w:color w:val="auto"/>
                <w:sz w:val="20"/>
              </w:rPr>
            </w:pP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地形数据分辨率(m)</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restart"/>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是否考虑海岸线熏烟</w:t>
            </w: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考虑海岸线熏烟</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wordWrap w:val="0"/>
              <w:adjustRightInd w:val="0"/>
              <w:snapToGrid w:val="0"/>
              <w:jc w:val="center"/>
              <w:rPr>
                <w:rFonts w:ascii="Times New Roman" w:hAnsi="Times New Roman" w:cs="Times New Roman"/>
                <w:color w:val="auto"/>
                <w:sz w:val="20"/>
              </w:rPr>
            </w:pP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海岸线距离/m</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2303" w:type="dxa"/>
            <w:vMerge w:val="continue"/>
            <w:vAlign w:val="center"/>
          </w:tcPr>
          <w:p>
            <w:pPr>
              <w:wordWrap w:val="0"/>
              <w:adjustRightInd w:val="0"/>
              <w:snapToGrid w:val="0"/>
              <w:jc w:val="center"/>
              <w:rPr>
                <w:rFonts w:ascii="Times New Roman" w:hAnsi="Times New Roman" w:cs="Times New Roman"/>
                <w:color w:val="auto"/>
                <w:sz w:val="20"/>
              </w:rPr>
            </w:pPr>
          </w:p>
        </w:tc>
        <w:tc>
          <w:tcPr>
            <w:tcW w:w="2654"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海岸线方向/</w:t>
            </w:r>
            <w:r>
              <w:rPr>
                <w:rFonts w:ascii="Times New Roman" w:hAnsi="Times New Roman" w:cs="Times New Roman"/>
                <w:color w:val="auto"/>
                <w:vertAlign w:val="superscript"/>
              </w:rPr>
              <w:t>o</w:t>
            </w:r>
          </w:p>
        </w:tc>
        <w:tc>
          <w:tcPr>
            <w:tcW w:w="3572" w:type="dxa"/>
            <w:vAlign w:val="center"/>
          </w:tcPr>
          <w:p>
            <w:pPr>
              <w:wordWrap w:val="0"/>
              <w:adjustRightInd w:val="0"/>
              <w:snapToGrid w:val="0"/>
              <w:jc w:val="center"/>
              <w:rPr>
                <w:rFonts w:ascii="Times New Roman" w:hAnsi="Times New Roman" w:cs="Times New Roman"/>
                <w:color w:val="auto"/>
                <w:sz w:val="20"/>
              </w:rPr>
            </w:pPr>
            <w:r>
              <w:rPr>
                <w:rFonts w:ascii="Times New Roman" w:hAnsi="Times New Roman" w:cs="Times New Roman"/>
                <w:color w:val="auto"/>
              </w:rPr>
              <w:t>/</w:t>
            </w:r>
          </w:p>
        </w:tc>
      </w:tr>
    </w:tbl>
    <w:p>
      <w:pPr>
        <w:pStyle w:val="5"/>
        <w:wordWrap w:val="0"/>
        <w:rPr>
          <w:color w:val="auto"/>
          <w:sz w:val="10"/>
          <w:szCs w:val="10"/>
        </w:rPr>
      </w:pPr>
    </w:p>
    <w:p>
      <w:pPr>
        <w:rPr>
          <w:b/>
          <w:color w:val="auto"/>
        </w:rPr>
      </w:pPr>
    </w:p>
    <w:p>
      <w:pPr>
        <w:jc w:val="center"/>
        <w:rPr>
          <w:b/>
          <w:color w:val="auto"/>
        </w:rPr>
      </w:pPr>
      <w:r>
        <w:rPr>
          <w:rFonts w:hint="eastAsia"/>
          <w:b/>
          <w:color w:val="auto"/>
        </w:rPr>
        <w:t xml:space="preserve">表 </w:t>
      </w:r>
      <w:r>
        <w:rPr>
          <w:rFonts w:hint="eastAsia"/>
          <w:b/>
          <w:bCs/>
          <w:color w:val="auto"/>
        </w:rPr>
        <w:t>1.5</w:t>
      </w:r>
      <w:r>
        <w:rPr>
          <w:rFonts w:hint="eastAsia"/>
          <w:b/>
          <w:color w:val="auto"/>
        </w:rPr>
        <w:t>-4 评价等级分析判据表</w:t>
      </w:r>
    </w:p>
    <w:tbl>
      <w:tblPr>
        <w:tblStyle w:val="46"/>
        <w:tblW w:w="876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1"/>
        <w:gridCol w:w="5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61" w:type="dxa"/>
          </w:tcPr>
          <w:p>
            <w:pPr>
              <w:jc w:val="center"/>
              <w:rPr>
                <w:color w:val="auto"/>
              </w:rPr>
            </w:pPr>
            <w:r>
              <w:rPr>
                <w:rFonts w:hint="eastAsia"/>
                <w:color w:val="auto"/>
              </w:rPr>
              <w:t>评价等级</w:t>
            </w:r>
          </w:p>
        </w:tc>
        <w:tc>
          <w:tcPr>
            <w:tcW w:w="5706" w:type="dxa"/>
          </w:tcPr>
          <w:p>
            <w:pPr>
              <w:jc w:val="center"/>
              <w:rPr>
                <w:color w:val="auto"/>
              </w:rPr>
            </w:pPr>
            <w:r>
              <w:rPr>
                <w:rFonts w:hint="eastAsia"/>
                <w:color w:val="auto"/>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61" w:type="dxa"/>
          </w:tcPr>
          <w:p>
            <w:pPr>
              <w:jc w:val="center"/>
              <w:rPr>
                <w:color w:val="auto"/>
              </w:rPr>
            </w:pPr>
            <w:r>
              <w:rPr>
                <w:rFonts w:hint="eastAsia"/>
                <w:color w:val="auto"/>
              </w:rPr>
              <w:t>一级</w:t>
            </w:r>
          </w:p>
        </w:tc>
        <w:tc>
          <w:tcPr>
            <w:tcW w:w="5706" w:type="dxa"/>
          </w:tcPr>
          <w:p>
            <w:pPr>
              <w:jc w:val="center"/>
              <w:rPr>
                <w:color w:val="auto"/>
              </w:rPr>
            </w:pPr>
            <w:r>
              <w:rPr>
                <w:rFonts w:hint="eastAsia"/>
                <w:color w:val="auto"/>
              </w:rPr>
              <w:t>P Max ≥10％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61" w:type="dxa"/>
          </w:tcPr>
          <w:p>
            <w:pPr>
              <w:jc w:val="center"/>
              <w:rPr>
                <w:color w:val="auto"/>
              </w:rPr>
            </w:pPr>
            <w:r>
              <w:rPr>
                <w:rFonts w:hint="eastAsia"/>
                <w:color w:val="auto"/>
              </w:rPr>
              <w:t>二级</w:t>
            </w:r>
          </w:p>
        </w:tc>
        <w:tc>
          <w:tcPr>
            <w:tcW w:w="5706" w:type="dxa"/>
          </w:tcPr>
          <w:p>
            <w:pPr>
              <w:jc w:val="center"/>
              <w:rPr>
                <w:color w:val="auto"/>
              </w:rPr>
            </w:pPr>
            <w:r>
              <w:rPr>
                <w:rFonts w:hint="eastAsia"/>
                <w:color w:val="auto"/>
              </w:rPr>
              <w:t>1％≦P 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3061" w:type="dxa"/>
          </w:tcPr>
          <w:p>
            <w:pPr>
              <w:jc w:val="center"/>
              <w:rPr>
                <w:color w:val="auto"/>
              </w:rPr>
            </w:pPr>
            <w:r>
              <w:rPr>
                <w:rFonts w:hint="eastAsia"/>
                <w:color w:val="auto"/>
              </w:rPr>
              <w:t>三级</w:t>
            </w:r>
          </w:p>
        </w:tc>
        <w:tc>
          <w:tcPr>
            <w:tcW w:w="5706" w:type="dxa"/>
          </w:tcPr>
          <w:p>
            <w:pPr>
              <w:jc w:val="center"/>
              <w:rPr>
                <w:color w:val="auto"/>
              </w:rPr>
            </w:pPr>
            <w:r>
              <w:rPr>
                <w:rFonts w:hint="eastAsia"/>
                <w:color w:val="auto"/>
              </w:rPr>
              <w:t>P Max ＜1％</w:t>
            </w:r>
          </w:p>
        </w:tc>
      </w:tr>
    </w:tbl>
    <w:p>
      <w:pPr>
        <w:pStyle w:val="2"/>
        <w:ind w:left="420" w:firstLine="420"/>
        <w:rPr>
          <w:color w:val="auto"/>
        </w:rPr>
      </w:pPr>
    </w:p>
    <w:p>
      <w:pPr>
        <w:spacing w:line="480" w:lineRule="exact"/>
        <w:ind w:firstLine="369" w:firstLineChars="176"/>
        <w:jc w:val="center"/>
        <w:rPr>
          <w:rFonts w:ascii="Times New Roman" w:hAnsi="Times New Roman" w:cs="Times New Roman"/>
          <w:color w:val="auto"/>
          <w:sz w:val="24"/>
          <w:szCs w:val="24"/>
        </w:rPr>
      </w:pPr>
      <w:r>
        <w:rPr>
          <w:color w:val="auto"/>
          <w:szCs w:val="21"/>
        </w:rPr>
        <w:t xml:space="preserve">表 </w:t>
      </w:r>
      <w:r>
        <w:rPr>
          <w:rFonts w:hint="eastAsia"/>
          <w:b/>
          <w:bCs/>
          <w:color w:val="auto"/>
        </w:rPr>
        <w:t>1.5</w:t>
      </w:r>
      <w:r>
        <w:rPr>
          <w:rFonts w:hint="eastAsia"/>
          <w:color w:val="auto"/>
          <w:szCs w:val="21"/>
        </w:rPr>
        <w:t>-</w:t>
      </w:r>
      <w:r>
        <w:rPr>
          <w:rFonts w:hint="eastAsia"/>
          <w:color w:val="auto"/>
          <w:szCs w:val="21"/>
          <w:lang w:val="en-US" w:eastAsia="zh-CN"/>
        </w:rPr>
        <w:t>5</w:t>
      </w:r>
      <w:r>
        <w:rPr>
          <w:rFonts w:hint="eastAsia"/>
          <w:color w:val="auto"/>
          <w:szCs w:val="21"/>
        </w:rPr>
        <w:t xml:space="preserve">  </w:t>
      </w:r>
      <w:r>
        <w:rPr>
          <w:rFonts w:ascii="Times New Roman" w:hAnsi="Times New Roman" w:cs="Times New Roman"/>
          <w:color w:val="auto"/>
          <w:sz w:val="24"/>
          <w:szCs w:val="24"/>
        </w:rPr>
        <w:t xml:space="preserve"> P</w:t>
      </w:r>
      <w:r>
        <w:rPr>
          <w:rFonts w:ascii="Times New Roman" w:hAnsi="Times New Roman" w:cs="Times New Roman"/>
          <w:color w:val="auto"/>
          <w:sz w:val="24"/>
          <w:szCs w:val="24"/>
          <w:vertAlign w:val="subscript"/>
        </w:rPr>
        <w:t>max</w:t>
      </w:r>
      <w:r>
        <w:rPr>
          <w:rFonts w:ascii="Times New Roman" w:hAnsi="Times New Roman" w:cs="Times New Roman"/>
          <w:color w:val="auto"/>
          <w:sz w:val="24"/>
          <w:szCs w:val="24"/>
        </w:rPr>
        <w:t>和D</w:t>
      </w:r>
      <w:r>
        <w:rPr>
          <w:rFonts w:ascii="Times New Roman" w:hAnsi="Times New Roman" w:cs="Times New Roman"/>
          <w:color w:val="auto"/>
          <w:sz w:val="24"/>
          <w:szCs w:val="24"/>
          <w:vertAlign w:val="subscript"/>
        </w:rPr>
        <w:t>10%</w:t>
      </w:r>
      <w:r>
        <w:rPr>
          <w:rFonts w:ascii="Times New Roman" w:hAnsi="Times New Roman" w:cs="Times New Roman"/>
          <w:color w:val="auto"/>
          <w:sz w:val="24"/>
          <w:szCs w:val="24"/>
        </w:rPr>
        <w:t>预测和计算结果一览表</w:t>
      </w:r>
    </w:p>
    <w:tbl>
      <w:tblPr>
        <w:tblStyle w:val="46"/>
        <w:tblW w:w="8681" w:type="dxa"/>
        <w:tblInd w:w="6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1199"/>
        <w:gridCol w:w="1549"/>
        <w:gridCol w:w="1547"/>
        <w:gridCol w:w="1549"/>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9" w:hRule="atLeast"/>
        </w:trPr>
        <w:tc>
          <w:tcPr>
            <w:tcW w:w="1292" w:type="dxa"/>
            <w:vAlign w:val="center"/>
          </w:tcPr>
          <w:p>
            <w:pPr>
              <w:jc w:val="center"/>
              <w:rPr>
                <w:color w:val="auto"/>
              </w:rPr>
            </w:pPr>
            <w:r>
              <w:rPr>
                <w:color w:val="auto"/>
              </w:rPr>
              <w:t>污染源名称</w:t>
            </w:r>
          </w:p>
        </w:tc>
        <w:tc>
          <w:tcPr>
            <w:tcW w:w="119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评价因子</w:t>
            </w:r>
          </w:p>
        </w:tc>
        <w:tc>
          <w:tcPr>
            <w:tcW w:w="154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评价标准</w:t>
            </w:r>
            <w:r>
              <w:rPr>
                <w:rFonts w:hint="eastAsia" w:ascii="Times New Roman" w:hAnsi="Times New Roman" w:cs="Times New Roman"/>
                <w:color w:val="auto"/>
                <w:szCs w:val="21"/>
              </w:rPr>
              <w:t>(</w:t>
            </w:r>
            <w:r>
              <w:rPr>
                <w:rFonts w:ascii="Times New Roman" w:hAnsi="Times New Roman" w:cs="Times New Roman"/>
                <w:color w:val="auto"/>
                <w:szCs w:val="21"/>
              </w:rPr>
              <w:t>μg/m</w:t>
            </w:r>
            <w:r>
              <w:rPr>
                <w:rFonts w:ascii="Times New Roman" w:hAnsi="Times New Roman" w:cs="Times New Roman"/>
                <w:color w:val="auto"/>
                <w:szCs w:val="21"/>
                <w:vertAlign w:val="superscript"/>
              </w:rPr>
              <w:t>3</w:t>
            </w:r>
            <w:r>
              <w:rPr>
                <w:rFonts w:hint="eastAsia" w:ascii="Times New Roman" w:hAnsi="Times New Roman" w:cs="Times New Roman"/>
                <w:color w:val="auto"/>
                <w:szCs w:val="21"/>
              </w:rPr>
              <w:t>)</w:t>
            </w:r>
          </w:p>
        </w:tc>
        <w:tc>
          <w:tcPr>
            <w:tcW w:w="1547"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C</w:t>
            </w:r>
            <w:r>
              <w:rPr>
                <w:rFonts w:hint="eastAsia" w:ascii="Times New Roman" w:hAnsi="Times New Roman" w:cs="Times New Roman"/>
                <w:color w:val="auto"/>
                <w:szCs w:val="21"/>
                <w:vertAlign w:val="subscript"/>
              </w:rPr>
              <w:t>max</w:t>
            </w:r>
          </w:p>
          <w:p>
            <w:pPr>
              <w:jc w:val="center"/>
              <w:rPr>
                <w:rFonts w:ascii="Times New Roman" w:hAnsi="Times New Roman" w:cs="Times New Roman"/>
                <w:color w:val="auto"/>
                <w:szCs w:val="21"/>
              </w:rPr>
            </w:pPr>
            <w:r>
              <w:rPr>
                <w:rFonts w:ascii="Times New Roman" w:hAnsi="Times New Roman" w:cs="Times New Roman"/>
                <w:color w:val="auto"/>
                <w:szCs w:val="21"/>
              </w:rPr>
              <w:t>(μg/m</w:t>
            </w:r>
            <w:r>
              <w:rPr>
                <w:rFonts w:ascii="Times New Roman" w:hAnsi="Times New Roman" w:cs="Times New Roman"/>
                <w:color w:val="auto"/>
                <w:szCs w:val="21"/>
                <w:vertAlign w:val="superscript"/>
              </w:rPr>
              <w:t>3</w:t>
            </w:r>
            <w:r>
              <w:rPr>
                <w:rFonts w:ascii="Times New Roman" w:hAnsi="Times New Roman" w:cs="Times New Roman"/>
                <w:color w:val="auto"/>
                <w:szCs w:val="21"/>
              </w:rPr>
              <w:t>)</w:t>
            </w:r>
          </w:p>
        </w:tc>
        <w:tc>
          <w:tcPr>
            <w:tcW w:w="1549"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P</w:t>
            </w:r>
            <w:r>
              <w:rPr>
                <w:rFonts w:hint="eastAsia" w:ascii="Times New Roman" w:hAnsi="Times New Roman" w:cs="Times New Roman"/>
                <w:color w:val="auto"/>
                <w:szCs w:val="21"/>
                <w:vertAlign w:val="subscript"/>
              </w:rPr>
              <w:t>max</w:t>
            </w:r>
          </w:p>
          <w:p>
            <w:pPr>
              <w:jc w:val="center"/>
              <w:rPr>
                <w:rFonts w:ascii="Times New Roman" w:hAnsi="Times New Roman" w:cs="Times New Roman"/>
                <w:color w:val="auto"/>
                <w:szCs w:val="21"/>
              </w:rPr>
            </w:pPr>
            <w:r>
              <w:rPr>
                <w:rFonts w:ascii="Times New Roman" w:hAnsi="Times New Roman" w:cs="Times New Roman"/>
                <w:color w:val="auto"/>
                <w:szCs w:val="21"/>
              </w:rPr>
              <w:t>(%)</w:t>
            </w:r>
          </w:p>
        </w:tc>
        <w:tc>
          <w:tcPr>
            <w:tcW w:w="1545"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D</w:t>
            </w:r>
            <w:r>
              <w:rPr>
                <w:rFonts w:ascii="Times New Roman" w:hAnsi="Times New Roman" w:cs="Times New Roman"/>
                <w:color w:val="auto"/>
                <w:szCs w:val="21"/>
                <w:vertAlign w:val="subscript"/>
              </w:rPr>
              <w:t>10%</w:t>
            </w:r>
          </w:p>
          <w:p>
            <w:pPr>
              <w:jc w:val="center"/>
              <w:rPr>
                <w:rFonts w:ascii="Times New Roman" w:hAnsi="Times New Roman" w:cs="Times New Roman"/>
                <w:color w:val="auto"/>
                <w:szCs w:val="21"/>
              </w:rPr>
            </w:pPr>
            <w:r>
              <w:rPr>
                <w:rFonts w:ascii="Times New Roman" w:hAnsi="Times New Roman" w:cs="Times New Roman"/>
                <w:color w:val="auto"/>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292" w:type="dxa"/>
            <w:vAlign w:val="center"/>
          </w:tcPr>
          <w:p>
            <w:pPr>
              <w:jc w:val="center"/>
              <w:rPr>
                <w:color w:val="auto"/>
              </w:rPr>
            </w:pPr>
            <w:r>
              <w:rPr>
                <w:color w:val="auto"/>
              </w:rPr>
              <w:t>矩形面源</w:t>
            </w:r>
          </w:p>
        </w:tc>
        <w:tc>
          <w:tcPr>
            <w:tcW w:w="1199" w:type="dxa"/>
            <w:vAlign w:val="center"/>
          </w:tcPr>
          <w:p>
            <w:pPr>
              <w:jc w:val="center"/>
              <w:rPr>
                <w:color w:val="auto"/>
              </w:rPr>
            </w:pPr>
            <w:r>
              <w:rPr>
                <w:color w:val="auto"/>
              </w:rPr>
              <w:t>NH</w:t>
            </w:r>
            <w:r>
              <w:rPr>
                <w:color w:val="auto"/>
                <w:vertAlign w:val="subscript"/>
              </w:rPr>
              <w:t>3</w:t>
            </w:r>
          </w:p>
        </w:tc>
        <w:tc>
          <w:tcPr>
            <w:tcW w:w="1549" w:type="dxa"/>
            <w:vAlign w:val="center"/>
          </w:tcPr>
          <w:p>
            <w:pPr>
              <w:jc w:val="center"/>
              <w:rPr>
                <w:color w:val="auto"/>
              </w:rPr>
            </w:pPr>
            <w:r>
              <w:rPr>
                <w:color w:val="auto"/>
              </w:rPr>
              <w:t>200.0</w:t>
            </w:r>
          </w:p>
        </w:tc>
        <w:tc>
          <w:tcPr>
            <w:tcW w:w="1547" w:type="dxa"/>
            <w:vAlign w:val="center"/>
          </w:tcPr>
          <w:p>
            <w:pPr>
              <w:jc w:val="center"/>
              <w:rPr>
                <w:color w:val="auto"/>
              </w:rPr>
            </w:pPr>
            <w:r>
              <w:rPr>
                <w:color w:val="auto"/>
              </w:rPr>
              <w:t>0.0</w:t>
            </w:r>
          </w:p>
        </w:tc>
        <w:tc>
          <w:tcPr>
            <w:tcW w:w="1549" w:type="dxa"/>
            <w:vAlign w:val="center"/>
          </w:tcPr>
          <w:p>
            <w:pPr>
              <w:jc w:val="center"/>
              <w:rPr>
                <w:color w:val="auto"/>
              </w:rPr>
            </w:pPr>
            <w:r>
              <w:rPr>
                <w:color w:val="auto"/>
              </w:rPr>
              <w:t>0.0</w:t>
            </w:r>
          </w:p>
        </w:tc>
        <w:tc>
          <w:tcPr>
            <w:tcW w:w="1545" w:type="dxa"/>
            <w:vAlign w:val="center"/>
          </w:tcPr>
          <w:p>
            <w:pPr>
              <w:jc w:val="center"/>
              <w:rPr>
                <w:color w:val="auto"/>
              </w:rPr>
            </w:pPr>
            <w:r>
              <w:rPr>
                <w:color w:val="auto"/>
              </w:rPr>
              <w:t>/</w:t>
            </w:r>
          </w:p>
        </w:tc>
      </w:tr>
    </w:tbl>
    <w:p>
      <w:pPr>
        <w:spacing w:line="480" w:lineRule="exact"/>
        <w:ind w:firstLine="422" w:firstLineChars="176"/>
        <w:rPr>
          <w:rFonts w:ascii="Times New Roman" w:hAnsi="Times New Roman" w:cs="Times New Roman"/>
          <w:color w:val="auto"/>
          <w:sz w:val="24"/>
          <w:szCs w:val="24"/>
        </w:rPr>
      </w:pPr>
    </w:p>
    <w:p>
      <w:pPr>
        <w:spacing w:line="480" w:lineRule="exact"/>
        <w:ind w:firstLine="662" w:firstLineChars="276"/>
        <w:rPr>
          <w:rFonts w:ascii="Times New Roman" w:hAnsi="Times New Roman" w:cs="Times New Roman"/>
          <w:color w:val="auto"/>
          <w:sz w:val="24"/>
          <w:szCs w:val="24"/>
        </w:rPr>
      </w:pPr>
      <w:r>
        <w:rPr>
          <w:rFonts w:hint="eastAsia" w:ascii="Times New Roman" w:hAnsi="Times New Roman" w:cs="Times New Roman"/>
          <w:color w:val="auto"/>
          <w:sz w:val="24"/>
          <w:szCs w:val="24"/>
          <w:u w:val="single"/>
        </w:rPr>
        <w:t>本项目Pmax最大值出现为矩形面源排放的NH</w:t>
      </w:r>
      <w:r>
        <w:rPr>
          <w:rFonts w:hint="eastAsia" w:ascii="Times New Roman" w:hAnsi="Times New Roman" w:cs="Times New Roman"/>
          <w:color w:val="auto"/>
          <w:sz w:val="24"/>
          <w:szCs w:val="24"/>
          <w:u w:val="single"/>
          <w:vertAlign w:val="subscript"/>
        </w:rPr>
        <w:t>3</w:t>
      </w:r>
      <w:r>
        <w:rPr>
          <w:rFonts w:hint="eastAsia" w:ascii="Times New Roman" w:hAnsi="Times New Roman" w:cs="Times New Roman"/>
          <w:color w:val="auto"/>
          <w:sz w:val="24"/>
          <w:szCs w:val="24"/>
          <w:u w:val="single"/>
        </w:rPr>
        <w:t>，Pmax值为0.0%，Cmax为0.0ug/m3，根据《环境影响评价技术导则 大气环境》(HJ2.2-2018)分级判据，确定本项目大气环境影响评价工作等级为三级。</w:t>
      </w:r>
    </w:p>
    <w:p>
      <w:pPr>
        <w:spacing w:line="480" w:lineRule="exact"/>
        <w:ind w:firstLine="422" w:firstLineChars="176"/>
        <w:rPr>
          <w:rFonts w:ascii="Times New Roman" w:hAnsi="Times New Roman" w:cs="Times New Roman"/>
          <w:color w:val="auto"/>
          <w:sz w:val="24"/>
          <w:szCs w:val="24"/>
        </w:rPr>
      </w:pPr>
      <w:r>
        <w:rPr>
          <w:rFonts w:hint="eastAsia" w:ascii="Times New Roman" w:hAnsi="Times New Roman" w:cs="Times New Roman"/>
          <w:color w:val="auto"/>
          <w:sz w:val="24"/>
          <w:szCs w:val="24"/>
        </w:rPr>
        <w:t>（2）评价范围：根据《环境影响评价技术导则——大气环境》HJ2.2-2018，本项目不需设置大气评价影响评价范围。</w:t>
      </w:r>
    </w:p>
    <w:p>
      <w:pPr>
        <w:spacing w:line="360" w:lineRule="auto"/>
        <w:ind w:firstLine="480" w:firstLineChars="200"/>
        <w:jc w:val="left"/>
        <w:rPr>
          <w:color w:val="auto"/>
          <w:sz w:val="24"/>
        </w:rPr>
      </w:pPr>
    </w:p>
    <w:p>
      <w:pPr>
        <w:pStyle w:val="7"/>
        <w:spacing w:before="120" w:beforeLines="0" w:after="120" w:afterLines="0"/>
        <w:rPr>
          <w:color w:val="auto"/>
        </w:rPr>
      </w:pPr>
      <w:bookmarkStart w:id="96" w:name="_Toc30309"/>
      <w:bookmarkStart w:id="97" w:name="_Toc23941"/>
      <w:bookmarkStart w:id="98" w:name="_Toc7268"/>
      <w:r>
        <w:rPr>
          <w:color w:val="auto"/>
        </w:rPr>
        <w:t>地表水环境影响评价等级及范围</w:t>
      </w:r>
      <w:bookmarkEnd w:id="96"/>
      <w:bookmarkEnd w:id="97"/>
      <w:bookmarkEnd w:id="98"/>
    </w:p>
    <w:p>
      <w:pPr>
        <w:tabs>
          <w:tab w:val="left" w:pos="9000"/>
        </w:tabs>
        <w:snapToGrid w:val="0"/>
        <w:spacing w:line="360" w:lineRule="auto"/>
        <w:ind w:firstLine="480" w:firstLineChars="200"/>
        <w:rPr>
          <w:rFonts w:ascii="Times New Roman" w:hAnsi="Times New Roman" w:cs="Times New Roman"/>
          <w:color w:val="auto"/>
          <w:sz w:val="24"/>
        </w:rPr>
      </w:pPr>
      <w:r>
        <w:rPr>
          <w:rFonts w:hint="eastAsia" w:ascii="Times New Roman" w:hAnsi="Times New Roman"/>
          <w:color w:val="auto"/>
          <w:sz w:val="24"/>
        </w:rPr>
        <w:t>根据《环境影响评价技术导则</w:t>
      </w:r>
      <w:r>
        <w:rPr>
          <w:rFonts w:ascii="Times New Roman" w:hAnsi="Times New Roman"/>
          <w:color w:val="auto"/>
          <w:sz w:val="24"/>
        </w:rPr>
        <w:t>—</w:t>
      </w:r>
      <w:r>
        <w:rPr>
          <w:rFonts w:hint="eastAsia" w:ascii="Times New Roman" w:hAnsi="Times New Roman"/>
          <w:color w:val="auto"/>
          <w:sz w:val="24"/>
        </w:rPr>
        <w:t>地</w:t>
      </w:r>
      <w:r>
        <w:rPr>
          <w:rFonts w:hint="eastAsia" w:ascii="Times New Roman" w:hAnsi="Times New Roman"/>
          <w:color w:val="auto"/>
          <w:sz w:val="24"/>
          <w:lang w:eastAsia="zh-CN"/>
        </w:rPr>
        <w:t>表</w:t>
      </w:r>
      <w:r>
        <w:rPr>
          <w:rFonts w:hint="eastAsia" w:ascii="Times New Roman" w:hAnsi="Times New Roman"/>
          <w:color w:val="auto"/>
          <w:sz w:val="24"/>
        </w:rPr>
        <w:t>水环境》（</w:t>
      </w:r>
      <w:r>
        <w:rPr>
          <w:rFonts w:ascii="Times New Roman" w:hAnsi="Times New Roman"/>
          <w:color w:val="auto"/>
          <w:sz w:val="24"/>
        </w:rPr>
        <w:t>HJ2.3-2018</w:t>
      </w:r>
      <w:r>
        <w:rPr>
          <w:rFonts w:hint="eastAsia" w:ascii="Times New Roman" w:hAnsi="Times New Roman"/>
          <w:color w:val="auto"/>
          <w:sz w:val="24"/>
        </w:rPr>
        <w:t>）</w:t>
      </w:r>
      <w:r>
        <w:rPr>
          <w:rFonts w:ascii="Times New Roman" w:hAnsi="Times New Roman" w:cs="Times New Roman"/>
          <w:color w:val="auto"/>
          <w:sz w:val="24"/>
        </w:rPr>
        <w:t>，地</w:t>
      </w:r>
      <w:r>
        <w:rPr>
          <w:rFonts w:hint="eastAsia" w:ascii="Times New Roman" w:hAnsi="Times New Roman" w:cs="Times New Roman"/>
          <w:color w:val="auto"/>
          <w:sz w:val="24"/>
          <w:lang w:eastAsia="zh-CN"/>
        </w:rPr>
        <w:t>表</w:t>
      </w:r>
      <w:r>
        <w:rPr>
          <w:rFonts w:ascii="Times New Roman" w:hAnsi="Times New Roman" w:cs="Times New Roman"/>
          <w:color w:val="auto"/>
          <w:sz w:val="24"/>
        </w:rPr>
        <w:t>水环境影响评价分级判据如下：</w:t>
      </w:r>
    </w:p>
    <w:p>
      <w:pPr>
        <w:pStyle w:val="18"/>
        <w:jc w:val="center"/>
        <w:rPr>
          <w:color w:val="auto"/>
        </w:rPr>
      </w:pPr>
      <w:r>
        <w:rPr>
          <w:color w:val="auto"/>
        </w:rPr>
        <w:t>表</w:t>
      </w:r>
      <w:r>
        <w:rPr>
          <w:rFonts w:hint="eastAsia"/>
          <w:color w:val="auto"/>
          <w:lang w:val="en-US" w:eastAsia="zh-CN"/>
        </w:rPr>
        <w:t>1.5-6</w:t>
      </w:r>
      <w:r>
        <w:rPr>
          <w:color w:val="auto"/>
        </w:rPr>
        <w:t xml:space="preserve"> 水污染型建设项目评价等级判定</w:t>
      </w:r>
    </w:p>
    <w:tbl>
      <w:tblPr>
        <w:tblStyle w:val="45"/>
        <w:tblW w:w="7789"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92"/>
        <w:gridCol w:w="2486"/>
        <w:gridCol w:w="411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192" w:type="dxa"/>
            <w:vMerge w:val="restart"/>
            <w:vAlign w:val="center"/>
          </w:tcPr>
          <w:p>
            <w:pPr>
              <w:tabs>
                <w:tab w:val="left" w:pos="9000"/>
              </w:tabs>
              <w:snapToGrid w:val="0"/>
              <w:jc w:val="center"/>
              <w:rPr>
                <w:rFonts w:ascii="Times New Roman" w:hAnsi="Times New Roman" w:cs="Times New Roman"/>
                <w:b/>
                <w:color w:val="auto"/>
                <w:szCs w:val="21"/>
              </w:rPr>
            </w:pPr>
            <w:r>
              <w:rPr>
                <w:rFonts w:ascii="Times New Roman" w:hAnsi="Times New Roman" w:cs="Times New Roman"/>
                <w:b/>
                <w:color w:val="auto"/>
                <w:szCs w:val="21"/>
              </w:rPr>
              <w:t>评价等级</w:t>
            </w:r>
          </w:p>
        </w:tc>
        <w:tc>
          <w:tcPr>
            <w:tcW w:w="6597" w:type="dxa"/>
            <w:gridSpan w:val="2"/>
            <w:vAlign w:val="center"/>
          </w:tcPr>
          <w:p>
            <w:pPr>
              <w:tabs>
                <w:tab w:val="left" w:pos="9000"/>
              </w:tabs>
              <w:snapToGrid w:val="0"/>
              <w:jc w:val="center"/>
              <w:rPr>
                <w:rFonts w:ascii="Times New Roman" w:hAnsi="Times New Roman" w:cs="Times New Roman"/>
                <w:b/>
                <w:color w:val="auto"/>
                <w:szCs w:val="21"/>
              </w:rPr>
            </w:pPr>
            <w:r>
              <w:rPr>
                <w:rFonts w:ascii="Times New Roman" w:hAnsi="Times New Roman" w:cs="Times New Roman"/>
                <w:b/>
                <w:color w:val="auto"/>
                <w:szCs w:val="21"/>
              </w:rPr>
              <w:t>判定依据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192" w:type="dxa"/>
            <w:vMerge w:val="continue"/>
            <w:vAlign w:val="center"/>
          </w:tcPr>
          <w:p>
            <w:pPr>
              <w:rPr>
                <w:rFonts w:ascii="Times New Roman" w:hAnsi="Times New Roman" w:cs="Times New Roman"/>
                <w:color w:val="auto"/>
              </w:rPr>
            </w:pPr>
          </w:p>
        </w:tc>
        <w:tc>
          <w:tcPr>
            <w:tcW w:w="2486" w:type="dxa"/>
            <w:vAlign w:val="center"/>
          </w:tcPr>
          <w:p>
            <w:pPr>
              <w:tabs>
                <w:tab w:val="left" w:pos="9000"/>
              </w:tabs>
              <w:snapToGrid w:val="0"/>
              <w:jc w:val="center"/>
              <w:rPr>
                <w:rFonts w:ascii="Times New Roman" w:hAnsi="Times New Roman" w:cs="Times New Roman"/>
                <w:b/>
                <w:color w:val="auto"/>
                <w:szCs w:val="21"/>
              </w:rPr>
            </w:pPr>
            <w:r>
              <w:rPr>
                <w:rFonts w:ascii="Times New Roman" w:hAnsi="Times New Roman" w:cs="Times New Roman"/>
                <w:b/>
                <w:color w:val="auto"/>
                <w:szCs w:val="21"/>
              </w:rPr>
              <w:t>排放方式</w:t>
            </w:r>
          </w:p>
        </w:tc>
        <w:tc>
          <w:tcPr>
            <w:tcW w:w="4111" w:type="dxa"/>
            <w:vAlign w:val="center"/>
          </w:tcPr>
          <w:p>
            <w:pPr>
              <w:tabs>
                <w:tab w:val="left" w:pos="9000"/>
              </w:tabs>
              <w:snapToGrid w:val="0"/>
              <w:jc w:val="center"/>
              <w:rPr>
                <w:rFonts w:ascii="Times New Roman" w:hAnsi="Times New Roman" w:cs="Times New Roman"/>
                <w:b/>
                <w:color w:val="auto"/>
                <w:szCs w:val="21"/>
              </w:rPr>
            </w:pPr>
            <w:r>
              <w:rPr>
                <w:rFonts w:ascii="Times New Roman" w:hAnsi="Times New Roman" w:cs="Times New Roman"/>
                <w:b/>
                <w:color w:val="auto"/>
                <w:szCs w:val="21"/>
              </w:rPr>
              <w:t>废水排放量Q/</w:t>
            </w:r>
            <w:r>
              <w:rPr>
                <w:rFonts w:ascii="Times New Roman" w:hAnsi="Times New Roman" w:cs="Times New Roman"/>
                <w:color w:val="auto"/>
                <w:sz w:val="24"/>
                <w:szCs w:val="24"/>
              </w:rPr>
              <w:t xml:space="preserve"> (m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/d)</w:t>
            </w:r>
          </w:p>
          <w:p>
            <w:pPr>
              <w:tabs>
                <w:tab w:val="left" w:pos="9000"/>
              </w:tabs>
              <w:snapToGrid w:val="0"/>
              <w:jc w:val="center"/>
              <w:rPr>
                <w:rFonts w:ascii="Times New Roman" w:hAnsi="Times New Roman" w:cs="Times New Roman"/>
                <w:b/>
                <w:color w:val="auto"/>
                <w:szCs w:val="21"/>
              </w:rPr>
            </w:pPr>
            <w:r>
              <w:rPr>
                <w:rFonts w:ascii="Times New Roman" w:hAnsi="Times New Roman" w:cs="Times New Roman"/>
                <w:b/>
                <w:color w:val="auto"/>
                <w:szCs w:val="21"/>
              </w:rPr>
              <w:t>水污染物当量数W/</w:t>
            </w:r>
            <w:r>
              <w:rPr>
                <w:rFonts w:ascii="Times New Roman" w:hAnsi="Times New Roman" w:cs="Times New Roman"/>
                <w:color w:val="auto"/>
                <w:sz w:val="24"/>
                <w:szCs w:val="24"/>
              </w:rPr>
              <w:t xml:space="preserve"> (无量纲)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92"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一级</w:t>
            </w:r>
          </w:p>
        </w:tc>
        <w:tc>
          <w:tcPr>
            <w:tcW w:w="2486"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直排</w:t>
            </w:r>
          </w:p>
        </w:tc>
        <w:tc>
          <w:tcPr>
            <w:tcW w:w="4111"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Q≥20000或W≥600000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92" w:type="dxa"/>
            <w:vAlign w:val="center"/>
          </w:tcPr>
          <w:p>
            <w:pPr>
              <w:jc w:val="center"/>
              <w:rPr>
                <w:rFonts w:ascii="Times New Roman" w:hAnsi="Times New Roman" w:cs="Times New Roman"/>
                <w:color w:val="auto"/>
              </w:rPr>
            </w:pPr>
            <w:r>
              <w:rPr>
                <w:rFonts w:ascii="Times New Roman" w:hAnsi="Times New Roman" w:cs="Times New Roman"/>
                <w:color w:val="auto"/>
              </w:rPr>
              <w:t>二级</w:t>
            </w:r>
          </w:p>
        </w:tc>
        <w:tc>
          <w:tcPr>
            <w:tcW w:w="2486" w:type="dxa"/>
          </w:tcPr>
          <w:p>
            <w:pPr>
              <w:jc w:val="center"/>
              <w:rPr>
                <w:rFonts w:ascii="Times New Roman" w:hAnsi="Times New Roman" w:cs="Times New Roman"/>
                <w:color w:val="auto"/>
              </w:rPr>
            </w:pPr>
            <w:r>
              <w:rPr>
                <w:rFonts w:ascii="Times New Roman" w:hAnsi="Times New Roman" w:cs="Times New Roman"/>
                <w:color w:val="auto"/>
                <w:szCs w:val="21"/>
              </w:rPr>
              <w:t>直排</w:t>
            </w:r>
          </w:p>
        </w:tc>
        <w:tc>
          <w:tcPr>
            <w:tcW w:w="4111"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其他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92" w:type="dxa"/>
            <w:vAlign w:val="center"/>
          </w:tcPr>
          <w:p>
            <w:pPr>
              <w:jc w:val="center"/>
              <w:rPr>
                <w:rFonts w:ascii="Times New Roman" w:hAnsi="Times New Roman" w:cs="Times New Roman"/>
                <w:color w:val="auto"/>
              </w:rPr>
            </w:pPr>
            <w:r>
              <w:rPr>
                <w:rFonts w:ascii="Times New Roman" w:hAnsi="Times New Roman" w:cs="Times New Roman"/>
                <w:color w:val="auto"/>
              </w:rPr>
              <w:t>三级A</w:t>
            </w:r>
          </w:p>
        </w:tc>
        <w:tc>
          <w:tcPr>
            <w:tcW w:w="2486" w:type="dxa"/>
          </w:tcPr>
          <w:p>
            <w:pPr>
              <w:jc w:val="center"/>
              <w:rPr>
                <w:rFonts w:ascii="Times New Roman" w:hAnsi="Times New Roman" w:cs="Times New Roman"/>
                <w:color w:val="auto"/>
              </w:rPr>
            </w:pPr>
            <w:r>
              <w:rPr>
                <w:rFonts w:ascii="Times New Roman" w:hAnsi="Times New Roman" w:cs="Times New Roman"/>
                <w:color w:val="auto"/>
                <w:szCs w:val="21"/>
              </w:rPr>
              <w:t>直排</w:t>
            </w:r>
          </w:p>
        </w:tc>
        <w:tc>
          <w:tcPr>
            <w:tcW w:w="4111"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Q</w:t>
            </w:r>
            <w:r>
              <w:rPr>
                <w:rFonts w:ascii="Times New Roman" w:hAnsi="Times New Roman" w:cs="Times New Roman"/>
                <w:color w:val="auto"/>
                <w:sz w:val="24"/>
                <w:szCs w:val="24"/>
              </w:rPr>
              <w:t>&lt;</w:t>
            </w:r>
            <w:r>
              <w:rPr>
                <w:rFonts w:ascii="Times New Roman" w:hAnsi="Times New Roman" w:cs="Times New Roman"/>
                <w:color w:val="auto"/>
                <w:szCs w:val="21"/>
              </w:rPr>
              <w:t>200或W</w:t>
            </w:r>
            <w:r>
              <w:rPr>
                <w:rFonts w:ascii="Times New Roman" w:hAnsi="Times New Roman" w:cs="Times New Roman"/>
                <w:color w:val="auto"/>
                <w:sz w:val="24"/>
                <w:szCs w:val="24"/>
              </w:rPr>
              <w:t>&lt;</w:t>
            </w:r>
            <w:r>
              <w:rPr>
                <w:rFonts w:ascii="Times New Roman" w:hAnsi="Times New Roman" w:cs="Times New Roman"/>
                <w:color w:val="auto"/>
                <w:szCs w:val="21"/>
              </w:rPr>
              <w:t>6000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92" w:type="dxa"/>
            <w:vAlign w:val="center"/>
          </w:tcPr>
          <w:p>
            <w:pPr>
              <w:jc w:val="center"/>
              <w:rPr>
                <w:rFonts w:ascii="Times New Roman" w:hAnsi="Times New Roman" w:cs="Times New Roman"/>
                <w:color w:val="auto"/>
              </w:rPr>
            </w:pPr>
            <w:r>
              <w:rPr>
                <w:rFonts w:ascii="Times New Roman" w:hAnsi="Times New Roman" w:cs="Times New Roman"/>
                <w:color w:val="auto"/>
              </w:rPr>
              <w:t>三级B</w:t>
            </w:r>
          </w:p>
        </w:tc>
        <w:tc>
          <w:tcPr>
            <w:tcW w:w="2486"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间排</w:t>
            </w:r>
          </w:p>
        </w:tc>
        <w:tc>
          <w:tcPr>
            <w:tcW w:w="4111" w:type="dxa"/>
            <w:vAlign w:val="center"/>
          </w:tcPr>
          <w:p>
            <w:pPr>
              <w:tabs>
                <w:tab w:val="left" w:pos="9000"/>
              </w:tabs>
              <w:snapToGrid w:val="0"/>
              <w:jc w:val="center"/>
              <w:rPr>
                <w:rFonts w:ascii="Times New Roman" w:hAnsi="Times New Roman" w:cs="Times New Roman"/>
                <w:color w:val="auto"/>
                <w:szCs w:val="21"/>
              </w:rPr>
            </w:pPr>
            <w:r>
              <w:rPr>
                <w:rFonts w:ascii="Times New Roman" w:hAnsi="Times New Roman" w:cs="Times New Roman"/>
                <w:color w:val="auto"/>
                <w:szCs w:val="21"/>
              </w:rPr>
              <w:t>－</w:t>
            </w:r>
          </w:p>
        </w:tc>
      </w:tr>
    </w:tbl>
    <w:p>
      <w:pPr>
        <w:spacing w:line="360" w:lineRule="auto"/>
        <w:ind w:firstLine="480" w:firstLineChars="200"/>
        <w:rPr>
          <w:rFonts w:ascii="Times New Roman" w:hAnsi="Times New Roman" w:cs="Times New Roman"/>
          <w:color w:val="auto"/>
          <w:sz w:val="24"/>
          <w:szCs w:val="24"/>
        </w:rPr>
      </w:pP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本项目建成</w:t>
      </w:r>
      <w:r>
        <w:rPr>
          <w:rFonts w:ascii="Times New Roman" w:hAnsi="Times New Roman" w:cs="Times New Roman"/>
          <w:color w:val="auto"/>
          <w:kern w:val="24"/>
          <w:sz w:val="24"/>
          <w:szCs w:val="24"/>
        </w:rPr>
        <w:t>后</w:t>
      </w:r>
      <w:r>
        <w:rPr>
          <w:rFonts w:ascii="Times New Roman" w:hAnsi="Times New Roman" w:cs="Times New Roman"/>
          <w:color w:val="auto"/>
          <w:sz w:val="24"/>
          <w:szCs w:val="24"/>
        </w:rPr>
        <w:t>，废水经厂区污水管网，送长岭分公司污水处理厂集中处理。根据分级判据，地表水环境影响评价等级为三级B。</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该导则5.3.2.2：“三级B，其评价范围应符合以下要求：a）应满足其依托污水处理设施环境可行性分析的要求；b）涉及地表水环境风险的，应履盖环境风险影响范围所及的水环境保护目标。”因此，本次评价主要对污水排入长岭分公司污水处理厂处理的可行性进行论证，并进行水环境风险分析，提出保护措施。</w:t>
      </w:r>
    </w:p>
    <w:p>
      <w:pPr>
        <w:pStyle w:val="7"/>
        <w:spacing w:before="120" w:beforeLines="0" w:after="120" w:afterLines="0"/>
        <w:rPr>
          <w:color w:val="auto"/>
        </w:rPr>
      </w:pPr>
      <w:bookmarkStart w:id="99" w:name="_Toc5819"/>
      <w:bookmarkStart w:id="100" w:name="_Toc12263"/>
      <w:bookmarkStart w:id="101" w:name="_Toc21779"/>
      <w:r>
        <w:rPr>
          <w:color w:val="auto"/>
        </w:rPr>
        <w:t>地下水环境影响评价等级及范围</w:t>
      </w:r>
      <w:bookmarkEnd w:id="99"/>
      <w:bookmarkEnd w:id="100"/>
      <w:bookmarkEnd w:id="101"/>
    </w:p>
    <w:p>
      <w:pPr>
        <w:pStyle w:val="161"/>
        <w:ind w:firstLine="480"/>
        <w:rPr>
          <w:rFonts w:cs="Times New Roman"/>
          <w:color w:val="auto"/>
        </w:rPr>
      </w:pPr>
      <w:r>
        <w:rPr>
          <w:rFonts w:cs="Times New Roman"/>
          <w:color w:val="auto"/>
        </w:rPr>
        <w:t>（1）项目类别</w:t>
      </w:r>
    </w:p>
    <w:p>
      <w:pPr>
        <w:pStyle w:val="161"/>
        <w:ind w:firstLine="480"/>
        <w:rPr>
          <w:rFonts w:cs="Times New Roman"/>
          <w:color w:val="auto"/>
          <w:u w:val="single"/>
        </w:rPr>
      </w:pPr>
      <w:r>
        <w:rPr>
          <w:rFonts w:cs="Times New Roman"/>
          <w:color w:val="auto"/>
          <w:u w:val="single"/>
        </w:rPr>
        <w:t>根据《环境影响评价技术导则  地下水环境》（HJ610-2016）附录A，本项目内容属于L石化、化工89化学品输送，属于需编制环境影响报告书的地面以上项目。</w:t>
      </w:r>
      <w:r>
        <w:rPr>
          <w:rFonts w:hint="eastAsia" w:cs="Times New Roman"/>
          <w:color w:val="auto"/>
          <w:u w:val="single"/>
        </w:rPr>
        <w:t>因此，地下水环境影响评价项目类别</w:t>
      </w:r>
      <w:r>
        <w:rPr>
          <w:rFonts w:hint="eastAsia" w:cs="Times New Roman"/>
          <w:color w:val="auto"/>
          <w:u w:val="single"/>
          <w:lang w:eastAsia="zh-CN"/>
        </w:rPr>
        <w:t>地面以下属于</w:t>
      </w:r>
      <w:r>
        <w:rPr>
          <w:rFonts w:hint="eastAsia" w:cs="Times New Roman"/>
          <w:color w:val="auto"/>
          <w:u w:val="single"/>
        </w:rPr>
        <w:t>Ⅱ类项目</w:t>
      </w:r>
      <w:r>
        <w:rPr>
          <w:rFonts w:hint="eastAsia" w:cs="Times New Roman"/>
          <w:color w:val="auto"/>
          <w:u w:val="single"/>
          <w:lang w:eastAsia="zh-CN"/>
        </w:rPr>
        <w:t>，地面以上</w:t>
      </w:r>
      <w:r>
        <w:rPr>
          <w:rFonts w:hint="eastAsia" w:cs="Times New Roman"/>
          <w:color w:val="auto"/>
          <w:u w:val="single"/>
        </w:rPr>
        <w:t>属于Ⅲ类项目</w:t>
      </w:r>
      <w:r>
        <w:rPr>
          <w:rFonts w:hint="eastAsia" w:cs="Times New Roman"/>
          <w:color w:val="auto"/>
          <w:u w:val="single"/>
          <w:lang w:eastAsia="zh-CN"/>
        </w:rPr>
        <w:t>，本项目属地上项目。因此本项目类别为</w:t>
      </w:r>
      <w:r>
        <w:rPr>
          <w:rFonts w:hint="eastAsia" w:cs="Times New Roman"/>
          <w:color w:val="auto"/>
          <w:u w:val="single"/>
        </w:rPr>
        <w:t>Ⅲ类项目。</w:t>
      </w:r>
    </w:p>
    <w:p>
      <w:pPr>
        <w:pStyle w:val="161"/>
        <w:numPr>
          <w:ilvl w:val="0"/>
          <w:numId w:val="7"/>
        </w:numPr>
        <w:ind w:left="0" w:firstLine="480" w:firstLineChars="0"/>
        <w:rPr>
          <w:rFonts w:cs="Times New Roman"/>
          <w:color w:val="auto"/>
        </w:rPr>
      </w:pPr>
      <w:r>
        <w:rPr>
          <w:rFonts w:cs="Times New Roman"/>
          <w:color w:val="auto"/>
        </w:rPr>
        <w:t>地下水敏感程度</w:t>
      </w:r>
    </w:p>
    <w:p>
      <w:pPr>
        <w:pStyle w:val="161"/>
        <w:ind w:firstLine="480"/>
        <w:rPr>
          <w:rFonts w:hint="eastAsia" w:cs="Times New Roman"/>
          <w:color w:val="auto"/>
          <w:u w:val="single"/>
        </w:rPr>
      </w:pPr>
      <w:r>
        <w:rPr>
          <w:rFonts w:cs="Times New Roman"/>
          <w:color w:val="auto"/>
          <w:u w:val="single"/>
        </w:rPr>
        <w:t>本项目不涉及集中式饮用水水源准保护区，也不涉及准保护区以外的补给径流区，附近居民均饮用自来水，因此，工程所在地地下水敏感程度属于不敏感。</w:t>
      </w:r>
    </w:p>
    <w:p>
      <w:pPr>
        <w:pStyle w:val="18"/>
        <w:rPr>
          <w:color w:val="auto"/>
          <w:szCs w:val="21"/>
        </w:rPr>
      </w:pPr>
      <w:r>
        <w:rPr>
          <w:color w:val="auto"/>
        </w:rPr>
        <w:t xml:space="preserve">表 </w:t>
      </w:r>
      <w:r>
        <w:rPr>
          <w:rFonts w:hint="eastAsia"/>
          <w:color w:val="auto"/>
          <w:lang w:val="en-US" w:eastAsia="zh-CN"/>
        </w:rPr>
        <w:t>1.5-7</w:t>
      </w:r>
      <w:r>
        <w:rPr>
          <w:color w:val="auto"/>
          <w:szCs w:val="21"/>
        </w:rPr>
        <w:t xml:space="preserve">  地下水环境敏感等级分级表</w:t>
      </w:r>
    </w:p>
    <w:tbl>
      <w:tblPr>
        <w:tblStyle w:val="45"/>
        <w:tblW w:w="8522"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50"/>
        <w:gridCol w:w="737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blHeader/>
          <w:jc w:val="center"/>
        </w:trPr>
        <w:tc>
          <w:tcPr>
            <w:tcW w:w="1150"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分类</w:t>
            </w:r>
          </w:p>
        </w:tc>
        <w:tc>
          <w:tcPr>
            <w:tcW w:w="7372"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地下水环境敏感特征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5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敏感</w:t>
            </w:r>
          </w:p>
        </w:tc>
        <w:tc>
          <w:tcPr>
            <w:tcW w:w="7372" w:type="dxa"/>
            <w:vAlign w:val="center"/>
          </w:tcPr>
          <w:p>
            <w:pPr>
              <w:spacing w:line="360" w:lineRule="exact"/>
              <w:rPr>
                <w:rFonts w:ascii="Times New Roman" w:hAnsi="Times New Roman" w:cs="Times New Roman"/>
                <w:color w:val="auto"/>
                <w:szCs w:val="21"/>
              </w:rPr>
            </w:pPr>
            <w:r>
              <w:rPr>
                <w:rFonts w:ascii="Times New Roman" w:hAnsi="Times New Roman" w:cs="Times New Roman"/>
                <w:color w:val="auto"/>
                <w:szCs w:val="21"/>
              </w:rPr>
              <w:t>集中式饮用水水源（包括已建成的在用、备用、应急水源地，在建和规划的水源地）准保护区；除集中式饮用水水源以外的国家或地方政府设定的与地下水环境相关的其他保护区，如热水、矿泉水、温泉等特殊地下水资源保护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5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较敏感</w:t>
            </w:r>
          </w:p>
        </w:tc>
        <w:tc>
          <w:tcPr>
            <w:tcW w:w="7372" w:type="dxa"/>
            <w:vAlign w:val="center"/>
          </w:tcPr>
          <w:p>
            <w:pPr>
              <w:spacing w:line="360" w:lineRule="exact"/>
              <w:rPr>
                <w:rFonts w:ascii="Times New Roman" w:hAnsi="Times New Roman" w:cs="Times New Roman"/>
                <w:color w:val="auto"/>
                <w:szCs w:val="21"/>
              </w:rPr>
            </w:pPr>
            <w:r>
              <w:rPr>
                <w:rFonts w:ascii="Times New Roman" w:hAnsi="Times New Roman" w:cs="Times New Roman"/>
                <w:color w:val="auto"/>
                <w:szCs w:val="21"/>
              </w:rPr>
              <w:t>集中式饮用水水源（包括已建成的在用、备用、应急水源地，在建和规划的水源地）准保护区以外的补给径流区；未划定的准保护区的集中式饮用水水源，其保护区以外的补给径流区；分散式饮用水水源地；特殊地下水资源（如矿泉水、温泉等）保护区以外的分布区等其他未列入上述敏感分级的环境敏感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5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不敏感</w:t>
            </w:r>
          </w:p>
        </w:tc>
        <w:tc>
          <w:tcPr>
            <w:tcW w:w="7372" w:type="dxa"/>
            <w:vAlign w:val="center"/>
          </w:tcPr>
          <w:p>
            <w:pPr>
              <w:spacing w:line="360" w:lineRule="exact"/>
              <w:rPr>
                <w:rFonts w:ascii="Times New Roman" w:hAnsi="Times New Roman" w:cs="Times New Roman"/>
                <w:color w:val="auto"/>
                <w:szCs w:val="21"/>
              </w:rPr>
            </w:pPr>
            <w:r>
              <w:rPr>
                <w:rFonts w:ascii="Times New Roman" w:hAnsi="Times New Roman" w:cs="Times New Roman"/>
                <w:color w:val="auto"/>
                <w:szCs w:val="21"/>
              </w:rPr>
              <w:t>上述地区之外的其他地区。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8522" w:type="dxa"/>
            <w:gridSpan w:val="2"/>
            <w:vAlign w:val="center"/>
          </w:tcPr>
          <w:p>
            <w:pPr>
              <w:spacing w:line="360" w:lineRule="exact"/>
              <w:rPr>
                <w:rFonts w:ascii="Times New Roman" w:hAnsi="Times New Roman" w:cs="Times New Roman"/>
                <w:color w:val="auto"/>
                <w:spacing w:val="-12"/>
                <w:szCs w:val="21"/>
              </w:rPr>
            </w:pPr>
            <w:r>
              <w:rPr>
                <w:rFonts w:ascii="Times New Roman" w:hAnsi="Times New Roman" w:cs="Times New Roman"/>
                <w:color w:val="auto"/>
                <w:spacing w:val="-12"/>
                <w:szCs w:val="21"/>
              </w:rPr>
              <w:t>注：表中“环境敏感区”系指《建设项目环境影响评价分类管理名录》中界定的涉及地下水的环境敏感区。</w:t>
            </w:r>
          </w:p>
        </w:tc>
      </w:tr>
    </w:tbl>
    <w:p>
      <w:pPr>
        <w:pStyle w:val="18"/>
        <w:spacing w:line="480" w:lineRule="exact"/>
        <w:rPr>
          <w:color w:val="auto"/>
        </w:rPr>
      </w:pPr>
    </w:p>
    <w:p>
      <w:pPr>
        <w:pStyle w:val="18"/>
        <w:spacing w:line="480" w:lineRule="exact"/>
        <w:rPr>
          <w:color w:val="auto"/>
          <w:szCs w:val="21"/>
        </w:rPr>
      </w:pPr>
      <w:r>
        <w:rPr>
          <w:color w:val="auto"/>
        </w:rPr>
        <w:t xml:space="preserve">表 </w:t>
      </w:r>
      <w:r>
        <w:rPr>
          <w:rFonts w:hint="eastAsia"/>
          <w:color w:val="auto"/>
          <w:lang w:val="en-US" w:eastAsia="zh-CN"/>
        </w:rPr>
        <w:t>1.5-8</w:t>
      </w:r>
      <w:r>
        <w:rPr>
          <w:color w:val="auto"/>
          <w:szCs w:val="21"/>
        </w:rPr>
        <w:t xml:space="preserve">  建设项目地下水工作等级分级表</w:t>
      </w:r>
    </w:p>
    <w:tbl>
      <w:tblPr>
        <w:tblStyle w:val="45"/>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tcBorders>
              <w:tl2br w:val="single" w:color="auto" w:sz="4" w:space="0"/>
            </w:tcBorders>
          </w:tcPr>
          <w:p>
            <w:pPr>
              <w:pStyle w:val="161"/>
              <w:spacing w:line="240" w:lineRule="auto"/>
              <w:ind w:firstLine="1054" w:firstLineChars="500"/>
              <w:rPr>
                <w:rFonts w:cs="Times New Roman"/>
                <w:b/>
                <w:color w:val="auto"/>
                <w:sz w:val="21"/>
                <w:szCs w:val="21"/>
              </w:rPr>
            </w:pPr>
            <w:r>
              <w:rPr>
                <w:rFonts w:cs="Times New Roman"/>
                <w:b/>
                <w:color w:val="auto"/>
                <w:sz w:val="21"/>
                <w:szCs w:val="21"/>
              </w:rPr>
              <w:t>项目类别</w:t>
            </w:r>
          </w:p>
          <w:p>
            <w:pPr>
              <w:pStyle w:val="161"/>
              <w:spacing w:line="240" w:lineRule="auto"/>
              <w:ind w:firstLine="0" w:firstLineChars="0"/>
              <w:rPr>
                <w:rFonts w:cs="Times New Roman"/>
                <w:b/>
                <w:color w:val="auto"/>
                <w:sz w:val="21"/>
                <w:szCs w:val="21"/>
              </w:rPr>
            </w:pPr>
            <w:r>
              <w:rPr>
                <w:rFonts w:cs="Times New Roman"/>
                <w:b/>
                <w:color w:val="auto"/>
                <w:sz w:val="21"/>
                <w:szCs w:val="21"/>
              </w:rPr>
              <w:t>环境敏感程度</w:t>
            </w:r>
          </w:p>
        </w:tc>
        <w:tc>
          <w:tcPr>
            <w:tcW w:w="2130"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Ⅰ类</w:t>
            </w:r>
          </w:p>
        </w:tc>
        <w:tc>
          <w:tcPr>
            <w:tcW w:w="2131"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Ⅱ类</w:t>
            </w:r>
          </w:p>
        </w:tc>
        <w:tc>
          <w:tcPr>
            <w:tcW w:w="2131"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敏感</w:t>
            </w:r>
          </w:p>
        </w:tc>
        <w:tc>
          <w:tcPr>
            <w:tcW w:w="213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一</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一</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较敏感</w:t>
            </w:r>
          </w:p>
        </w:tc>
        <w:tc>
          <w:tcPr>
            <w:tcW w:w="213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一</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二</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不敏感</w:t>
            </w:r>
          </w:p>
        </w:tc>
        <w:tc>
          <w:tcPr>
            <w:tcW w:w="2130" w:type="dxa"/>
            <w:vAlign w:val="center"/>
          </w:tcPr>
          <w:p>
            <w:pPr>
              <w:pStyle w:val="161"/>
              <w:spacing w:line="240" w:lineRule="auto"/>
              <w:ind w:firstLine="0" w:firstLineChars="0"/>
              <w:jc w:val="center"/>
              <w:rPr>
                <w:rFonts w:cs="Times New Roman"/>
                <w:b/>
                <w:color w:val="auto"/>
                <w:sz w:val="21"/>
                <w:szCs w:val="21"/>
                <w:shd w:val="pct10" w:color="auto" w:fill="FFFFFF"/>
              </w:rPr>
            </w:pPr>
            <w:r>
              <w:rPr>
                <w:rFonts w:cs="Times New Roman"/>
                <w:b/>
                <w:color w:val="auto"/>
                <w:sz w:val="21"/>
                <w:szCs w:val="21"/>
              </w:rPr>
              <w:t>二</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三</w:t>
            </w:r>
          </w:p>
        </w:tc>
        <w:tc>
          <w:tcPr>
            <w:tcW w:w="213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三</w:t>
            </w:r>
          </w:p>
        </w:tc>
      </w:tr>
    </w:tbl>
    <w:p>
      <w:pPr>
        <w:pStyle w:val="18"/>
        <w:spacing w:line="480" w:lineRule="exact"/>
        <w:rPr>
          <w:color w:val="auto"/>
        </w:rPr>
      </w:pPr>
    </w:p>
    <w:p>
      <w:pPr>
        <w:pStyle w:val="18"/>
        <w:spacing w:line="480" w:lineRule="exact"/>
        <w:rPr>
          <w:color w:val="auto"/>
          <w:szCs w:val="21"/>
        </w:rPr>
      </w:pPr>
      <w:r>
        <w:rPr>
          <w:color w:val="auto"/>
        </w:rPr>
        <w:t xml:space="preserve">表 </w:t>
      </w:r>
      <w:r>
        <w:rPr>
          <w:rFonts w:hint="eastAsia"/>
          <w:color w:val="auto"/>
          <w:lang w:val="en-US" w:eastAsia="zh-CN"/>
        </w:rPr>
        <w:t>1.5-9</w:t>
      </w:r>
      <w:r>
        <w:rPr>
          <w:color w:val="auto"/>
          <w:szCs w:val="21"/>
        </w:rPr>
        <w:t xml:space="preserve">  建设项目地下水现状调查评价范围参照表</w:t>
      </w:r>
    </w:p>
    <w:tbl>
      <w:tblPr>
        <w:tblStyle w:val="45"/>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840"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评价等级</w:t>
            </w:r>
          </w:p>
        </w:tc>
        <w:tc>
          <w:tcPr>
            <w:tcW w:w="2841"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调查评价面积（km</w:t>
            </w:r>
            <w:r>
              <w:rPr>
                <w:rFonts w:cs="Times New Roman"/>
                <w:b/>
                <w:color w:val="auto"/>
                <w:sz w:val="21"/>
                <w:szCs w:val="21"/>
                <w:vertAlign w:val="superscript"/>
              </w:rPr>
              <w:t>2</w:t>
            </w:r>
            <w:r>
              <w:rPr>
                <w:rFonts w:cs="Times New Roman"/>
                <w:b/>
                <w:color w:val="auto"/>
                <w:sz w:val="21"/>
                <w:szCs w:val="21"/>
              </w:rPr>
              <w:t>）</w:t>
            </w:r>
          </w:p>
        </w:tc>
        <w:tc>
          <w:tcPr>
            <w:tcW w:w="2841" w:type="dxa"/>
            <w:vAlign w:val="center"/>
          </w:tcPr>
          <w:p>
            <w:pPr>
              <w:pStyle w:val="161"/>
              <w:spacing w:line="240" w:lineRule="auto"/>
              <w:ind w:firstLine="0" w:firstLineChars="0"/>
              <w:jc w:val="center"/>
              <w:rPr>
                <w:rFonts w:cs="Times New Roman"/>
                <w:b/>
                <w:color w:val="auto"/>
                <w:sz w:val="21"/>
                <w:szCs w:val="21"/>
              </w:rPr>
            </w:pPr>
            <w:r>
              <w:rPr>
                <w:rFonts w:cs="Times New Roman"/>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84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一级</w:t>
            </w:r>
          </w:p>
        </w:tc>
        <w:tc>
          <w:tcPr>
            <w:tcW w:w="284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≥20</w:t>
            </w:r>
          </w:p>
        </w:tc>
        <w:tc>
          <w:tcPr>
            <w:tcW w:w="2841" w:type="dxa"/>
            <w:vMerge w:val="restart"/>
            <w:vAlign w:val="center"/>
          </w:tcPr>
          <w:p>
            <w:pPr>
              <w:pStyle w:val="161"/>
              <w:spacing w:line="240" w:lineRule="auto"/>
              <w:ind w:firstLine="0" w:firstLineChars="0"/>
              <w:rPr>
                <w:rFonts w:cs="Times New Roman"/>
                <w:color w:val="auto"/>
                <w:sz w:val="21"/>
                <w:szCs w:val="21"/>
              </w:rPr>
            </w:pPr>
            <w:r>
              <w:rPr>
                <w:rFonts w:cs="Times New Roman"/>
                <w:color w:val="auto"/>
                <w:sz w:val="21"/>
                <w:szCs w:val="21"/>
              </w:rPr>
              <w:t>应包括重要的地下水环境保护目标，必要时适当扩大范围。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840"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二级</w:t>
            </w:r>
          </w:p>
        </w:tc>
        <w:tc>
          <w:tcPr>
            <w:tcW w:w="284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6-20</w:t>
            </w:r>
          </w:p>
        </w:tc>
        <w:tc>
          <w:tcPr>
            <w:tcW w:w="2841" w:type="dxa"/>
            <w:vMerge w:val="continue"/>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840" w:type="dxa"/>
            <w:vAlign w:val="center"/>
          </w:tcPr>
          <w:p>
            <w:pPr>
              <w:pStyle w:val="161"/>
              <w:spacing w:line="240" w:lineRule="auto"/>
              <w:ind w:firstLine="0" w:firstLineChars="0"/>
              <w:jc w:val="center"/>
              <w:rPr>
                <w:rFonts w:cs="Times New Roman"/>
                <w:color w:val="auto"/>
                <w:sz w:val="21"/>
                <w:szCs w:val="21"/>
                <w:shd w:val="pct10" w:color="auto" w:fill="FFFFFF"/>
              </w:rPr>
            </w:pPr>
            <w:r>
              <w:rPr>
                <w:rFonts w:cs="Times New Roman"/>
                <w:color w:val="auto"/>
                <w:sz w:val="21"/>
                <w:szCs w:val="21"/>
              </w:rPr>
              <w:t>三级</w:t>
            </w:r>
          </w:p>
        </w:tc>
        <w:tc>
          <w:tcPr>
            <w:tcW w:w="2841" w:type="dxa"/>
            <w:vAlign w:val="center"/>
          </w:tcPr>
          <w:p>
            <w:pPr>
              <w:pStyle w:val="161"/>
              <w:spacing w:line="240" w:lineRule="auto"/>
              <w:ind w:firstLine="0" w:firstLineChars="0"/>
              <w:jc w:val="center"/>
              <w:rPr>
                <w:rFonts w:cs="Times New Roman"/>
                <w:color w:val="auto"/>
                <w:sz w:val="21"/>
                <w:szCs w:val="21"/>
              </w:rPr>
            </w:pPr>
            <w:r>
              <w:rPr>
                <w:rFonts w:cs="Times New Roman"/>
                <w:color w:val="auto"/>
                <w:sz w:val="21"/>
                <w:szCs w:val="21"/>
              </w:rPr>
              <w:t>≤6</w:t>
            </w:r>
          </w:p>
        </w:tc>
        <w:tc>
          <w:tcPr>
            <w:tcW w:w="2841" w:type="dxa"/>
            <w:vMerge w:val="continue"/>
            <w:vAlign w:val="center"/>
          </w:tcPr>
          <w:p>
            <w:pPr>
              <w:rPr>
                <w:rFonts w:ascii="Times New Roman" w:hAnsi="Times New Roman" w:cs="Times New Roman"/>
                <w:color w:val="auto"/>
              </w:rPr>
            </w:pPr>
          </w:p>
        </w:tc>
      </w:tr>
    </w:tbl>
    <w:p>
      <w:pPr>
        <w:pStyle w:val="161"/>
        <w:tabs>
          <w:tab w:val="left" w:pos="0"/>
        </w:tabs>
        <w:spacing w:line="480" w:lineRule="exact"/>
        <w:ind w:left="480" w:firstLine="0" w:firstLineChars="0"/>
        <w:rPr>
          <w:rFonts w:hint="eastAsia" w:cs="Times New Roman"/>
          <w:color w:val="auto"/>
        </w:rPr>
      </w:pPr>
    </w:p>
    <w:p>
      <w:pPr>
        <w:pStyle w:val="161"/>
        <w:numPr>
          <w:ilvl w:val="0"/>
          <w:numId w:val="7"/>
        </w:numPr>
        <w:spacing w:line="480" w:lineRule="exact"/>
        <w:ind w:left="0" w:firstLine="480" w:firstLineChars="0"/>
        <w:rPr>
          <w:rFonts w:cs="Times New Roman"/>
          <w:color w:val="auto"/>
          <w:u w:val="single"/>
        </w:rPr>
      </w:pPr>
      <w:r>
        <w:rPr>
          <w:rFonts w:cs="Times New Roman"/>
          <w:color w:val="auto"/>
          <w:u w:val="single"/>
        </w:rPr>
        <w:t>评价等级及评价范围</w:t>
      </w:r>
    </w:p>
    <w:p>
      <w:pPr>
        <w:pStyle w:val="161"/>
        <w:spacing w:line="480" w:lineRule="exact"/>
        <w:ind w:firstLine="480"/>
        <w:rPr>
          <w:rFonts w:cs="Times New Roman"/>
          <w:color w:val="auto"/>
          <w:u w:val="single"/>
        </w:rPr>
      </w:pPr>
      <w:r>
        <w:rPr>
          <w:rFonts w:cs="Times New Roman"/>
          <w:color w:val="auto"/>
          <w:u w:val="single"/>
        </w:rPr>
        <w:t>本次地下水环境评价为三级评价；评价范围为建设项目所在地约6km</w:t>
      </w:r>
      <w:r>
        <w:rPr>
          <w:rFonts w:cs="Times New Roman"/>
          <w:color w:val="auto"/>
          <w:u w:val="single"/>
          <w:vertAlign w:val="superscript"/>
        </w:rPr>
        <w:t>2</w:t>
      </w:r>
      <w:r>
        <w:rPr>
          <w:rFonts w:cs="Times New Roman"/>
          <w:color w:val="auto"/>
          <w:u w:val="single"/>
        </w:rPr>
        <w:t>的水文地质单元区域。</w:t>
      </w:r>
    </w:p>
    <w:p>
      <w:pPr>
        <w:pStyle w:val="161"/>
        <w:spacing w:line="480" w:lineRule="exact"/>
        <w:ind w:firstLine="480"/>
        <w:rPr>
          <w:rFonts w:hint="eastAsia" w:cs="Times New Roman"/>
          <w:color w:val="auto"/>
        </w:rPr>
      </w:pPr>
    </w:p>
    <w:p>
      <w:pPr>
        <w:pStyle w:val="7"/>
        <w:spacing w:before="120" w:beforeLines="0" w:after="120" w:afterLines="0"/>
        <w:rPr>
          <w:color w:val="auto"/>
        </w:rPr>
      </w:pPr>
      <w:bookmarkStart w:id="102" w:name="_Toc29579"/>
      <w:bookmarkStart w:id="103" w:name="_Toc14007"/>
      <w:bookmarkStart w:id="104" w:name="_Toc3021"/>
      <w:r>
        <w:rPr>
          <w:color w:val="auto"/>
        </w:rPr>
        <w:t>声环境影响评价等级及范围</w:t>
      </w:r>
      <w:bookmarkEnd w:id="102"/>
      <w:bookmarkEnd w:id="103"/>
      <w:bookmarkEnd w:id="104"/>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（1）声环境评价等级划分依据</w:t>
      </w:r>
    </w:p>
    <w:p>
      <w:pPr>
        <w:spacing w:line="360" w:lineRule="auto"/>
        <w:ind w:firstLine="482"/>
        <w:rPr>
          <w:rFonts w:ascii="Times New Roman" w:hAnsi="Times New Roman" w:cs="Times New Roman"/>
          <w:color w:val="auto"/>
        </w:rPr>
      </w:pPr>
      <w:r>
        <w:rPr>
          <w:rFonts w:ascii="Times New Roman" w:hAnsi="Times New Roman" w:cs="Times New Roman"/>
          <w:color w:val="auto"/>
          <w:sz w:val="24"/>
          <w:szCs w:val="24"/>
        </w:rPr>
        <w:t>按照《环境影响评价技术导则－声环境》（HJ2.4-2009）中声环境影响评价级别划分原则。</w:t>
      </w:r>
    </w:p>
    <w:p>
      <w:pPr>
        <w:pStyle w:val="18"/>
        <w:jc w:val="both"/>
        <w:rPr>
          <w:color w:val="auto"/>
        </w:rPr>
      </w:pPr>
    </w:p>
    <w:p>
      <w:pPr>
        <w:pStyle w:val="18"/>
        <w:rPr>
          <w:bCs/>
          <w:color w:val="auto"/>
          <w:szCs w:val="21"/>
        </w:rPr>
      </w:pPr>
      <w:r>
        <w:rPr>
          <w:color w:val="auto"/>
        </w:rPr>
        <w:t>表</w:t>
      </w:r>
      <w:r>
        <w:rPr>
          <w:rFonts w:hint="eastAsia"/>
          <w:color w:val="auto"/>
          <w:lang w:val="en-US" w:eastAsia="zh-CN"/>
        </w:rPr>
        <w:t>1.5-10</w:t>
      </w:r>
      <w:r>
        <w:rPr>
          <w:color w:val="auto"/>
          <w:szCs w:val="21"/>
        </w:rPr>
        <w:t xml:space="preserve">  声环境影响评价等级划分依据</w:t>
      </w:r>
    </w:p>
    <w:tbl>
      <w:tblPr>
        <w:tblStyle w:val="45"/>
        <w:tblW w:w="8362"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304"/>
        <w:gridCol w:w="1418"/>
        <w:gridCol w:w="1559"/>
        <w:gridCol w:w="1559"/>
        <w:gridCol w:w="252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97" w:hRule="atLeast"/>
          <w:jc w:val="center"/>
        </w:trPr>
        <w:tc>
          <w:tcPr>
            <w:tcW w:w="1304" w:type="dxa"/>
            <w:vAlign w:val="center"/>
          </w:tcPr>
          <w:p>
            <w:pPr>
              <w:tabs>
                <w:tab w:val="left" w:pos="426"/>
              </w:tabs>
              <w:snapToGrid w:val="0"/>
              <w:jc w:val="center"/>
              <w:rPr>
                <w:rFonts w:ascii="Times New Roman" w:hAnsi="Times New Roman" w:cs="Times New Roman"/>
                <w:b/>
                <w:bCs/>
                <w:color w:val="auto"/>
                <w:szCs w:val="21"/>
              </w:rPr>
            </w:pPr>
            <w:r>
              <w:rPr>
                <w:rFonts w:ascii="Times New Roman" w:hAnsi="Times New Roman" w:cs="Times New Roman"/>
                <w:b/>
                <w:bCs/>
                <w:color w:val="auto"/>
                <w:szCs w:val="21"/>
              </w:rPr>
              <w:t>判别依据</w:t>
            </w:r>
          </w:p>
        </w:tc>
        <w:tc>
          <w:tcPr>
            <w:tcW w:w="1418" w:type="dxa"/>
            <w:vAlign w:val="center"/>
          </w:tcPr>
          <w:p>
            <w:pPr>
              <w:tabs>
                <w:tab w:val="left" w:pos="426"/>
              </w:tabs>
              <w:snapToGrid w:val="0"/>
              <w:jc w:val="center"/>
              <w:rPr>
                <w:rFonts w:ascii="Times New Roman" w:hAnsi="Times New Roman" w:cs="Times New Roman"/>
                <w:b/>
                <w:bCs/>
                <w:color w:val="auto"/>
                <w:szCs w:val="21"/>
              </w:rPr>
            </w:pPr>
            <w:r>
              <w:rPr>
                <w:rFonts w:ascii="Times New Roman" w:hAnsi="Times New Roman" w:cs="Times New Roman"/>
                <w:b/>
                <w:bCs/>
                <w:color w:val="auto"/>
                <w:szCs w:val="21"/>
              </w:rPr>
              <w:t>声环境功能区</w:t>
            </w:r>
          </w:p>
        </w:tc>
        <w:tc>
          <w:tcPr>
            <w:tcW w:w="1559" w:type="dxa"/>
            <w:vAlign w:val="center"/>
          </w:tcPr>
          <w:p>
            <w:pPr>
              <w:tabs>
                <w:tab w:val="left" w:pos="426"/>
              </w:tabs>
              <w:snapToGrid w:val="0"/>
              <w:jc w:val="center"/>
              <w:rPr>
                <w:rFonts w:ascii="Times New Roman" w:hAnsi="Times New Roman" w:cs="Times New Roman"/>
                <w:b/>
                <w:bCs/>
                <w:color w:val="auto"/>
                <w:szCs w:val="21"/>
              </w:rPr>
            </w:pPr>
            <w:r>
              <w:rPr>
                <w:rFonts w:ascii="Times New Roman" w:hAnsi="Times New Roman" w:cs="Times New Roman"/>
                <w:b/>
                <w:bCs/>
                <w:color w:val="auto"/>
                <w:szCs w:val="21"/>
              </w:rPr>
              <w:t>敏感目标噪声级增量</w:t>
            </w:r>
          </w:p>
        </w:tc>
        <w:tc>
          <w:tcPr>
            <w:tcW w:w="1559" w:type="dxa"/>
            <w:vAlign w:val="center"/>
          </w:tcPr>
          <w:p>
            <w:pPr>
              <w:tabs>
                <w:tab w:val="left" w:pos="426"/>
              </w:tabs>
              <w:snapToGrid w:val="0"/>
              <w:jc w:val="center"/>
              <w:rPr>
                <w:rFonts w:ascii="Times New Roman" w:hAnsi="Times New Roman" w:cs="Times New Roman"/>
                <w:b/>
                <w:bCs/>
                <w:color w:val="auto"/>
                <w:szCs w:val="21"/>
              </w:rPr>
            </w:pPr>
            <w:r>
              <w:rPr>
                <w:rFonts w:ascii="Times New Roman" w:hAnsi="Times New Roman" w:cs="Times New Roman"/>
                <w:b/>
                <w:bCs/>
                <w:color w:val="auto"/>
                <w:szCs w:val="21"/>
              </w:rPr>
              <w:t>受噪声影响范围内的人口数量</w:t>
            </w:r>
          </w:p>
        </w:tc>
        <w:tc>
          <w:tcPr>
            <w:tcW w:w="2522" w:type="dxa"/>
            <w:vAlign w:val="center"/>
          </w:tcPr>
          <w:p>
            <w:pPr>
              <w:tabs>
                <w:tab w:val="left" w:pos="426"/>
              </w:tabs>
              <w:snapToGrid w:val="0"/>
              <w:jc w:val="center"/>
              <w:rPr>
                <w:rFonts w:ascii="Times New Roman" w:hAnsi="Times New Roman" w:cs="Times New Roman"/>
                <w:b/>
                <w:bCs/>
                <w:color w:val="auto"/>
                <w:szCs w:val="21"/>
              </w:rPr>
            </w:pPr>
            <w:r>
              <w:rPr>
                <w:rFonts w:ascii="Times New Roman" w:hAnsi="Times New Roman" w:cs="Times New Roman"/>
                <w:b/>
                <w:bCs/>
                <w:color w:val="auto"/>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214" w:hRule="atLeast"/>
          <w:jc w:val="center"/>
        </w:trPr>
        <w:tc>
          <w:tcPr>
            <w:tcW w:w="1304"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一级评价</w:t>
            </w:r>
          </w:p>
        </w:tc>
        <w:tc>
          <w:tcPr>
            <w:tcW w:w="1418"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0类及以上</w:t>
            </w:r>
          </w:p>
        </w:tc>
        <w:tc>
          <w:tcPr>
            <w:tcW w:w="1559"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≥5dB（A）</w:t>
            </w:r>
          </w:p>
        </w:tc>
        <w:tc>
          <w:tcPr>
            <w:tcW w:w="1559" w:type="dxa"/>
            <w:vAlign w:val="center"/>
          </w:tcPr>
          <w:p>
            <w:pPr>
              <w:tabs>
                <w:tab w:val="left" w:pos="426"/>
              </w:tabs>
              <w:jc w:val="center"/>
              <w:rPr>
                <w:rFonts w:ascii="Times New Roman" w:hAnsi="Times New Roman" w:cs="Times New Roman"/>
                <w:bCs/>
                <w:color w:val="auto"/>
                <w:szCs w:val="21"/>
              </w:rPr>
            </w:pPr>
            <w:r>
              <w:rPr>
                <w:rFonts w:ascii="Times New Roman" w:hAnsi="Times New Roman" w:cs="Times New Roman"/>
                <w:bCs/>
                <w:color w:val="auto"/>
                <w:szCs w:val="21"/>
              </w:rPr>
              <w:t>显著增多</w:t>
            </w:r>
          </w:p>
        </w:tc>
        <w:tc>
          <w:tcPr>
            <w:tcW w:w="2522" w:type="dxa"/>
            <w:vMerge w:val="restart"/>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1、判断项目建设后声级增高的具体地点为距该项目声源最近的敏感目标处。</w:t>
            </w:r>
          </w:p>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2、符合两个以上的划分原则时，按较高级别执行。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219" w:hRule="atLeast"/>
          <w:jc w:val="center"/>
        </w:trPr>
        <w:tc>
          <w:tcPr>
            <w:tcW w:w="1304"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二级评价</w:t>
            </w:r>
          </w:p>
        </w:tc>
        <w:tc>
          <w:tcPr>
            <w:tcW w:w="1418"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1类、2类</w:t>
            </w:r>
          </w:p>
        </w:tc>
        <w:tc>
          <w:tcPr>
            <w:tcW w:w="1559"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3~5dB（A）</w:t>
            </w:r>
          </w:p>
        </w:tc>
        <w:tc>
          <w:tcPr>
            <w:tcW w:w="1559" w:type="dxa"/>
            <w:vAlign w:val="center"/>
          </w:tcPr>
          <w:p>
            <w:pPr>
              <w:tabs>
                <w:tab w:val="left" w:pos="426"/>
              </w:tabs>
              <w:jc w:val="center"/>
              <w:rPr>
                <w:rFonts w:ascii="Times New Roman" w:hAnsi="Times New Roman" w:cs="Times New Roman"/>
                <w:bCs/>
                <w:color w:val="auto"/>
                <w:szCs w:val="21"/>
              </w:rPr>
            </w:pPr>
            <w:r>
              <w:rPr>
                <w:rFonts w:ascii="Times New Roman" w:hAnsi="Times New Roman" w:cs="Times New Roman"/>
                <w:bCs/>
                <w:color w:val="auto"/>
                <w:szCs w:val="21"/>
              </w:rPr>
              <w:t>增加较多</w:t>
            </w:r>
          </w:p>
        </w:tc>
        <w:tc>
          <w:tcPr>
            <w:tcW w:w="2522" w:type="dxa"/>
            <w:vMerge w:val="continue"/>
            <w:vAlign w:val="center"/>
          </w:tcPr>
          <w:p>
            <w:pPr>
              <w:rPr>
                <w:rFonts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97" w:hRule="atLeast"/>
          <w:jc w:val="center"/>
        </w:trPr>
        <w:tc>
          <w:tcPr>
            <w:tcW w:w="1304"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三级评价</w:t>
            </w:r>
          </w:p>
        </w:tc>
        <w:tc>
          <w:tcPr>
            <w:tcW w:w="1418"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3类、4类</w:t>
            </w:r>
          </w:p>
        </w:tc>
        <w:tc>
          <w:tcPr>
            <w:tcW w:w="1559" w:type="dxa"/>
            <w:vAlign w:val="center"/>
          </w:tcPr>
          <w:p>
            <w:pPr>
              <w:tabs>
                <w:tab w:val="left" w:pos="426"/>
              </w:tabs>
              <w:snapToGrid w:val="0"/>
              <w:jc w:val="center"/>
              <w:rPr>
                <w:rFonts w:ascii="Times New Roman" w:hAnsi="Times New Roman" w:cs="Times New Roman"/>
                <w:bCs/>
                <w:color w:val="auto"/>
                <w:szCs w:val="21"/>
              </w:rPr>
            </w:pPr>
            <w:r>
              <w:rPr>
                <w:rFonts w:ascii="Times New Roman" w:hAnsi="Times New Roman" w:cs="Times New Roman"/>
                <w:bCs/>
                <w:color w:val="auto"/>
                <w:szCs w:val="21"/>
              </w:rPr>
              <w:t>≤3dB（A）</w:t>
            </w:r>
          </w:p>
        </w:tc>
        <w:tc>
          <w:tcPr>
            <w:tcW w:w="1559" w:type="dxa"/>
            <w:vAlign w:val="center"/>
          </w:tcPr>
          <w:p>
            <w:pPr>
              <w:tabs>
                <w:tab w:val="left" w:pos="426"/>
              </w:tabs>
              <w:jc w:val="center"/>
              <w:rPr>
                <w:rFonts w:ascii="Times New Roman" w:hAnsi="Times New Roman" w:cs="Times New Roman"/>
                <w:bCs/>
                <w:color w:val="auto"/>
                <w:szCs w:val="21"/>
              </w:rPr>
            </w:pPr>
            <w:r>
              <w:rPr>
                <w:rFonts w:ascii="Times New Roman" w:hAnsi="Times New Roman" w:cs="Times New Roman"/>
                <w:bCs/>
                <w:color w:val="auto"/>
                <w:szCs w:val="21"/>
              </w:rPr>
              <w:t>变化不大</w:t>
            </w:r>
          </w:p>
        </w:tc>
        <w:tc>
          <w:tcPr>
            <w:tcW w:w="2522" w:type="dxa"/>
            <w:vMerge w:val="continue"/>
            <w:vAlign w:val="center"/>
          </w:tcPr>
          <w:p>
            <w:pPr>
              <w:rPr>
                <w:rFonts w:ascii="Times New Roman" w:hAnsi="Times New Roman" w:cs="Times New Roman"/>
                <w:color w:val="auto"/>
              </w:rPr>
            </w:pPr>
          </w:p>
        </w:tc>
      </w:tr>
    </w:tbl>
    <w:p>
      <w:pPr>
        <w:spacing w:line="360" w:lineRule="auto"/>
        <w:ind w:firstLine="482"/>
        <w:rPr>
          <w:rFonts w:ascii="Times New Roman" w:hAnsi="Times New Roman" w:cs="Times New Roman"/>
          <w:color w:val="auto"/>
          <w:sz w:val="24"/>
          <w:szCs w:val="24"/>
        </w:rPr>
      </w:pP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（2）环境特征</w:t>
      </w: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本工程位于长岭分公司炼油装置，声环境功能区为3类区。</w:t>
      </w: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w:t>
      </w:r>
      <w:r>
        <w:rPr>
          <w:rFonts w:hint="eastAsia" w:ascii="Times New Roman" w:hAnsi="Times New Roman" w:cs="Times New Roman"/>
          <w:color w:val="auto"/>
          <w:sz w:val="24"/>
          <w:szCs w:val="24"/>
        </w:rPr>
        <w:t>3</w:t>
      </w:r>
      <w:r>
        <w:rPr>
          <w:rFonts w:ascii="Times New Roman" w:hAnsi="Times New Roman" w:cs="Times New Roman"/>
          <w:color w:val="auto"/>
          <w:sz w:val="24"/>
          <w:szCs w:val="24"/>
        </w:rPr>
        <w:t>）对周围环境影响</w:t>
      </w: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本项目采取完善的噪声防治措施，预计投产后敏感点噪声增加值小于3dB(A)，且受影响人口变化不大，不会对周围环境产生明显影响。</w:t>
      </w: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w:t>
      </w:r>
      <w:r>
        <w:rPr>
          <w:rFonts w:hint="eastAsia" w:ascii="Times New Roman" w:hAnsi="Times New Roman" w:cs="Times New Roman"/>
          <w:color w:val="auto"/>
          <w:sz w:val="24"/>
          <w:szCs w:val="24"/>
        </w:rPr>
        <w:t>4</w:t>
      </w:r>
      <w:r>
        <w:rPr>
          <w:rFonts w:ascii="Times New Roman" w:hAnsi="Times New Roman" w:cs="Times New Roman"/>
          <w:color w:val="auto"/>
          <w:sz w:val="24"/>
          <w:szCs w:val="24"/>
        </w:rPr>
        <w:t>）评价等级及范围确定</w:t>
      </w:r>
    </w:p>
    <w:p>
      <w:pPr>
        <w:spacing w:line="360" w:lineRule="auto"/>
        <w:ind w:firstLine="482"/>
        <w:rPr>
          <w:rFonts w:ascii="Times New Roman" w:hAnsi="Times New Roman" w:cs="Times New Roman"/>
          <w:color w:val="auto"/>
          <w:sz w:val="24"/>
          <w:szCs w:val="24"/>
        </w:rPr>
      </w:pPr>
      <w:r>
        <w:rPr>
          <w:rFonts w:ascii="Times New Roman" w:hAnsi="Times New Roman" w:cs="Times New Roman"/>
          <w:color w:val="auto"/>
          <w:sz w:val="24"/>
          <w:szCs w:val="24"/>
        </w:rPr>
        <w:t>综上分析，确定本项目声环境影响评价级别为三级，只进行厂界达标分析，评价范围为厂界外200m。</w:t>
      </w:r>
    </w:p>
    <w:p>
      <w:pPr>
        <w:pStyle w:val="2"/>
        <w:rPr>
          <w:color w:val="0000FF"/>
        </w:rPr>
      </w:pPr>
    </w:p>
    <w:p>
      <w:pPr>
        <w:pStyle w:val="7"/>
        <w:spacing w:before="120" w:beforeLines="0" w:after="120" w:afterLines="0"/>
        <w:rPr>
          <w:color w:val="auto"/>
          <w:u w:val="single"/>
        </w:rPr>
      </w:pPr>
      <w:bookmarkStart w:id="105" w:name="_Toc6013"/>
      <w:bookmarkStart w:id="106" w:name="_Toc1148"/>
      <w:bookmarkStart w:id="107" w:name="_Toc27637"/>
      <w:r>
        <w:rPr>
          <w:rFonts w:hint="eastAsia"/>
          <w:color w:val="auto"/>
          <w:u w:val="single"/>
          <w:lang w:eastAsia="zh-CN"/>
        </w:rPr>
        <w:t>土壤评价等级</w:t>
      </w:r>
    </w:p>
    <w:p>
      <w:pPr>
        <w:spacing w:line="360" w:lineRule="auto"/>
        <w:ind w:firstLine="482"/>
        <w:rPr>
          <w:rFonts w:hint="eastAsia" w:ascii="Times New Roman" w:hAnsi="Times New Roman" w:cs="Times New Roman"/>
          <w:color w:val="auto"/>
          <w:sz w:val="24"/>
          <w:szCs w:val="24"/>
          <w:u w:val="single"/>
          <w:lang w:val="en-US" w:eastAsia="zh-CN"/>
        </w:rPr>
      </w:pPr>
      <w:r>
        <w:rPr>
          <w:rFonts w:ascii="Times New Roman" w:hAnsi="Times New Roman" w:cs="Times New Roman"/>
          <w:color w:val="auto"/>
          <w:sz w:val="24"/>
          <w:szCs w:val="24"/>
          <w:u w:val="single"/>
        </w:rPr>
        <w:t>按照《环境影响评价技术导则－</w:t>
      </w:r>
      <w:r>
        <w:rPr>
          <w:rFonts w:hint="eastAsia" w:ascii="Times New Roman" w:hAnsi="Times New Roman" w:cs="Times New Roman"/>
          <w:color w:val="auto"/>
          <w:sz w:val="24"/>
          <w:szCs w:val="24"/>
          <w:u w:val="single"/>
          <w:lang w:eastAsia="zh-CN"/>
        </w:rPr>
        <w:t>土壤</w:t>
      </w:r>
      <w:r>
        <w:rPr>
          <w:rFonts w:ascii="Times New Roman" w:hAnsi="Times New Roman" w:cs="Times New Roman"/>
          <w:color w:val="auto"/>
          <w:sz w:val="24"/>
          <w:szCs w:val="24"/>
          <w:u w:val="single"/>
        </w:rPr>
        <w:t>环境》（HJ</w:t>
      </w:r>
      <w:r>
        <w:rPr>
          <w:rFonts w:hint="eastAsia" w:ascii="Times New Roman" w:hAnsi="Times New Roman" w:cs="Times New Roman"/>
          <w:color w:val="auto"/>
          <w:sz w:val="24"/>
          <w:szCs w:val="24"/>
          <w:u w:val="single"/>
          <w:lang w:val="en-US" w:eastAsia="zh-CN"/>
        </w:rPr>
        <w:t>964</w:t>
      </w:r>
      <w:r>
        <w:rPr>
          <w:rFonts w:ascii="Times New Roman" w:hAnsi="Times New Roman" w:cs="Times New Roman"/>
          <w:color w:val="auto"/>
          <w:sz w:val="24"/>
          <w:szCs w:val="24"/>
          <w:u w:val="single"/>
        </w:rPr>
        <w:t>-20</w:t>
      </w:r>
      <w:r>
        <w:rPr>
          <w:rFonts w:hint="eastAsia" w:ascii="Times New Roman" w:hAnsi="Times New Roman" w:cs="Times New Roman"/>
          <w:color w:val="auto"/>
          <w:sz w:val="24"/>
          <w:szCs w:val="24"/>
          <w:u w:val="single"/>
          <w:lang w:val="en-US" w:eastAsia="zh-CN"/>
        </w:rPr>
        <w:t>18</w:t>
      </w:r>
      <w:r>
        <w:rPr>
          <w:rFonts w:ascii="Times New Roman" w:hAnsi="Times New Roman" w:cs="Times New Roman"/>
          <w:color w:val="auto"/>
          <w:sz w:val="24"/>
          <w:szCs w:val="24"/>
          <w:u w:val="single"/>
        </w:rPr>
        <w:t>）中</w:t>
      </w:r>
      <w:r>
        <w:rPr>
          <w:rFonts w:hint="eastAsia" w:ascii="Times New Roman" w:hAnsi="Times New Roman" w:cs="Times New Roman"/>
          <w:color w:val="auto"/>
          <w:sz w:val="24"/>
          <w:szCs w:val="24"/>
          <w:u w:val="single"/>
          <w:lang w:eastAsia="zh-CN"/>
        </w:rPr>
        <w:t>，化学品输送管线应以工程两侧向外延伸</w:t>
      </w:r>
      <w:r>
        <w:rPr>
          <w:rFonts w:hint="eastAsia" w:ascii="Times New Roman" w:hAnsi="Times New Roman" w:cs="Times New Roman"/>
          <w:color w:val="auto"/>
          <w:sz w:val="24"/>
          <w:szCs w:val="24"/>
          <w:u w:val="single"/>
          <w:lang w:val="en-US" w:eastAsia="zh-CN"/>
        </w:rPr>
        <w:t>200米作为调查范围。本项目液氨输送管理线两侧200米范围为公司生产区及云溪长岭工业园区，故本项目敏感程度属于较敏感，本项目占地约100m</w:t>
      </w:r>
      <w:r>
        <w:rPr>
          <w:rFonts w:hint="eastAsia" w:ascii="Times New Roman" w:hAnsi="Times New Roman" w:cs="Times New Roman"/>
          <w:color w:val="auto"/>
          <w:sz w:val="24"/>
          <w:szCs w:val="24"/>
          <w:u w:val="single"/>
          <w:vertAlign w:val="superscript"/>
          <w:lang w:val="en-US" w:eastAsia="zh-CN"/>
        </w:rPr>
        <w:t>2</w:t>
      </w:r>
      <w:r>
        <w:rPr>
          <w:rFonts w:hint="eastAsia" w:ascii="Times New Roman" w:hAnsi="Times New Roman" w:cs="Times New Roman"/>
          <w:color w:val="auto"/>
          <w:sz w:val="24"/>
          <w:szCs w:val="24"/>
          <w:u w:val="single"/>
          <w:lang w:val="en-US" w:eastAsia="zh-CN"/>
        </w:rPr>
        <w:t>，故占地规模小于</w:t>
      </w:r>
      <w:r>
        <w:rPr>
          <w:rFonts w:hint="default" w:ascii="Times New Roman" w:hAnsi="Times New Roman" w:cs="Times New Roman"/>
          <w:color w:val="auto"/>
          <w:sz w:val="24"/>
          <w:szCs w:val="24"/>
          <w:u w:val="single"/>
          <w:lang w:val="en-US" w:eastAsia="zh-CN"/>
        </w:rPr>
        <w:t>≤</w:t>
      </w:r>
      <w:r>
        <w:rPr>
          <w:rFonts w:hint="eastAsia" w:ascii="Times New Roman" w:hAnsi="Times New Roman" w:cs="Times New Roman"/>
          <w:color w:val="auto"/>
          <w:sz w:val="24"/>
          <w:szCs w:val="24"/>
          <w:u w:val="single"/>
          <w:lang w:val="en-US" w:eastAsia="zh-CN"/>
        </w:rPr>
        <w:t>5hm2</w:t>
      </w:r>
      <w:r>
        <w:rPr>
          <w:rFonts w:ascii="Times New Roman" w:hAnsi="Times New Roman" w:cs="Times New Roman"/>
          <w:color w:val="auto"/>
          <w:sz w:val="24"/>
          <w:szCs w:val="24"/>
          <w:u w:val="single"/>
        </w:rPr>
        <w:t>。</w:t>
      </w:r>
      <w:r>
        <w:rPr>
          <w:rFonts w:hint="eastAsia" w:ascii="Times New Roman" w:hAnsi="Times New Roman" w:cs="Times New Roman"/>
          <w:color w:val="auto"/>
          <w:sz w:val="24"/>
          <w:szCs w:val="24"/>
          <w:u w:val="single"/>
          <w:lang w:eastAsia="zh-CN"/>
        </w:rPr>
        <w:t>项目液氨属于气相挥发类，对土壤环境影响小，故类别比照交通运输仓储邮政业</w:t>
      </w:r>
      <w:r>
        <w:rPr>
          <w:rFonts w:hint="eastAsia" w:ascii="Times New Roman" w:hAnsi="Times New Roman" w:cs="Times New Roman"/>
          <w:color w:val="auto"/>
          <w:sz w:val="24"/>
          <w:szCs w:val="24"/>
          <w:u w:val="single"/>
          <w:lang w:eastAsia="zh-CN"/>
        </w:rPr>
        <w:fldChar w:fldCharType="begin"/>
      </w:r>
      <w:r>
        <w:rPr>
          <w:rFonts w:hint="eastAsia" w:ascii="Times New Roman" w:hAnsi="Times New Roman" w:cs="Times New Roman"/>
          <w:color w:val="auto"/>
          <w:sz w:val="24"/>
          <w:szCs w:val="24"/>
          <w:u w:val="single"/>
          <w:lang w:eastAsia="zh-CN"/>
        </w:rPr>
        <w:instrText xml:space="preserve"> = 3 \* ROMAN \* MERGEFORMAT </w:instrText>
      </w:r>
      <w:r>
        <w:rPr>
          <w:rFonts w:hint="eastAsia" w:ascii="Times New Roman" w:hAnsi="Times New Roman" w:cs="Times New Roman"/>
          <w:color w:val="auto"/>
          <w:sz w:val="24"/>
          <w:szCs w:val="24"/>
          <w:u w:val="single"/>
          <w:lang w:eastAsia="zh-CN"/>
        </w:rPr>
        <w:fldChar w:fldCharType="separate"/>
      </w:r>
      <w:r>
        <w:rPr>
          <w:rFonts w:ascii="Times New Roman" w:hAnsi="Times New Roman" w:cs="Times New Roman"/>
          <w:color w:val="auto"/>
          <w:sz w:val="24"/>
          <w:szCs w:val="24"/>
          <w:u w:val="single"/>
        </w:rPr>
        <w:t>III</w:t>
      </w:r>
      <w:r>
        <w:rPr>
          <w:rFonts w:hint="eastAsia" w:ascii="Times New Roman" w:hAnsi="Times New Roman" w:cs="Times New Roman"/>
          <w:color w:val="auto"/>
          <w:sz w:val="24"/>
          <w:szCs w:val="24"/>
          <w:u w:val="single"/>
          <w:lang w:eastAsia="zh-CN"/>
        </w:rPr>
        <w:fldChar w:fldCharType="end"/>
      </w:r>
      <w:r>
        <w:rPr>
          <w:rFonts w:hint="eastAsia" w:ascii="Times New Roman" w:hAnsi="Times New Roman" w:cs="Times New Roman"/>
          <w:color w:val="auto"/>
          <w:sz w:val="24"/>
          <w:szCs w:val="24"/>
          <w:u w:val="single"/>
          <w:lang w:eastAsia="zh-CN"/>
        </w:rPr>
        <w:t>类，根据表</w:t>
      </w:r>
      <w:r>
        <w:rPr>
          <w:rFonts w:hint="eastAsia" w:ascii="Times New Roman" w:hAnsi="Times New Roman" w:cs="Times New Roman"/>
          <w:color w:val="auto"/>
          <w:sz w:val="24"/>
          <w:szCs w:val="24"/>
          <w:u w:val="single"/>
          <w:lang w:val="en-US" w:eastAsia="zh-CN"/>
        </w:rPr>
        <w:t>1.5-11，本项目可不开展土壤环境影响评价工作。</w:t>
      </w:r>
    </w:p>
    <w:p>
      <w:pPr>
        <w:pStyle w:val="2"/>
        <w:rPr>
          <w:rFonts w:hint="eastAsia"/>
          <w:lang w:val="en-US" w:eastAsia="zh-CN"/>
        </w:rPr>
      </w:pPr>
    </w:p>
    <w:p>
      <w:pPr>
        <w:pStyle w:val="18"/>
        <w:rPr>
          <w:rFonts w:hint="eastAsia" w:ascii="Times New Roman" w:hAnsi="Times New Roman" w:cs="Times New Roman"/>
          <w:color w:val="auto"/>
          <w:u w:val="single"/>
        </w:rPr>
      </w:pPr>
      <w:r>
        <w:rPr>
          <w:rFonts w:hint="eastAsia" w:ascii="Times New Roman" w:hAnsi="Times New Roman" w:cs="Times New Roman"/>
          <w:color w:val="auto"/>
          <w:u w:val="single"/>
        </w:rPr>
        <w:t>表</w:t>
      </w:r>
      <w:r>
        <w:rPr>
          <w:rFonts w:hint="eastAsia" w:ascii="Times New Roman" w:hAnsi="Times New Roman" w:cs="Times New Roman"/>
          <w:color w:val="auto"/>
          <w:u w:val="single"/>
          <w:lang w:val="en-US" w:eastAsia="zh-CN"/>
        </w:rPr>
        <w:t>1</w:t>
      </w:r>
      <w:r>
        <w:rPr>
          <w:rFonts w:hint="default" w:ascii="Times New Roman" w:hAnsi="Times New Roman" w:cs="Times New Roman"/>
          <w:color w:val="auto"/>
          <w:u w:val="single"/>
        </w:rPr>
        <w:t>.5-</w:t>
      </w:r>
      <w:r>
        <w:rPr>
          <w:rFonts w:hint="eastAsia" w:ascii="Times New Roman" w:hAnsi="Times New Roman" w:cs="Times New Roman"/>
          <w:color w:val="auto"/>
          <w:u w:val="single"/>
          <w:lang w:val="en-US" w:eastAsia="zh-CN"/>
        </w:rPr>
        <w:t>11</w:t>
      </w:r>
      <w:r>
        <w:rPr>
          <w:rFonts w:hint="default" w:ascii="Times New Roman" w:hAnsi="Times New Roman" w:cs="Times New Roman"/>
          <w:color w:val="auto"/>
          <w:u w:val="single"/>
        </w:rPr>
        <w:tab/>
      </w:r>
      <w:r>
        <w:rPr>
          <w:rFonts w:hint="eastAsia" w:ascii="Times New Roman" w:hAnsi="Times New Roman" w:cs="Times New Roman"/>
          <w:color w:val="auto"/>
          <w:u w:val="single"/>
        </w:rPr>
        <w:t>危险物质与临界量的比值</w:t>
      </w:r>
    </w:p>
    <w:tbl>
      <w:tblPr>
        <w:tblStyle w:val="45"/>
        <w:tblW w:w="810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651"/>
        <w:gridCol w:w="700"/>
        <w:gridCol w:w="660"/>
        <w:gridCol w:w="660"/>
        <w:gridCol w:w="660"/>
        <w:gridCol w:w="660"/>
        <w:gridCol w:w="660"/>
        <w:gridCol w:w="66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2130" w:type="dxa"/>
            <w:vMerge w:val="restart"/>
            <w:tcBorders>
              <w:tl2br w:val="single" w:color="auto" w:sz="4" w:space="0"/>
            </w:tcBorders>
          </w:tcPr>
          <w:p>
            <w:pPr>
              <w:pStyle w:val="161"/>
              <w:spacing w:line="240" w:lineRule="auto"/>
              <w:ind w:firstLine="1054" w:firstLineChars="500"/>
              <w:rPr>
                <w:rFonts w:cs="Times New Roman"/>
                <w:b/>
                <w:color w:val="auto"/>
                <w:sz w:val="21"/>
                <w:szCs w:val="21"/>
                <w:u w:val="single"/>
              </w:rPr>
            </w:pPr>
            <w:r>
              <w:rPr>
                <w:rFonts w:cs="Times New Roman"/>
                <w:b/>
                <w:color w:val="auto"/>
                <w:sz w:val="21"/>
                <w:szCs w:val="21"/>
                <w:u w:val="single"/>
              </w:rPr>
              <w:t>项目类别</w:t>
            </w:r>
          </w:p>
          <w:p>
            <w:pPr>
              <w:pStyle w:val="161"/>
              <w:spacing w:line="240" w:lineRule="auto"/>
              <w:ind w:firstLine="0" w:firstLineChars="0"/>
              <w:rPr>
                <w:rFonts w:cs="Times New Roman"/>
                <w:b/>
                <w:color w:val="auto"/>
                <w:sz w:val="21"/>
                <w:szCs w:val="21"/>
                <w:u w:val="single"/>
              </w:rPr>
            </w:pPr>
            <w:r>
              <w:rPr>
                <w:rFonts w:cs="Times New Roman"/>
                <w:b/>
                <w:color w:val="auto"/>
                <w:sz w:val="21"/>
                <w:szCs w:val="21"/>
                <w:u w:val="single"/>
              </w:rPr>
              <w:t>环境敏感程度</w:t>
            </w:r>
          </w:p>
        </w:tc>
        <w:tc>
          <w:tcPr>
            <w:tcW w:w="2011" w:type="dxa"/>
            <w:gridSpan w:val="3"/>
            <w:vAlign w:val="center"/>
          </w:tcPr>
          <w:p>
            <w:pPr>
              <w:pStyle w:val="161"/>
              <w:spacing w:line="240" w:lineRule="auto"/>
              <w:ind w:firstLine="0" w:firstLineChars="0"/>
              <w:jc w:val="center"/>
              <w:rPr>
                <w:rFonts w:cs="Times New Roman"/>
                <w:b/>
                <w:color w:val="auto"/>
                <w:sz w:val="21"/>
                <w:szCs w:val="21"/>
                <w:u w:val="single"/>
              </w:rPr>
            </w:pPr>
            <w:r>
              <w:rPr>
                <w:rFonts w:cs="Times New Roman"/>
                <w:b/>
                <w:color w:val="auto"/>
                <w:sz w:val="21"/>
                <w:szCs w:val="21"/>
                <w:u w:val="single"/>
              </w:rPr>
              <w:t>Ⅰ类</w:t>
            </w:r>
          </w:p>
        </w:tc>
        <w:tc>
          <w:tcPr>
            <w:tcW w:w="1980" w:type="dxa"/>
            <w:gridSpan w:val="3"/>
            <w:vAlign w:val="center"/>
          </w:tcPr>
          <w:p>
            <w:pPr>
              <w:pStyle w:val="161"/>
              <w:spacing w:line="240" w:lineRule="auto"/>
              <w:ind w:firstLine="0" w:firstLineChars="0"/>
              <w:jc w:val="center"/>
              <w:rPr>
                <w:rFonts w:cs="Times New Roman"/>
                <w:b/>
                <w:color w:val="auto"/>
                <w:sz w:val="21"/>
                <w:szCs w:val="21"/>
                <w:u w:val="single"/>
              </w:rPr>
            </w:pPr>
            <w:r>
              <w:rPr>
                <w:rFonts w:cs="Times New Roman"/>
                <w:b/>
                <w:color w:val="auto"/>
                <w:sz w:val="21"/>
                <w:szCs w:val="21"/>
                <w:u w:val="single"/>
              </w:rPr>
              <w:t>Ⅱ类</w:t>
            </w:r>
          </w:p>
        </w:tc>
        <w:tc>
          <w:tcPr>
            <w:tcW w:w="1980" w:type="dxa"/>
            <w:gridSpan w:val="3"/>
            <w:vAlign w:val="center"/>
          </w:tcPr>
          <w:p>
            <w:pPr>
              <w:pStyle w:val="161"/>
              <w:spacing w:line="240" w:lineRule="auto"/>
              <w:ind w:firstLine="0" w:firstLineChars="0"/>
              <w:jc w:val="center"/>
              <w:rPr>
                <w:rFonts w:cs="Times New Roman"/>
                <w:b/>
                <w:color w:val="auto"/>
                <w:sz w:val="21"/>
                <w:szCs w:val="21"/>
                <w:u w:val="single"/>
              </w:rPr>
            </w:pPr>
            <w:r>
              <w:rPr>
                <w:rFonts w:cs="Times New Roman"/>
                <w:b/>
                <w:color w:val="auto"/>
                <w:sz w:val="21"/>
                <w:szCs w:val="21"/>
                <w:u w:val="singl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2130" w:type="dxa"/>
            <w:vMerge w:val="continue"/>
            <w:tcBorders>
              <w:tl2br w:val="single" w:color="auto" w:sz="4" w:space="0"/>
            </w:tcBorders>
          </w:tcPr>
          <w:p>
            <w:pPr>
              <w:pStyle w:val="161"/>
              <w:spacing w:line="240" w:lineRule="auto"/>
              <w:ind w:firstLine="0" w:firstLineChars="0"/>
              <w:jc w:val="center"/>
              <w:rPr>
                <w:u w:val="single"/>
              </w:rPr>
            </w:pPr>
          </w:p>
        </w:tc>
        <w:tc>
          <w:tcPr>
            <w:tcW w:w="651" w:type="dxa"/>
            <w:vAlign w:val="center"/>
          </w:tcPr>
          <w:p>
            <w:pPr>
              <w:pStyle w:val="161"/>
              <w:spacing w:line="240" w:lineRule="auto"/>
              <w:ind w:firstLine="0" w:firstLineChars="0"/>
              <w:jc w:val="center"/>
              <w:rPr>
                <w:rFonts w:hint="eastAsia" w:eastAsia="宋体" w:cs="Times New Roman"/>
                <w:b/>
                <w:color w:val="auto"/>
                <w:sz w:val="21"/>
                <w:szCs w:val="21"/>
                <w:u w:val="single"/>
                <w:lang w:eastAsia="zh-CN"/>
              </w:rPr>
            </w:pPr>
            <w:r>
              <w:rPr>
                <w:rFonts w:hint="eastAsia" w:cs="Times New Roman"/>
                <w:b/>
                <w:color w:val="auto"/>
                <w:sz w:val="21"/>
                <w:szCs w:val="21"/>
                <w:u w:val="single"/>
                <w:lang w:eastAsia="zh-CN"/>
              </w:rPr>
              <w:t>大</w:t>
            </w:r>
          </w:p>
        </w:tc>
        <w:tc>
          <w:tcPr>
            <w:tcW w:w="700" w:type="dxa"/>
            <w:vAlign w:val="center"/>
          </w:tcPr>
          <w:p>
            <w:pPr>
              <w:pStyle w:val="161"/>
              <w:spacing w:line="240" w:lineRule="auto"/>
              <w:ind w:firstLine="0" w:firstLineChars="0"/>
              <w:jc w:val="center"/>
              <w:rPr>
                <w:rFonts w:hint="eastAsia" w:eastAsia="宋体" w:cs="Times New Roman"/>
                <w:b/>
                <w:color w:val="auto"/>
                <w:sz w:val="21"/>
                <w:szCs w:val="21"/>
                <w:u w:val="single"/>
                <w:lang w:eastAsia="zh-CN"/>
              </w:rPr>
            </w:pPr>
            <w:r>
              <w:rPr>
                <w:rFonts w:hint="eastAsia" w:cs="Times New Roman"/>
                <w:b/>
                <w:color w:val="auto"/>
                <w:sz w:val="21"/>
                <w:szCs w:val="21"/>
                <w:u w:val="single"/>
                <w:lang w:eastAsia="zh-CN"/>
              </w:rPr>
              <w:t>中</w:t>
            </w:r>
          </w:p>
        </w:tc>
        <w:tc>
          <w:tcPr>
            <w:tcW w:w="660" w:type="dxa"/>
            <w:vAlign w:val="center"/>
          </w:tcPr>
          <w:p>
            <w:pPr>
              <w:pStyle w:val="161"/>
              <w:spacing w:line="240" w:lineRule="auto"/>
              <w:ind w:firstLine="0" w:firstLineChars="0"/>
              <w:jc w:val="center"/>
              <w:rPr>
                <w:rFonts w:hint="eastAsia" w:eastAsia="宋体" w:cs="Times New Roman"/>
                <w:b/>
                <w:color w:val="auto"/>
                <w:sz w:val="21"/>
                <w:szCs w:val="21"/>
                <w:u w:val="single"/>
                <w:lang w:eastAsia="zh-CN"/>
              </w:rPr>
            </w:pPr>
            <w:r>
              <w:rPr>
                <w:rFonts w:hint="eastAsia" w:cs="Times New Roman"/>
                <w:b/>
                <w:color w:val="auto"/>
                <w:sz w:val="21"/>
                <w:szCs w:val="21"/>
                <w:u w:val="single"/>
                <w:lang w:eastAsia="zh-CN"/>
              </w:rPr>
              <w:t>小</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大</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中</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小</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大</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中</w:t>
            </w:r>
          </w:p>
        </w:tc>
        <w:tc>
          <w:tcPr>
            <w:tcW w:w="660" w:type="dxa"/>
            <w:vAlign w:val="center"/>
          </w:tcPr>
          <w:p>
            <w:pPr>
              <w:pStyle w:val="161"/>
              <w:spacing w:line="240" w:lineRule="auto"/>
              <w:ind w:firstLine="0" w:firstLineChars="0"/>
              <w:jc w:val="center"/>
              <w:rPr>
                <w:rFonts w:cs="Times New Roman"/>
                <w:b/>
                <w:color w:val="auto"/>
                <w:sz w:val="21"/>
                <w:szCs w:val="21"/>
                <w:u w:val="single"/>
              </w:rPr>
            </w:pPr>
            <w:r>
              <w:rPr>
                <w:rFonts w:hint="eastAsia" w:cs="Times New Roman"/>
                <w:b/>
                <w:color w:val="auto"/>
                <w:sz w:val="21"/>
                <w:szCs w:val="21"/>
                <w:u w:val="single"/>
                <w:lang w:eastAsia="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u w:val="single"/>
              </w:rPr>
            </w:pPr>
            <w:r>
              <w:rPr>
                <w:rFonts w:cs="Times New Roman"/>
                <w:color w:val="auto"/>
                <w:sz w:val="21"/>
                <w:szCs w:val="21"/>
                <w:u w:val="single"/>
              </w:rPr>
              <w:t>敏感</w:t>
            </w:r>
          </w:p>
        </w:tc>
        <w:tc>
          <w:tcPr>
            <w:tcW w:w="651" w:type="dxa"/>
            <w:vAlign w:val="center"/>
          </w:tcPr>
          <w:p>
            <w:pPr>
              <w:spacing w:line="240" w:lineRule="auto"/>
              <w:ind w:firstLine="0" w:firstLineChars="0"/>
              <w:jc w:val="center"/>
              <w:rPr>
                <w:rFonts w:hint="eastAsia" w:eastAsia="宋体" w:cs="Times New Roman"/>
                <w:color w:val="auto"/>
                <w:sz w:val="21"/>
                <w:szCs w:val="21"/>
                <w:u w:val="single"/>
                <w:lang w:eastAsia="zh-CN"/>
              </w:rPr>
            </w:pPr>
            <w:r>
              <w:rPr>
                <w:rFonts w:cs="Times New Roman"/>
                <w:color w:val="auto"/>
                <w:sz w:val="21"/>
                <w:szCs w:val="21"/>
                <w:u w:val="single"/>
              </w:rPr>
              <w:t>一</w:t>
            </w:r>
            <w:r>
              <w:rPr>
                <w:rFonts w:hint="eastAsia" w:cs="Times New Roman"/>
                <w:color w:val="auto"/>
                <w:sz w:val="21"/>
                <w:szCs w:val="21"/>
                <w:u w:val="single"/>
                <w:lang w:eastAsia="zh-CN"/>
              </w:rPr>
              <w:t>级</w:t>
            </w:r>
          </w:p>
        </w:tc>
        <w:tc>
          <w:tcPr>
            <w:tcW w:w="700" w:type="dxa"/>
            <w:vAlign w:val="center"/>
          </w:tcPr>
          <w:p>
            <w:pPr>
              <w:spacing w:line="240" w:lineRule="auto"/>
              <w:ind w:firstLine="0" w:firstLineChars="0"/>
              <w:jc w:val="center"/>
              <w:rPr>
                <w:rFonts w:cs="Times New Roman"/>
                <w:color w:val="auto"/>
                <w:sz w:val="21"/>
                <w:szCs w:val="21"/>
                <w:u w:val="single"/>
              </w:rPr>
            </w:pPr>
            <w:r>
              <w:rPr>
                <w:rFonts w:cs="Times New Roman"/>
                <w:color w:val="auto"/>
                <w:sz w:val="21"/>
                <w:szCs w:val="21"/>
                <w:u w:val="single"/>
              </w:rPr>
              <w:t>一</w:t>
            </w:r>
            <w:r>
              <w:rPr>
                <w:rFonts w:hint="eastAsia" w:cs="Times New Roman"/>
                <w:color w:val="auto"/>
                <w:sz w:val="21"/>
                <w:szCs w:val="21"/>
                <w:u w:val="single"/>
                <w:lang w:eastAsia="zh-CN"/>
              </w:rPr>
              <w:t>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cs="Times New Roman"/>
                <w:color w:val="auto"/>
                <w:sz w:val="21"/>
                <w:szCs w:val="21"/>
                <w:u w:val="single"/>
              </w:rPr>
              <w:t>一</w:t>
            </w:r>
            <w:r>
              <w:rPr>
                <w:rFonts w:hint="eastAsia" w:cs="Times New Roman"/>
                <w:color w:val="auto"/>
                <w:sz w:val="21"/>
                <w:szCs w:val="21"/>
                <w:u w:val="single"/>
                <w:lang w:eastAsia="zh-CN"/>
              </w:rPr>
              <w:t>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u w:val="single"/>
              </w:rPr>
            </w:pPr>
            <w:r>
              <w:rPr>
                <w:rFonts w:cs="Times New Roman"/>
                <w:color w:val="auto"/>
                <w:sz w:val="21"/>
                <w:szCs w:val="21"/>
                <w:u w:val="single"/>
              </w:rPr>
              <w:t>较敏感</w:t>
            </w:r>
          </w:p>
        </w:tc>
        <w:tc>
          <w:tcPr>
            <w:tcW w:w="651" w:type="dxa"/>
            <w:vAlign w:val="center"/>
          </w:tcPr>
          <w:p>
            <w:pPr>
              <w:spacing w:line="240" w:lineRule="auto"/>
              <w:ind w:firstLine="0" w:firstLineChars="0"/>
              <w:jc w:val="center"/>
              <w:rPr>
                <w:rFonts w:cs="Times New Roman"/>
                <w:color w:val="auto"/>
                <w:sz w:val="21"/>
                <w:szCs w:val="21"/>
                <w:u w:val="single"/>
              </w:rPr>
            </w:pPr>
            <w:r>
              <w:rPr>
                <w:rFonts w:cs="Times New Roman"/>
                <w:color w:val="auto"/>
                <w:sz w:val="21"/>
                <w:szCs w:val="21"/>
                <w:u w:val="single"/>
              </w:rPr>
              <w:t>一</w:t>
            </w:r>
            <w:r>
              <w:rPr>
                <w:rFonts w:hint="eastAsia" w:cs="Times New Roman"/>
                <w:color w:val="auto"/>
                <w:sz w:val="21"/>
                <w:szCs w:val="21"/>
                <w:u w:val="single"/>
                <w:lang w:eastAsia="zh-CN"/>
              </w:rPr>
              <w:t>级</w:t>
            </w:r>
          </w:p>
        </w:tc>
        <w:tc>
          <w:tcPr>
            <w:tcW w:w="700" w:type="dxa"/>
            <w:vAlign w:val="center"/>
          </w:tcPr>
          <w:p>
            <w:pPr>
              <w:spacing w:line="240" w:lineRule="auto"/>
              <w:ind w:firstLine="0" w:firstLineChars="0"/>
              <w:jc w:val="center"/>
              <w:rPr>
                <w:rFonts w:cs="Times New Roman"/>
                <w:color w:val="auto"/>
                <w:sz w:val="21"/>
                <w:szCs w:val="21"/>
                <w:u w:val="single"/>
              </w:rPr>
            </w:pPr>
            <w:r>
              <w:rPr>
                <w:rFonts w:cs="Times New Roman"/>
                <w:color w:val="auto"/>
                <w:sz w:val="21"/>
                <w:szCs w:val="21"/>
                <w:u w:val="single"/>
              </w:rPr>
              <w:t>一</w:t>
            </w:r>
            <w:r>
              <w:rPr>
                <w:rFonts w:hint="eastAsia" w:cs="Times New Roman"/>
                <w:color w:val="auto"/>
                <w:sz w:val="21"/>
                <w:szCs w:val="21"/>
                <w:u w:val="single"/>
                <w:lang w:eastAsia="zh-CN"/>
              </w:rPr>
              <w:t>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pStyle w:val="161"/>
              <w:spacing w:line="240" w:lineRule="auto"/>
              <w:ind w:firstLine="0" w:firstLineChars="0"/>
              <w:jc w:val="center"/>
              <w:rPr>
                <w:rFonts w:hint="eastAsia" w:eastAsia="宋体" w:cs="Times New Roman"/>
                <w:color w:val="auto"/>
                <w:sz w:val="21"/>
                <w:szCs w:val="21"/>
                <w:u w:val="single"/>
                <w:lang w:eastAsia="zh-CN"/>
              </w:rPr>
            </w:pPr>
            <w:r>
              <w:rPr>
                <w:rFonts w:hint="eastAsia" w:cs="Times New Roman"/>
                <w:color w:val="auto"/>
                <w:sz w:val="21"/>
                <w:szCs w:val="21"/>
                <w:u w:val="single"/>
                <w:lang w:eastAsia="zh-CN"/>
              </w:rPr>
              <w:t>三级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pStyle w:val="161"/>
              <w:spacing w:line="240" w:lineRule="auto"/>
              <w:ind w:firstLine="0" w:firstLineChars="0"/>
              <w:jc w:val="center"/>
              <w:rPr>
                <w:rFonts w:hint="eastAsia" w:eastAsia="宋体" w:cs="Times New Roman"/>
                <w:color w:val="auto"/>
                <w:sz w:val="21"/>
                <w:szCs w:val="21"/>
                <w:u w:val="single"/>
                <w:lang w:val="en-US" w:eastAsia="zh-CN"/>
              </w:rPr>
            </w:pPr>
            <w:r>
              <w:rPr>
                <w:rFonts w:hint="eastAsia" w:cs="Times New Roman"/>
                <w:color w:val="auto"/>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2130" w:type="dxa"/>
            <w:vAlign w:val="center"/>
          </w:tcPr>
          <w:p>
            <w:pPr>
              <w:pStyle w:val="161"/>
              <w:spacing w:line="240" w:lineRule="auto"/>
              <w:ind w:firstLine="0" w:firstLineChars="0"/>
              <w:jc w:val="center"/>
              <w:rPr>
                <w:rFonts w:cs="Times New Roman"/>
                <w:color w:val="auto"/>
                <w:sz w:val="21"/>
                <w:szCs w:val="21"/>
                <w:u w:val="single"/>
              </w:rPr>
            </w:pPr>
            <w:r>
              <w:rPr>
                <w:rFonts w:cs="Times New Roman"/>
                <w:color w:val="auto"/>
                <w:sz w:val="21"/>
                <w:szCs w:val="21"/>
                <w:u w:val="single"/>
              </w:rPr>
              <w:t>不敏感</w:t>
            </w:r>
          </w:p>
        </w:tc>
        <w:tc>
          <w:tcPr>
            <w:tcW w:w="651" w:type="dxa"/>
            <w:vAlign w:val="center"/>
          </w:tcPr>
          <w:p>
            <w:pPr>
              <w:spacing w:line="240" w:lineRule="auto"/>
              <w:ind w:firstLine="0" w:firstLineChars="0"/>
              <w:jc w:val="center"/>
              <w:rPr>
                <w:rFonts w:cs="Times New Roman"/>
                <w:b/>
                <w:color w:val="auto"/>
                <w:sz w:val="21"/>
                <w:szCs w:val="21"/>
                <w:u w:val="single"/>
                <w:shd w:val="pct10" w:color="auto" w:fill="FFFFFF"/>
              </w:rPr>
            </w:pPr>
            <w:r>
              <w:rPr>
                <w:rFonts w:cs="Times New Roman"/>
                <w:color w:val="auto"/>
                <w:sz w:val="21"/>
                <w:szCs w:val="21"/>
                <w:u w:val="single"/>
              </w:rPr>
              <w:t>一</w:t>
            </w:r>
            <w:r>
              <w:rPr>
                <w:rFonts w:hint="eastAsia" w:cs="Times New Roman"/>
                <w:color w:val="auto"/>
                <w:sz w:val="21"/>
                <w:szCs w:val="21"/>
                <w:u w:val="single"/>
                <w:lang w:eastAsia="zh-CN"/>
              </w:rPr>
              <w:t>级</w:t>
            </w:r>
          </w:p>
        </w:tc>
        <w:tc>
          <w:tcPr>
            <w:tcW w:w="700" w:type="dxa"/>
            <w:vAlign w:val="center"/>
          </w:tcPr>
          <w:p>
            <w:pPr>
              <w:pStyle w:val="161"/>
              <w:spacing w:line="240" w:lineRule="auto"/>
              <w:ind w:firstLine="0" w:firstLineChars="0"/>
              <w:jc w:val="center"/>
              <w:rPr>
                <w:rFonts w:hint="eastAsia" w:eastAsia="宋体" w:cs="Times New Roman"/>
                <w:color w:val="auto"/>
                <w:sz w:val="21"/>
                <w:szCs w:val="21"/>
                <w:u w:val="single"/>
                <w:lang w:eastAsia="zh-CN"/>
              </w:rPr>
            </w:pPr>
            <w:r>
              <w:rPr>
                <w:rFonts w:hint="eastAsia" w:cs="Times New Roman"/>
                <w:color w:val="auto"/>
                <w:sz w:val="21"/>
                <w:szCs w:val="21"/>
                <w:u w:val="single"/>
                <w:lang w:eastAsia="zh-CN"/>
              </w:rPr>
              <w:t>二级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二级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pStyle w:val="161"/>
              <w:spacing w:line="240" w:lineRule="auto"/>
              <w:ind w:firstLine="0" w:firstLineChars="0"/>
              <w:jc w:val="center"/>
              <w:rPr>
                <w:rFonts w:cs="Times New Roman"/>
                <w:color w:val="auto"/>
                <w:sz w:val="21"/>
                <w:szCs w:val="21"/>
                <w:u w:val="single"/>
              </w:rPr>
            </w:pPr>
            <w:r>
              <w:rPr>
                <w:rFonts w:hint="eastAsia" w:cs="Times New Roman"/>
                <w:color w:val="auto"/>
                <w:sz w:val="21"/>
                <w:szCs w:val="21"/>
                <w:u w:val="single"/>
                <w:lang w:eastAsia="zh-CN"/>
              </w:rPr>
              <w:t>三级</w:t>
            </w:r>
          </w:p>
        </w:tc>
        <w:tc>
          <w:tcPr>
            <w:tcW w:w="660" w:type="dxa"/>
            <w:vAlign w:val="center"/>
          </w:tcPr>
          <w:p>
            <w:pPr>
              <w:pStyle w:val="161"/>
              <w:spacing w:line="240" w:lineRule="auto"/>
              <w:ind w:firstLine="0" w:firstLineChars="0"/>
              <w:jc w:val="center"/>
              <w:rPr>
                <w:rFonts w:hint="eastAsia" w:eastAsia="宋体" w:cs="Times New Roman"/>
                <w:color w:val="auto"/>
                <w:sz w:val="21"/>
                <w:szCs w:val="21"/>
                <w:u w:val="single"/>
                <w:lang w:val="en-US" w:eastAsia="zh-CN"/>
              </w:rPr>
            </w:pPr>
            <w:r>
              <w:rPr>
                <w:rFonts w:hint="eastAsia" w:cs="Times New Roman"/>
                <w:color w:val="auto"/>
                <w:sz w:val="21"/>
                <w:szCs w:val="21"/>
                <w:u w:val="single"/>
                <w:lang w:val="en-US" w:eastAsia="zh-CN"/>
              </w:rPr>
              <w:t>-</w:t>
            </w:r>
          </w:p>
        </w:tc>
        <w:tc>
          <w:tcPr>
            <w:tcW w:w="660" w:type="dxa"/>
            <w:vAlign w:val="center"/>
          </w:tcPr>
          <w:p>
            <w:pPr>
              <w:pStyle w:val="161"/>
              <w:spacing w:line="240" w:lineRule="auto"/>
              <w:ind w:firstLine="0" w:firstLineChars="0"/>
              <w:jc w:val="center"/>
              <w:rPr>
                <w:rFonts w:hint="eastAsia" w:eastAsia="宋体" w:cs="Times New Roman"/>
                <w:color w:val="auto"/>
                <w:sz w:val="21"/>
                <w:szCs w:val="21"/>
                <w:u w:val="single"/>
                <w:lang w:val="en-US" w:eastAsia="zh-CN"/>
              </w:rPr>
            </w:pPr>
            <w:r>
              <w:rPr>
                <w:rFonts w:hint="eastAsia" w:cs="Times New Roman"/>
                <w:color w:val="auto"/>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8101" w:type="dxa"/>
            <w:gridSpan w:val="10"/>
            <w:vAlign w:val="center"/>
          </w:tcPr>
          <w:p>
            <w:pPr>
              <w:pStyle w:val="161"/>
              <w:spacing w:line="240" w:lineRule="auto"/>
              <w:ind w:firstLine="0" w:firstLineChars="0"/>
              <w:jc w:val="left"/>
              <w:rPr>
                <w:rFonts w:hint="eastAsia" w:eastAsia="宋体" w:cs="Times New Roman"/>
                <w:color w:val="auto"/>
                <w:sz w:val="21"/>
                <w:szCs w:val="21"/>
                <w:u w:val="single"/>
                <w:lang w:val="en-US" w:eastAsia="zh-CN"/>
              </w:rPr>
            </w:pPr>
            <w:r>
              <w:rPr>
                <w:rFonts w:hint="eastAsia" w:cs="Times New Roman"/>
                <w:color w:val="auto"/>
                <w:sz w:val="21"/>
                <w:szCs w:val="21"/>
                <w:u w:val="single"/>
                <w:lang w:val="en-US" w:eastAsia="zh-CN"/>
              </w:rPr>
              <w:t>注：“-”表示可不开展土壤环境影响评价工作</w:t>
            </w:r>
          </w:p>
        </w:tc>
      </w:tr>
    </w:tbl>
    <w:p/>
    <w:p/>
    <w:p>
      <w:pPr>
        <w:pStyle w:val="7"/>
        <w:spacing w:before="120" w:beforeLines="0" w:after="120" w:afterLines="0"/>
        <w:rPr>
          <w:color w:val="auto"/>
        </w:rPr>
      </w:pPr>
      <w:r>
        <w:rPr>
          <w:color w:val="auto"/>
        </w:rPr>
        <w:t>风险评价</w:t>
      </w:r>
      <w:bookmarkEnd w:id="105"/>
      <w:r>
        <w:rPr>
          <w:color w:val="auto"/>
        </w:rPr>
        <w:t>等级及范围</w:t>
      </w:r>
      <w:bookmarkEnd w:id="106"/>
      <w:bookmarkEnd w:id="107"/>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 xml:space="preserve">一、危险物质及工艺系统危险性 </w:t>
      </w:r>
      <w:r>
        <w:rPr>
          <w:rFonts w:hint="default" w:ascii="Times New Roman" w:hAnsi="Times New Roman"/>
          <w:color w:val="auto"/>
          <w:sz w:val="24"/>
          <w:szCs w:val="24"/>
        </w:rPr>
        <w:t xml:space="preserve">P </w:t>
      </w:r>
      <w:r>
        <w:rPr>
          <w:rFonts w:hint="eastAsia" w:ascii="Times New Roman" w:hAnsi="Times New Roman"/>
          <w:color w:val="auto"/>
          <w:sz w:val="24"/>
          <w:szCs w:val="24"/>
        </w:rPr>
        <w:t>的分级确定</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1</w:t>
      </w:r>
      <w:r>
        <w:rPr>
          <w:rFonts w:hint="eastAsia" w:ascii="Times New Roman" w:hAnsi="Times New Roman"/>
          <w:color w:val="auto"/>
          <w:sz w:val="24"/>
          <w:szCs w:val="24"/>
          <w:lang w:eastAsia="zh-CN"/>
        </w:rPr>
        <w:t>）</w:t>
      </w:r>
      <w:r>
        <w:rPr>
          <w:rFonts w:hint="eastAsia" w:ascii="Times New Roman" w:hAnsi="Times New Roman"/>
          <w:color w:val="auto"/>
          <w:sz w:val="24"/>
          <w:szCs w:val="24"/>
        </w:rPr>
        <w:t>危险物质数量与临界量比值（</w:t>
      </w:r>
      <w:r>
        <w:rPr>
          <w:rFonts w:hint="default" w:ascii="Times New Roman" w:hAnsi="Times New Roman"/>
          <w:color w:val="auto"/>
          <w:sz w:val="24"/>
          <w:szCs w:val="24"/>
        </w:rPr>
        <w:t>Q</w:t>
      </w:r>
      <w:r>
        <w:rPr>
          <w:rFonts w:hint="eastAsia" w:ascii="Times New Roman" w:hAnsi="Times New Roman"/>
          <w:color w:val="auto"/>
          <w:sz w:val="24"/>
          <w:szCs w:val="24"/>
        </w:rPr>
        <w:t>）</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根据《建设项目环境风险评价技术导则》（</w:t>
      </w:r>
      <w:r>
        <w:rPr>
          <w:rFonts w:hint="default" w:ascii="Times New Roman" w:hAnsi="Times New Roman"/>
          <w:color w:val="auto"/>
          <w:sz w:val="24"/>
          <w:szCs w:val="24"/>
        </w:rPr>
        <w:t>HJ169-2018</w:t>
      </w:r>
      <w:r>
        <w:rPr>
          <w:rFonts w:hint="eastAsia" w:ascii="Times New Roman" w:hAnsi="Times New Roman"/>
          <w:color w:val="auto"/>
          <w:sz w:val="24"/>
          <w:szCs w:val="24"/>
        </w:rPr>
        <w:t xml:space="preserve">）附录 </w:t>
      </w:r>
      <w:r>
        <w:rPr>
          <w:rFonts w:hint="default" w:ascii="Times New Roman" w:hAnsi="Times New Roman"/>
          <w:color w:val="auto"/>
          <w:sz w:val="24"/>
          <w:szCs w:val="24"/>
        </w:rPr>
        <w:t xml:space="preserve">B </w:t>
      </w:r>
      <w:r>
        <w:rPr>
          <w:rFonts w:hint="eastAsia" w:ascii="Times New Roman" w:hAnsi="Times New Roman"/>
          <w:color w:val="auto"/>
          <w:sz w:val="24"/>
          <w:szCs w:val="24"/>
        </w:rPr>
        <w:t>，本项目涉及危险物质</w:t>
      </w:r>
      <w:r>
        <w:rPr>
          <w:rFonts w:hint="eastAsia" w:ascii="Times New Roman" w:hAnsi="Times New Roman"/>
          <w:color w:val="auto"/>
          <w:sz w:val="24"/>
          <w:szCs w:val="24"/>
          <w:lang w:eastAsia="zh-CN"/>
        </w:rPr>
        <w:t>为</w:t>
      </w:r>
      <w:r>
        <w:rPr>
          <w:rFonts w:hint="eastAsia" w:ascii="Times New Roman" w:hAnsi="Times New Roman"/>
          <w:color w:val="auto"/>
          <w:sz w:val="24"/>
          <w:szCs w:val="24"/>
        </w:rPr>
        <w:t xml:space="preserve">氨。其危险物质与临界量的比值见表 </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11</w:t>
      </w:r>
      <w:r>
        <w:rPr>
          <w:rFonts w:hint="eastAsia" w:ascii="Times New Roman" w:hAnsi="Times New Roman"/>
          <w:color w:val="auto"/>
          <w:sz w:val="24"/>
          <w:szCs w:val="24"/>
        </w:rPr>
        <w:t>。</w:t>
      </w:r>
    </w:p>
    <w:p>
      <w:pPr>
        <w:pStyle w:val="2"/>
        <w:rPr>
          <w:rFonts w:hint="eastAsia"/>
          <w:color w:val="auto"/>
        </w:rPr>
      </w:pPr>
    </w:p>
    <w:p>
      <w:pPr>
        <w:pStyle w:val="2"/>
        <w:rPr>
          <w:rFonts w:hint="eastAsia"/>
          <w:color w:val="auto"/>
        </w:rPr>
      </w:pPr>
    </w:p>
    <w:p>
      <w:pPr>
        <w:pStyle w:val="2"/>
        <w:rPr>
          <w:rFonts w:hint="eastAsia"/>
          <w:color w:val="auto"/>
        </w:rPr>
      </w:pPr>
    </w:p>
    <w:p>
      <w:pPr>
        <w:pStyle w:val="2"/>
        <w:rPr>
          <w:rFonts w:hint="eastAsia"/>
          <w:color w:val="auto"/>
        </w:rPr>
      </w:pPr>
    </w:p>
    <w:p>
      <w:pPr>
        <w:pStyle w:val="18"/>
        <w:rPr>
          <w:rFonts w:hint="eastAsia" w:ascii="Times New Roman" w:hAnsi="Times New Roman" w:cs="Times New Roman"/>
          <w:color w:val="auto"/>
        </w:rPr>
      </w:pPr>
      <w:r>
        <w:rPr>
          <w:rFonts w:hint="eastAsia" w:ascii="Times New Roman" w:hAnsi="Times New Roman" w:cs="Times New Roman"/>
          <w:color w:val="auto"/>
        </w:rPr>
        <w:t>表</w:t>
      </w:r>
      <w:r>
        <w:rPr>
          <w:rFonts w:hint="eastAsia" w:ascii="Times New Roman" w:hAnsi="Times New Roman" w:cs="Times New Roman"/>
          <w:color w:val="auto"/>
          <w:lang w:val="en-US" w:eastAsia="zh-CN"/>
        </w:rPr>
        <w:t>1</w:t>
      </w:r>
      <w:r>
        <w:rPr>
          <w:rFonts w:hint="default" w:ascii="Times New Roman" w:hAnsi="Times New Roman" w:cs="Times New Roman"/>
          <w:color w:val="auto"/>
        </w:rPr>
        <w:t>.5-</w:t>
      </w:r>
      <w:r>
        <w:rPr>
          <w:rFonts w:hint="eastAsia" w:ascii="Times New Roman" w:hAnsi="Times New Roman" w:cs="Times New Roman"/>
          <w:color w:val="auto"/>
          <w:lang w:val="en-US" w:eastAsia="zh-CN"/>
        </w:rPr>
        <w:t>11</w:t>
      </w:r>
      <w:r>
        <w:rPr>
          <w:rFonts w:hint="default" w:ascii="Times New Roman" w:hAnsi="Times New Roman" w:cs="Times New Roman"/>
          <w:color w:val="auto"/>
        </w:rPr>
        <w:tab/>
      </w:r>
      <w:r>
        <w:rPr>
          <w:rFonts w:hint="eastAsia" w:ascii="Times New Roman" w:hAnsi="Times New Roman" w:cs="Times New Roman"/>
          <w:color w:val="auto"/>
        </w:rPr>
        <w:t>危险物质与临界量的比值</w:t>
      </w:r>
    </w:p>
    <w:p>
      <w:pPr>
        <w:pStyle w:val="22"/>
        <w:kinsoku w:val="0"/>
        <w:overflowPunct w:val="0"/>
        <w:spacing w:before="9" w:beforeLines="0" w:afterLines="0"/>
        <w:rPr>
          <w:rFonts w:hint="eastAsia" w:ascii="楷体" w:hAnsi="楷体" w:eastAsia="楷体"/>
          <w:b/>
          <w:color w:val="auto"/>
          <w:sz w:val="7"/>
        </w:rPr>
      </w:pPr>
    </w:p>
    <w:tbl>
      <w:tblPr>
        <w:tblStyle w:val="45"/>
        <w:tblW w:w="8587"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99"/>
        <w:gridCol w:w="1532"/>
        <w:gridCol w:w="1342"/>
        <w:gridCol w:w="1315"/>
        <w:gridCol w:w="29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6" w:hRule="atLeast"/>
        </w:trPr>
        <w:tc>
          <w:tcPr>
            <w:tcW w:w="1399" w:type="dxa"/>
            <w:tcBorders>
              <w:top w:val="single" w:color="000000" w:sz="12" w:space="0"/>
              <w:left w:val="nil"/>
              <w:bottom w:val="single" w:color="000000" w:sz="4" w:space="0"/>
              <w:right w:val="single" w:color="000000" w:sz="4" w:space="0"/>
              <w:tl2br w:val="nil"/>
              <w:tr2bl w:val="nil"/>
            </w:tcBorders>
            <w:vAlign w:val="center"/>
          </w:tcPr>
          <w:p>
            <w:pPr>
              <w:pStyle w:val="247"/>
              <w:kinsoku w:val="0"/>
              <w:overflowPunct w:val="0"/>
              <w:spacing w:beforeLines="0" w:afterLines="0"/>
              <w:jc w:val="center"/>
              <w:rPr>
                <w:rFonts w:hint="eastAsia"/>
                <w:b/>
                <w:color w:val="auto"/>
                <w:sz w:val="21"/>
              </w:rPr>
            </w:pPr>
            <w:r>
              <w:rPr>
                <w:rFonts w:hint="eastAsia"/>
                <w:b/>
                <w:color w:val="auto"/>
                <w:sz w:val="21"/>
              </w:rPr>
              <w:t>物质名称</w:t>
            </w:r>
          </w:p>
        </w:tc>
        <w:tc>
          <w:tcPr>
            <w:tcW w:w="153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Lines="0" w:afterLines="0"/>
              <w:jc w:val="center"/>
              <w:rPr>
                <w:rFonts w:hint="eastAsia"/>
                <w:b/>
                <w:color w:val="auto"/>
                <w:sz w:val="21"/>
              </w:rPr>
            </w:pPr>
            <w:r>
              <w:rPr>
                <w:rFonts w:hint="default" w:ascii="Times New Roman" w:hAnsi="Times New Roman" w:eastAsia="Times New Roman"/>
                <w:b/>
                <w:color w:val="auto"/>
                <w:sz w:val="21"/>
              </w:rPr>
              <w:t xml:space="preserve">CAS </w:t>
            </w:r>
            <w:r>
              <w:rPr>
                <w:rFonts w:hint="eastAsia"/>
                <w:b/>
                <w:color w:val="auto"/>
                <w:sz w:val="21"/>
              </w:rPr>
              <w:t>号</w:t>
            </w:r>
          </w:p>
        </w:tc>
        <w:tc>
          <w:tcPr>
            <w:tcW w:w="134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Lines="0" w:afterLines="0"/>
              <w:jc w:val="center"/>
              <w:rPr>
                <w:rFonts w:hint="default" w:ascii="Times New Roman" w:hAnsi="Times New Roman" w:eastAsia="Times New Roman"/>
                <w:b/>
                <w:color w:val="auto"/>
                <w:sz w:val="21"/>
              </w:rPr>
            </w:pPr>
            <w:r>
              <w:rPr>
                <w:rFonts w:hint="eastAsia"/>
                <w:b/>
                <w:color w:val="auto"/>
                <w:sz w:val="21"/>
              </w:rPr>
              <w:t>临界量</w:t>
            </w:r>
            <w:r>
              <w:rPr>
                <w:rFonts w:hint="default" w:ascii="Times New Roman" w:hAnsi="Times New Roman" w:eastAsia="Times New Roman"/>
                <w:b/>
                <w:color w:val="auto"/>
                <w:sz w:val="21"/>
              </w:rPr>
              <w:t>Qi</w:t>
            </w:r>
          </w:p>
        </w:tc>
        <w:tc>
          <w:tcPr>
            <w:tcW w:w="1315"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46" w:beforeLines="0" w:afterLines="0" w:line="252" w:lineRule="exact"/>
              <w:jc w:val="center"/>
              <w:rPr>
                <w:rFonts w:hint="eastAsia"/>
                <w:b/>
                <w:color w:val="auto"/>
                <w:sz w:val="21"/>
              </w:rPr>
            </w:pPr>
            <w:r>
              <w:rPr>
                <w:rFonts w:hint="eastAsia"/>
                <w:b/>
                <w:color w:val="auto"/>
                <w:sz w:val="21"/>
              </w:rPr>
              <w:t xml:space="preserve">实际量 </w:t>
            </w:r>
            <w:r>
              <w:rPr>
                <w:rFonts w:hint="default" w:ascii="Times New Roman" w:hAnsi="Times New Roman" w:eastAsia="Times New Roman"/>
                <w:b/>
                <w:color w:val="auto"/>
                <w:sz w:val="21"/>
              </w:rPr>
              <w:t>qi</w:t>
            </w:r>
          </w:p>
        </w:tc>
        <w:tc>
          <w:tcPr>
            <w:tcW w:w="2999"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Lines="0" w:afterLines="0"/>
              <w:jc w:val="center"/>
              <w:rPr>
                <w:rFonts w:hint="default" w:ascii="Times New Roman" w:hAnsi="Times New Roman" w:eastAsia="Times New Roman"/>
                <w:b/>
                <w:color w:val="auto"/>
                <w:sz w:val="21"/>
              </w:rPr>
            </w:pPr>
            <w:r>
              <w:rPr>
                <w:rFonts w:hint="default" w:ascii="Times New Roman" w:hAnsi="Times New Roman" w:eastAsia="Times New Roman"/>
                <w:b/>
                <w:color w:val="auto"/>
                <w:sz w:val="21"/>
              </w:rPr>
              <w:t>qi/Qi</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1399"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46" w:beforeLines="0" w:afterLines="0" w:line="252" w:lineRule="exact"/>
              <w:ind w:left="45"/>
              <w:rPr>
                <w:rFonts w:hint="eastAsia"/>
                <w:color w:val="auto"/>
                <w:sz w:val="21"/>
              </w:rPr>
            </w:pPr>
            <w:r>
              <w:rPr>
                <w:rFonts w:hint="eastAsia"/>
                <w:color w:val="auto"/>
                <w:sz w:val="21"/>
              </w:rPr>
              <w:t>氨</w:t>
            </w:r>
          </w:p>
        </w:tc>
        <w:tc>
          <w:tcPr>
            <w:tcW w:w="153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30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7664-41-7</w:t>
            </w:r>
          </w:p>
        </w:tc>
        <w:tc>
          <w:tcPr>
            <w:tcW w:w="134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60" w:beforeLines="0" w:afterLines="0" w:line="238" w:lineRule="exact"/>
              <w:ind w:left="176" w:right="152"/>
              <w:jc w:val="center"/>
              <w:rPr>
                <w:rFonts w:hint="default" w:ascii="Times New Roman" w:hAnsi="Times New Roman" w:eastAsia="Times New Roman"/>
                <w:color w:val="auto"/>
                <w:sz w:val="21"/>
              </w:rPr>
            </w:pPr>
            <w:r>
              <w:rPr>
                <w:rFonts w:hint="default" w:ascii="Times New Roman" w:hAnsi="Times New Roman" w:eastAsia="Times New Roman"/>
                <w:color w:val="auto"/>
                <w:sz w:val="21"/>
              </w:rPr>
              <w:t>5t</w:t>
            </w:r>
          </w:p>
        </w:tc>
        <w:tc>
          <w:tcPr>
            <w:tcW w:w="1315"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60" w:beforeLines="0" w:afterLines="0" w:line="238" w:lineRule="exact"/>
              <w:ind w:left="123" w:right="94"/>
              <w:jc w:val="center"/>
              <w:rPr>
                <w:rFonts w:hint="default" w:ascii="Times New Roman" w:hAnsi="Times New Roman" w:eastAsia="Times New Roman"/>
                <w:color w:val="auto"/>
                <w:sz w:val="21"/>
              </w:rPr>
            </w:pPr>
            <w:r>
              <w:rPr>
                <w:rFonts w:hint="eastAsia" w:eastAsia="宋体"/>
                <w:color w:val="auto"/>
                <w:sz w:val="21"/>
                <w:lang w:val="en-US" w:eastAsia="zh-CN"/>
              </w:rPr>
              <w:t>30</w:t>
            </w:r>
            <w:r>
              <w:rPr>
                <w:rFonts w:hint="default" w:ascii="Times New Roman" w:hAnsi="Times New Roman" w:eastAsia="Times New Roman"/>
                <w:color w:val="auto"/>
                <w:sz w:val="21"/>
              </w:rPr>
              <w:t>t</w:t>
            </w:r>
          </w:p>
        </w:tc>
        <w:tc>
          <w:tcPr>
            <w:tcW w:w="299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4" w:beforeLines="0" w:afterLines="0"/>
              <w:ind w:right="170"/>
              <w:jc w:val="center"/>
              <w:rPr>
                <w:rFonts w:hint="default" w:ascii="Times New Roman" w:hAnsi="Times New Roman" w:eastAsia="Times New Roman"/>
                <w:color w:val="auto"/>
                <w:sz w:val="21"/>
              </w:rPr>
            </w:pPr>
            <w:r>
              <w:rPr>
                <w:rFonts w:hint="eastAsia" w:eastAsia="宋体"/>
                <w:color w:val="auto"/>
                <w:sz w:val="21"/>
                <w:lang w:val="en-US" w:eastAsia="zh-CN"/>
              </w:rPr>
              <w:t>6</w:t>
            </w:r>
            <w:r>
              <w:rPr>
                <w:rFonts w:hint="default" w:ascii="Times New Roman" w:hAnsi="Times New Roman" w:cs="Times New Roman"/>
                <w:color w:val="auto"/>
                <w:sz w:val="21"/>
              </w:rPr>
              <w:t>&lt;</w:t>
            </w:r>
            <w:r>
              <w:rPr>
                <w:rFonts w:hint="default" w:ascii="Times New Roman" w:hAnsi="Times New Roman" w:eastAsia="Times New Roman"/>
                <w:color w:val="auto"/>
                <w:sz w:val="21"/>
              </w:rPr>
              <w:t>100</w:t>
            </w:r>
          </w:p>
        </w:tc>
      </w:tr>
    </w:tbl>
    <w:p>
      <w:pPr>
        <w:spacing w:line="360" w:lineRule="auto"/>
        <w:ind w:firstLine="482"/>
        <w:rPr>
          <w:rFonts w:hint="default" w:ascii="Times New Roman" w:hAnsi="Times New Roman"/>
          <w:color w:val="auto"/>
          <w:sz w:val="24"/>
          <w:szCs w:val="24"/>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2</w:t>
      </w:r>
      <w:r>
        <w:rPr>
          <w:rFonts w:hint="eastAsia" w:ascii="Times New Roman" w:hAnsi="Times New Roman"/>
          <w:color w:val="auto"/>
          <w:sz w:val="24"/>
          <w:szCs w:val="24"/>
          <w:lang w:eastAsia="zh-CN"/>
        </w:rPr>
        <w:t>）</w:t>
      </w:r>
      <w:r>
        <w:rPr>
          <w:rFonts w:hint="eastAsia" w:ascii="Times New Roman" w:hAnsi="Times New Roman"/>
          <w:color w:val="auto"/>
          <w:sz w:val="24"/>
          <w:szCs w:val="24"/>
        </w:rPr>
        <w:t>行业及生产工艺（</w:t>
      </w:r>
      <w:r>
        <w:rPr>
          <w:rFonts w:hint="default" w:ascii="Times New Roman" w:hAnsi="Times New Roman"/>
          <w:color w:val="auto"/>
          <w:sz w:val="24"/>
          <w:szCs w:val="24"/>
        </w:rPr>
        <w:t>M</w:t>
      </w:r>
      <w:r>
        <w:rPr>
          <w:rFonts w:hint="eastAsia" w:ascii="Times New Roman" w:hAnsi="Times New Roman"/>
          <w:color w:val="auto"/>
          <w:sz w:val="24"/>
          <w:szCs w:val="24"/>
        </w:rPr>
        <w:t>）</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根据《建设项目环境风险评价技术导则》（</w:t>
      </w:r>
      <w:r>
        <w:rPr>
          <w:rFonts w:hint="default" w:ascii="Times New Roman" w:hAnsi="Times New Roman"/>
          <w:color w:val="auto"/>
          <w:sz w:val="24"/>
          <w:szCs w:val="24"/>
        </w:rPr>
        <w:t>HJ169-2018</w:t>
      </w:r>
      <w:r>
        <w:rPr>
          <w:rFonts w:hint="eastAsia" w:ascii="Times New Roman" w:hAnsi="Times New Roman"/>
          <w:color w:val="auto"/>
          <w:sz w:val="24"/>
          <w:szCs w:val="24"/>
        </w:rPr>
        <w:t xml:space="preserve">）附录 </w:t>
      </w:r>
      <w:r>
        <w:rPr>
          <w:rFonts w:hint="default" w:ascii="Times New Roman" w:hAnsi="Times New Roman"/>
          <w:color w:val="auto"/>
          <w:sz w:val="24"/>
          <w:szCs w:val="24"/>
        </w:rPr>
        <w:t xml:space="preserve">C </w:t>
      </w:r>
      <w:r>
        <w:rPr>
          <w:rFonts w:hint="eastAsia" w:ascii="Times New Roman" w:hAnsi="Times New Roman"/>
          <w:color w:val="auto"/>
          <w:sz w:val="24"/>
          <w:szCs w:val="24"/>
        </w:rPr>
        <w:t xml:space="preserve">评估本项目生产工艺情况。将 </w:t>
      </w:r>
      <w:r>
        <w:rPr>
          <w:rFonts w:hint="default" w:ascii="Times New Roman" w:hAnsi="Times New Roman"/>
          <w:color w:val="auto"/>
          <w:sz w:val="24"/>
          <w:szCs w:val="24"/>
        </w:rPr>
        <w:t xml:space="preserve">M </w:t>
      </w:r>
      <w:r>
        <w:rPr>
          <w:rFonts w:hint="eastAsia" w:ascii="Times New Roman" w:hAnsi="Times New Roman"/>
          <w:color w:val="auto"/>
          <w:sz w:val="24"/>
          <w:szCs w:val="24"/>
        </w:rPr>
        <w:t>值划分为（</w:t>
      </w:r>
      <w:r>
        <w:rPr>
          <w:rFonts w:hint="default" w:ascii="Times New Roman" w:hAnsi="Times New Roman"/>
          <w:color w:val="auto"/>
          <w:sz w:val="24"/>
          <w:szCs w:val="24"/>
        </w:rPr>
        <w:t>1</w:t>
      </w:r>
      <w:r>
        <w:rPr>
          <w:rFonts w:hint="eastAsia" w:ascii="Times New Roman" w:hAnsi="Times New Roman"/>
          <w:color w:val="auto"/>
          <w:sz w:val="24"/>
          <w:szCs w:val="24"/>
        </w:rPr>
        <w:t>）</w:t>
      </w:r>
      <w:r>
        <w:rPr>
          <w:rFonts w:hint="default" w:ascii="Times New Roman" w:hAnsi="Times New Roman"/>
          <w:color w:val="auto"/>
          <w:sz w:val="24"/>
          <w:szCs w:val="24"/>
        </w:rPr>
        <w:t>M&gt;20</w:t>
      </w:r>
      <w:r>
        <w:rPr>
          <w:rFonts w:hint="eastAsia" w:ascii="Times New Roman" w:hAnsi="Times New Roman"/>
          <w:color w:val="auto"/>
          <w:sz w:val="24"/>
          <w:szCs w:val="24"/>
        </w:rPr>
        <w:t>；（</w:t>
      </w:r>
      <w:r>
        <w:rPr>
          <w:rFonts w:hint="default" w:ascii="Times New Roman" w:hAnsi="Times New Roman"/>
          <w:color w:val="auto"/>
          <w:sz w:val="24"/>
          <w:szCs w:val="24"/>
        </w:rPr>
        <w:t>2</w:t>
      </w:r>
      <w:r>
        <w:rPr>
          <w:rFonts w:hint="eastAsia" w:ascii="Times New Roman" w:hAnsi="Times New Roman"/>
          <w:color w:val="auto"/>
          <w:sz w:val="24"/>
          <w:szCs w:val="24"/>
        </w:rPr>
        <w:t>）</w:t>
      </w:r>
      <w:r>
        <w:rPr>
          <w:rFonts w:hint="default" w:ascii="Times New Roman" w:hAnsi="Times New Roman"/>
          <w:color w:val="auto"/>
          <w:sz w:val="24"/>
          <w:szCs w:val="24"/>
        </w:rPr>
        <w:t>10&lt;M≤20</w:t>
      </w:r>
      <w:r>
        <w:rPr>
          <w:rFonts w:hint="eastAsia" w:ascii="Times New Roman" w:hAnsi="Times New Roman"/>
          <w:color w:val="auto"/>
          <w:sz w:val="24"/>
          <w:szCs w:val="24"/>
        </w:rPr>
        <w:t>；（</w:t>
      </w:r>
      <w:r>
        <w:rPr>
          <w:rFonts w:hint="default" w:ascii="Times New Roman" w:hAnsi="Times New Roman"/>
          <w:color w:val="auto"/>
          <w:sz w:val="24"/>
          <w:szCs w:val="24"/>
        </w:rPr>
        <w:t>3</w:t>
      </w:r>
      <w:r>
        <w:rPr>
          <w:rFonts w:hint="eastAsia" w:ascii="Times New Roman" w:hAnsi="Times New Roman"/>
          <w:color w:val="auto"/>
          <w:sz w:val="24"/>
          <w:szCs w:val="24"/>
        </w:rPr>
        <w:t>）</w:t>
      </w:r>
      <w:r>
        <w:rPr>
          <w:rFonts w:hint="default" w:ascii="Times New Roman" w:hAnsi="Times New Roman"/>
          <w:color w:val="auto"/>
          <w:sz w:val="24"/>
          <w:szCs w:val="24"/>
        </w:rPr>
        <w:t>5&lt;M≤10</w:t>
      </w:r>
      <w:r>
        <w:rPr>
          <w:rFonts w:hint="eastAsia" w:ascii="Times New Roman" w:hAnsi="Times New Roman"/>
          <w:color w:val="auto"/>
          <w:sz w:val="24"/>
          <w:szCs w:val="24"/>
        </w:rPr>
        <w:t xml:space="preserve">； </w:t>
      </w:r>
      <w:r>
        <w:rPr>
          <w:rFonts w:hint="default" w:ascii="Times New Roman" w:hAnsi="Times New Roman"/>
          <w:color w:val="auto"/>
          <w:sz w:val="24"/>
          <w:szCs w:val="24"/>
        </w:rPr>
        <w:t>M≤5</w:t>
      </w:r>
      <w:r>
        <w:rPr>
          <w:rFonts w:hint="eastAsia" w:ascii="Times New Roman" w:hAnsi="Times New Roman"/>
          <w:color w:val="auto"/>
          <w:sz w:val="24"/>
          <w:szCs w:val="24"/>
        </w:rPr>
        <w:t xml:space="preserve">，分别以 </w:t>
      </w:r>
      <w:r>
        <w:rPr>
          <w:rFonts w:hint="default" w:ascii="Times New Roman" w:hAnsi="Times New Roman"/>
          <w:color w:val="auto"/>
          <w:sz w:val="24"/>
          <w:szCs w:val="24"/>
        </w:rPr>
        <w:t>M1</w:t>
      </w:r>
      <w:r>
        <w:rPr>
          <w:rFonts w:hint="eastAsia" w:ascii="Times New Roman" w:hAnsi="Times New Roman"/>
          <w:color w:val="auto"/>
          <w:sz w:val="24"/>
          <w:szCs w:val="24"/>
        </w:rPr>
        <w:t>、</w:t>
      </w:r>
      <w:r>
        <w:rPr>
          <w:rFonts w:hint="default" w:ascii="Times New Roman" w:hAnsi="Times New Roman"/>
          <w:color w:val="auto"/>
          <w:sz w:val="24"/>
          <w:szCs w:val="24"/>
        </w:rPr>
        <w:t>M2</w:t>
      </w:r>
      <w:r>
        <w:rPr>
          <w:rFonts w:hint="eastAsia" w:ascii="Times New Roman" w:hAnsi="Times New Roman"/>
          <w:color w:val="auto"/>
          <w:sz w:val="24"/>
          <w:szCs w:val="24"/>
        </w:rPr>
        <w:t>、</w:t>
      </w:r>
      <w:r>
        <w:rPr>
          <w:rFonts w:hint="default" w:ascii="Times New Roman" w:hAnsi="Times New Roman"/>
          <w:color w:val="auto"/>
          <w:sz w:val="24"/>
          <w:szCs w:val="24"/>
        </w:rPr>
        <w:t xml:space="preserve">M3 </w:t>
      </w:r>
      <w:r>
        <w:rPr>
          <w:rFonts w:hint="eastAsia" w:ascii="Times New Roman" w:hAnsi="Times New Roman"/>
          <w:color w:val="auto"/>
          <w:sz w:val="24"/>
          <w:szCs w:val="24"/>
        </w:rPr>
        <w:t xml:space="preserve">和 </w:t>
      </w:r>
      <w:r>
        <w:rPr>
          <w:rFonts w:hint="default" w:ascii="Times New Roman" w:hAnsi="Times New Roman"/>
          <w:color w:val="auto"/>
          <w:sz w:val="24"/>
          <w:szCs w:val="24"/>
        </w:rPr>
        <w:t>M4</w:t>
      </w:r>
      <w:r>
        <w:rPr>
          <w:rFonts w:hint="eastAsia" w:ascii="Times New Roman" w:hAnsi="Times New Roman"/>
          <w:color w:val="auto"/>
          <w:sz w:val="24"/>
          <w:szCs w:val="24"/>
        </w:rPr>
        <w:t>。</w:t>
      </w:r>
    </w:p>
    <w:p>
      <w:pPr>
        <w:rPr>
          <w:rFonts w:hint="eastAsia"/>
          <w:color w:val="auto"/>
        </w:rPr>
      </w:pPr>
    </w:p>
    <w:p>
      <w:pPr>
        <w:pStyle w:val="18"/>
        <w:rPr>
          <w:rFonts w:hint="eastAsia" w:ascii="Times New Roman" w:hAnsi="Times New Roman" w:cs="Times New Roman"/>
          <w:color w:val="auto"/>
        </w:rPr>
      </w:pPr>
      <w:r>
        <w:rPr>
          <w:rFonts w:hint="eastAsia" w:ascii="Times New Roman" w:hAnsi="Times New Roman" w:cs="Times New Roman"/>
          <w:color w:val="auto"/>
        </w:rPr>
        <w:t xml:space="preserve">表 </w:t>
      </w:r>
      <w:r>
        <w:rPr>
          <w:rFonts w:hint="eastAsia" w:ascii="Times New Roman" w:hAnsi="Times New Roman" w:cs="Times New Roman"/>
          <w:color w:val="auto"/>
          <w:lang w:val="en-US" w:eastAsia="zh-CN"/>
        </w:rPr>
        <w:t>1.5-12</w:t>
      </w:r>
      <w:r>
        <w:rPr>
          <w:rFonts w:hint="default" w:ascii="Times New Roman" w:hAnsi="Times New Roman" w:cs="Times New Roman"/>
          <w:color w:val="auto"/>
        </w:rPr>
        <w:tab/>
      </w:r>
      <w:r>
        <w:rPr>
          <w:rFonts w:hint="eastAsia" w:ascii="Times New Roman" w:hAnsi="Times New Roman" w:cs="Times New Roman"/>
          <w:color w:val="auto"/>
        </w:rPr>
        <w:t>本项目行业及生产工艺过程评估</w:t>
      </w:r>
    </w:p>
    <w:tbl>
      <w:tblPr>
        <w:tblStyle w:val="45"/>
        <w:tblW w:w="9264" w:type="dxa"/>
        <w:tblInd w:w="20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1"/>
        <w:gridCol w:w="6404"/>
        <w:gridCol w:w="9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1931"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63" w:beforeLines="0" w:afterLines="0" w:line="259" w:lineRule="exact"/>
              <w:ind w:left="100" w:right="53"/>
              <w:rPr>
                <w:rFonts w:hint="eastAsia"/>
                <w:b/>
                <w:color w:val="auto"/>
                <w:sz w:val="21"/>
              </w:rPr>
            </w:pPr>
            <w:r>
              <w:rPr>
                <w:rFonts w:hint="eastAsia"/>
                <w:b/>
                <w:color w:val="auto"/>
                <w:sz w:val="21"/>
              </w:rPr>
              <w:t>行业</w:t>
            </w:r>
          </w:p>
        </w:tc>
        <w:tc>
          <w:tcPr>
            <w:tcW w:w="6404"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3" w:beforeLines="0" w:afterLines="0" w:line="259" w:lineRule="exact"/>
              <w:ind w:right="2780"/>
              <w:jc w:val="center"/>
              <w:rPr>
                <w:rFonts w:hint="eastAsia"/>
                <w:b/>
                <w:color w:val="auto"/>
                <w:sz w:val="21"/>
              </w:rPr>
            </w:pPr>
            <w:r>
              <w:rPr>
                <w:rFonts w:hint="eastAsia"/>
                <w:b/>
                <w:color w:val="auto"/>
                <w:sz w:val="21"/>
              </w:rPr>
              <w:t>评估依据</w:t>
            </w:r>
          </w:p>
        </w:tc>
        <w:tc>
          <w:tcPr>
            <w:tcW w:w="929"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63" w:beforeLines="0" w:afterLines="0" w:line="259" w:lineRule="exact"/>
              <w:ind w:left="57" w:right="38"/>
              <w:rPr>
                <w:rFonts w:hint="eastAsia"/>
                <w:b/>
                <w:color w:val="auto"/>
                <w:sz w:val="21"/>
              </w:rPr>
            </w:pPr>
            <w:r>
              <w:rPr>
                <w:rFonts w:hint="eastAsia"/>
                <w:b/>
                <w:color w:val="auto"/>
                <w:sz w:val="21"/>
              </w:rPr>
              <w:t>分值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atLeast"/>
        </w:trPr>
        <w:tc>
          <w:tcPr>
            <w:tcW w:w="1931"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61" w:beforeLines="0" w:afterLines="0" w:line="259" w:lineRule="exact"/>
              <w:ind w:left="100" w:right="49"/>
              <w:rPr>
                <w:rFonts w:hint="default" w:ascii="Times New Roman" w:hAnsi="Times New Roman" w:eastAsia="Times New Roman"/>
                <w:color w:val="auto"/>
                <w:sz w:val="21"/>
              </w:rPr>
            </w:pPr>
            <w:r>
              <w:rPr>
                <w:rFonts w:hint="eastAsia"/>
                <w:color w:val="auto"/>
                <w:sz w:val="21"/>
              </w:rPr>
              <w:t>管道、港口</w:t>
            </w:r>
            <w:r>
              <w:rPr>
                <w:rFonts w:hint="default" w:ascii="Times New Roman" w:hAnsi="Times New Roman" w:eastAsia="Times New Roman"/>
                <w:color w:val="auto"/>
                <w:sz w:val="21"/>
              </w:rPr>
              <w:t>/</w:t>
            </w:r>
          </w:p>
        </w:tc>
        <w:tc>
          <w:tcPr>
            <w:tcW w:w="6404"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61" w:beforeLines="0" w:afterLines="0" w:line="259" w:lineRule="exact"/>
              <w:ind w:left="116"/>
              <w:jc w:val="left"/>
              <w:rPr>
                <w:rFonts w:hint="eastAsia"/>
                <w:color w:val="auto"/>
                <w:sz w:val="21"/>
              </w:rPr>
            </w:pPr>
            <w:r>
              <w:rPr>
                <w:rFonts w:hint="eastAsia"/>
                <w:color w:val="auto"/>
                <w:sz w:val="21"/>
              </w:rPr>
              <w:t>涉及危险物质管道运输项目、港口</w:t>
            </w:r>
            <w:r>
              <w:rPr>
                <w:rFonts w:hint="default" w:ascii="Times New Roman" w:hAnsi="Times New Roman" w:eastAsia="Times New Roman"/>
                <w:color w:val="auto"/>
                <w:sz w:val="21"/>
              </w:rPr>
              <w:t>/</w:t>
            </w:r>
            <w:r>
              <w:rPr>
                <w:rFonts w:hint="eastAsia"/>
                <w:color w:val="auto"/>
                <w:sz w:val="21"/>
              </w:rPr>
              <w:t>码头等</w:t>
            </w:r>
          </w:p>
        </w:tc>
        <w:tc>
          <w:tcPr>
            <w:tcW w:w="929"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75" w:beforeLines="0" w:afterLines="0"/>
              <w:ind w:left="57" w:right="38"/>
              <w:rPr>
                <w:rFonts w:hint="default" w:ascii="Times New Roman" w:hAnsi="Times New Roman" w:eastAsia="Times New Roman"/>
                <w:color w:val="auto"/>
                <w:sz w:val="21"/>
              </w:rPr>
            </w:pPr>
            <w:r>
              <w:rPr>
                <w:rFonts w:hint="default" w:ascii="Times New Roman" w:hAnsi="Times New Roman" w:eastAsia="Times New Roman"/>
                <w:color w:val="auto"/>
                <w:sz w:val="21"/>
              </w:rPr>
              <w:t>10</w:t>
            </w:r>
          </w:p>
        </w:tc>
      </w:tr>
    </w:tbl>
    <w:p>
      <w:pPr>
        <w:spacing w:line="360" w:lineRule="auto"/>
        <w:ind w:firstLine="482"/>
        <w:rPr>
          <w:rFonts w:hint="eastAsia" w:ascii="Times New Roman" w:hAnsi="Times New Roman"/>
          <w:color w:val="auto"/>
          <w:sz w:val="24"/>
          <w:szCs w:val="24"/>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本项目为化工项目，涉及氨</w:t>
      </w:r>
      <w:r>
        <w:rPr>
          <w:rFonts w:hint="eastAsia" w:ascii="Times New Roman" w:hAnsi="Times New Roman"/>
          <w:color w:val="auto"/>
          <w:sz w:val="24"/>
          <w:szCs w:val="24"/>
          <w:lang w:eastAsia="zh-CN"/>
        </w:rPr>
        <w:t>输送</w:t>
      </w:r>
      <w:r>
        <w:rPr>
          <w:rFonts w:hint="eastAsia" w:ascii="Times New Roman" w:hAnsi="Times New Roman"/>
          <w:color w:val="auto"/>
          <w:sz w:val="24"/>
          <w:szCs w:val="24"/>
        </w:rPr>
        <w:t>，得</w:t>
      </w:r>
      <w:r>
        <w:rPr>
          <w:rFonts w:hint="eastAsia" w:ascii="Times New Roman" w:hAnsi="Times New Roman"/>
          <w:color w:val="auto"/>
          <w:sz w:val="24"/>
          <w:szCs w:val="24"/>
          <w:lang w:val="en-US" w:eastAsia="zh-CN"/>
        </w:rPr>
        <w:t>10</w:t>
      </w:r>
      <w:r>
        <w:rPr>
          <w:rFonts w:hint="default" w:ascii="Times New Roman" w:hAnsi="Times New Roman"/>
          <w:color w:val="auto"/>
          <w:sz w:val="24"/>
          <w:szCs w:val="24"/>
        </w:rPr>
        <w:t xml:space="preserve"> </w:t>
      </w:r>
      <w:r>
        <w:rPr>
          <w:rFonts w:hint="eastAsia" w:ascii="Times New Roman" w:hAnsi="Times New Roman"/>
          <w:color w:val="auto"/>
          <w:sz w:val="24"/>
          <w:szCs w:val="24"/>
        </w:rPr>
        <w:t xml:space="preserve">分，即 </w:t>
      </w:r>
      <w:r>
        <w:rPr>
          <w:rFonts w:hint="default" w:ascii="Times New Roman" w:hAnsi="Times New Roman"/>
          <w:color w:val="auto"/>
          <w:sz w:val="24"/>
          <w:szCs w:val="24"/>
        </w:rPr>
        <w:t>M</w:t>
      </w:r>
      <w:r>
        <w:rPr>
          <w:rFonts w:hint="eastAsia" w:ascii="Times New Roman" w:hAnsi="Times New Roman"/>
          <w:color w:val="auto"/>
          <w:sz w:val="24"/>
          <w:szCs w:val="24"/>
          <w:lang w:val="en-US" w:eastAsia="zh-CN"/>
        </w:rPr>
        <w:t>3</w:t>
      </w:r>
      <w:r>
        <w:rPr>
          <w:rFonts w:hint="eastAsia" w:ascii="Times New Roman" w:hAnsi="Times New Roman"/>
          <w:color w:val="auto"/>
          <w:sz w:val="24"/>
          <w:szCs w:val="24"/>
        </w:rPr>
        <w:t>。</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3</w:t>
      </w:r>
      <w:r>
        <w:rPr>
          <w:rFonts w:hint="eastAsia" w:ascii="Times New Roman" w:hAnsi="Times New Roman"/>
          <w:color w:val="auto"/>
          <w:sz w:val="24"/>
          <w:szCs w:val="24"/>
          <w:lang w:eastAsia="zh-CN"/>
        </w:rPr>
        <w:t>）</w:t>
      </w:r>
      <w:r>
        <w:rPr>
          <w:rFonts w:hint="eastAsia" w:ascii="Times New Roman" w:hAnsi="Times New Roman"/>
          <w:color w:val="auto"/>
          <w:sz w:val="24"/>
          <w:szCs w:val="24"/>
        </w:rPr>
        <w:t>危险物质及工艺系统危险性（</w:t>
      </w:r>
      <w:r>
        <w:rPr>
          <w:rFonts w:hint="default" w:ascii="Times New Roman" w:hAnsi="Times New Roman"/>
          <w:color w:val="auto"/>
          <w:sz w:val="24"/>
          <w:szCs w:val="24"/>
        </w:rPr>
        <w:t>P</w:t>
      </w:r>
      <w:r>
        <w:rPr>
          <w:rFonts w:hint="eastAsia" w:ascii="Times New Roman" w:hAnsi="Times New Roman"/>
          <w:color w:val="auto"/>
          <w:sz w:val="24"/>
          <w:szCs w:val="24"/>
        </w:rPr>
        <w:t>）分级</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根据危险物质数量与临界量比值（</w:t>
      </w:r>
      <w:r>
        <w:rPr>
          <w:rFonts w:hint="default" w:ascii="Times New Roman" w:hAnsi="Times New Roman"/>
          <w:color w:val="auto"/>
          <w:sz w:val="24"/>
          <w:szCs w:val="24"/>
        </w:rPr>
        <w:t>Q</w:t>
      </w:r>
      <w:r>
        <w:rPr>
          <w:rFonts w:hint="eastAsia" w:ascii="Times New Roman" w:hAnsi="Times New Roman"/>
          <w:color w:val="auto"/>
          <w:sz w:val="24"/>
          <w:szCs w:val="24"/>
        </w:rPr>
        <w:t>）和行业及生产工艺（</w:t>
      </w:r>
      <w:r>
        <w:rPr>
          <w:rFonts w:hint="default" w:ascii="Times New Roman" w:hAnsi="Times New Roman"/>
          <w:color w:val="auto"/>
          <w:sz w:val="24"/>
          <w:szCs w:val="24"/>
        </w:rPr>
        <w:t>M</w:t>
      </w:r>
      <w:r>
        <w:rPr>
          <w:rFonts w:hint="eastAsia" w:ascii="Times New Roman" w:hAnsi="Times New Roman"/>
          <w:color w:val="auto"/>
          <w:sz w:val="24"/>
          <w:szCs w:val="24"/>
        </w:rPr>
        <w:t>），按照《建设项目环境风险评价技术导则》（</w:t>
      </w:r>
      <w:r>
        <w:rPr>
          <w:rFonts w:hint="default" w:ascii="Times New Roman" w:hAnsi="Times New Roman"/>
          <w:color w:val="auto"/>
          <w:sz w:val="24"/>
          <w:szCs w:val="24"/>
        </w:rPr>
        <w:t>HJ169-2018</w:t>
      </w:r>
      <w:r>
        <w:rPr>
          <w:rFonts w:hint="eastAsia" w:ascii="Times New Roman" w:hAnsi="Times New Roman"/>
          <w:color w:val="auto"/>
          <w:sz w:val="24"/>
          <w:szCs w:val="24"/>
        </w:rPr>
        <w:t xml:space="preserve">）附录 </w:t>
      </w:r>
      <w:r>
        <w:rPr>
          <w:rFonts w:hint="default" w:ascii="Times New Roman" w:hAnsi="Times New Roman"/>
          <w:color w:val="auto"/>
          <w:sz w:val="24"/>
          <w:szCs w:val="24"/>
        </w:rPr>
        <w:t xml:space="preserve">C </w:t>
      </w:r>
      <w:r>
        <w:rPr>
          <w:rFonts w:hint="eastAsia" w:ascii="Times New Roman" w:hAnsi="Times New Roman"/>
          <w:color w:val="auto"/>
          <w:sz w:val="24"/>
          <w:szCs w:val="24"/>
        </w:rPr>
        <w:t xml:space="preserve">表 </w:t>
      </w:r>
      <w:r>
        <w:rPr>
          <w:rFonts w:hint="default" w:ascii="Times New Roman" w:hAnsi="Times New Roman"/>
          <w:color w:val="auto"/>
          <w:sz w:val="24"/>
          <w:szCs w:val="24"/>
        </w:rPr>
        <w:t xml:space="preserve">C.2 </w:t>
      </w:r>
      <w:r>
        <w:rPr>
          <w:rFonts w:hint="eastAsia" w:ascii="Times New Roman" w:hAnsi="Times New Roman"/>
          <w:color w:val="auto"/>
          <w:sz w:val="24"/>
          <w:szCs w:val="24"/>
        </w:rPr>
        <w:t>确定危险物质及工艺系统危险性等级（</w:t>
      </w:r>
      <w:r>
        <w:rPr>
          <w:rFonts w:hint="default" w:ascii="Times New Roman" w:hAnsi="Times New Roman"/>
          <w:color w:val="auto"/>
          <w:sz w:val="24"/>
          <w:szCs w:val="24"/>
        </w:rPr>
        <w:t>P</w:t>
      </w:r>
      <w:r>
        <w:rPr>
          <w:rFonts w:hint="eastAsia" w:ascii="Times New Roman" w:hAnsi="Times New Roman"/>
          <w:color w:val="auto"/>
          <w:sz w:val="24"/>
          <w:szCs w:val="24"/>
        </w:rPr>
        <w:t xml:space="preserve">），分别以 </w:t>
      </w:r>
      <w:r>
        <w:rPr>
          <w:rFonts w:hint="default" w:ascii="Times New Roman" w:hAnsi="Times New Roman"/>
          <w:color w:val="auto"/>
          <w:sz w:val="24"/>
          <w:szCs w:val="24"/>
        </w:rPr>
        <w:t>P1</w:t>
      </w:r>
      <w:r>
        <w:rPr>
          <w:rFonts w:hint="eastAsia" w:ascii="Times New Roman" w:hAnsi="Times New Roman"/>
          <w:color w:val="auto"/>
          <w:sz w:val="24"/>
          <w:szCs w:val="24"/>
        </w:rPr>
        <w:t>、</w:t>
      </w:r>
      <w:r>
        <w:rPr>
          <w:rFonts w:hint="default" w:ascii="Times New Roman" w:hAnsi="Times New Roman"/>
          <w:color w:val="auto"/>
          <w:sz w:val="24"/>
          <w:szCs w:val="24"/>
        </w:rPr>
        <w:t>P2</w:t>
      </w:r>
      <w:r>
        <w:rPr>
          <w:rFonts w:hint="eastAsia" w:ascii="Times New Roman" w:hAnsi="Times New Roman"/>
          <w:color w:val="auto"/>
          <w:sz w:val="24"/>
          <w:szCs w:val="24"/>
        </w:rPr>
        <w:t>、</w:t>
      </w:r>
      <w:r>
        <w:rPr>
          <w:rFonts w:hint="default" w:ascii="Times New Roman" w:hAnsi="Times New Roman"/>
          <w:color w:val="auto"/>
          <w:sz w:val="24"/>
          <w:szCs w:val="24"/>
        </w:rPr>
        <w:t>P3</w:t>
      </w:r>
      <w:r>
        <w:rPr>
          <w:rFonts w:hint="eastAsia" w:ascii="Times New Roman" w:hAnsi="Times New Roman"/>
          <w:color w:val="auto"/>
          <w:sz w:val="24"/>
          <w:szCs w:val="24"/>
        </w:rPr>
        <w:t>、</w:t>
      </w:r>
      <w:r>
        <w:rPr>
          <w:rFonts w:hint="default" w:ascii="Times New Roman" w:hAnsi="Times New Roman"/>
          <w:color w:val="auto"/>
          <w:sz w:val="24"/>
          <w:szCs w:val="24"/>
        </w:rPr>
        <w:t xml:space="preserve">P4  </w:t>
      </w:r>
      <w:r>
        <w:rPr>
          <w:rFonts w:hint="eastAsia" w:ascii="Times New Roman" w:hAnsi="Times New Roman"/>
          <w:color w:val="auto"/>
          <w:sz w:val="24"/>
          <w:szCs w:val="24"/>
        </w:rPr>
        <w:t>表示。</w:t>
      </w:r>
    </w:p>
    <w:p>
      <w:pPr>
        <w:pStyle w:val="22"/>
        <w:rPr>
          <w:rFonts w:hint="eastAsia"/>
          <w:color w:val="auto"/>
        </w:rPr>
      </w:pPr>
    </w:p>
    <w:p>
      <w:pPr>
        <w:pStyle w:val="18"/>
        <w:rPr>
          <w:rFonts w:hint="eastAsia" w:ascii="Times New Roman" w:hAnsi="Times New Roman" w:cs="Times New Roman"/>
          <w:color w:val="auto"/>
        </w:rPr>
      </w:pPr>
      <w:r>
        <w:rPr>
          <w:rFonts w:hint="eastAsia" w:ascii="Times New Roman" w:hAnsi="Times New Roman" w:cs="Times New Roman"/>
          <w:color w:val="auto"/>
        </w:rPr>
        <w:t xml:space="preserve">表 </w:t>
      </w:r>
      <w:r>
        <w:rPr>
          <w:rFonts w:hint="eastAsia" w:ascii="Times New Roman" w:hAnsi="Times New Roman" w:cs="Times New Roman"/>
          <w:color w:val="auto"/>
          <w:lang w:val="en-US" w:eastAsia="zh-CN"/>
        </w:rPr>
        <w:t>1.5-13</w:t>
      </w:r>
      <w:r>
        <w:rPr>
          <w:rFonts w:hint="default" w:ascii="Times New Roman" w:hAnsi="Times New Roman" w:cs="Times New Roman"/>
          <w:color w:val="auto"/>
        </w:rPr>
        <w:t xml:space="preserve"> </w:t>
      </w:r>
      <w:r>
        <w:rPr>
          <w:rFonts w:hint="eastAsia" w:ascii="Times New Roman" w:hAnsi="Times New Roman" w:cs="Times New Roman"/>
          <w:color w:val="auto"/>
        </w:rPr>
        <w:t>本项目危险物质及工艺系统危险性等级判断</w:t>
      </w:r>
    </w:p>
    <w:tbl>
      <w:tblPr>
        <w:tblStyle w:val="45"/>
        <w:tblW w:w="8963"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63"/>
        <w:gridCol w:w="1625"/>
        <w:gridCol w:w="1625"/>
        <w:gridCol w:w="1623"/>
        <w:gridCol w:w="162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1" w:hRule="atLeast"/>
        </w:trPr>
        <w:tc>
          <w:tcPr>
            <w:tcW w:w="2463" w:type="dxa"/>
            <w:vMerge w:val="restart"/>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6" w:beforeLines="0" w:afterLines="0" w:line="360" w:lineRule="exact"/>
              <w:ind w:right="286"/>
              <w:jc w:val="center"/>
              <w:rPr>
                <w:rFonts w:hint="eastAsia"/>
                <w:color w:val="auto"/>
                <w:sz w:val="21"/>
              </w:rPr>
            </w:pPr>
            <w:r>
              <w:rPr>
                <w:rFonts w:hint="eastAsia"/>
                <w:color w:val="auto"/>
                <w:spacing w:val="-2"/>
                <w:sz w:val="21"/>
              </w:rPr>
              <w:t xml:space="preserve">危险物质数量 </w:t>
            </w:r>
            <w:r>
              <w:rPr>
                <w:rFonts w:hint="eastAsia"/>
                <w:color w:val="auto"/>
                <w:spacing w:val="-3"/>
                <w:sz w:val="21"/>
              </w:rPr>
              <w:t>与临界量比值</w:t>
            </w:r>
            <w:r>
              <w:rPr>
                <w:rFonts w:hint="eastAsia"/>
                <w:color w:val="auto"/>
                <w:sz w:val="21"/>
              </w:rPr>
              <w:t>（</w:t>
            </w:r>
            <w:r>
              <w:rPr>
                <w:rFonts w:hint="default" w:ascii="Times New Roman" w:hAnsi="Times New Roman" w:eastAsia="Times New Roman"/>
                <w:color w:val="auto"/>
                <w:sz w:val="21"/>
              </w:rPr>
              <w:t>Q</w:t>
            </w:r>
            <w:r>
              <w:rPr>
                <w:rFonts w:hint="eastAsia"/>
                <w:color w:val="auto"/>
                <w:sz w:val="21"/>
              </w:rPr>
              <w:t>）</w:t>
            </w:r>
          </w:p>
        </w:tc>
        <w:tc>
          <w:tcPr>
            <w:tcW w:w="6500" w:type="dxa"/>
            <w:gridSpan w:val="4"/>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80" w:beforeLines="0" w:afterLines="0" w:line="262" w:lineRule="exact"/>
              <w:ind w:right="2177"/>
              <w:jc w:val="center"/>
              <w:rPr>
                <w:rFonts w:hint="eastAsia"/>
                <w:color w:val="auto"/>
                <w:sz w:val="21"/>
              </w:rPr>
            </w:pPr>
            <w:r>
              <w:rPr>
                <w:rFonts w:hint="eastAsia"/>
                <w:color w:val="auto"/>
                <w:sz w:val="21"/>
              </w:rPr>
              <w:t>行业及生产工艺（</w:t>
            </w:r>
            <w:r>
              <w:rPr>
                <w:rFonts w:hint="default" w:ascii="Times New Roman" w:hAnsi="Times New Roman" w:eastAsia="Times New Roman"/>
                <w:color w:val="auto"/>
                <w:sz w:val="21"/>
              </w:rPr>
              <w:t>M</w:t>
            </w:r>
            <w:r>
              <w:rPr>
                <w:rFonts w:hint="eastAsia"/>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4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3" w:beforeLines="0" w:after="39" w:afterLines="0"/>
              <w:ind w:left="2626"/>
              <w:rPr>
                <w:rFonts w:hint="eastAsia" w:ascii="楷体" w:hAnsi="楷体" w:eastAsia="楷体"/>
                <w:b/>
                <w:color w:val="auto"/>
                <w:spacing w:val="-3"/>
                <w:sz w:val="2"/>
              </w:rPr>
            </w:pPr>
          </w:p>
        </w:tc>
        <w:tc>
          <w:tcPr>
            <w:tcW w:w="162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138" w:right="113"/>
              <w:rPr>
                <w:rFonts w:hint="default" w:ascii="Times New Roman" w:hAnsi="Times New Roman" w:eastAsia="Times New Roman"/>
                <w:color w:val="auto"/>
                <w:sz w:val="21"/>
              </w:rPr>
            </w:pPr>
            <w:r>
              <w:rPr>
                <w:rFonts w:hint="default" w:ascii="Times New Roman" w:hAnsi="Times New Roman" w:eastAsia="Times New Roman"/>
                <w:color w:val="auto"/>
                <w:sz w:val="21"/>
              </w:rPr>
              <w:t>M1</w:t>
            </w:r>
          </w:p>
        </w:tc>
        <w:tc>
          <w:tcPr>
            <w:tcW w:w="162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138" w:right="117"/>
              <w:rPr>
                <w:rFonts w:hint="default" w:ascii="Times New Roman" w:hAnsi="Times New Roman" w:eastAsia="Times New Roman"/>
                <w:color w:val="auto"/>
                <w:sz w:val="21"/>
              </w:rPr>
            </w:pPr>
            <w:r>
              <w:rPr>
                <w:rFonts w:hint="default" w:ascii="Times New Roman" w:hAnsi="Times New Roman" w:eastAsia="Times New Roman"/>
                <w:color w:val="auto"/>
                <w:sz w:val="21"/>
              </w:rPr>
              <w:t>M2</w:t>
            </w:r>
          </w:p>
        </w:tc>
        <w:tc>
          <w:tcPr>
            <w:tcW w:w="162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671"/>
              <w:jc w:val="left"/>
              <w:rPr>
                <w:rFonts w:hint="default" w:ascii="Times New Roman" w:hAnsi="Times New Roman" w:eastAsia="Times New Roman"/>
                <w:color w:val="auto"/>
                <w:sz w:val="21"/>
              </w:rPr>
            </w:pPr>
            <w:r>
              <w:rPr>
                <w:rFonts w:hint="default" w:ascii="Times New Roman" w:hAnsi="Times New Roman" w:eastAsia="Times New Roman"/>
                <w:color w:val="auto"/>
                <w:sz w:val="21"/>
              </w:rPr>
              <w:t>M3</w:t>
            </w:r>
          </w:p>
        </w:tc>
        <w:tc>
          <w:tcPr>
            <w:tcW w:w="162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91" w:beforeLines="0" w:afterLines="0"/>
              <w:ind w:left="165" w:right="147"/>
              <w:rPr>
                <w:rFonts w:hint="default" w:ascii="Times New Roman" w:hAnsi="Times New Roman" w:eastAsia="Times New Roman"/>
                <w:color w:val="auto"/>
                <w:sz w:val="21"/>
              </w:rPr>
            </w:pPr>
            <w:r>
              <w:rPr>
                <w:rFonts w:hint="default" w:ascii="Times New Roman" w:hAnsi="Times New Roman" w:eastAsia="Times New Roman"/>
                <w:color w:val="auto"/>
                <w:sz w:val="21"/>
              </w:rPr>
              <w:t>M4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2463" w:type="dxa"/>
            <w:tcBorders>
              <w:top w:val="single" w:color="000000" w:sz="4"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92" w:beforeLines="0" w:afterLines="0"/>
              <w:ind w:left="731" w:right="682"/>
              <w:jc w:val="both"/>
              <w:rPr>
                <w:rFonts w:hint="default" w:ascii="Times New Roman" w:hAnsi="Times New Roman" w:eastAsia="Times New Roman"/>
                <w:color w:val="auto"/>
                <w:sz w:val="21"/>
              </w:rPr>
            </w:pPr>
            <w:r>
              <w:rPr>
                <w:rFonts w:hint="default" w:ascii="Times New Roman" w:hAnsi="Times New Roman" w:eastAsia="Times New Roman"/>
                <w:color w:val="auto"/>
                <w:sz w:val="21"/>
              </w:rPr>
              <w:t>Q≥100</w:t>
            </w:r>
          </w:p>
        </w:tc>
        <w:tc>
          <w:tcPr>
            <w:tcW w:w="1625" w:type="dxa"/>
            <w:tcBorders>
              <w:top w:val="single" w:color="000000" w:sz="4" w:space="0"/>
              <w:left w:val="single" w:color="000000" w:sz="4" w:space="0"/>
              <w:bottom w:val="single" w:color="000000" w:sz="4" w:space="0"/>
              <w:right w:val="single" w:color="000000" w:sz="4" w:space="0"/>
              <w:tl2br w:val="nil"/>
              <w:tr2bl w:val="nil"/>
            </w:tcBorders>
            <w:shd w:val="clear" w:color="auto" w:fill="FFFFFF" w:themeFill="background1"/>
            <w:vAlign w:val="top"/>
          </w:tcPr>
          <w:p>
            <w:pPr>
              <w:pStyle w:val="247"/>
              <w:kinsoku w:val="0"/>
              <w:overflowPunct w:val="0"/>
              <w:spacing w:before="92" w:beforeLines="0" w:afterLines="0"/>
              <w:ind w:left="138" w:right="110"/>
              <w:rPr>
                <w:rFonts w:hint="default" w:ascii="Times New Roman" w:hAnsi="Times New Roman" w:eastAsia="Times New Roman"/>
                <w:color w:val="auto"/>
                <w:sz w:val="21"/>
              </w:rPr>
            </w:pPr>
            <w:r>
              <w:rPr>
                <w:rFonts w:hint="default" w:ascii="Times New Roman" w:hAnsi="Times New Roman" w:eastAsia="Times New Roman"/>
                <w:color w:val="auto"/>
                <w:sz w:val="21"/>
              </w:rPr>
              <w:t>P1</w:t>
            </w:r>
          </w:p>
        </w:tc>
        <w:tc>
          <w:tcPr>
            <w:tcW w:w="162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2" w:beforeLines="0" w:afterLines="0"/>
              <w:ind w:left="138" w:right="114"/>
              <w:rPr>
                <w:rFonts w:hint="default" w:ascii="Times New Roman" w:hAnsi="Times New Roman" w:eastAsia="Times New Roman"/>
                <w:color w:val="auto"/>
                <w:sz w:val="21"/>
              </w:rPr>
            </w:pPr>
            <w:r>
              <w:rPr>
                <w:rFonts w:hint="default" w:ascii="Times New Roman" w:hAnsi="Times New Roman" w:eastAsia="Times New Roman"/>
                <w:color w:val="auto"/>
                <w:sz w:val="21"/>
              </w:rPr>
              <w:t>P1</w:t>
            </w:r>
          </w:p>
        </w:tc>
        <w:tc>
          <w:tcPr>
            <w:tcW w:w="162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2" w:beforeLines="0" w:afterLines="0"/>
              <w:ind w:left="707"/>
              <w:jc w:val="left"/>
              <w:rPr>
                <w:rFonts w:hint="default" w:ascii="Times New Roman" w:hAnsi="Times New Roman" w:eastAsia="Times New Roman"/>
                <w:color w:val="auto"/>
                <w:sz w:val="21"/>
              </w:rPr>
            </w:pPr>
            <w:r>
              <w:rPr>
                <w:rFonts w:hint="default" w:ascii="Times New Roman" w:hAnsi="Times New Roman" w:eastAsia="Times New Roman"/>
                <w:color w:val="auto"/>
                <w:sz w:val="21"/>
              </w:rPr>
              <w:t>P2</w:t>
            </w:r>
          </w:p>
        </w:tc>
        <w:tc>
          <w:tcPr>
            <w:tcW w:w="162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92" w:beforeLines="0" w:afterLines="0"/>
              <w:ind w:left="168" w:right="147"/>
              <w:rPr>
                <w:rFonts w:hint="default" w:ascii="Times New Roman" w:hAnsi="Times New Roman" w:eastAsia="Times New Roman"/>
                <w:color w:val="auto"/>
                <w:sz w:val="21"/>
              </w:rPr>
            </w:pPr>
            <w:r>
              <w:rPr>
                <w:rFonts w:hint="default" w:ascii="Times New Roman" w:hAnsi="Times New Roman" w:eastAsia="Times New Roman"/>
                <w:color w:val="auto"/>
                <w:sz w:val="21"/>
              </w:rPr>
              <w:t>P3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463"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78" w:beforeLines="0" w:afterLines="0" w:line="262" w:lineRule="exact"/>
              <w:ind w:right="684"/>
              <w:jc w:val="center"/>
              <w:rPr>
                <w:rFonts w:hint="default" w:ascii="Times New Roman" w:hAnsi="Times New Roman" w:eastAsia="Times New Roman"/>
                <w:color w:val="auto"/>
                <w:sz w:val="21"/>
              </w:rPr>
            </w:pPr>
            <w:r>
              <w:rPr>
                <w:rFonts w:hint="eastAsia" w:eastAsia="宋体"/>
                <w:color w:val="auto"/>
                <w:sz w:val="21"/>
                <w:lang w:val="en-US" w:eastAsia="zh-CN"/>
              </w:rPr>
              <w:t xml:space="preserve">     </w:t>
            </w:r>
            <w:r>
              <w:rPr>
                <w:rFonts w:hint="default" w:ascii="Times New Roman" w:hAnsi="Times New Roman" w:eastAsia="Times New Roman"/>
                <w:color w:val="auto"/>
                <w:sz w:val="21"/>
              </w:rPr>
              <w:t>10≤Q</w:t>
            </w:r>
            <w:r>
              <w:rPr>
                <w:rFonts w:hint="eastAsia"/>
                <w:color w:val="auto"/>
                <w:sz w:val="21"/>
              </w:rPr>
              <w:t>＜</w:t>
            </w:r>
            <w:r>
              <w:rPr>
                <w:rFonts w:hint="default" w:ascii="Times New Roman" w:hAnsi="Times New Roman" w:eastAsia="Times New Roman"/>
                <w:color w:val="auto"/>
                <w:sz w:val="21"/>
              </w:rPr>
              <w:t>100</w:t>
            </w:r>
          </w:p>
        </w:tc>
        <w:tc>
          <w:tcPr>
            <w:tcW w:w="162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138" w:right="110"/>
              <w:rPr>
                <w:rFonts w:hint="default" w:ascii="Times New Roman" w:hAnsi="Times New Roman" w:eastAsia="Times New Roman"/>
                <w:color w:val="auto"/>
                <w:sz w:val="21"/>
              </w:rPr>
            </w:pPr>
            <w:r>
              <w:rPr>
                <w:rFonts w:hint="default" w:ascii="Times New Roman" w:hAnsi="Times New Roman" w:eastAsia="Times New Roman"/>
                <w:color w:val="auto"/>
                <w:sz w:val="21"/>
              </w:rPr>
              <w:t>P1</w:t>
            </w:r>
          </w:p>
        </w:tc>
        <w:tc>
          <w:tcPr>
            <w:tcW w:w="162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138" w:right="114"/>
              <w:rPr>
                <w:rFonts w:hint="default" w:ascii="Times New Roman" w:hAnsi="Times New Roman" w:eastAsia="Times New Roman"/>
                <w:color w:val="auto"/>
                <w:sz w:val="21"/>
              </w:rPr>
            </w:pPr>
            <w:r>
              <w:rPr>
                <w:rFonts w:hint="default" w:ascii="Times New Roman" w:hAnsi="Times New Roman" w:eastAsia="Times New Roman"/>
                <w:color w:val="auto"/>
                <w:sz w:val="21"/>
              </w:rPr>
              <w:t>P2</w:t>
            </w:r>
          </w:p>
        </w:tc>
        <w:tc>
          <w:tcPr>
            <w:tcW w:w="162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1" w:beforeLines="0" w:afterLines="0"/>
              <w:ind w:left="707"/>
              <w:jc w:val="left"/>
              <w:rPr>
                <w:rFonts w:hint="default" w:ascii="Times New Roman" w:hAnsi="Times New Roman" w:eastAsia="Times New Roman"/>
                <w:color w:val="auto"/>
                <w:sz w:val="21"/>
              </w:rPr>
            </w:pPr>
            <w:r>
              <w:rPr>
                <w:rFonts w:hint="default" w:ascii="Times New Roman" w:hAnsi="Times New Roman" w:eastAsia="Times New Roman"/>
                <w:color w:val="auto"/>
                <w:sz w:val="21"/>
              </w:rPr>
              <w:t>P3</w:t>
            </w:r>
          </w:p>
        </w:tc>
        <w:tc>
          <w:tcPr>
            <w:tcW w:w="162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91" w:beforeLines="0" w:afterLines="0"/>
              <w:ind w:left="168" w:right="147"/>
              <w:rPr>
                <w:rFonts w:hint="default" w:ascii="Times New Roman" w:hAnsi="Times New Roman" w:eastAsia="Times New Roman"/>
                <w:color w:val="auto"/>
                <w:sz w:val="21"/>
              </w:rPr>
            </w:pPr>
            <w:r>
              <w:rPr>
                <w:rFonts w:hint="default" w:ascii="Times New Roman" w:hAnsi="Times New Roman" w:eastAsia="Times New Roman"/>
                <w:color w:val="auto"/>
                <w:sz w:val="21"/>
              </w:rPr>
              <w:t>P4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1" w:hRule="atLeast"/>
        </w:trPr>
        <w:tc>
          <w:tcPr>
            <w:tcW w:w="2463"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77" w:beforeLines="0" w:afterLines="0" w:line="264" w:lineRule="exact"/>
              <w:ind w:left="731" w:right="682"/>
              <w:rPr>
                <w:rFonts w:hint="default" w:ascii="Times New Roman" w:hAnsi="Times New Roman" w:eastAsia="Times New Roman"/>
                <w:color w:val="auto"/>
                <w:sz w:val="21"/>
              </w:rPr>
            </w:pPr>
            <w:r>
              <w:rPr>
                <w:rFonts w:hint="default" w:ascii="Times New Roman" w:hAnsi="Times New Roman" w:eastAsia="Times New Roman"/>
                <w:color w:val="auto"/>
                <w:sz w:val="21"/>
              </w:rPr>
              <w:t>1≤Q</w:t>
            </w:r>
            <w:r>
              <w:rPr>
                <w:rFonts w:hint="eastAsia"/>
                <w:color w:val="auto"/>
                <w:sz w:val="21"/>
              </w:rPr>
              <w:t>＜</w:t>
            </w:r>
            <w:r>
              <w:rPr>
                <w:rFonts w:hint="default" w:ascii="Times New Roman" w:hAnsi="Times New Roman" w:eastAsia="Times New Roman"/>
                <w:color w:val="auto"/>
                <w:sz w:val="21"/>
              </w:rPr>
              <w:t>10</w:t>
            </w:r>
          </w:p>
        </w:tc>
        <w:tc>
          <w:tcPr>
            <w:tcW w:w="1625"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91" w:beforeLines="0" w:afterLines="0"/>
              <w:ind w:left="138" w:right="110"/>
              <w:rPr>
                <w:rFonts w:hint="default" w:ascii="Times New Roman" w:hAnsi="Times New Roman" w:eastAsia="Times New Roman"/>
                <w:color w:val="auto"/>
                <w:sz w:val="21"/>
              </w:rPr>
            </w:pPr>
            <w:r>
              <w:rPr>
                <w:rFonts w:hint="default" w:ascii="Times New Roman" w:hAnsi="Times New Roman" w:eastAsia="Times New Roman"/>
                <w:color w:val="auto"/>
                <w:sz w:val="21"/>
              </w:rPr>
              <w:t>P2</w:t>
            </w:r>
          </w:p>
        </w:tc>
        <w:tc>
          <w:tcPr>
            <w:tcW w:w="1625"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91" w:beforeLines="0" w:afterLines="0"/>
              <w:ind w:left="138" w:right="114"/>
              <w:rPr>
                <w:rFonts w:hint="default" w:ascii="Times New Roman" w:hAnsi="Times New Roman" w:eastAsia="Times New Roman"/>
                <w:color w:val="auto"/>
                <w:sz w:val="21"/>
              </w:rPr>
            </w:pPr>
            <w:r>
              <w:rPr>
                <w:rFonts w:hint="default" w:ascii="Times New Roman" w:hAnsi="Times New Roman" w:eastAsia="Times New Roman"/>
                <w:color w:val="auto"/>
                <w:sz w:val="21"/>
              </w:rPr>
              <w:t>P3</w:t>
            </w:r>
          </w:p>
        </w:tc>
        <w:tc>
          <w:tcPr>
            <w:tcW w:w="1623"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91" w:beforeLines="0" w:afterLines="0"/>
              <w:ind w:left="707"/>
              <w:jc w:val="left"/>
              <w:rPr>
                <w:rFonts w:hint="default" w:ascii="Times New Roman" w:hAnsi="Times New Roman" w:eastAsia="Times New Roman"/>
                <w:color w:val="auto"/>
                <w:sz w:val="21"/>
              </w:rPr>
            </w:pPr>
            <w:r>
              <w:rPr>
                <w:rFonts w:hint="default" w:ascii="Times New Roman" w:hAnsi="Times New Roman" w:eastAsia="Times New Roman"/>
                <w:color w:val="auto"/>
                <w:sz w:val="21"/>
              </w:rPr>
              <w:t>P4</w:t>
            </w:r>
          </w:p>
        </w:tc>
        <w:tc>
          <w:tcPr>
            <w:tcW w:w="1627"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91" w:beforeLines="0" w:afterLines="0"/>
              <w:ind w:left="168" w:right="147"/>
              <w:rPr>
                <w:rFonts w:hint="default" w:ascii="Times New Roman" w:hAnsi="Times New Roman" w:eastAsia="Times New Roman"/>
                <w:color w:val="auto"/>
                <w:sz w:val="21"/>
              </w:rPr>
            </w:pPr>
            <w:r>
              <w:rPr>
                <w:rFonts w:hint="default" w:ascii="Times New Roman" w:hAnsi="Times New Roman" w:eastAsia="Times New Roman"/>
                <w:color w:val="auto"/>
                <w:sz w:val="21"/>
              </w:rPr>
              <w:t>P4</w:t>
            </w:r>
          </w:p>
        </w:tc>
      </w:tr>
    </w:tbl>
    <w:p>
      <w:pPr>
        <w:spacing w:line="360" w:lineRule="auto"/>
        <w:ind w:firstLine="482"/>
        <w:rPr>
          <w:rFonts w:hint="eastAsia" w:ascii="Times New Roman" w:hAnsi="Times New Roman"/>
          <w:color w:val="auto"/>
          <w:sz w:val="24"/>
          <w:szCs w:val="24"/>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 xml:space="preserve">本项目危险物质数量与临界量比值 </w:t>
      </w:r>
      <w:r>
        <w:rPr>
          <w:rFonts w:hint="default" w:ascii="Times New Roman" w:hAnsi="Times New Roman"/>
          <w:color w:val="auto"/>
          <w:sz w:val="24"/>
          <w:szCs w:val="24"/>
        </w:rPr>
        <w:t>Q=</w:t>
      </w:r>
      <w:r>
        <w:rPr>
          <w:rFonts w:hint="eastAsia" w:ascii="Times New Roman" w:hAnsi="Times New Roman"/>
          <w:color w:val="auto"/>
          <w:sz w:val="24"/>
          <w:szCs w:val="24"/>
          <w:u w:val="single"/>
          <w:lang w:val="en-US" w:eastAsia="zh-CN"/>
        </w:rPr>
        <w:t>6</w:t>
      </w:r>
      <w:r>
        <w:rPr>
          <w:rFonts w:hint="eastAsia" w:ascii="Times New Roman" w:hAnsi="Times New Roman"/>
          <w:color w:val="auto"/>
          <w:sz w:val="24"/>
          <w:szCs w:val="24"/>
          <w:lang w:val="en-US" w:eastAsia="zh-CN"/>
        </w:rPr>
        <w:t>，</w:t>
      </w:r>
      <w:r>
        <w:rPr>
          <w:rFonts w:hint="default" w:ascii="Times New Roman" w:hAnsi="Times New Roman"/>
          <w:color w:val="auto"/>
          <w:sz w:val="24"/>
          <w:szCs w:val="24"/>
        </w:rPr>
        <w:t>1≤Q</w:t>
      </w:r>
      <w:r>
        <w:rPr>
          <w:rFonts w:hint="eastAsia" w:ascii="Times New Roman" w:hAnsi="Times New Roman"/>
          <w:color w:val="auto"/>
          <w:sz w:val="24"/>
          <w:szCs w:val="24"/>
        </w:rPr>
        <w:t>＜</w:t>
      </w:r>
      <w:r>
        <w:rPr>
          <w:rFonts w:hint="default" w:ascii="Times New Roman" w:hAnsi="Times New Roman"/>
          <w:color w:val="auto"/>
          <w:sz w:val="24"/>
          <w:szCs w:val="24"/>
        </w:rPr>
        <w:t>10</w:t>
      </w:r>
      <w:r>
        <w:rPr>
          <w:rFonts w:hint="eastAsia" w:ascii="Times New Roman" w:hAnsi="Times New Roman"/>
          <w:color w:val="auto"/>
          <w:sz w:val="24"/>
          <w:szCs w:val="24"/>
        </w:rPr>
        <w:t xml:space="preserve">，行业及生产工艺 </w:t>
      </w:r>
      <w:r>
        <w:rPr>
          <w:rFonts w:hint="default" w:ascii="Times New Roman" w:hAnsi="Times New Roman"/>
          <w:color w:val="auto"/>
          <w:sz w:val="24"/>
          <w:szCs w:val="24"/>
        </w:rPr>
        <w:t>M=</w:t>
      </w:r>
      <w:r>
        <w:rPr>
          <w:rFonts w:hint="eastAsia" w:ascii="Times New Roman" w:hAnsi="Times New Roman"/>
          <w:color w:val="auto"/>
          <w:sz w:val="24"/>
          <w:szCs w:val="24"/>
          <w:lang w:val="en-US" w:eastAsia="zh-CN"/>
        </w:rPr>
        <w:t>10</w:t>
      </w:r>
      <w:r>
        <w:rPr>
          <w:rFonts w:hint="eastAsia" w:ascii="Times New Roman" w:hAnsi="Times New Roman"/>
          <w:color w:val="auto"/>
          <w:sz w:val="24"/>
          <w:szCs w:val="24"/>
        </w:rPr>
        <w:t xml:space="preserve">，即 </w:t>
      </w:r>
      <w:r>
        <w:rPr>
          <w:rFonts w:hint="default" w:ascii="Times New Roman" w:hAnsi="Times New Roman"/>
          <w:color w:val="auto"/>
          <w:sz w:val="24"/>
          <w:szCs w:val="24"/>
        </w:rPr>
        <w:t>M</w:t>
      </w:r>
      <w:r>
        <w:rPr>
          <w:rFonts w:hint="eastAsia" w:ascii="Times New Roman" w:hAnsi="Times New Roman"/>
          <w:color w:val="auto"/>
          <w:sz w:val="24"/>
          <w:szCs w:val="24"/>
          <w:lang w:val="en-US" w:eastAsia="zh-CN"/>
        </w:rPr>
        <w:t>3，</w:t>
      </w:r>
      <w:r>
        <w:rPr>
          <w:rFonts w:hint="eastAsia" w:ascii="Times New Roman" w:hAnsi="Times New Roman"/>
          <w:color w:val="auto"/>
          <w:sz w:val="24"/>
          <w:szCs w:val="24"/>
        </w:rPr>
        <w:t xml:space="preserve">因此本项目危险物质及工艺系统危险性分级为 </w:t>
      </w:r>
      <w:r>
        <w:rPr>
          <w:rFonts w:hint="default" w:ascii="Times New Roman" w:hAnsi="Times New Roman"/>
          <w:color w:val="auto"/>
          <w:sz w:val="24"/>
          <w:szCs w:val="24"/>
        </w:rPr>
        <w:t>P</w:t>
      </w:r>
      <w:r>
        <w:rPr>
          <w:rFonts w:hint="eastAsia" w:ascii="Times New Roman" w:hAnsi="Times New Roman"/>
          <w:color w:val="auto"/>
          <w:sz w:val="24"/>
          <w:szCs w:val="24"/>
          <w:lang w:val="en-US" w:eastAsia="zh-CN"/>
        </w:rPr>
        <w:t>4</w:t>
      </w:r>
      <w:r>
        <w:rPr>
          <w:rFonts w:hint="eastAsia" w:ascii="Times New Roman" w:hAnsi="Times New Roman"/>
          <w:color w:val="auto"/>
          <w:sz w:val="24"/>
          <w:szCs w:val="24"/>
        </w:rPr>
        <w:t>。</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 xml:space="preserve">二、环境敏感程度 </w:t>
      </w:r>
      <w:r>
        <w:rPr>
          <w:rFonts w:hint="default" w:ascii="Times New Roman" w:hAnsi="Times New Roman"/>
          <w:color w:val="auto"/>
          <w:sz w:val="24"/>
          <w:szCs w:val="24"/>
        </w:rPr>
        <w:t xml:space="preserve">E </w:t>
      </w:r>
      <w:r>
        <w:rPr>
          <w:rFonts w:hint="eastAsia" w:ascii="Times New Roman" w:hAnsi="Times New Roman"/>
          <w:color w:val="auto"/>
          <w:sz w:val="24"/>
          <w:szCs w:val="24"/>
        </w:rPr>
        <w:t>等级</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按照《建设项目环境风险评价技术导则》（</w:t>
      </w:r>
      <w:r>
        <w:rPr>
          <w:rFonts w:hint="default" w:ascii="Times New Roman" w:hAnsi="Times New Roman"/>
          <w:color w:val="auto"/>
          <w:sz w:val="24"/>
          <w:szCs w:val="24"/>
        </w:rPr>
        <w:t>HJ169-2018</w:t>
      </w:r>
      <w:r>
        <w:rPr>
          <w:rFonts w:hint="eastAsia" w:ascii="Times New Roman" w:hAnsi="Times New Roman"/>
          <w:color w:val="auto"/>
          <w:sz w:val="24"/>
          <w:szCs w:val="24"/>
        </w:rPr>
        <w:t xml:space="preserve">）附录 </w:t>
      </w:r>
      <w:r>
        <w:rPr>
          <w:rFonts w:hint="default" w:ascii="Times New Roman" w:hAnsi="Times New Roman"/>
          <w:color w:val="auto"/>
          <w:sz w:val="24"/>
          <w:szCs w:val="24"/>
        </w:rPr>
        <w:t xml:space="preserve">D </w:t>
      </w:r>
      <w:r>
        <w:rPr>
          <w:rFonts w:hint="eastAsia" w:ascii="Times New Roman" w:hAnsi="Times New Roman"/>
          <w:color w:val="auto"/>
          <w:sz w:val="24"/>
          <w:szCs w:val="24"/>
        </w:rPr>
        <w:t>分别确定本项目的大气、地表水、地下水各要素的环境敏感程度。</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1</w:t>
      </w:r>
      <w:r>
        <w:rPr>
          <w:rFonts w:hint="eastAsia" w:ascii="Times New Roman" w:hAnsi="Times New Roman"/>
          <w:color w:val="auto"/>
          <w:sz w:val="24"/>
          <w:szCs w:val="24"/>
          <w:lang w:eastAsia="zh-CN"/>
        </w:rPr>
        <w:t>）</w:t>
      </w:r>
      <w:r>
        <w:rPr>
          <w:rFonts w:hint="eastAsia" w:ascii="Times New Roman" w:hAnsi="Times New Roman"/>
          <w:color w:val="auto"/>
          <w:sz w:val="24"/>
          <w:szCs w:val="24"/>
        </w:rPr>
        <w:t>大气环境敏感程度</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 xml:space="preserve">大气环境敏感程度按表 </w:t>
      </w:r>
      <w:r>
        <w:rPr>
          <w:rFonts w:hint="eastAsia" w:ascii="Times New Roman" w:hAnsi="Times New Roman"/>
          <w:color w:val="auto"/>
          <w:sz w:val="24"/>
          <w:szCs w:val="24"/>
          <w:lang w:val="en-US" w:eastAsia="zh-CN"/>
        </w:rPr>
        <w:t>1.5-14</w:t>
      </w:r>
      <w:r>
        <w:rPr>
          <w:rFonts w:hint="eastAsia" w:ascii="Times New Roman" w:hAnsi="Times New Roman"/>
          <w:color w:val="auto"/>
          <w:sz w:val="24"/>
          <w:szCs w:val="24"/>
        </w:rPr>
        <w:t>判断。</w:t>
      </w:r>
    </w:p>
    <w:p>
      <w:pPr>
        <w:pStyle w:val="2"/>
        <w:rPr>
          <w:rFonts w:hint="eastAsia"/>
        </w:rPr>
      </w:pPr>
    </w:p>
    <w:p>
      <w:pPr>
        <w:pStyle w:val="18"/>
        <w:rPr>
          <w:rFonts w:hint="eastAsia" w:ascii="Times New Roman" w:hAnsi="Times New Roman" w:cs="Times New Roman"/>
          <w:color w:val="auto"/>
        </w:rPr>
      </w:pPr>
      <w:r>
        <w:rPr>
          <w:rFonts w:hint="eastAsia" w:ascii="Times New Roman" w:hAnsi="Times New Roman" w:cs="Times New Roman"/>
          <w:color w:val="auto"/>
        </w:rPr>
        <w:t xml:space="preserve">表 </w:t>
      </w:r>
      <w:r>
        <w:rPr>
          <w:rFonts w:hint="eastAsia" w:ascii="Times New Roman" w:hAnsi="Times New Roman" w:cs="Times New Roman"/>
          <w:color w:val="auto"/>
          <w:lang w:val="en-US" w:eastAsia="zh-CN"/>
        </w:rPr>
        <w:t>1.5-14</w:t>
      </w:r>
      <w:r>
        <w:rPr>
          <w:rFonts w:hint="default" w:ascii="Times New Roman" w:hAnsi="Times New Roman" w:cs="Times New Roman"/>
          <w:color w:val="auto"/>
        </w:rPr>
        <w:t xml:space="preserve"> </w:t>
      </w:r>
      <w:r>
        <w:rPr>
          <w:rFonts w:hint="eastAsia" w:ascii="Times New Roman" w:hAnsi="Times New Roman" w:cs="Times New Roman"/>
          <w:color w:val="auto"/>
        </w:rPr>
        <w:t>大气环境敏感程度分级</w:t>
      </w:r>
    </w:p>
    <w:tbl>
      <w:tblPr>
        <w:tblStyle w:val="45"/>
        <w:tblW w:w="896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62"/>
        <w:gridCol w:w="82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662"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8" w:beforeLines="0" w:afterLines="0" w:line="252" w:lineRule="exact"/>
              <w:ind w:left="121" w:right="73"/>
              <w:rPr>
                <w:rFonts w:hint="eastAsia"/>
                <w:color w:val="auto"/>
                <w:sz w:val="21"/>
              </w:rPr>
            </w:pPr>
            <w:r>
              <w:rPr>
                <w:rFonts w:hint="eastAsia"/>
                <w:color w:val="auto"/>
                <w:sz w:val="21"/>
              </w:rPr>
              <w:t>分级</w:t>
            </w:r>
          </w:p>
        </w:tc>
        <w:tc>
          <w:tcPr>
            <w:tcW w:w="8298"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8" w:beforeLines="0" w:afterLines="0" w:line="252" w:lineRule="exact"/>
              <w:ind w:right="3378"/>
              <w:jc w:val="center"/>
              <w:rPr>
                <w:rFonts w:hint="eastAsia"/>
                <w:color w:val="auto"/>
                <w:sz w:val="21"/>
              </w:rPr>
            </w:pPr>
            <w:r>
              <w:rPr>
                <w:rFonts w:hint="eastAsia"/>
                <w:color w:val="auto"/>
                <w:sz w:val="21"/>
              </w:rPr>
              <w:t>大气环境敏感性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23" w:hRule="atLeast"/>
        </w:trPr>
        <w:tc>
          <w:tcPr>
            <w:tcW w:w="66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0" w:beforeLines="0" w:afterLines="0"/>
              <w:jc w:val="left"/>
              <w:rPr>
                <w:rFonts w:hint="eastAsia" w:ascii="楷体" w:hAnsi="楷体" w:eastAsia="楷体"/>
                <w:b/>
                <w:color w:val="auto"/>
                <w:sz w:val="29"/>
              </w:rPr>
            </w:pPr>
          </w:p>
          <w:p>
            <w:pPr>
              <w:pStyle w:val="247"/>
              <w:kinsoku w:val="0"/>
              <w:overflowPunct w:val="0"/>
              <w:spacing w:beforeLines="0" w:afterLines="0"/>
              <w:ind w:left="121" w:right="72"/>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829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9" w:beforeLines="0" w:afterLines="0"/>
              <w:ind w:left="117"/>
              <w:jc w:val="left"/>
              <w:rPr>
                <w:rFonts w:hint="eastAsia"/>
                <w:color w:val="auto"/>
                <w:sz w:val="21"/>
              </w:rPr>
            </w:pPr>
            <w:r>
              <w:rPr>
                <w:rFonts w:hint="eastAsia"/>
                <w:color w:val="auto"/>
                <w:sz w:val="21"/>
              </w:rPr>
              <w:t xml:space="preserve">周边 </w:t>
            </w:r>
            <w:r>
              <w:rPr>
                <w:rFonts w:hint="default"/>
                <w:color w:val="auto"/>
                <w:sz w:val="21"/>
              </w:rPr>
              <w:t xml:space="preserve">5 km </w:t>
            </w:r>
            <w:r>
              <w:rPr>
                <w:rFonts w:hint="eastAsia"/>
                <w:color w:val="auto"/>
                <w:sz w:val="21"/>
              </w:rPr>
              <w:t xml:space="preserve">范围内居住区、医疗卫生、文化教育、科研、行政办公等机构人口总数大于 </w:t>
            </w:r>
            <w:r>
              <w:rPr>
                <w:rFonts w:hint="default"/>
                <w:color w:val="auto"/>
                <w:sz w:val="21"/>
              </w:rPr>
              <w:t xml:space="preserve">5 </w:t>
            </w:r>
            <w:r>
              <w:rPr>
                <w:rFonts w:hint="eastAsia"/>
                <w:color w:val="auto"/>
                <w:sz w:val="21"/>
              </w:rPr>
              <w:t xml:space="preserve">万人，或其他需要特殊保护区域；或周边 </w:t>
            </w:r>
            <w:r>
              <w:rPr>
                <w:rFonts w:hint="default"/>
                <w:color w:val="auto"/>
                <w:sz w:val="21"/>
              </w:rPr>
              <w:t xml:space="preserve">500 m </w:t>
            </w:r>
            <w:r>
              <w:rPr>
                <w:rFonts w:hint="eastAsia"/>
                <w:color w:val="auto"/>
                <w:sz w:val="21"/>
              </w:rPr>
              <w:t xml:space="preserve">范围内人口总数大于 </w:t>
            </w:r>
            <w:r>
              <w:rPr>
                <w:rFonts w:hint="default"/>
                <w:color w:val="auto"/>
                <w:sz w:val="21"/>
              </w:rPr>
              <w:t xml:space="preserve">1000 </w:t>
            </w:r>
            <w:r>
              <w:rPr>
                <w:rFonts w:hint="eastAsia"/>
                <w:color w:val="auto"/>
                <w:sz w:val="21"/>
              </w:rPr>
              <w:t xml:space="preserve">人；油气、化学品输送管线管段周边 </w:t>
            </w:r>
            <w:r>
              <w:rPr>
                <w:rFonts w:hint="default"/>
                <w:color w:val="auto"/>
                <w:sz w:val="21"/>
              </w:rPr>
              <w:t xml:space="preserve">200 m </w:t>
            </w:r>
            <w:r>
              <w:rPr>
                <w:rFonts w:hint="eastAsia"/>
                <w:color w:val="auto"/>
                <w:sz w:val="21"/>
              </w:rPr>
              <w:t xml:space="preserve">范围内，每千米管段人口数大于 </w:t>
            </w:r>
            <w:r>
              <w:rPr>
                <w:rFonts w:hint="default"/>
                <w:color w:val="auto"/>
                <w:sz w:val="21"/>
              </w:rPr>
              <w:t xml:space="preserve">200 </w:t>
            </w:r>
            <w:r>
              <w:rPr>
                <w:rFonts w:hint="eastAsia"/>
                <w:color w:val="auto"/>
                <w:sz w:val="21"/>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7" w:hRule="atLeast"/>
        </w:trPr>
        <w:tc>
          <w:tcPr>
            <w:tcW w:w="662" w:type="dxa"/>
            <w:tcBorders>
              <w:top w:val="single" w:color="000000" w:sz="4" w:space="0"/>
              <w:left w:val="nil"/>
              <w:bottom w:val="single" w:color="000000" w:sz="12" w:space="0"/>
              <w:right w:val="single" w:color="000000" w:sz="4" w:space="0"/>
              <w:tl2br w:val="nil"/>
              <w:tr2bl w:val="nil"/>
            </w:tcBorders>
            <w:shd w:val="clear" w:color="auto" w:fill="auto"/>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121" w:right="72"/>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c>
          <w:tcPr>
            <w:tcW w:w="8298" w:type="dxa"/>
            <w:tcBorders>
              <w:top w:val="single" w:color="000000" w:sz="4" w:space="0"/>
              <w:left w:val="single" w:color="000000" w:sz="4" w:space="0"/>
              <w:bottom w:val="single" w:color="000000" w:sz="12" w:space="0"/>
              <w:right w:val="nil"/>
              <w:tl2br w:val="nil"/>
              <w:tr2bl w:val="nil"/>
            </w:tcBorders>
            <w:shd w:val="clear" w:color="auto" w:fill="D9D9D9"/>
            <w:vAlign w:val="top"/>
          </w:tcPr>
          <w:p>
            <w:pPr>
              <w:pStyle w:val="247"/>
              <w:kinsoku w:val="0"/>
              <w:overflowPunct w:val="0"/>
              <w:spacing w:before="46" w:beforeLines="0" w:afterLines="0"/>
              <w:ind w:right="-15"/>
              <w:jc w:val="left"/>
              <w:rPr>
                <w:rFonts w:hint="eastAsia"/>
                <w:color w:val="auto"/>
                <w:spacing w:val="-19"/>
                <w:sz w:val="21"/>
              </w:rPr>
            </w:pPr>
            <w:r>
              <w:rPr>
                <w:rFonts w:hint="eastAsia"/>
                <w:color w:val="auto"/>
                <w:sz w:val="21"/>
              </w:rPr>
              <w:t xml:space="preserve">周边 </w:t>
            </w:r>
            <w:r>
              <w:rPr>
                <w:rFonts w:hint="default"/>
                <w:color w:val="auto"/>
                <w:sz w:val="21"/>
              </w:rPr>
              <w:t xml:space="preserve">5 km </w:t>
            </w:r>
            <w:r>
              <w:rPr>
                <w:rFonts w:hint="eastAsia"/>
                <w:color w:val="auto"/>
                <w:sz w:val="21"/>
              </w:rPr>
              <w:t xml:space="preserve">范围内居住区、医疗卫生、文化教育、科研、行政办公等机构人口总数大于 </w:t>
            </w:r>
            <w:r>
              <w:rPr>
                <w:rFonts w:hint="default"/>
                <w:color w:val="auto"/>
                <w:sz w:val="21"/>
              </w:rPr>
              <w:t xml:space="preserve">1 </w:t>
            </w:r>
            <w:r>
              <w:rPr>
                <w:rFonts w:hint="eastAsia"/>
                <w:color w:val="auto"/>
                <w:sz w:val="21"/>
              </w:rPr>
              <w:t xml:space="preserve">万人，小于 </w:t>
            </w:r>
            <w:r>
              <w:rPr>
                <w:rFonts w:hint="default"/>
                <w:color w:val="auto"/>
                <w:sz w:val="21"/>
              </w:rPr>
              <w:t xml:space="preserve">5 </w:t>
            </w:r>
            <w:r>
              <w:rPr>
                <w:rFonts w:hint="eastAsia"/>
                <w:color w:val="auto"/>
                <w:sz w:val="21"/>
              </w:rPr>
              <w:t xml:space="preserve">万人；或周边 </w:t>
            </w:r>
            <w:r>
              <w:rPr>
                <w:rFonts w:hint="default"/>
                <w:color w:val="auto"/>
                <w:sz w:val="21"/>
              </w:rPr>
              <w:t xml:space="preserve">500 m </w:t>
            </w:r>
            <w:r>
              <w:rPr>
                <w:rFonts w:hint="eastAsia"/>
                <w:color w:val="auto"/>
                <w:sz w:val="21"/>
              </w:rPr>
              <w:t xml:space="preserve">范围内人口总数大于 </w:t>
            </w:r>
            <w:r>
              <w:rPr>
                <w:rFonts w:hint="default"/>
                <w:color w:val="auto"/>
                <w:sz w:val="21"/>
              </w:rPr>
              <w:t xml:space="preserve">500 </w:t>
            </w:r>
            <w:r>
              <w:rPr>
                <w:rFonts w:hint="eastAsia"/>
                <w:color w:val="auto"/>
                <w:sz w:val="21"/>
              </w:rPr>
              <w:t xml:space="preserve">人，小于 </w:t>
            </w:r>
            <w:r>
              <w:rPr>
                <w:rFonts w:hint="default"/>
                <w:color w:val="auto"/>
                <w:sz w:val="21"/>
              </w:rPr>
              <w:t xml:space="preserve">1000 </w:t>
            </w:r>
            <w:r>
              <w:rPr>
                <w:rFonts w:hint="eastAsia"/>
                <w:color w:val="auto"/>
                <w:sz w:val="21"/>
              </w:rPr>
              <w:t>人；油气、化学品输送</w:t>
            </w:r>
          </w:p>
        </w:tc>
      </w:tr>
    </w:tbl>
    <w:p>
      <w:pPr>
        <w:spacing w:line="360" w:lineRule="auto"/>
        <w:rPr>
          <w:rFonts w:hint="eastAsia" w:ascii="Times New Roman" w:hAnsi="Times New Roman"/>
          <w:color w:val="auto"/>
          <w:sz w:val="24"/>
          <w:szCs w:val="24"/>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本项目位于</w:t>
      </w:r>
      <w:r>
        <w:rPr>
          <w:rFonts w:hint="eastAsia" w:ascii="Times New Roman" w:hAnsi="Times New Roman"/>
          <w:color w:val="auto"/>
          <w:sz w:val="24"/>
          <w:szCs w:val="24"/>
          <w:lang w:eastAsia="zh-CN"/>
        </w:rPr>
        <w:t>云溪区路口镇</w:t>
      </w:r>
      <w:r>
        <w:rPr>
          <w:rFonts w:hint="eastAsia" w:ascii="Times New Roman" w:hAnsi="Times New Roman"/>
          <w:color w:val="auto"/>
          <w:sz w:val="24"/>
          <w:szCs w:val="24"/>
        </w:rPr>
        <w:t xml:space="preserve">内，通过调查周边 </w:t>
      </w:r>
      <w:r>
        <w:rPr>
          <w:rFonts w:hint="default" w:ascii="Times New Roman" w:hAnsi="Times New Roman"/>
          <w:color w:val="auto"/>
          <w:sz w:val="24"/>
          <w:szCs w:val="24"/>
        </w:rPr>
        <w:t xml:space="preserve">5km </w:t>
      </w:r>
      <w:r>
        <w:rPr>
          <w:rFonts w:hint="eastAsia" w:ascii="Times New Roman" w:hAnsi="Times New Roman"/>
          <w:color w:val="auto"/>
          <w:sz w:val="24"/>
          <w:szCs w:val="24"/>
        </w:rPr>
        <w:t xml:space="preserve">范围内居住区、医疗卫生、文化教育、科研、行政办公等机构人口总数大于 </w:t>
      </w:r>
      <w:r>
        <w:rPr>
          <w:rFonts w:hint="default" w:ascii="Times New Roman" w:hAnsi="Times New Roman"/>
          <w:color w:val="auto"/>
          <w:sz w:val="24"/>
          <w:szCs w:val="24"/>
        </w:rPr>
        <w:t xml:space="preserve">1 </w:t>
      </w:r>
      <w:r>
        <w:rPr>
          <w:rFonts w:hint="eastAsia" w:ascii="Times New Roman" w:hAnsi="Times New Roman"/>
          <w:color w:val="auto"/>
          <w:sz w:val="24"/>
          <w:szCs w:val="24"/>
        </w:rPr>
        <w:t xml:space="preserve">万人，但小于 </w:t>
      </w:r>
      <w:r>
        <w:rPr>
          <w:rFonts w:hint="default" w:ascii="Times New Roman" w:hAnsi="Times New Roman"/>
          <w:color w:val="auto"/>
          <w:sz w:val="24"/>
          <w:szCs w:val="24"/>
        </w:rPr>
        <w:t xml:space="preserve">5 </w:t>
      </w:r>
      <w:r>
        <w:rPr>
          <w:rFonts w:hint="eastAsia" w:ascii="Times New Roman" w:hAnsi="Times New Roman"/>
          <w:color w:val="auto"/>
          <w:sz w:val="24"/>
          <w:szCs w:val="24"/>
        </w:rPr>
        <w:t xml:space="preserve">万人，因此，本项目大气环境敏感程度为 </w:t>
      </w:r>
      <w:r>
        <w:rPr>
          <w:rFonts w:hint="default" w:ascii="Times New Roman" w:hAnsi="Times New Roman"/>
          <w:color w:val="auto"/>
          <w:sz w:val="24"/>
          <w:szCs w:val="24"/>
        </w:rPr>
        <w:t>E2</w:t>
      </w:r>
      <w:r>
        <w:rPr>
          <w:rFonts w:hint="eastAsia" w:ascii="Times New Roman" w:hAnsi="Times New Roman"/>
          <w:color w:val="auto"/>
          <w:sz w:val="24"/>
          <w:szCs w:val="24"/>
        </w:rPr>
        <w:t>。</w:t>
      </w:r>
    </w:p>
    <w:p>
      <w:pPr>
        <w:pStyle w:val="22"/>
        <w:rPr>
          <w:rFonts w:hint="default"/>
          <w:color w:val="auto"/>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2</w:t>
      </w:r>
      <w:r>
        <w:rPr>
          <w:rFonts w:hint="eastAsia" w:ascii="Times New Roman" w:hAnsi="Times New Roman"/>
          <w:color w:val="auto"/>
          <w:sz w:val="24"/>
          <w:szCs w:val="24"/>
          <w:lang w:eastAsia="zh-CN"/>
        </w:rPr>
        <w:t>）</w:t>
      </w:r>
      <w:r>
        <w:rPr>
          <w:rFonts w:hint="eastAsia" w:ascii="Times New Roman" w:hAnsi="Times New Roman"/>
          <w:color w:val="auto"/>
          <w:sz w:val="24"/>
          <w:szCs w:val="24"/>
        </w:rPr>
        <w:t>地表水环境敏感程度</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地表水环境敏感程度按表</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15</w:t>
      </w:r>
      <w:r>
        <w:rPr>
          <w:rFonts w:hint="eastAsia" w:ascii="Times New Roman" w:hAnsi="Times New Roman"/>
          <w:color w:val="auto"/>
          <w:sz w:val="24"/>
          <w:szCs w:val="24"/>
        </w:rPr>
        <w:t>、表</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16</w:t>
      </w:r>
      <w:r>
        <w:rPr>
          <w:rFonts w:hint="eastAsia" w:ascii="Times New Roman" w:hAnsi="Times New Roman"/>
          <w:color w:val="auto"/>
          <w:sz w:val="24"/>
          <w:szCs w:val="24"/>
        </w:rPr>
        <w:t xml:space="preserve">、表 </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17</w:t>
      </w:r>
      <w:r>
        <w:rPr>
          <w:rFonts w:hint="default" w:ascii="Times New Roman" w:hAnsi="Times New Roman"/>
          <w:color w:val="auto"/>
          <w:sz w:val="24"/>
          <w:szCs w:val="24"/>
        </w:rPr>
        <w:t xml:space="preserve"> </w:t>
      </w:r>
      <w:r>
        <w:rPr>
          <w:rFonts w:hint="eastAsia" w:ascii="Times New Roman" w:hAnsi="Times New Roman"/>
          <w:color w:val="auto"/>
          <w:sz w:val="24"/>
          <w:szCs w:val="24"/>
        </w:rPr>
        <w:t>判断。</w:t>
      </w:r>
    </w:p>
    <w:p>
      <w:pPr>
        <w:pStyle w:val="2"/>
        <w:rPr>
          <w:rFonts w:hint="eastAsia"/>
          <w:color w:val="auto"/>
        </w:rPr>
      </w:pPr>
    </w:p>
    <w:p>
      <w:pPr>
        <w:pStyle w:val="18"/>
        <w:rPr>
          <w:rFonts w:hint="eastAsia" w:ascii="Times New Roman" w:hAnsi="Times New Roman" w:cs="Times New Roman"/>
          <w:color w:val="auto"/>
        </w:rPr>
      </w:pPr>
      <w:r>
        <w:rPr>
          <w:rFonts w:hint="eastAsia" w:ascii="Times New Roman" w:hAnsi="Times New Roman" w:cs="Times New Roman"/>
          <w:color w:val="auto"/>
        </w:rPr>
        <w:t>表</w:t>
      </w:r>
      <w:r>
        <w:rPr>
          <w:rFonts w:hint="eastAsia" w:ascii="Times New Roman" w:hAnsi="Times New Roman" w:cs="Times New Roman"/>
          <w:color w:val="auto"/>
          <w:lang w:val="en-US" w:eastAsia="zh-CN"/>
        </w:rPr>
        <w:t>1.</w:t>
      </w:r>
      <w:r>
        <w:rPr>
          <w:rFonts w:hint="eastAsia" w:ascii="Times New Roman" w:hAnsi="Times New Roman" w:cs="Times New Roman"/>
          <w:color w:val="auto"/>
        </w:rPr>
        <w:t xml:space="preserve"> </w:t>
      </w:r>
      <w:r>
        <w:rPr>
          <w:rFonts w:hint="eastAsia" w:ascii="Times New Roman" w:hAnsi="Times New Roman" w:cs="Times New Roman"/>
          <w:color w:val="auto"/>
          <w:lang w:val="en-US" w:eastAsia="zh-CN"/>
        </w:rPr>
        <w:t>5</w:t>
      </w:r>
      <w:r>
        <w:rPr>
          <w:rFonts w:hint="default" w:ascii="Times New Roman" w:hAnsi="Times New Roman" w:cs="Times New Roman"/>
          <w:color w:val="auto"/>
        </w:rPr>
        <w:t>-</w:t>
      </w:r>
      <w:r>
        <w:rPr>
          <w:rFonts w:hint="eastAsia" w:ascii="Times New Roman" w:hAnsi="Times New Roman" w:cs="Times New Roman"/>
          <w:color w:val="auto"/>
          <w:lang w:val="en-US" w:eastAsia="zh-CN"/>
        </w:rPr>
        <w:t>15</w:t>
      </w:r>
      <w:r>
        <w:rPr>
          <w:rFonts w:hint="default" w:ascii="Times New Roman" w:hAnsi="Times New Roman" w:cs="Times New Roman"/>
          <w:color w:val="auto"/>
        </w:rPr>
        <w:tab/>
      </w:r>
      <w:r>
        <w:rPr>
          <w:rFonts w:hint="eastAsia" w:ascii="Times New Roman" w:hAnsi="Times New Roman" w:cs="Times New Roman"/>
          <w:color w:val="auto"/>
        </w:rPr>
        <w:t>地表水环境敏感程度分级</w:t>
      </w:r>
    </w:p>
    <w:tbl>
      <w:tblPr>
        <w:tblStyle w:val="45"/>
        <w:tblW w:w="8963"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52"/>
        <w:gridCol w:w="2235"/>
        <w:gridCol w:w="2238"/>
        <w:gridCol w:w="22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318" w:hRule="atLeast"/>
        </w:trPr>
        <w:tc>
          <w:tcPr>
            <w:tcW w:w="2252" w:type="dxa"/>
            <w:vMerge w:val="restart"/>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6" w:beforeLines="0" w:afterLines="0"/>
              <w:jc w:val="left"/>
              <w:rPr>
                <w:rFonts w:hint="eastAsia" w:ascii="楷体" w:hAnsi="楷体" w:eastAsia="楷体"/>
                <w:b/>
                <w:color w:val="auto"/>
                <w:sz w:val="16"/>
              </w:rPr>
            </w:pPr>
          </w:p>
          <w:p>
            <w:pPr>
              <w:pStyle w:val="247"/>
              <w:kinsoku w:val="0"/>
              <w:overflowPunct w:val="0"/>
              <w:spacing w:beforeLines="0" w:afterLines="0"/>
              <w:ind w:left="516"/>
              <w:jc w:val="left"/>
              <w:rPr>
                <w:rFonts w:hint="eastAsia"/>
                <w:color w:val="auto"/>
                <w:sz w:val="21"/>
              </w:rPr>
            </w:pPr>
            <w:r>
              <w:rPr>
                <w:rFonts w:hint="eastAsia"/>
                <w:color w:val="auto"/>
                <w:sz w:val="21"/>
              </w:rPr>
              <w:t>环境敏感目标</w:t>
            </w:r>
          </w:p>
        </w:tc>
        <w:tc>
          <w:tcPr>
            <w:tcW w:w="6711" w:type="dxa"/>
            <w:gridSpan w:val="3"/>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2" w:lineRule="exact"/>
              <w:ind w:left="2503" w:right="2482"/>
              <w:rPr>
                <w:rFonts w:hint="eastAsia"/>
                <w:color w:val="auto"/>
                <w:sz w:val="21"/>
              </w:rPr>
            </w:pPr>
            <w:r>
              <w:rPr>
                <w:rFonts w:hint="eastAsia"/>
                <w:color w:val="auto"/>
                <w:sz w:val="21"/>
              </w:rPr>
              <w:t>地表水功能敏感性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1" w:hRule="atLeast"/>
        </w:trPr>
        <w:tc>
          <w:tcPr>
            <w:tcW w:w="2252" w:type="dxa"/>
            <w:vMerge w:val="continue"/>
            <w:tcBorders>
              <w:top w:val="nil"/>
              <w:left w:val="nil"/>
              <w:bottom w:val="single" w:color="000000" w:sz="4" w:space="0"/>
              <w:right w:val="single" w:color="000000" w:sz="4" w:space="0"/>
              <w:tl2br w:val="nil"/>
              <w:tr2bl w:val="nil"/>
            </w:tcBorders>
            <w:vAlign w:val="top"/>
          </w:tcPr>
          <w:p>
            <w:pPr>
              <w:pStyle w:val="22"/>
              <w:tabs>
                <w:tab w:val="left" w:pos="1556"/>
              </w:tabs>
              <w:kinsoku w:val="0"/>
              <w:overflowPunct w:val="0"/>
              <w:spacing w:before="208" w:beforeLines="0" w:after="42" w:afterLines="0"/>
              <w:ind w:left="538"/>
              <w:jc w:val="center"/>
              <w:rPr>
                <w:rFonts w:hint="eastAsia" w:ascii="楷体" w:hAnsi="楷体" w:eastAsia="楷体"/>
                <w:b/>
                <w:color w:val="auto"/>
                <w:sz w:val="2"/>
              </w:rPr>
            </w:pPr>
          </w:p>
        </w:tc>
        <w:tc>
          <w:tcPr>
            <w:tcW w:w="22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3" w:beforeLines="0" w:afterLines="0" w:line="238" w:lineRule="exact"/>
              <w:ind w:right="994"/>
              <w:jc w:val="right"/>
              <w:rPr>
                <w:rFonts w:hint="default" w:ascii="Times New Roman" w:hAnsi="Times New Roman" w:eastAsia="Times New Roman"/>
                <w:color w:val="auto"/>
                <w:sz w:val="21"/>
              </w:rPr>
            </w:pPr>
            <w:r>
              <w:rPr>
                <w:rFonts w:hint="default" w:ascii="Times New Roman" w:hAnsi="Times New Roman" w:eastAsia="Times New Roman"/>
                <w:color w:val="auto"/>
                <w:sz w:val="21"/>
              </w:rPr>
              <w:t>F1</w:t>
            </w:r>
          </w:p>
        </w:tc>
        <w:tc>
          <w:tcPr>
            <w:tcW w:w="223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3" w:beforeLines="0" w:afterLines="0" w:line="238" w:lineRule="exact"/>
              <w:ind w:right="995"/>
              <w:jc w:val="right"/>
              <w:rPr>
                <w:rFonts w:hint="default" w:ascii="Times New Roman" w:hAnsi="Times New Roman" w:eastAsia="Times New Roman"/>
                <w:color w:val="auto"/>
                <w:sz w:val="21"/>
              </w:rPr>
            </w:pPr>
            <w:r>
              <w:rPr>
                <w:rFonts w:hint="default" w:ascii="Times New Roman" w:hAnsi="Times New Roman" w:eastAsia="Times New Roman"/>
                <w:color w:val="auto"/>
                <w:sz w:val="21"/>
              </w:rPr>
              <w:t>F2</w:t>
            </w:r>
          </w:p>
        </w:tc>
        <w:tc>
          <w:tcPr>
            <w:tcW w:w="223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3" w:beforeLines="0" w:afterLines="0" w:line="238" w:lineRule="exact"/>
              <w:ind w:right="100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F3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225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984"/>
              <w:jc w:val="right"/>
              <w:rPr>
                <w:rFonts w:hint="default" w:ascii="Times New Roman" w:hAnsi="Times New Roman" w:eastAsia="Times New Roman"/>
                <w:color w:val="auto"/>
                <w:sz w:val="21"/>
              </w:rPr>
            </w:pPr>
            <w:r>
              <w:rPr>
                <w:rFonts w:hint="default" w:ascii="Times New Roman" w:hAnsi="Times New Roman" w:eastAsia="Times New Roman"/>
                <w:color w:val="auto"/>
                <w:sz w:val="21"/>
              </w:rPr>
              <w:t>S1</w:t>
            </w:r>
          </w:p>
        </w:tc>
        <w:tc>
          <w:tcPr>
            <w:tcW w:w="22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0" w:beforeLines="0" w:afterLines="0" w:line="238"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1" w:hRule="atLeast"/>
        </w:trPr>
        <w:tc>
          <w:tcPr>
            <w:tcW w:w="225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63" w:beforeLines="0" w:afterLines="0" w:line="238" w:lineRule="exact"/>
              <w:ind w:right="984"/>
              <w:jc w:val="right"/>
              <w:rPr>
                <w:rFonts w:hint="default" w:ascii="Times New Roman" w:hAnsi="Times New Roman" w:eastAsia="Times New Roman"/>
                <w:color w:val="auto"/>
                <w:sz w:val="21"/>
              </w:rPr>
            </w:pPr>
            <w:r>
              <w:rPr>
                <w:rFonts w:hint="default" w:ascii="Times New Roman" w:hAnsi="Times New Roman" w:eastAsia="Times New Roman"/>
                <w:color w:val="auto"/>
                <w:sz w:val="21"/>
              </w:rPr>
              <w:t>S2</w:t>
            </w:r>
          </w:p>
        </w:tc>
        <w:tc>
          <w:tcPr>
            <w:tcW w:w="22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3" w:beforeLines="0" w:afterLines="0" w:line="238"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3" w:beforeLines="0" w:afterLines="0" w:line="238"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c>
          <w:tcPr>
            <w:tcW w:w="223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3" w:beforeLines="0" w:afterLines="0" w:line="238"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2252" w:type="dxa"/>
            <w:tcBorders>
              <w:top w:val="single" w:color="000000" w:sz="4" w:space="0"/>
              <w:left w:val="nil"/>
              <w:bottom w:val="single" w:color="000000" w:sz="12" w:space="0"/>
              <w:right w:val="single" w:color="000000" w:sz="4" w:space="0"/>
              <w:tl2br w:val="nil"/>
              <w:tr2bl w:val="nil"/>
            </w:tcBorders>
            <w:shd w:val="clear" w:color="auto" w:fill="auto"/>
            <w:vAlign w:val="top"/>
          </w:tcPr>
          <w:p>
            <w:pPr>
              <w:pStyle w:val="247"/>
              <w:kinsoku w:val="0"/>
              <w:overflowPunct w:val="0"/>
              <w:spacing w:before="60" w:beforeLines="0" w:afterLines="0" w:line="240" w:lineRule="exact"/>
              <w:ind w:right="984"/>
              <w:jc w:val="right"/>
              <w:rPr>
                <w:rFonts w:hint="default" w:ascii="Times New Roman" w:hAnsi="Times New Roman" w:eastAsia="Times New Roman"/>
                <w:color w:val="auto"/>
                <w:sz w:val="21"/>
              </w:rPr>
            </w:pPr>
            <w:r>
              <w:rPr>
                <w:rFonts w:hint="default" w:ascii="Times New Roman" w:hAnsi="Times New Roman" w:eastAsia="Times New Roman"/>
                <w:color w:val="auto"/>
                <w:sz w:val="21"/>
              </w:rPr>
              <w:t>S3</w:t>
            </w:r>
          </w:p>
        </w:tc>
        <w:tc>
          <w:tcPr>
            <w:tcW w:w="2235" w:type="dxa"/>
            <w:tcBorders>
              <w:top w:val="single" w:color="000000" w:sz="4" w:space="0"/>
              <w:left w:val="single" w:color="000000" w:sz="4" w:space="0"/>
              <w:bottom w:val="single" w:color="000000" w:sz="12" w:space="0"/>
              <w:right w:val="single" w:color="000000" w:sz="4" w:space="0"/>
              <w:tl2br w:val="nil"/>
              <w:tr2bl w:val="nil"/>
            </w:tcBorders>
            <w:shd w:val="clear" w:color="auto" w:fill="auto"/>
            <w:vAlign w:val="top"/>
          </w:tcPr>
          <w:p>
            <w:pPr>
              <w:pStyle w:val="247"/>
              <w:kinsoku w:val="0"/>
              <w:overflowPunct w:val="0"/>
              <w:spacing w:before="60" w:beforeLines="0" w:afterLines="0" w:line="240"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12" w:space="0"/>
              <w:right w:val="single" w:color="000000" w:sz="4" w:space="0"/>
              <w:tl2br w:val="nil"/>
              <w:tr2bl w:val="nil"/>
            </w:tcBorders>
            <w:shd w:val="clear" w:color="auto" w:fill="auto"/>
            <w:vAlign w:val="top"/>
          </w:tcPr>
          <w:p>
            <w:pPr>
              <w:pStyle w:val="247"/>
              <w:kinsoku w:val="0"/>
              <w:overflowPunct w:val="0"/>
              <w:spacing w:before="60" w:beforeLines="0" w:afterLines="0" w:line="240"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c>
          <w:tcPr>
            <w:tcW w:w="2238" w:type="dxa"/>
            <w:tcBorders>
              <w:top w:val="single" w:color="000000" w:sz="4" w:space="0"/>
              <w:left w:val="single" w:color="000000" w:sz="4" w:space="0"/>
              <w:bottom w:val="single" w:color="000000" w:sz="12" w:space="0"/>
              <w:right w:val="nil"/>
              <w:tl2br w:val="nil"/>
              <w:tr2bl w:val="nil"/>
            </w:tcBorders>
            <w:shd w:val="clear" w:color="auto" w:fill="D9D9D9"/>
            <w:vAlign w:val="top"/>
          </w:tcPr>
          <w:p>
            <w:pPr>
              <w:pStyle w:val="247"/>
              <w:kinsoku w:val="0"/>
              <w:overflowPunct w:val="0"/>
              <w:spacing w:before="60" w:beforeLines="0" w:afterLines="0" w:line="240"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E3</w:t>
            </w:r>
          </w:p>
        </w:tc>
      </w:tr>
    </w:tbl>
    <w:p>
      <w:pPr>
        <w:pStyle w:val="22"/>
        <w:tabs>
          <w:tab w:val="left" w:pos="1450"/>
        </w:tabs>
        <w:kinsoku w:val="0"/>
        <w:overflowPunct w:val="0"/>
        <w:spacing w:before="186" w:beforeLines="0" w:after="42" w:afterLines="0"/>
        <w:ind w:left="538"/>
        <w:jc w:val="center"/>
        <w:rPr>
          <w:rFonts w:hint="eastAsia" w:ascii="楷体" w:hAnsi="楷体" w:eastAsia="楷体"/>
          <w:b/>
          <w:color w:val="auto"/>
          <w:sz w:val="21"/>
        </w:rPr>
      </w:pPr>
    </w:p>
    <w:p>
      <w:pPr>
        <w:pStyle w:val="18"/>
        <w:rPr>
          <w:rFonts w:hint="eastAsia" w:ascii="Times New Roman" w:hAnsi="Times New Roman" w:cs="Times New Roman"/>
          <w:color w:val="auto"/>
        </w:rPr>
      </w:pPr>
      <w:r>
        <w:rPr>
          <w:rFonts w:hint="eastAsia" w:ascii="Times New Roman" w:hAnsi="Times New Roman" w:cs="Times New Roman"/>
          <w:color w:val="auto"/>
        </w:rPr>
        <w:t>表</w:t>
      </w:r>
      <w:r>
        <w:rPr>
          <w:rFonts w:hint="eastAsia" w:ascii="Times New Roman" w:hAnsi="Times New Roman" w:cs="Times New Roman"/>
          <w:color w:val="auto"/>
          <w:lang w:val="en-US" w:eastAsia="zh-CN"/>
        </w:rPr>
        <w:t>1.</w:t>
      </w:r>
      <w:r>
        <w:rPr>
          <w:rFonts w:hint="eastAsia" w:ascii="Times New Roman" w:hAnsi="Times New Roman" w:cs="Times New Roman"/>
          <w:color w:val="auto"/>
        </w:rPr>
        <w:t xml:space="preserve"> </w:t>
      </w:r>
      <w:r>
        <w:rPr>
          <w:rFonts w:hint="default" w:ascii="Times New Roman" w:hAnsi="Times New Roman" w:cs="Times New Roman"/>
          <w:color w:val="auto"/>
        </w:rPr>
        <w:t>5-</w:t>
      </w:r>
      <w:r>
        <w:rPr>
          <w:rFonts w:hint="eastAsia" w:ascii="Times New Roman" w:hAnsi="Times New Roman" w:cs="Times New Roman"/>
          <w:color w:val="auto"/>
          <w:lang w:val="en-US" w:eastAsia="zh-CN"/>
        </w:rPr>
        <w:t>16</w:t>
      </w:r>
      <w:r>
        <w:rPr>
          <w:rFonts w:hint="default" w:ascii="Times New Roman" w:hAnsi="Times New Roman" w:cs="Times New Roman"/>
          <w:color w:val="auto"/>
        </w:rPr>
        <w:tab/>
      </w:r>
      <w:r>
        <w:rPr>
          <w:rFonts w:hint="eastAsia" w:ascii="Times New Roman" w:hAnsi="Times New Roman" w:cs="Times New Roman"/>
          <w:color w:val="auto"/>
        </w:rPr>
        <w:t>地表水功能敏感性分区</w:t>
      </w:r>
    </w:p>
    <w:tbl>
      <w:tblPr>
        <w:tblStyle w:val="45"/>
        <w:tblW w:w="8962"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62"/>
        <w:gridCol w:w="7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1562"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6" w:beforeLines="0" w:afterLines="0" w:line="252" w:lineRule="exact"/>
              <w:ind w:left="51"/>
              <w:rPr>
                <w:rFonts w:hint="eastAsia"/>
                <w:color w:val="auto"/>
                <w:sz w:val="21"/>
              </w:rPr>
            </w:pPr>
            <w:r>
              <w:rPr>
                <w:rFonts w:hint="eastAsia"/>
                <w:color w:val="auto"/>
                <w:sz w:val="21"/>
              </w:rPr>
              <w:t>敏感性</w:t>
            </w:r>
          </w:p>
        </w:tc>
        <w:tc>
          <w:tcPr>
            <w:tcW w:w="7400"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2" w:lineRule="exact"/>
              <w:ind w:right="2720"/>
              <w:jc w:val="center"/>
              <w:rPr>
                <w:rFonts w:hint="eastAsia"/>
                <w:color w:val="auto"/>
                <w:sz w:val="21"/>
              </w:rPr>
            </w:pPr>
            <w:r>
              <w:rPr>
                <w:rFonts w:hint="eastAsia"/>
                <w:color w:val="auto"/>
                <w:sz w:val="21"/>
              </w:rPr>
              <w:t>地表水环境敏感</w:t>
            </w:r>
            <w:r>
              <w:rPr>
                <w:rFonts w:hint="eastAsia" w:eastAsia="宋体"/>
                <w:color w:val="auto"/>
                <w:sz w:val="21"/>
                <w:lang w:eastAsia="zh-CN"/>
              </w:rPr>
              <w:t>特</w:t>
            </w:r>
            <w:r>
              <w:rPr>
                <w:rFonts w:hint="eastAsia"/>
                <w:color w:val="auto"/>
                <w:sz w:val="21"/>
              </w:rPr>
              <w:t>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62" w:hRule="atLeast"/>
        </w:trPr>
        <w:tc>
          <w:tcPr>
            <w:tcW w:w="156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9" w:beforeLines="0" w:afterLines="0"/>
              <w:jc w:val="left"/>
              <w:rPr>
                <w:rFonts w:hint="eastAsia" w:ascii="楷体" w:hAnsi="楷体" w:eastAsia="楷体"/>
                <w:b/>
                <w:color w:val="auto"/>
                <w:sz w:val="28"/>
              </w:rPr>
            </w:pPr>
          </w:p>
          <w:p>
            <w:pPr>
              <w:pStyle w:val="247"/>
              <w:tabs>
                <w:tab w:val="left" w:pos="883"/>
              </w:tabs>
              <w:kinsoku w:val="0"/>
              <w:overflowPunct w:val="0"/>
              <w:spacing w:beforeLines="0" w:afterLines="0"/>
              <w:ind w:left="41"/>
              <w:rPr>
                <w:rFonts w:hint="default" w:ascii="Times New Roman" w:hAnsi="Times New Roman" w:eastAsia="Times New Roman"/>
                <w:color w:val="auto"/>
                <w:spacing w:val="-5"/>
                <w:sz w:val="21"/>
              </w:rPr>
            </w:pPr>
            <w:r>
              <w:rPr>
                <w:rFonts w:hint="eastAsia"/>
                <w:color w:val="auto"/>
                <w:sz w:val="21"/>
              </w:rPr>
              <w:t>敏感性</w:t>
            </w:r>
            <w:r>
              <w:rPr>
                <w:rFonts w:hint="eastAsia"/>
                <w:color w:val="auto"/>
                <w:sz w:val="21"/>
              </w:rPr>
              <w:tab/>
            </w:r>
            <w:r>
              <w:rPr>
                <w:rFonts w:hint="default" w:ascii="Times New Roman" w:hAnsi="Times New Roman" w:eastAsia="Times New Roman"/>
                <w:color w:val="auto"/>
                <w:spacing w:val="-5"/>
                <w:sz w:val="21"/>
              </w:rPr>
              <w:t>F1</w:t>
            </w:r>
          </w:p>
        </w:tc>
        <w:tc>
          <w:tcPr>
            <w:tcW w:w="7400"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9" w:beforeLines="0" w:afterLines="0"/>
              <w:ind w:left="117"/>
              <w:jc w:val="left"/>
              <w:rPr>
                <w:rFonts w:hint="eastAsia"/>
                <w:color w:val="auto"/>
                <w:sz w:val="21"/>
              </w:rPr>
            </w:pPr>
            <w:r>
              <w:rPr>
                <w:rFonts w:hint="eastAsia"/>
                <w:color w:val="auto"/>
                <w:sz w:val="21"/>
              </w:rPr>
              <w:t>排放点进入地表水水域环境功能为</w:t>
            </w:r>
            <w:r>
              <w:rPr>
                <w:rFonts w:hint="default" w:ascii="Times New Roman" w:hAnsi="Times New Roman" w:eastAsia="Times New Roman"/>
                <w:color w:val="auto"/>
                <w:sz w:val="21"/>
              </w:rPr>
              <w:t>Ⅱ</w:t>
            </w:r>
            <w:r>
              <w:rPr>
                <w:rFonts w:hint="eastAsia"/>
                <w:color w:val="auto"/>
                <w:sz w:val="21"/>
              </w:rPr>
              <w:t>类及以上，或海水水质分类第一类；</w:t>
            </w:r>
          </w:p>
          <w:p>
            <w:pPr>
              <w:pStyle w:val="247"/>
              <w:kinsoku w:val="0"/>
              <w:overflowPunct w:val="0"/>
              <w:spacing w:beforeLines="0" w:afterLines="0" w:line="320" w:lineRule="atLeast"/>
              <w:ind w:left="117" w:right="92"/>
              <w:jc w:val="left"/>
              <w:rPr>
                <w:rFonts w:hint="eastAsia"/>
                <w:color w:val="auto"/>
                <w:spacing w:val="-3"/>
                <w:sz w:val="21"/>
              </w:rPr>
            </w:pPr>
            <w:r>
              <w:rPr>
                <w:rFonts w:hint="eastAsia"/>
                <w:color w:val="auto"/>
                <w:sz w:val="21"/>
              </w:rPr>
              <w:t>或以发生事故时，危险物质泄漏到水体的排放点算起，排放进入受纳河流最大</w:t>
            </w:r>
            <w:r>
              <w:rPr>
                <w:rFonts w:hint="eastAsia"/>
                <w:color w:val="auto"/>
                <w:spacing w:val="-1"/>
                <w:sz w:val="21"/>
              </w:rPr>
              <w:t>流速时，</w:t>
            </w:r>
            <w:r>
              <w:rPr>
                <w:rFonts w:hint="default" w:ascii="Times New Roman" w:hAnsi="Times New Roman" w:eastAsia="Times New Roman"/>
                <w:color w:val="auto"/>
                <w:sz w:val="21"/>
              </w:rPr>
              <w:t xml:space="preserve">24 h </w:t>
            </w:r>
            <w:r>
              <w:rPr>
                <w:rFonts w:hint="eastAsia"/>
                <w:color w:val="auto"/>
                <w:spacing w:val="-3"/>
                <w:sz w:val="21"/>
              </w:rPr>
              <w:t>流经范围内涉跨国界的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59" w:hRule="atLeast"/>
        </w:trPr>
        <w:tc>
          <w:tcPr>
            <w:tcW w:w="156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28"/>
              </w:rPr>
            </w:pPr>
          </w:p>
          <w:p>
            <w:pPr>
              <w:pStyle w:val="247"/>
              <w:tabs>
                <w:tab w:val="left" w:pos="883"/>
              </w:tabs>
              <w:kinsoku w:val="0"/>
              <w:overflowPunct w:val="0"/>
              <w:spacing w:beforeLines="0" w:afterLines="0"/>
              <w:ind w:left="41"/>
              <w:rPr>
                <w:rFonts w:hint="default" w:ascii="Times New Roman" w:hAnsi="Times New Roman" w:eastAsia="Times New Roman"/>
                <w:color w:val="auto"/>
                <w:spacing w:val="-5"/>
                <w:sz w:val="21"/>
              </w:rPr>
            </w:pPr>
            <w:r>
              <w:rPr>
                <w:rFonts w:hint="eastAsia"/>
                <w:color w:val="auto"/>
                <w:sz w:val="21"/>
              </w:rPr>
              <w:t>敏感性</w:t>
            </w:r>
            <w:r>
              <w:rPr>
                <w:rFonts w:hint="eastAsia"/>
                <w:color w:val="auto"/>
                <w:sz w:val="21"/>
              </w:rPr>
              <w:tab/>
            </w:r>
            <w:r>
              <w:rPr>
                <w:rFonts w:hint="default" w:ascii="Times New Roman" w:hAnsi="Times New Roman" w:eastAsia="Times New Roman"/>
                <w:color w:val="auto"/>
                <w:spacing w:val="-5"/>
                <w:sz w:val="21"/>
              </w:rPr>
              <w:t>F2</w:t>
            </w:r>
          </w:p>
        </w:tc>
        <w:tc>
          <w:tcPr>
            <w:tcW w:w="7400"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ind w:left="117"/>
              <w:jc w:val="left"/>
              <w:rPr>
                <w:rFonts w:hint="eastAsia"/>
                <w:color w:val="auto"/>
                <w:w w:val="105"/>
                <w:sz w:val="21"/>
              </w:rPr>
            </w:pPr>
            <w:r>
              <w:rPr>
                <w:rFonts w:hint="eastAsia"/>
                <w:color w:val="auto"/>
                <w:w w:val="105"/>
                <w:sz w:val="21"/>
              </w:rPr>
              <w:t>排放点进入地表水水域环境功能为</w:t>
            </w:r>
            <w:r>
              <w:rPr>
                <w:rFonts w:hint="default" w:ascii="Times New Roman" w:hAnsi="Times New Roman" w:eastAsia="Times New Roman"/>
                <w:color w:val="auto"/>
                <w:w w:val="105"/>
                <w:sz w:val="21"/>
              </w:rPr>
              <w:t>Ⅲ</w:t>
            </w:r>
            <w:r>
              <w:rPr>
                <w:rFonts w:hint="eastAsia"/>
                <w:color w:val="auto"/>
                <w:w w:val="105"/>
                <w:sz w:val="21"/>
              </w:rPr>
              <w:t>类，或海水水质分类第二类；</w:t>
            </w:r>
          </w:p>
          <w:p>
            <w:pPr>
              <w:pStyle w:val="247"/>
              <w:kinsoku w:val="0"/>
              <w:overflowPunct w:val="0"/>
              <w:spacing w:beforeLines="0" w:afterLines="0" w:line="320" w:lineRule="atLeast"/>
              <w:ind w:left="117" w:right="94"/>
              <w:jc w:val="left"/>
              <w:rPr>
                <w:rFonts w:hint="eastAsia"/>
                <w:color w:val="auto"/>
                <w:spacing w:val="-3"/>
                <w:sz w:val="21"/>
              </w:rPr>
            </w:pPr>
            <w:r>
              <w:rPr>
                <w:rFonts w:hint="eastAsia"/>
                <w:color w:val="auto"/>
                <w:sz w:val="21"/>
              </w:rPr>
              <w:t>或以发生事故时，危险物质泄漏到水体的排放点算起，排放进入受纳河流最大</w:t>
            </w:r>
            <w:r>
              <w:rPr>
                <w:rFonts w:hint="eastAsia"/>
                <w:color w:val="auto"/>
                <w:spacing w:val="-1"/>
                <w:sz w:val="21"/>
              </w:rPr>
              <w:t>流速时，</w:t>
            </w:r>
            <w:r>
              <w:rPr>
                <w:rFonts w:hint="default" w:ascii="Times New Roman" w:hAnsi="Times New Roman" w:eastAsia="Times New Roman"/>
                <w:color w:val="auto"/>
                <w:sz w:val="21"/>
              </w:rPr>
              <w:t xml:space="preserve">24 h </w:t>
            </w:r>
            <w:r>
              <w:rPr>
                <w:rFonts w:hint="eastAsia"/>
                <w:color w:val="auto"/>
                <w:spacing w:val="-3"/>
                <w:sz w:val="21"/>
              </w:rPr>
              <w:t>流经范围内涉跨省界的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1562" w:type="dxa"/>
            <w:tcBorders>
              <w:top w:val="single" w:color="000000" w:sz="4" w:space="0"/>
              <w:left w:val="nil"/>
              <w:bottom w:val="single" w:color="000000" w:sz="12" w:space="0"/>
              <w:right w:val="single" w:color="000000" w:sz="4" w:space="0"/>
              <w:tl2br w:val="nil"/>
              <w:tr2bl w:val="nil"/>
            </w:tcBorders>
            <w:vAlign w:val="top"/>
          </w:tcPr>
          <w:p>
            <w:pPr>
              <w:pStyle w:val="247"/>
              <w:tabs>
                <w:tab w:val="left" w:pos="883"/>
              </w:tabs>
              <w:kinsoku w:val="0"/>
              <w:overflowPunct w:val="0"/>
              <w:spacing w:before="46" w:beforeLines="0" w:afterLines="0" w:line="254" w:lineRule="exact"/>
              <w:ind w:left="41"/>
              <w:rPr>
                <w:rFonts w:hint="default" w:ascii="Times New Roman" w:hAnsi="Times New Roman" w:eastAsia="Times New Roman"/>
                <w:color w:val="auto"/>
                <w:spacing w:val="-5"/>
                <w:sz w:val="21"/>
              </w:rPr>
            </w:pPr>
            <w:r>
              <w:rPr>
                <w:rFonts w:hint="eastAsia"/>
                <w:color w:val="auto"/>
                <w:sz w:val="21"/>
              </w:rPr>
              <w:t>敏感性</w:t>
            </w:r>
            <w:r>
              <w:rPr>
                <w:rFonts w:hint="eastAsia"/>
                <w:color w:val="auto"/>
                <w:sz w:val="21"/>
              </w:rPr>
              <w:tab/>
            </w:r>
            <w:r>
              <w:rPr>
                <w:rFonts w:hint="default" w:ascii="Times New Roman" w:hAnsi="Times New Roman" w:eastAsia="Times New Roman"/>
                <w:color w:val="auto"/>
                <w:spacing w:val="-5"/>
                <w:sz w:val="21"/>
              </w:rPr>
              <w:t>F3</w:t>
            </w:r>
          </w:p>
        </w:tc>
        <w:tc>
          <w:tcPr>
            <w:tcW w:w="7400"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46" w:beforeLines="0" w:afterLines="0" w:line="254" w:lineRule="exact"/>
              <w:ind w:left="117"/>
              <w:jc w:val="left"/>
              <w:rPr>
                <w:rFonts w:hint="eastAsia"/>
                <w:color w:val="auto"/>
                <w:sz w:val="21"/>
              </w:rPr>
            </w:pPr>
            <w:r>
              <w:rPr>
                <w:rFonts w:hint="eastAsia"/>
                <w:color w:val="auto"/>
                <w:sz w:val="21"/>
              </w:rPr>
              <w:t>上述地区之外的其他地区</w:t>
            </w:r>
          </w:p>
        </w:tc>
      </w:tr>
    </w:tbl>
    <w:p>
      <w:pPr>
        <w:pStyle w:val="23"/>
        <w:rPr>
          <w:rFonts w:hint="default"/>
        </w:rPr>
        <w:sectPr>
          <w:pgSz w:w="11910" w:h="16840"/>
          <w:pgMar w:top="1400" w:right="1180" w:bottom="1660" w:left="1200" w:header="877" w:footer="1476" w:gutter="0"/>
          <w:pgBorders>
            <w:top w:val="none" w:sz="0" w:space="0"/>
            <w:left w:val="none" w:sz="0" w:space="0"/>
            <w:bottom w:val="none" w:sz="0" w:space="0"/>
            <w:right w:val="none" w:sz="0" w:space="0"/>
          </w:pgBorders>
          <w:lnNumType w:countBy="0" w:distance="360"/>
          <w:pgNumType w:fmt="decimal"/>
          <w:cols w:space="720" w:num="1"/>
        </w:sectPr>
      </w:pPr>
    </w:p>
    <w:p>
      <w:pPr>
        <w:pStyle w:val="22"/>
        <w:tabs>
          <w:tab w:val="left" w:pos="1450"/>
        </w:tabs>
        <w:kinsoku w:val="0"/>
        <w:overflowPunct w:val="0"/>
        <w:spacing w:before="186" w:beforeLines="0" w:after="40" w:afterLines="0"/>
        <w:jc w:val="both"/>
        <w:rPr>
          <w:rFonts w:hint="eastAsia" w:ascii="楷体" w:hAnsi="楷体" w:eastAsia="楷体"/>
          <w:b/>
          <w:color w:val="auto"/>
          <w:sz w:val="21"/>
        </w:rPr>
      </w:pPr>
    </w:p>
    <w:p>
      <w:pPr>
        <w:pStyle w:val="22"/>
        <w:tabs>
          <w:tab w:val="left" w:pos="1450"/>
        </w:tabs>
        <w:kinsoku w:val="0"/>
        <w:overflowPunct w:val="0"/>
        <w:spacing w:before="186" w:beforeLines="0" w:after="40" w:afterLines="0"/>
        <w:ind w:left="538"/>
        <w:jc w:val="center"/>
        <w:rPr>
          <w:rFonts w:hint="eastAsia" w:ascii="Times New Roman" w:hAnsi="Times New Roman" w:eastAsia="宋体" w:cs="Times New Roman"/>
          <w:b/>
          <w:color w:val="auto"/>
          <w:kern w:val="2"/>
          <w:sz w:val="24"/>
          <w:szCs w:val="20"/>
          <w:lang w:val="en-US" w:eastAsia="zh-CN" w:bidi="ar-SA"/>
        </w:rPr>
      </w:pPr>
      <w:r>
        <w:rPr>
          <w:rFonts w:hint="eastAsia" w:ascii="Times New Roman" w:hAnsi="Times New Roman" w:eastAsia="宋体" w:cs="Times New Roman"/>
          <w:b/>
          <w:color w:val="auto"/>
          <w:kern w:val="2"/>
          <w:sz w:val="24"/>
          <w:szCs w:val="20"/>
          <w:lang w:val="en-US" w:eastAsia="zh-CN" w:bidi="ar-SA"/>
        </w:rPr>
        <w:t xml:space="preserve">表 1. </w:t>
      </w:r>
      <w:r>
        <w:rPr>
          <w:rFonts w:hint="default" w:ascii="Times New Roman" w:hAnsi="Times New Roman" w:eastAsia="宋体" w:cs="Times New Roman"/>
          <w:b/>
          <w:color w:val="auto"/>
          <w:kern w:val="2"/>
          <w:sz w:val="24"/>
          <w:szCs w:val="20"/>
          <w:lang w:val="en-US" w:eastAsia="zh-CN" w:bidi="ar-SA"/>
        </w:rPr>
        <w:t>5-</w:t>
      </w:r>
      <w:r>
        <w:rPr>
          <w:rFonts w:hint="eastAsia" w:ascii="Times New Roman" w:hAnsi="Times New Roman" w:eastAsia="宋体" w:cs="Times New Roman"/>
          <w:b/>
          <w:color w:val="auto"/>
          <w:kern w:val="2"/>
          <w:sz w:val="24"/>
          <w:szCs w:val="20"/>
          <w:lang w:val="en-US" w:eastAsia="zh-CN" w:bidi="ar-SA"/>
        </w:rPr>
        <w:t>17</w:t>
      </w:r>
      <w:r>
        <w:rPr>
          <w:rFonts w:hint="default" w:ascii="Times New Roman" w:hAnsi="Times New Roman" w:eastAsia="宋体" w:cs="Times New Roman"/>
          <w:b/>
          <w:color w:val="auto"/>
          <w:kern w:val="2"/>
          <w:sz w:val="24"/>
          <w:szCs w:val="20"/>
          <w:lang w:val="en-US" w:eastAsia="zh-CN" w:bidi="ar-SA"/>
        </w:rPr>
        <w:tab/>
      </w:r>
      <w:r>
        <w:rPr>
          <w:rFonts w:hint="eastAsia" w:ascii="Times New Roman" w:hAnsi="Times New Roman" w:eastAsia="宋体" w:cs="Times New Roman"/>
          <w:b/>
          <w:color w:val="auto"/>
          <w:kern w:val="2"/>
          <w:sz w:val="24"/>
          <w:szCs w:val="20"/>
          <w:lang w:val="en-US" w:eastAsia="zh-CN" w:bidi="ar-SA"/>
        </w:rPr>
        <w:t>地表水功能敏感目标分级</w:t>
      </w:r>
    </w:p>
    <w:tbl>
      <w:tblPr>
        <w:tblStyle w:val="45"/>
        <w:tblpPr w:leftFromText="180" w:rightFromText="180" w:vertAnchor="text" w:horzAnchor="page" w:tblpX="1550" w:tblpY="322"/>
        <w:tblOverlap w:val="never"/>
        <w:tblW w:w="896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62"/>
        <w:gridCol w:w="7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1562"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8" w:beforeLines="0" w:afterLines="0" w:line="252" w:lineRule="exact"/>
              <w:ind w:left="50"/>
              <w:rPr>
                <w:rFonts w:hint="eastAsia"/>
                <w:color w:val="auto"/>
                <w:sz w:val="21"/>
              </w:rPr>
            </w:pPr>
            <w:r>
              <w:rPr>
                <w:rFonts w:hint="eastAsia"/>
                <w:color w:val="auto"/>
                <w:sz w:val="21"/>
              </w:rPr>
              <w:t>分级</w:t>
            </w:r>
          </w:p>
        </w:tc>
        <w:tc>
          <w:tcPr>
            <w:tcW w:w="7400"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8" w:beforeLines="0" w:afterLines="0" w:line="252" w:lineRule="exact"/>
              <w:ind w:right="2720"/>
              <w:jc w:val="center"/>
              <w:rPr>
                <w:rFonts w:hint="eastAsia"/>
                <w:color w:val="auto"/>
                <w:sz w:val="21"/>
              </w:rPr>
            </w:pPr>
            <w:r>
              <w:rPr>
                <w:rFonts w:hint="eastAsia"/>
                <w:color w:val="auto"/>
                <w:sz w:val="21"/>
              </w:rPr>
              <w:t>地表水环境敏感特征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79" w:hRule="atLeast"/>
        </w:trPr>
        <w:tc>
          <w:tcPr>
            <w:tcW w:w="156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9" w:beforeLines="0" w:afterLines="0"/>
              <w:jc w:val="left"/>
              <w:rPr>
                <w:rFonts w:hint="eastAsia" w:ascii="楷体" w:hAnsi="楷体" w:eastAsia="楷体"/>
                <w:b/>
                <w:color w:val="auto"/>
                <w:sz w:val="16"/>
              </w:rPr>
            </w:pPr>
          </w:p>
          <w:p>
            <w:pPr>
              <w:pStyle w:val="247"/>
              <w:kinsoku w:val="0"/>
              <w:overflowPunct w:val="0"/>
              <w:spacing w:beforeLines="0" w:afterLines="0"/>
              <w:ind w:left="48"/>
              <w:rPr>
                <w:rFonts w:hint="default" w:ascii="Times New Roman" w:hAnsi="Times New Roman" w:eastAsia="Times New Roman"/>
                <w:color w:val="auto"/>
                <w:sz w:val="21"/>
              </w:rPr>
            </w:pPr>
            <w:r>
              <w:rPr>
                <w:rFonts w:hint="default" w:ascii="Times New Roman" w:hAnsi="Times New Roman" w:eastAsia="Times New Roman"/>
                <w:color w:val="auto"/>
                <w:sz w:val="21"/>
              </w:rPr>
              <w:t>S1</w:t>
            </w:r>
          </w:p>
        </w:tc>
        <w:tc>
          <w:tcPr>
            <w:tcW w:w="7400"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85" w:lineRule="auto"/>
              <w:ind w:left="117" w:right="26"/>
              <w:jc w:val="left"/>
              <w:rPr>
                <w:rFonts w:hint="eastAsia"/>
                <w:color w:val="auto"/>
                <w:spacing w:val="-3"/>
                <w:sz w:val="21"/>
              </w:rPr>
            </w:pPr>
            <w:r>
              <w:rPr>
                <w:rFonts w:hint="eastAsia"/>
                <w:color w:val="auto"/>
                <w:spacing w:val="-3"/>
                <w:sz w:val="21"/>
              </w:rPr>
              <w:t>发生事故时，危险物质泄漏到内陆水体的排放点下游</w:t>
            </w:r>
            <w:r>
              <w:rPr>
                <w:rFonts w:hint="eastAsia"/>
                <w:color w:val="auto"/>
                <w:sz w:val="21"/>
              </w:rPr>
              <w:t>（</w:t>
            </w:r>
            <w:r>
              <w:rPr>
                <w:rFonts w:hint="eastAsia"/>
                <w:color w:val="auto"/>
                <w:spacing w:val="-3"/>
                <w:sz w:val="21"/>
              </w:rPr>
              <w:t>顺水流向</w:t>
            </w:r>
            <w:r>
              <w:rPr>
                <w:rFonts w:hint="eastAsia"/>
                <w:color w:val="auto"/>
                <w:sz w:val="21"/>
              </w:rPr>
              <w:t>）</w:t>
            </w:r>
            <w:r>
              <w:rPr>
                <w:rFonts w:hint="default" w:ascii="Times New Roman" w:hAnsi="Times New Roman" w:eastAsia="Times New Roman"/>
                <w:color w:val="auto"/>
                <w:sz w:val="21"/>
              </w:rPr>
              <w:t xml:space="preserve">10 km </w:t>
            </w:r>
            <w:r>
              <w:rPr>
                <w:rFonts w:hint="eastAsia"/>
                <w:color w:val="auto"/>
                <w:spacing w:val="-3"/>
                <w:sz w:val="21"/>
              </w:rPr>
              <w:t>范围</w:t>
            </w:r>
            <w:r>
              <w:rPr>
                <w:rFonts w:hint="eastAsia"/>
                <w:color w:val="auto"/>
                <w:sz w:val="21"/>
              </w:rPr>
              <w:t>内、近岸海域一个潮周期水质点可能达到的最大水平距离的两倍范围内，有如下一类或多类环境风险受体：集中式地表水饮用水水源保护区（包括一级保护</w:t>
            </w:r>
            <w:r>
              <w:rPr>
                <w:rFonts w:hint="eastAsia"/>
                <w:color w:val="auto"/>
                <w:spacing w:val="-3"/>
                <w:sz w:val="21"/>
              </w:rPr>
              <w:t>区、二级保护区及准保护区</w:t>
            </w:r>
            <w:r>
              <w:rPr>
                <w:rFonts w:hint="eastAsia"/>
                <w:color w:val="auto"/>
                <w:spacing w:val="-106"/>
                <w:sz w:val="21"/>
              </w:rPr>
              <w:t>）</w:t>
            </w:r>
            <w:r>
              <w:rPr>
                <w:rFonts w:hint="eastAsia"/>
                <w:color w:val="auto"/>
                <w:spacing w:val="-3"/>
                <w:sz w:val="21"/>
              </w:rPr>
              <w:t>；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 海上自然保护区；盐场保护区；海水浴场；海洋自然历史遗迹；风景名胜区；</w:t>
            </w:r>
          </w:p>
          <w:p>
            <w:pPr>
              <w:pStyle w:val="247"/>
              <w:kinsoku w:val="0"/>
              <w:overflowPunct w:val="0"/>
              <w:spacing w:beforeLines="0" w:afterLines="0" w:line="252" w:lineRule="exact"/>
              <w:jc w:val="left"/>
              <w:rPr>
                <w:rFonts w:hint="eastAsia"/>
                <w:color w:val="auto"/>
                <w:sz w:val="21"/>
              </w:rPr>
            </w:pPr>
            <w:r>
              <w:rPr>
                <w:rFonts w:hint="eastAsia"/>
                <w:color w:val="auto"/>
                <w:sz w:val="21"/>
              </w:rPr>
              <w:t>或其他特殊重要保护区域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2" w:hRule="atLeast"/>
        </w:trPr>
        <w:tc>
          <w:tcPr>
            <w:tcW w:w="156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48"/>
              <w:rPr>
                <w:rFonts w:hint="default" w:ascii="Times New Roman" w:hAnsi="Times New Roman" w:eastAsia="Times New Roman"/>
                <w:color w:val="auto"/>
                <w:sz w:val="21"/>
              </w:rPr>
            </w:pPr>
            <w:r>
              <w:rPr>
                <w:rFonts w:hint="default" w:ascii="Times New Roman" w:hAnsi="Times New Roman" w:eastAsia="Times New Roman"/>
                <w:color w:val="auto"/>
                <w:sz w:val="21"/>
              </w:rPr>
              <w:t>S2</w:t>
            </w:r>
          </w:p>
        </w:tc>
        <w:tc>
          <w:tcPr>
            <w:tcW w:w="7400"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beforeLines="0" w:afterLines="0" w:line="320" w:lineRule="exact"/>
              <w:ind w:left="117" w:right="90"/>
              <w:jc w:val="left"/>
              <w:rPr>
                <w:rFonts w:hint="eastAsia"/>
                <w:color w:val="auto"/>
                <w:sz w:val="21"/>
              </w:rPr>
            </w:pPr>
            <w:r>
              <w:rPr>
                <w:rFonts w:hint="eastAsia"/>
                <w:color w:val="auto"/>
                <w:spacing w:val="-3"/>
                <w:sz w:val="21"/>
              </w:rPr>
              <w:t>发生事故时，危险物质泄漏到内陆水体的排放点下游</w:t>
            </w:r>
            <w:r>
              <w:rPr>
                <w:rFonts w:hint="eastAsia"/>
                <w:color w:val="auto"/>
                <w:sz w:val="21"/>
              </w:rPr>
              <w:t>（</w:t>
            </w:r>
            <w:r>
              <w:rPr>
                <w:rFonts w:hint="eastAsia"/>
                <w:color w:val="auto"/>
                <w:spacing w:val="-3"/>
                <w:sz w:val="21"/>
              </w:rPr>
              <w:t>顺水流向</w:t>
            </w:r>
            <w:r>
              <w:rPr>
                <w:rFonts w:hint="eastAsia"/>
                <w:color w:val="auto"/>
                <w:sz w:val="21"/>
              </w:rPr>
              <w:t>）</w:t>
            </w:r>
            <w:r>
              <w:rPr>
                <w:rFonts w:hint="default" w:ascii="Times New Roman" w:hAnsi="Times New Roman" w:eastAsia="Times New Roman"/>
                <w:color w:val="auto"/>
                <w:sz w:val="21"/>
              </w:rPr>
              <w:t>10</w:t>
            </w:r>
            <w:r>
              <w:rPr>
                <w:rFonts w:hint="default" w:ascii="Times New Roman" w:hAnsi="Times New Roman" w:eastAsia="Times New Roman"/>
                <w:color w:val="auto"/>
                <w:spacing w:val="50"/>
                <w:sz w:val="21"/>
              </w:rPr>
              <w:t xml:space="preserve"> </w:t>
            </w:r>
            <w:r>
              <w:rPr>
                <w:rFonts w:hint="default" w:ascii="Times New Roman" w:hAnsi="Times New Roman" w:eastAsia="Times New Roman"/>
                <w:color w:val="auto"/>
                <w:sz w:val="21"/>
              </w:rPr>
              <w:t xml:space="preserve">km </w:t>
            </w:r>
            <w:r>
              <w:rPr>
                <w:rFonts w:hint="eastAsia"/>
                <w:color w:val="auto"/>
                <w:spacing w:val="-3"/>
                <w:sz w:val="21"/>
              </w:rPr>
              <w:t>范围</w:t>
            </w:r>
            <w:r>
              <w:rPr>
                <w:rFonts w:hint="eastAsia"/>
                <w:color w:val="auto"/>
                <w:sz w:val="21"/>
              </w:rPr>
              <w:t>内、近岸海域一个潮周期水质点可能达到的最大水平距离的两倍范围内，有如</w:t>
            </w:r>
            <w:r>
              <w:rPr>
                <w:rFonts w:hint="eastAsia"/>
                <w:color w:val="auto"/>
                <w:spacing w:val="-8"/>
                <w:sz w:val="21"/>
              </w:rPr>
              <w:t xml:space="preserve">下一类或多类环境风险受体的：水产养殖区；天然渔场；森林公园；地质公园； </w:t>
            </w:r>
            <w:r>
              <w:rPr>
                <w:rFonts w:hint="eastAsia"/>
                <w:color w:val="auto"/>
                <w:spacing w:val="-5"/>
                <w:sz w:val="21"/>
              </w:rPr>
              <w:t>海滨风景游览区；具有重要经济价值的海洋生物生存区域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2" w:hRule="atLeast"/>
        </w:trPr>
        <w:tc>
          <w:tcPr>
            <w:tcW w:w="1562"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17"/>
              </w:rPr>
            </w:pPr>
          </w:p>
          <w:p>
            <w:pPr>
              <w:pStyle w:val="247"/>
              <w:kinsoku w:val="0"/>
              <w:overflowPunct w:val="0"/>
              <w:spacing w:before="1" w:beforeLines="0" w:afterLines="0"/>
              <w:ind w:left="48" w:leftChars="0"/>
              <w:rPr>
                <w:rFonts w:hint="default" w:ascii="Times New Roman" w:hAnsi="Times New Roman" w:eastAsia="Times New Roman"/>
                <w:color w:val="auto"/>
                <w:sz w:val="21"/>
              </w:rPr>
            </w:pPr>
            <w:r>
              <w:rPr>
                <w:rFonts w:hint="default" w:ascii="Times New Roman" w:hAnsi="Times New Roman" w:eastAsia="Times New Roman"/>
                <w:color w:val="auto"/>
                <w:sz w:val="21"/>
              </w:rPr>
              <w:t>S3</w:t>
            </w:r>
          </w:p>
        </w:tc>
        <w:tc>
          <w:tcPr>
            <w:tcW w:w="7400"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44" w:beforeLines="0" w:afterLines="0"/>
              <w:ind w:left="117"/>
              <w:jc w:val="left"/>
              <w:rPr>
                <w:rFonts w:hint="eastAsia"/>
                <w:color w:val="auto"/>
                <w:sz w:val="21"/>
              </w:rPr>
            </w:pPr>
            <w:r>
              <w:rPr>
                <w:rFonts w:hint="eastAsia"/>
                <w:color w:val="auto"/>
                <w:sz w:val="21"/>
              </w:rPr>
              <w:t>排放点下游（顺水流向）</w:t>
            </w:r>
            <w:r>
              <w:rPr>
                <w:rFonts w:hint="default" w:ascii="Times New Roman" w:hAnsi="Times New Roman" w:eastAsia="Times New Roman"/>
                <w:color w:val="auto"/>
                <w:sz w:val="21"/>
              </w:rPr>
              <w:t xml:space="preserve">10 km </w:t>
            </w:r>
            <w:r>
              <w:rPr>
                <w:rFonts w:hint="eastAsia"/>
                <w:color w:val="auto"/>
                <w:sz w:val="21"/>
              </w:rPr>
              <w:t>范围、近岸海域一个潮周期水质点可能达到的</w:t>
            </w:r>
          </w:p>
          <w:p>
            <w:pPr>
              <w:pStyle w:val="247"/>
              <w:kinsoku w:val="0"/>
              <w:overflowPunct w:val="0"/>
              <w:spacing w:before="52" w:beforeLines="0" w:afterLines="0" w:line="254" w:lineRule="exact"/>
              <w:ind w:left="117" w:leftChars="0"/>
              <w:jc w:val="left"/>
              <w:rPr>
                <w:rFonts w:hint="eastAsia"/>
                <w:color w:val="auto"/>
                <w:spacing w:val="-3"/>
                <w:sz w:val="21"/>
              </w:rPr>
            </w:pPr>
            <w:r>
              <w:rPr>
                <w:rFonts w:hint="eastAsia"/>
                <w:color w:val="auto"/>
                <w:sz w:val="21"/>
              </w:rPr>
              <w:t xml:space="preserve">最大水平距离的两倍范围内无上述类型 </w:t>
            </w:r>
            <w:r>
              <w:rPr>
                <w:rFonts w:hint="default" w:ascii="Times New Roman" w:hAnsi="Times New Roman" w:eastAsia="Times New Roman"/>
                <w:color w:val="auto"/>
                <w:sz w:val="21"/>
              </w:rPr>
              <w:t xml:space="preserve">1 </w:t>
            </w:r>
            <w:r>
              <w:rPr>
                <w:rFonts w:hint="eastAsia"/>
                <w:color w:val="auto"/>
                <w:sz w:val="21"/>
              </w:rPr>
              <w:t xml:space="preserve">和类型 </w:t>
            </w:r>
            <w:r>
              <w:rPr>
                <w:rFonts w:hint="default" w:ascii="Times New Roman" w:hAnsi="Times New Roman" w:eastAsia="Times New Roman"/>
                <w:color w:val="auto"/>
                <w:sz w:val="21"/>
              </w:rPr>
              <w:t xml:space="preserve">2 </w:t>
            </w:r>
            <w:r>
              <w:rPr>
                <w:rFonts w:hint="eastAsia"/>
                <w:color w:val="auto"/>
                <w:sz w:val="21"/>
              </w:rPr>
              <w:t>包括的敏感保护目标</w:t>
            </w:r>
          </w:p>
        </w:tc>
      </w:tr>
    </w:tbl>
    <w:p>
      <w:pPr>
        <w:spacing w:line="360" w:lineRule="auto"/>
        <w:ind w:firstLine="482"/>
        <w:rPr>
          <w:rFonts w:hint="eastAsia" w:ascii="Times New Roman" w:hAnsi="Times New Roman"/>
          <w:color w:val="auto"/>
          <w:sz w:val="24"/>
          <w:szCs w:val="24"/>
        </w:rPr>
      </w:pPr>
    </w:p>
    <w:p>
      <w:pPr>
        <w:spacing w:line="360" w:lineRule="auto"/>
        <w:ind w:firstLine="480" w:firstLineChars="200"/>
        <w:rPr>
          <w:rFonts w:hint="eastAsia" w:ascii="Times New Roman" w:hAnsi="Times New Roman"/>
          <w:color w:val="auto"/>
          <w:sz w:val="24"/>
          <w:szCs w:val="24"/>
        </w:rPr>
      </w:pPr>
      <w:r>
        <w:rPr>
          <w:rFonts w:hint="eastAsia" w:ascii="Times New Roman" w:hAnsi="Times New Roman"/>
          <w:color w:val="auto"/>
          <w:sz w:val="24"/>
          <w:szCs w:val="24"/>
        </w:rPr>
        <w:t>本项目</w:t>
      </w:r>
      <w:r>
        <w:rPr>
          <w:rFonts w:hint="eastAsia" w:ascii="Times New Roman" w:hAnsi="Times New Roman"/>
          <w:color w:val="auto"/>
          <w:sz w:val="24"/>
          <w:szCs w:val="24"/>
          <w:lang w:eastAsia="zh-CN"/>
        </w:rPr>
        <w:t>污</w:t>
      </w:r>
      <w:r>
        <w:rPr>
          <w:rFonts w:hint="eastAsia" w:ascii="Times New Roman" w:hAnsi="Times New Roman"/>
          <w:color w:val="auto"/>
          <w:sz w:val="24"/>
          <w:szCs w:val="24"/>
        </w:rPr>
        <w:t>水</w:t>
      </w:r>
      <w:r>
        <w:rPr>
          <w:rFonts w:hint="eastAsia" w:ascii="Times New Roman" w:hAnsi="Times New Roman"/>
          <w:color w:val="auto"/>
          <w:sz w:val="24"/>
          <w:szCs w:val="24"/>
          <w:lang w:eastAsia="zh-CN"/>
        </w:rPr>
        <w:t>送公司污水场处理</w:t>
      </w:r>
      <w:r>
        <w:rPr>
          <w:rFonts w:hint="eastAsia" w:ascii="Times New Roman" w:hAnsi="Times New Roman"/>
          <w:color w:val="auto"/>
          <w:sz w:val="24"/>
          <w:szCs w:val="24"/>
        </w:rPr>
        <w:t>，</w:t>
      </w:r>
      <w:r>
        <w:rPr>
          <w:rFonts w:hint="eastAsia" w:ascii="Times New Roman" w:hAnsi="Times New Roman"/>
          <w:color w:val="auto"/>
          <w:sz w:val="24"/>
          <w:szCs w:val="24"/>
          <w:lang w:eastAsia="zh-CN"/>
        </w:rPr>
        <w:t>不排入周围水体</w:t>
      </w:r>
      <w:r>
        <w:rPr>
          <w:rFonts w:hint="eastAsia" w:ascii="Times New Roman" w:hAnsi="Times New Roman"/>
          <w:color w:val="auto"/>
          <w:sz w:val="24"/>
          <w:szCs w:val="24"/>
        </w:rPr>
        <w:t xml:space="preserve">。因此，本项目地表水功能敏感性为 </w:t>
      </w:r>
      <w:r>
        <w:rPr>
          <w:rFonts w:hint="default" w:ascii="Times New Roman" w:hAnsi="Times New Roman"/>
          <w:color w:val="auto"/>
          <w:sz w:val="24"/>
          <w:szCs w:val="24"/>
        </w:rPr>
        <w:t>F3</w:t>
      </w:r>
      <w:r>
        <w:rPr>
          <w:rFonts w:hint="eastAsia" w:ascii="Times New Roman" w:hAnsi="Times New Roman"/>
          <w:color w:val="auto"/>
          <w:sz w:val="24"/>
          <w:szCs w:val="24"/>
        </w:rPr>
        <w:t xml:space="preserve">，地表水环境敏感目标分级为 </w:t>
      </w:r>
      <w:r>
        <w:rPr>
          <w:rFonts w:hint="default" w:ascii="Times New Roman" w:hAnsi="Times New Roman"/>
          <w:color w:val="auto"/>
          <w:sz w:val="24"/>
          <w:szCs w:val="24"/>
        </w:rPr>
        <w:t>S3</w:t>
      </w:r>
      <w:r>
        <w:rPr>
          <w:rFonts w:hint="eastAsia" w:ascii="Times New Roman" w:hAnsi="Times New Roman"/>
          <w:color w:val="auto"/>
          <w:sz w:val="24"/>
          <w:szCs w:val="24"/>
        </w:rPr>
        <w:t xml:space="preserve">，地表水环境敏感程度为 </w:t>
      </w:r>
      <w:r>
        <w:rPr>
          <w:rFonts w:hint="default" w:ascii="Times New Roman" w:hAnsi="Times New Roman"/>
          <w:color w:val="auto"/>
          <w:sz w:val="24"/>
          <w:szCs w:val="24"/>
        </w:rPr>
        <w:t>E3</w:t>
      </w:r>
      <w:r>
        <w:rPr>
          <w:rFonts w:hint="eastAsia" w:ascii="Times New Roman" w:hAnsi="Times New Roman"/>
          <w:color w:val="auto"/>
          <w:sz w:val="24"/>
          <w:szCs w:val="24"/>
        </w:rPr>
        <w:t>。</w:t>
      </w:r>
    </w:p>
    <w:p>
      <w:pPr>
        <w:spacing w:line="360" w:lineRule="auto"/>
        <w:rPr>
          <w:rFonts w:hint="eastAsia" w:ascii="Times New Roman" w:hAnsi="Times New Roman"/>
          <w:color w:val="auto"/>
          <w:sz w:val="24"/>
          <w:szCs w:val="24"/>
        </w:rPr>
      </w:pPr>
    </w:p>
    <w:p>
      <w:pPr>
        <w:spacing w:line="360" w:lineRule="auto"/>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3</w:t>
      </w:r>
      <w:r>
        <w:rPr>
          <w:rFonts w:hint="eastAsia" w:ascii="Times New Roman" w:hAnsi="Times New Roman"/>
          <w:color w:val="auto"/>
          <w:sz w:val="24"/>
          <w:szCs w:val="24"/>
          <w:lang w:eastAsia="zh-CN"/>
        </w:rPr>
        <w:t>）</w:t>
      </w:r>
      <w:r>
        <w:rPr>
          <w:rFonts w:hint="eastAsia" w:ascii="Times New Roman" w:hAnsi="Times New Roman"/>
          <w:color w:val="auto"/>
          <w:sz w:val="24"/>
          <w:szCs w:val="24"/>
        </w:rPr>
        <w:t>地下水环境敏感程度</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依据地下水功能敏感性与包气带防污性能，共分为三种类型，</w:t>
      </w:r>
      <w:r>
        <w:rPr>
          <w:rFonts w:hint="default" w:ascii="Times New Roman" w:hAnsi="Times New Roman"/>
          <w:color w:val="auto"/>
          <w:sz w:val="24"/>
          <w:szCs w:val="24"/>
        </w:rPr>
        <w:t xml:space="preserve">E1 </w:t>
      </w:r>
      <w:r>
        <w:rPr>
          <w:rFonts w:hint="eastAsia" w:ascii="Times New Roman" w:hAnsi="Times New Roman"/>
          <w:color w:val="auto"/>
          <w:sz w:val="24"/>
          <w:szCs w:val="24"/>
        </w:rPr>
        <w:t>为环境高度敏感区，</w:t>
      </w:r>
      <w:r>
        <w:rPr>
          <w:rFonts w:hint="default" w:ascii="Times New Roman" w:hAnsi="Times New Roman"/>
          <w:color w:val="auto"/>
          <w:sz w:val="24"/>
          <w:szCs w:val="24"/>
        </w:rPr>
        <w:t xml:space="preserve">E2 </w:t>
      </w:r>
      <w:r>
        <w:rPr>
          <w:rFonts w:hint="eastAsia" w:ascii="Times New Roman" w:hAnsi="Times New Roman"/>
          <w:color w:val="auto"/>
          <w:sz w:val="24"/>
          <w:szCs w:val="24"/>
        </w:rPr>
        <w:t>为环境中度敏感区，</w:t>
      </w:r>
      <w:r>
        <w:rPr>
          <w:rFonts w:hint="default" w:ascii="Times New Roman" w:hAnsi="Times New Roman"/>
          <w:color w:val="auto"/>
          <w:sz w:val="24"/>
          <w:szCs w:val="24"/>
        </w:rPr>
        <w:t xml:space="preserve">E3 </w:t>
      </w:r>
      <w:r>
        <w:rPr>
          <w:rFonts w:hint="eastAsia" w:ascii="Times New Roman" w:hAnsi="Times New Roman"/>
          <w:color w:val="auto"/>
          <w:sz w:val="24"/>
          <w:szCs w:val="24"/>
        </w:rPr>
        <w:t xml:space="preserve">为环境低度敏感区，分级原则见表 </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5-1</w:t>
      </w:r>
      <w:r>
        <w:rPr>
          <w:rFonts w:hint="eastAsia" w:ascii="Times New Roman" w:hAnsi="Times New Roman"/>
          <w:color w:val="auto"/>
          <w:sz w:val="24"/>
          <w:szCs w:val="24"/>
          <w:lang w:val="en-US" w:eastAsia="zh-CN"/>
        </w:rPr>
        <w:t>8</w:t>
      </w:r>
      <w:r>
        <w:rPr>
          <w:rFonts w:hint="eastAsia" w:ascii="Times New Roman" w:hAnsi="Times New Roman"/>
          <w:color w:val="auto"/>
          <w:sz w:val="24"/>
          <w:szCs w:val="24"/>
        </w:rPr>
        <w:t xml:space="preserve">。其中地下水功能敏感性分区和包气带防污性能分级分别见表 </w:t>
      </w:r>
      <w:r>
        <w:rPr>
          <w:rFonts w:hint="eastAsia" w:ascii="Times New Roman" w:hAnsi="Times New Roman"/>
          <w:color w:val="auto"/>
          <w:sz w:val="24"/>
          <w:szCs w:val="24"/>
          <w:lang w:val="en-US" w:eastAsia="zh-CN"/>
        </w:rPr>
        <w:t>1.</w:t>
      </w:r>
      <w:r>
        <w:rPr>
          <w:rFonts w:hint="default" w:ascii="Times New Roman" w:hAnsi="Times New Roman"/>
          <w:color w:val="auto"/>
          <w:sz w:val="24"/>
          <w:szCs w:val="24"/>
        </w:rPr>
        <w:t>5-1</w:t>
      </w:r>
      <w:r>
        <w:rPr>
          <w:rFonts w:hint="eastAsia" w:ascii="Times New Roman" w:hAnsi="Times New Roman"/>
          <w:color w:val="auto"/>
          <w:sz w:val="24"/>
          <w:szCs w:val="24"/>
          <w:lang w:val="en-US" w:eastAsia="zh-CN"/>
        </w:rPr>
        <w:t>9</w:t>
      </w:r>
      <w:r>
        <w:rPr>
          <w:rFonts w:hint="default" w:ascii="Times New Roman" w:hAnsi="Times New Roman"/>
          <w:color w:val="auto"/>
          <w:sz w:val="24"/>
          <w:szCs w:val="24"/>
        </w:rPr>
        <w:t xml:space="preserve"> </w:t>
      </w:r>
      <w:r>
        <w:rPr>
          <w:rFonts w:hint="eastAsia" w:ascii="Times New Roman" w:hAnsi="Times New Roman"/>
          <w:color w:val="auto"/>
          <w:sz w:val="24"/>
          <w:szCs w:val="24"/>
        </w:rPr>
        <w:t>和表</w:t>
      </w:r>
      <w:r>
        <w:rPr>
          <w:rFonts w:hint="eastAsia" w:ascii="Times New Roman" w:hAnsi="Times New Roman"/>
          <w:color w:val="auto"/>
          <w:sz w:val="24"/>
          <w:szCs w:val="24"/>
          <w:lang w:val="en-US" w:eastAsia="zh-CN"/>
        </w:rPr>
        <w:t>1.</w:t>
      </w:r>
      <w:r>
        <w:rPr>
          <w:rFonts w:hint="eastAsia" w:ascii="Times New Roman" w:hAnsi="Times New Roman"/>
          <w:color w:val="auto"/>
          <w:sz w:val="24"/>
          <w:szCs w:val="24"/>
        </w:rPr>
        <w:t xml:space="preserve"> </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20</w:t>
      </w:r>
      <w:r>
        <w:rPr>
          <w:rFonts w:hint="eastAsia" w:ascii="Times New Roman" w:hAnsi="Times New Roman"/>
          <w:color w:val="auto"/>
          <w:sz w:val="24"/>
          <w:szCs w:val="24"/>
        </w:rPr>
        <w:t xml:space="preserve">。当同一建设项目涉及两个 </w:t>
      </w:r>
      <w:r>
        <w:rPr>
          <w:rFonts w:hint="default" w:ascii="Times New Roman" w:hAnsi="Times New Roman"/>
          <w:color w:val="auto"/>
          <w:sz w:val="24"/>
          <w:szCs w:val="24"/>
        </w:rPr>
        <w:t xml:space="preserve">G </w:t>
      </w:r>
      <w:r>
        <w:rPr>
          <w:rFonts w:hint="eastAsia" w:ascii="Times New Roman" w:hAnsi="Times New Roman"/>
          <w:color w:val="auto"/>
          <w:sz w:val="24"/>
          <w:szCs w:val="24"/>
        </w:rPr>
        <w:t xml:space="preserve">分区或 </w:t>
      </w:r>
      <w:r>
        <w:rPr>
          <w:rFonts w:hint="default" w:ascii="Times New Roman" w:hAnsi="Times New Roman"/>
          <w:color w:val="auto"/>
          <w:sz w:val="24"/>
          <w:szCs w:val="24"/>
        </w:rPr>
        <w:t xml:space="preserve">D </w:t>
      </w:r>
      <w:r>
        <w:rPr>
          <w:rFonts w:hint="eastAsia" w:ascii="Times New Roman" w:hAnsi="Times New Roman"/>
          <w:color w:val="auto"/>
          <w:sz w:val="24"/>
          <w:szCs w:val="24"/>
        </w:rPr>
        <w:t>分级及以上时，取相对高值。</w:t>
      </w:r>
    </w:p>
    <w:p>
      <w:pPr>
        <w:pStyle w:val="22"/>
        <w:tabs>
          <w:tab w:val="left" w:pos="1450"/>
        </w:tabs>
        <w:kinsoku w:val="0"/>
        <w:overflowPunct w:val="0"/>
        <w:spacing w:before="186" w:beforeLines="0" w:after="40" w:afterLines="0"/>
        <w:ind w:left="538"/>
        <w:jc w:val="center"/>
        <w:rPr>
          <w:rFonts w:hint="eastAsia" w:ascii="Times New Roman" w:hAnsi="Times New Roman" w:eastAsia="宋体" w:cs="Times New Roman"/>
          <w:b/>
          <w:color w:val="auto"/>
          <w:kern w:val="2"/>
          <w:sz w:val="24"/>
          <w:szCs w:val="20"/>
          <w:lang w:val="en-US" w:eastAsia="zh-CN" w:bidi="ar-SA"/>
        </w:rPr>
      </w:pPr>
      <w:r>
        <w:rPr>
          <w:rFonts w:hint="eastAsia" w:ascii="Times New Roman" w:hAnsi="Times New Roman" w:eastAsia="宋体" w:cs="Times New Roman"/>
          <w:b/>
          <w:color w:val="auto"/>
          <w:kern w:val="2"/>
          <w:sz w:val="24"/>
          <w:szCs w:val="20"/>
          <w:lang w:val="en-US" w:eastAsia="zh-CN" w:bidi="ar-SA"/>
        </w:rPr>
        <w:t xml:space="preserve">表1. </w:t>
      </w:r>
      <w:r>
        <w:rPr>
          <w:rFonts w:hint="default" w:ascii="Times New Roman" w:hAnsi="Times New Roman" w:eastAsia="宋体" w:cs="Times New Roman"/>
          <w:b/>
          <w:color w:val="auto"/>
          <w:kern w:val="2"/>
          <w:sz w:val="24"/>
          <w:szCs w:val="20"/>
          <w:lang w:val="en-US" w:eastAsia="zh-CN" w:bidi="ar-SA"/>
        </w:rPr>
        <w:t>5-1</w:t>
      </w:r>
      <w:r>
        <w:rPr>
          <w:rFonts w:hint="eastAsia" w:ascii="Times New Roman" w:hAnsi="Times New Roman" w:eastAsia="宋体" w:cs="Times New Roman"/>
          <w:b/>
          <w:color w:val="auto"/>
          <w:kern w:val="2"/>
          <w:sz w:val="24"/>
          <w:szCs w:val="20"/>
          <w:lang w:val="en-US" w:eastAsia="zh-CN" w:bidi="ar-SA"/>
        </w:rPr>
        <w:t>8</w:t>
      </w:r>
      <w:r>
        <w:rPr>
          <w:rFonts w:hint="default" w:ascii="Times New Roman" w:hAnsi="Times New Roman" w:eastAsia="宋体" w:cs="Times New Roman"/>
          <w:b/>
          <w:color w:val="auto"/>
          <w:kern w:val="2"/>
          <w:sz w:val="24"/>
          <w:szCs w:val="20"/>
          <w:lang w:val="en-US" w:eastAsia="zh-CN" w:bidi="ar-SA"/>
        </w:rPr>
        <w:t xml:space="preserve"> </w:t>
      </w:r>
      <w:r>
        <w:rPr>
          <w:rFonts w:hint="eastAsia" w:ascii="Times New Roman" w:hAnsi="Times New Roman" w:eastAsia="宋体" w:cs="Times New Roman"/>
          <w:b/>
          <w:color w:val="auto"/>
          <w:kern w:val="2"/>
          <w:sz w:val="24"/>
          <w:szCs w:val="20"/>
          <w:lang w:val="en-US" w:eastAsia="zh-CN" w:bidi="ar-SA"/>
        </w:rPr>
        <w:t>地下水环境敏感程度分级</w:t>
      </w:r>
    </w:p>
    <w:tbl>
      <w:tblPr>
        <w:tblStyle w:val="45"/>
        <w:tblW w:w="8963"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52"/>
        <w:gridCol w:w="2235"/>
        <w:gridCol w:w="2238"/>
        <w:gridCol w:w="22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2252" w:type="dxa"/>
            <w:vMerge w:val="restart"/>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6" w:beforeLines="0" w:afterLines="0"/>
              <w:jc w:val="left"/>
              <w:rPr>
                <w:rFonts w:hint="eastAsia" w:ascii="楷体" w:hAnsi="楷体" w:eastAsia="楷体"/>
                <w:b/>
                <w:color w:val="auto"/>
                <w:sz w:val="16"/>
              </w:rPr>
            </w:pPr>
          </w:p>
          <w:p>
            <w:pPr>
              <w:pStyle w:val="247"/>
              <w:kinsoku w:val="0"/>
              <w:overflowPunct w:val="0"/>
              <w:spacing w:beforeLines="0" w:afterLines="0"/>
              <w:ind w:left="410"/>
              <w:jc w:val="left"/>
              <w:rPr>
                <w:rFonts w:hint="eastAsia"/>
                <w:color w:val="auto"/>
                <w:sz w:val="21"/>
              </w:rPr>
            </w:pPr>
            <w:r>
              <w:rPr>
                <w:rFonts w:hint="eastAsia"/>
                <w:color w:val="auto"/>
                <w:sz w:val="21"/>
              </w:rPr>
              <w:t>包气带防污性能</w:t>
            </w:r>
          </w:p>
        </w:tc>
        <w:tc>
          <w:tcPr>
            <w:tcW w:w="6711" w:type="dxa"/>
            <w:gridSpan w:val="3"/>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5" w:lineRule="exact"/>
              <w:ind w:right="2482"/>
              <w:jc w:val="center"/>
              <w:rPr>
                <w:rFonts w:hint="eastAsia"/>
                <w:color w:val="auto"/>
                <w:sz w:val="21"/>
              </w:rPr>
            </w:pPr>
            <w:r>
              <w:rPr>
                <w:rFonts w:hint="eastAsia"/>
                <w:color w:val="auto"/>
                <w:sz w:val="21"/>
              </w:rPr>
              <w:t>地下水功能敏感性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2252"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44" w:beforeLines="0" w:after="34" w:afterLines="0"/>
              <w:ind w:left="535"/>
              <w:jc w:val="center"/>
              <w:rPr>
                <w:rFonts w:hint="eastAsia" w:ascii="楷体" w:hAnsi="楷体" w:eastAsia="楷体"/>
                <w:b/>
                <w:color w:val="auto"/>
                <w:sz w:val="2"/>
              </w:rPr>
            </w:pPr>
          </w:p>
        </w:tc>
        <w:tc>
          <w:tcPr>
            <w:tcW w:w="22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96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G1</w:t>
            </w:r>
          </w:p>
        </w:tc>
        <w:tc>
          <w:tcPr>
            <w:tcW w:w="223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right="96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G2</w:t>
            </w:r>
          </w:p>
        </w:tc>
        <w:tc>
          <w:tcPr>
            <w:tcW w:w="223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0" w:beforeLines="0" w:afterLines="0" w:line="238" w:lineRule="exact"/>
              <w:ind w:right="973"/>
              <w:jc w:val="right"/>
              <w:rPr>
                <w:rFonts w:hint="default" w:ascii="Times New Roman" w:hAnsi="Times New Roman" w:eastAsia="Times New Roman"/>
                <w:color w:val="auto"/>
                <w:sz w:val="21"/>
              </w:rPr>
            </w:pPr>
            <w:r>
              <w:rPr>
                <w:rFonts w:hint="default" w:ascii="Times New Roman" w:hAnsi="Times New Roman" w:eastAsia="Times New Roman"/>
                <w:color w:val="auto"/>
                <w:sz w:val="21"/>
              </w:rPr>
              <w:t>G3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1" w:hRule="atLeast"/>
        </w:trPr>
        <w:tc>
          <w:tcPr>
            <w:tcW w:w="2252"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60" w:beforeLines="0" w:afterLines="0" w:line="241" w:lineRule="exact"/>
              <w:ind w:right="96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D1</w:t>
            </w:r>
          </w:p>
        </w:tc>
        <w:tc>
          <w:tcPr>
            <w:tcW w:w="22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41"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41"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0" w:beforeLines="0" w:afterLines="0" w:line="241"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2252" w:type="dxa"/>
            <w:tcBorders>
              <w:top w:val="single" w:color="000000" w:sz="4"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ind w:right="96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D2</w:t>
            </w:r>
          </w:p>
        </w:tc>
        <w:tc>
          <w:tcPr>
            <w:tcW w:w="2235"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E1</w:t>
            </w:r>
          </w:p>
        </w:tc>
        <w:tc>
          <w:tcPr>
            <w:tcW w:w="2238"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c>
          <w:tcPr>
            <w:tcW w:w="2238" w:type="dxa"/>
            <w:tcBorders>
              <w:top w:val="single" w:color="000000" w:sz="4" w:space="0"/>
              <w:left w:val="single" w:color="000000" w:sz="4" w:space="0"/>
              <w:bottom w:val="single" w:color="000000" w:sz="4" w:space="0"/>
              <w:right w:val="nil"/>
              <w:tl2br w:val="nil"/>
              <w:tr2bl w:val="nil"/>
            </w:tcBorders>
            <w:shd w:val="clear" w:color="auto" w:fill="CCCCCC"/>
            <w:vAlign w:val="top"/>
          </w:tcPr>
          <w:p>
            <w:pPr>
              <w:pStyle w:val="247"/>
              <w:kinsoku w:val="0"/>
              <w:overflowPunct w:val="0"/>
              <w:spacing w:before="60" w:beforeLines="0" w:afterLines="0" w:line="238"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2252"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right="96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D3</w:t>
            </w:r>
          </w:p>
        </w:tc>
        <w:tc>
          <w:tcPr>
            <w:tcW w:w="2235"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right="97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E2</w:t>
            </w:r>
          </w:p>
        </w:tc>
        <w:tc>
          <w:tcPr>
            <w:tcW w:w="2238"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right="98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E3</w:t>
            </w:r>
          </w:p>
        </w:tc>
        <w:tc>
          <w:tcPr>
            <w:tcW w:w="2238"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60" w:beforeLines="0" w:afterLines="0" w:line="240" w:lineRule="exact"/>
              <w:ind w:right="98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E3</w:t>
            </w:r>
          </w:p>
        </w:tc>
      </w:tr>
    </w:tbl>
    <w:p>
      <w:pPr>
        <w:pStyle w:val="22"/>
        <w:kinsoku w:val="0"/>
        <w:overflowPunct w:val="0"/>
        <w:spacing w:before="186" w:beforeLines="0" w:after="42" w:afterLines="0"/>
        <w:ind w:left="536"/>
        <w:jc w:val="center"/>
        <w:rPr>
          <w:rFonts w:hint="eastAsia" w:ascii="楷体" w:hAnsi="楷体" w:eastAsia="楷体" w:cs="Times New Roman"/>
          <w:b/>
          <w:color w:val="auto"/>
          <w:spacing w:val="-52"/>
          <w:sz w:val="21"/>
          <w:lang w:val="en-US" w:eastAsia="zh-CN"/>
        </w:rPr>
      </w:pPr>
    </w:p>
    <w:p>
      <w:pPr>
        <w:pStyle w:val="22"/>
        <w:tabs>
          <w:tab w:val="left" w:pos="1450"/>
        </w:tabs>
        <w:kinsoku w:val="0"/>
        <w:overflowPunct w:val="0"/>
        <w:spacing w:before="186" w:beforeLines="0" w:after="40" w:afterLines="0"/>
        <w:ind w:left="538"/>
        <w:jc w:val="center"/>
        <w:rPr>
          <w:rFonts w:hint="eastAsia" w:ascii="Times New Roman" w:hAnsi="Times New Roman" w:eastAsia="宋体" w:cs="Times New Roman"/>
          <w:b/>
          <w:color w:val="auto"/>
          <w:kern w:val="2"/>
          <w:sz w:val="24"/>
          <w:szCs w:val="20"/>
          <w:lang w:val="en-US" w:eastAsia="zh-CN" w:bidi="ar-SA"/>
        </w:rPr>
      </w:pPr>
    </w:p>
    <w:p>
      <w:pPr>
        <w:pStyle w:val="22"/>
        <w:tabs>
          <w:tab w:val="left" w:pos="1450"/>
        </w:tabs>
        <w:kinsoku w:val="0"/>
        <w:overflowPunct w:val="0"/>
        <w:spacing w:before="186" w:beforeLines="0" w:after="40" w:afterLines="0"/>
        <w:ind w:left="538"/>
        <w:jc w:val="center"/>
        <w:rPr>
          <w:rFonts w:hint="eastAsia" w:ascii="Times New Roman" w:hAnsi="Times New Roman" w:eastAsia="宋体" w:cs="Times New Roman"/>
          <w:b/>
          <w:color w:val="auto"/>
          <w:kern w:val="2"/>
          <w:sz w:val="24"/>
          <w:szCs w:val="20"/>
          <w:lang w:val="en-US" w:eastAsia="zh-CN" w:bidi="ar-SA"/>
        </w:rPr>
      </w:pPr>
      <w:r>
        <w:rPr>
          <w:rFonts w:hint="eastAsia" w:ascii="Times New Roman" w:hAnsi="Times New Roman" w:eastAsia="宋体" w:cs="Times New Roman"/>
          <w:b/>
          <w:color w:val="auto"/>
          <w:kern w:val="2"/>
          <w:sz w:val="24"/>
          <w:szCs w:val="20"/>
          <w:lang w:val="en-US" w:eastAsia="zh-CN" w:bidi="ar-SA"/>
        </w:rPr>
        <w:t xml:space="preserve">1. </w:t>
      </w:r>
      <w:r>
        <w:rPr>
          <w:rFonts w:hint="default" w:ascii="Times New Roman" w:hAnsi="Times New Roman" w:eastAsia="宋体" w:cs="Times New Roman"/>
          <w:b/>
          <w:color w:val="auto"/>
          <w:kern w:val="2"/>
          <w:sz w:val="24"/>
          <w:szCs w:val="20"/>
          <w:lang w:val="en-US" w:eastAsia="zh-CN" w:bidi="ar-SA"/>
        </w:rPr>
        <w:t>5-1</w:t>
      </w:r>
      <w:r>
        <w:rPr>
          <w:rFonts w:hint="eastAsia" w:ascii="Times New Roman" w:hAnsi="Times New Roman" w:eastAsia="宋体" w:cs="Times New Roman"/>
          <w:b/>
          <w:color w:val="auto"/>
          <w:kern w:val="2"/>
          <w:sz w:val="24"/>
          <w:szCs w:val="20"/>
          <w:lang w:val="en-US" w:eastAsia="zh-CN" w:bidi="ar-SA"/>
        </w:rPr>
        <w:t>9</w:t>
      </w:r>
      <w:r>
        <w:rPr>
          <w:rFonts w:hint="default" w:ascii="Times New Roman" w:hAnsi="Times New Roman" w:eastAsia="宋体" w:cs="Times New Roman"/>
          <w:b/>
          <w:color w:val="auto"/>
          <w:kern w:val="2"/>
          <w:sz w:val="24"/>
          <w:szCs w:val="20"/>
          <w:lang w:val="en-US" w:eastAsia="zh-CN" w:bidi="ar-SA"/>
        </w:rPr>
        <w:t xml:space="preserve"> </w:t>
      </w:r>
      <w:r>
        <w:rPr>
          <w:rFonts w:hint="eastAsia" w:ascii="Times New Roman" w:hAnsi="Times New Roman" w:eastAsia="宋体" w:cs="Times New Roman"/>
          <w:b/>
          <w:color w:val="auto"/>
          <w:kern w:val="2"/>
          <w:sz w:val="24"/>
          <w:szCs w:val="20"/>
          <w:lang w:val="en-US" w:eastAsia="zh-CN" w:bidi="ar-SA"/>
        </w:rPr>
        <w:t>地下水环境敏感性分级</w:t>
      </w:r>
    </w:p>
    <w:tbl>
      <w:tblPr>
        <w:tblStyle w:val="45"/>
        <w:tblW w:w="8949" w:type="dxa"/>
        <w:tblInd w:w="3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88"/>
        <w:gridCol w:w="77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1188"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6" w:beforeLines="0" w:afterLines="0" w:line="255" w:lineRule="exact"/>
              <w:ind w:left="79" w:right="72"/>
              <w:rPr>
                <w:rFonts w:hint="eastAsia"/>
                <w:color w:val="auto"/>
                <w:sz w:val="21"/>
              </w:rPr>
            </w:pPr>
            <w:r>
              <w:rPr>
                <w:rFonts w:hint="eastAsia"/>
                <w:color w:val="auto"/>
                <w:sz w:val="21"/>
              </w:rPr>
              <w:t>敏感性</w:t>
            </w:r>
          </w:p>
        </w:tc>
        <w:tc>
          <w:tcPr>
            <w:tcW w:w="7761"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5" w:lineRule="exact"/>
              <w:ind w:right="2914"/>
              <w:jc w:val="center"/>
              <w:rPr>
                <w:rFonts w:hint="eastAsia"/>
                <w:color w:val="auto"/>
                <w:sz w:val="21"/>
              </w:rPr>
            </w:pPr>
            <w:r>
              <w:rPr>
                <w:rFonts w:hint="eastAsia"/>
                <w:color w:val="auto"/>
                <w:sz w:val="21"/>
              </w:rPr>
              <w:t>地下水环境敏感特征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60" w:hRule="atLeast"/>
        </w:trPr>
        <w:tc>
          <w:tcPr>
            <w:tcW w:w="1188"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28"/>
              </w:rPr>
            </w:pPr>
          </w:p>
          <w:p>
            <w:pPr>
              <w:pStyle w:val="247"/>
              <w:kinsoku w:val="0"/>
              <w:overflowPunct w:val="0"/>
              <w:spacing w:beforeLines="0" w:afterLines="0"/>
              <w:ind w:left="78" w:right="72"/>
              <w:rPr>
                <w:rFonts w:hint="default" w:ascii="Times New Roman" w:hAnsi="Times New Roman" w:eastAsia="Times New Roman"/>
                <w:color w:val="auto"/>
                <w:sz w:val="21"/>
              </w:rPr>
            </w:pPr>
            <w:r>
              <w:rPr>
                <w:rFonts w:hint="eastAsia"/>
                <w:color w:val="auto"/>
                <w:sz w:val="21"/>
              </w:rPr>
              <w:t xml:space="preserve">敏感性 </w:t>
            </w:r>
            <w:r>
              <w:rPr>
                <w:rFonts w:hint="default" w:ascii="Times New Roman" w:hAnsi="Times New Roman" w:eastAsia="Times New Roman"/>
                <w:color w:val="auto"/>
                <w:sz w:val="21"/>
              </w:rPr>
              <w:t>G1</w:t>
            </w:r>
          </w:p>
        </w:tc>
        <w:tc>
          <w:tcPr>
            <w:tcW w:w="7761"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7" w:beforeLines="0" w:afterLines="0" w:line="285" w:lineRule="auto"/>
              <w:ind w:left="102" w:right="75"/>
              <w:jc w:val="left"/>
              <w:rPr>
                <w:rFonts w:hint="eastAsia"/>
                <w:color w:val="auto"/>
                <w:sz w:val="21"/>
              </w:rPr>
            </w:pPr>
            <w:r>
              <w:rPr>
                <w:rFonts w:hint="eastAsia"/>
                <w:color w:val="auto"/>
                <w:sz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78" w:hRule="atLeast"/>
        </w:trPr>
        <w:tc>
          <w:tcPr>
            <w:tcW w:w="1188"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1" w:beforeLines="0" w:afterLines="0"/>
              <w:jc w:val="left"/>
              <w:rPr>
                <w:rFonts w:hint="eastAsia" w:ascii="楷体" w:hAnsi="楷体" w:eastAsia="楷体"/>
                <w:b/>
                <w:color w:val="auto"/>
                <w:sz w:val="19"/>
              </w:rPr>
            </w:pPr>
          </w:p>
          <w:p>
            <w:pPr>
              <w:pStyle w:val="247"/>
              <w:kinsoku w:val="0"/>
              <w:overflowPunct w:val="0"/>
              <w:spacing w:beforeLines="0" w:afterLines="0"/>
              <w:ind w:left="78" w:right="72"/>
              <w:rPr>
                <w:rFonts w:hint="default" w:ascii="Times New Roman" w:hAnsi="Times New Roman" w:eastAsia="Times New Roman"/>
                <w:color w:val="auto"/>
                <w:sz w:val="21"/>
              </w:rPr>
            </w:pPr>
            <w:r>
              <w:rPr>
                <w:rFonts w:hint="eastAsia"/>
                <w:color w:val="auto"/>
                <w:sz w:val="21"/>
              </w:rPr>
              <w:t xml:space="preserve">敏感性 </w:t>
            </w:r>
            <w:r>
              <w:rPr>
                <w:rFonts w:hint="default" w:ascii="Times New Roman" w:hAnsi="Times New Roman" w:eastAsia="Times New Roman"/>
                <w:color w:val="auto"/>
                <w:sz w:val="21"/>
              </w:rPr>
              <w:t>G2</w:t>
            </w:r>
          </w:p>
        </w:tc>
        <w:tc>
          <w:tcPr>
            <w:tcW w:w="7761"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85" w:lineRule="auto"/>
              <w:ind w:left="102" w:right="102"/>
              <w:jc w:val="both"/>
              <w:rPr>
                <w:rFonts w:hint="eastAsia"/>
                <w:color w:val="auto"/>
                <w:spacing w:val="-5"/>
                <w:sz w:val="21"/>
              </w:rPr>
            </w:pPr>
            <w:r>
              <w:rPr>
                <w:rFonts w:hint="eastAsia"/>
                <w:color w:val="auto"/>
                <w:spacing w:val="-4"/>
                <w:sz w:val="21"/>
              </w:rPr>
              <w:t>集中式饮用水水源</w:t>
            </w:r>
            <w:r>
              <w:rPr>
                <w:rFonts w:hint="eastAsia"/>
                <w:color w:val="auto"/>
                <w:spacing w:val="-3"/>
                <w:sz w:val="21"/>
              </w:rPr>
              <w:t>（</w:t>
            </w:r>
            <w:r>
              <w:rPr>
                <w:rFonts w:hint="eastAsia"/>
                <w:color w:val="auto"/>
                <w:spacing w:val="-5"/>
                <w:sz w:val="21"/>
              </w:rPr>
              <w:t>包括已建成的在用、备用、应急水源，在建和规划的饮用水水源</w:t>
            </w:r>
            <w:r>
              <w:rPr>
                <w:rFonts w:hint="eastAsia"/>
                <w:color w:val="auto"/>
                <w:spacing w:val="-8"/>
                <w:sz w:val="21"/>
              </w:rPr>
              <w:t>）</w:t>
            </w:r>
            <w:r>
              <w:rPr>
                <w:rFonts w:hint="eastAsia"/>
                <w:color w:val="auto"/>
                <w:spacing w:val="-5"/>
                <w:sz w:val="21"/>
              </w:rPr>
              <w:t>准保护区以外的补给径流区；未划定准保护区的集中式饮用水水源，其保护区以外的补给径流区；分散式饮用水水源地；特殊地下水资源</w:t>
            </w:r>
            <w:r>
              <w:rPr>
                <w:rFonts w:hint="eastAsia"/>
                <w:color w:val="auto"/>
                <w:sz w:val="21"/>
              </w:rPr>
              <w:t>（</w:t>
            </w:r>
            <w:r>
              <w:rPr>
                <w:rFonts w:hint="eastAsia"/>
                <w:color w:val="auto"/>
                <w:spacing w:val="-5"/>
                <w:sz w:val="21"/>
              </w:rPr>
              <w:t>如热水、矿泉水、温</w:t>
            </w:r>
          </w:p>
          <w:p>
            <w:pPr>
              <w:pStyle w:val="247"/>
              <w:kinsoku w:val="0"/>
              <w:overflowPunct w:val="0"/>
              <w:spacing w:beforeLines="0" w:afterLines="0" w:line="252" w:lineRule="exact"/>
              <w:ind w:left="102"/>
              <w:jc w:val="both"/>
              <w:rPr>
                <w:rFonts w:hint="default" w:ascii="Times New Roman" w:hAnsi="Times New Roman" w:eastAsia="Times New Roman"/>
                <w:color w:val="auto"/>
                <w:sz w:val="21"/>
                <w:vertAlign w:val="superscript"/>
              </w:rPr>
            </w:pPr>
            <w:r>
              <w:rPr>
                <w:rFonts w:hint="eastAsia"/>
                <w:color w:val="auto"/>
                <w:sz w:val="21"/>
              </w:rPr>
              <w:t xml:space="preserve">泉等）保护区以外的分布区等其他未列入上述敏感分级的环境敏感区 </w:t>
            </w:r>
            <w:r>
              <w:rPr>
                <w:rFonts w:hint="default" w:ascii="Times New Roman" w:hAnsi="Times New Roman" w:eastAsia="Times New Roman"/>
                <w:color w:val="auto"/>
                <w:sz w:val="21"/>
                <w:vertAlign w:val="superscript"/>
              </w:rPr>
              <w:t>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1188"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49" w:beforeLines="0" w:afterLines="0" w:line="252" w:lineRule="exact"/>
              <w:ind w:left="78" w:right="72"/>
              <w:rPr>
                <w:rFonts w:hint="default" w:ascii="Times New Roman" w:hAnsi="Times New Roman" w:eastAsia="Times New Roman"/>
                <w:color w:val="auto"/>
                <w:sz w:val="21"/>
              </w:rPr>
            </w:pPr>
            <w:r>
              <w:rPr>
                <w:rFonts w:hint="eastAsia"/>
                <w:color w:val="auto"/>
                <w:sz w:val="21"/>
              </w:rPr>
              <w:t xml:space="preserve">敏感性 </w:t>
            </w:r>
            <w:r>
              <w:rPr>
                <w:rFonts w:hint="default" w:ascii="Times New Roman" w:hAnsi="Times New Roman" w:eastAsia="Times New Roman"/>
                <w:color w:val="auto"/>
                <w:sz w:val="21"/>
              </w:rPr>
              <w:t>G3</w:t>
            </w:r>
          </w:p>
        </w:tc>
        <w:tc>
          <w:tcPr>
            <w:tcW w:w="7761"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49" w:beforeLines="0" w:afterLines="0" w:line="252" w:lineRule="exact"/>
              <w:ind w:left="102"/>
              <w:jc w:val="left"/>
              <w:rPr>
                <w:rFonts w:hint="eastAsia"/>
                <w:color w:val="auto"/>
                <w:sz w:val="21"/>
              </w:rPr>
            </w:pPr>
            <w:r>
              <w:rPr>
                <w:rFonts w:hint="eastAsia"/>
                <w:color w:val="auto"/>
                <w:sz w:val="21"/>
              </w:rPr>
              <w:t>上述地区之外的其他地区</w:t>
            </w:r>
          </w:p>
        </w:tc>
      </w:tr>
    </w:tbl>
    <w:p>
      <w:pPr>
        <w:pStyle w:val="22"/>
        <w:kinsoku w:val="0"/>
        <w:overflowPunct w:val="0"/>
        <w:spacing w:before="77" w:beforeLines="0" w:after="13" w:afterLines="0"/>
        <w:ind w:left="389"/>
        <w:jc w:val="both"/>
        <w:rPr>
          <w:rFonts w:hint="eastAsia" w:ascii="宋体" w:hAnsi="宋体" w:eastAsia="宋体"/>
          <w:color w:val="auto"/>
          <w:sz w:val="18"/>
        </w:rPr>
      </w:pPr>
      <w:r>
        <w:rPr>
          <w:rFonts w:hint="default" w:ascii="Times New Roman" w:hAnsi="Times New Roman" w:eastAsia="Times New Roman"/>
          <w:color w:val="auto"/>
          <w:sz w:val="18"/>
        </w:rPr>
        <w:t xml:space="preserve">a </w:t>
      </w:r>
      <w:r>
        <w:rPr>
          <w:rFonts w:hint="default" w:ascii="Times New Roman" w:hAnsi="Times New Roman" w:eastAsia="Times New Roman"/>
          <w:color w:val="auto"/>
          <w:w w:val="75"/>
          <w:sz w:val="18"/>
        </w:rPr>
        <w:t>―</w:t>
      </w:r>
      <w:r>
        <w:rPr>
          <w:rFonts w:hint="eastAsia" w:ascii="宋体" w:hAnsi="宋体" w:eastAsia="宋体"/>
          <w:color w:val="auto"/>
          <w:sz w:val="18"/>
        </w:rPr>
        <w:t>环境敏感区</w:t>
      </w:r>
      <w:r>
        <w:rPr>
          <w:rFonts w:hint="default" w:ascii="Times New Roman" w:hAnsi="Times New Roman" w:eastAsia="Times New Roman"/>
          <w:color w:val="auto"/>
          <w:w w:val="140"/>
          <w:sz w:val="18"/>
        </w:rPr>
        <w:t>‖</w:t>
      </w:r>
      <w:r>
        <w:rPr>
          <w:rFonts w:hint="eastAsia" w:ascii="宋体" w:hAnsi="宋体" w:eastAsia="宋体"/>
          <w:color w:val="auto"/>
          <w:sz w:val="18"/>
        </w:rPr>
        <w:t>是指《建设项目环境影响评价分类管理名录》中所界定的涉及地下水的环境敏感区</w:t>
      </w:r>
    </w:p>
    <w:p>
      <w:pPr>
        <w:spacing w:line="360" w:lineRule="auto"/>
        <w:ind w:firstLine="482"/>
        <w:rPr>
          <w:rFonts w:hint="eastAsia" w:ascii="Times New Roman" w:hAnsi="Times New Roman"/>
          <w:color w:val="auto"/>
          <w:sz w:val="24"/>
          <w:szCs w:val="24"/>
        </w:rPr>
      </w:pPr>
    </w:p>
    <w:p>
      <w:pPr>
        <w:pStyle w:val="22"/>
        <w:tabs>
          <w:tab w:val="left" w:pos="1450"/>
        </w:tabs>
        <w:kinsoku w:val="0"/>
        <w:overflowPunct w:val="0"/>
        <w:spacing w:before="186" w:beforeLines="0" w:after="40" w:afterLines="0"/>
        <w:ind w:left="538"/>
        <w:jc w:val="center"/>
        <w:rPr>
          <w:rFonts w:hint="eastAsia" w:ascii="Times New Roman" w:hAnsi="Times New Roman" w:eastAsia="宋体" w:cs="Times New Roman"/>
          <w:b/>
          <w:color w:val="auto"/>
          <w:kern w:val="2"/>
          <w:sz w:val="24"/>
          <w:szCs w:val="20"/>
          <w:lang w:val="en-US" w:eastAsia="zh-CN" w:bidi="ar-SA"/>
        </w:rPr>
      </w:pPr>
      <w:r>
        <w:rPr>
          <w:rFonts w:hint="eastAsia" w:ascii="Times New Roman" w:hAnsi="Times New Roman" w:eastAsia="宋体" w:cs="Times New Roman"/>
          <w:b/>
          <w:color w:val="auto"/>
          <w:kern w:val="2"/>
          <w:sz w:val="24"/>
          <w:szCs w:val="20"/>
          <w:lang w:val="en-US" w:eastAsia="zh-CN" w:bidi="ar-SA"/>
        </w:rPr>
        <w:t xml:space="preserve">表 1. </w:t>
      </w:r>
      <w:r>
        <w:rPr>
          <w:rFonts w:hint="default" w:ascii="Times New Roman" w:hAnsi="Times New Roman" w:eastAsia="宋体" w:cs="Times New Roman"/>
          <w:b/>
          <w:color w:val="auto"/>
          <w:kern w:val="2"/>
          <w:sz w:val="24"/>
          <w:szCs w:val="20"/>
          <w:lang w:val="en-US" w:eastAsia="zh-CN" w:bidi="ar-SA"/>
        </w:rPr>
        <w:t>5-</w:t>
      </w:r>
      <w:r>
        <w:rPr>
          <w:rFonts w:hint="eastAsia" w:ascii="Times New Roman" w:hAnsi="Times New Roman" w:eastAsia="宋体" w:cs="Times New Roman"/>
          <w:b/>
          <w:color w:val="auto"/>
          <w:kern w:val="2"/>
          <w:sz w:val="24"/>
          <w:szCs w:val="20"/>
          <w:lang w:val="en-US" w:eastAsia="zh-CN" w:bidi="ar-SA"/>
        </w:rPr>
        <w:t>20</w:t>
      </w:r>
      <w:r>
        <w:rPr>
          <w:rFonts w:hint="default" w:ascii="Times New Roman" w:hAnsi="Times New Roman" w:eastAsia="宋体" w:cs="Times New Roman"/>
          <w:b/>
          <w:color w:val="auto"/>
          <w:kern w:val="2"/>
          <w:sz w:val="24"/>
          <w:szCs w:val="20"/>
          <w:lang w:val="en-US" w:eastAsia="zh-CN" w:bidi="ar-SA"/>
        </w:rPr>
        <w:t xml:space="preserve"> </w:t>
      </w:r>
      <w:r>
        <w:rPr>
          <w:rFonts w:hint="eastAsia" w:ascii="Times New Roman" w:hAnsi="Times New Roman" w:eastAsia="宋体" w:cs="Times New Roman"/>
          <w:b/>
          <w:color w:val="auto"/>
          <w:kern w:val="2"/>
          <w:sz w:val="24"/>
          <w:szCs w:val="20"/>
          <w:lang w:val="en-US" w:eastAsia="zh-CN" w:bidi="ar-SA"/>
        </w:rPr>
        <w:t>包气带防污性能分级</w:t>
      </w:r>
    </w:p>
    <w:p>
      <w:pPr>
        <w:spacing w:beforeLines="0" w:afterLines="0"/>
        <w:rPr>
          <w:rFonts w:hint="eastAsia" w:ascii="楷体" w:hAnsi="楷体" w:eastAsia="楷体"/>
          <w:b/>
          <w:color w:val="auto"/>
          <w:sz w:val="21"/>
        </w:rPr>
      </w:pPr>
    </w:p>
    <w:tbl>
      <w:tblPr>
        <w:tblStyle w:val="46"/>
        <w:tblW w:w="97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9"/>
        <w:gridCol w:w="8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9" w:type="dxa"/>
            <w:vAlign w:val="top"/>
          </w:tcPr>
          <w:p>
            <w:pPr>
              <w:pStyle w:val="247"/>
              <w:kinsoku w:val="0"/>
              <w:overflowPunct w:val="0"/>
              <w:spacing w:before="46" w:beforeLines="0" w:afterLines="0" w:line="255" w:lineRule="exact"/>
              <w:ind w:right="343" w:rightChars="0"/>
              <w:jc w:val="center"/>
              <w:rPr>
                <w:rFonts w:hint="eastAsia" w:ascii="楷体" w:hAnsi="楷体" w:eastAsia="楷体"/>
                <w:b/>
                <w:color w:val="auto"/>
                <w:sz w:val="21"/>
                <w:vertAlign w:val="baseline"/>
              </w:rPr>
            </w:pPr>
            <w:r>
              <w:rPr>
                <w:rFonts w:hint="eastAsia" w:eastAsia="宋体"/>
                <w:color w:val="auto"/>
                <w:sz w:val="21"/>
                <w:lang w:val="en-US" w:eastAsia="zh-CN"/>
              </w:rPr>
              <w:t xml:space="preserve">  </w:t>
            </w:r>
            <w:r>
              <w:rPr>
                <w:rFonts w:hint="eastAsia"/>
                <w:color w:val="auto"/>
                <w:sz w:val="21"/>
              </w:rPr>
              <w:t>分级</w:t>
            </w:r>
          </w:p>
        </w:tc>
        <w:tc>
          <w:tcPr>
            <w:tcW w:w="8497" w:type="dxa"/>
            <w:vAlign w:val="top"/>
          </w:tcPr>
          <w:p>
            <w:pPr>
              <w:pStyle w:val="247"/>
              <w:kinsoku w:val="0"/>
              <w:overflowPunct w:val="0"/>
              <w:spacing w:before="46" w:beforeLines="0" w:afterLines="0" w:line="255" w:lineRule="exact"/>
              <w:ind w:right="2794" w:rightChars="0"/>
              <w:jc w:val="right"/>
              <w:rPr>
                <w:rFonts w:hint="eastAsia" w:ascii="楷体" w:hAnsi="楷体" w:eastAsia="楷体"/>
                <w:b/>
                <w:color w:val="auto"/>
                <w:sz w:val="21"/>
                <w:vertAlign w:val="baseline"/>
              </w:rPr>
            </w:pPr>
            <w:r>
              <w:rPr>
                <w:rFonts w:hint="eastAsia"/>
                <w:color w:val="auto"/>
                <w:sz w:val="21"/>
              </w:rPr>
              <w:t>包气带岩土的渗透性能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9" w:type="dxa"/>
            <w:vAlign w:val="top"/>
          </w:tcPr>
          <w:p>
            <w:pPr>
              <w:pStyle w:val="247"/>
              <w:kinsoku w:val="0"/>
              <w:overflowPunct w:val="0"/>
              <w:spacing w:before="60" w:beforeLines="0" w:afterLines="0" w:line="240" w:lineRule="exact"/>
              <w:ind w:right="342" w:rightChars="0"/>
              <w:jc w:val="center"/>
              <w:rPr>
                <w:rFonts w:hint="eastAsia" w:ascii="楷体" w:hAnsi="楷体" w:eastAsia="楷体"/>
                <w:b/>
                <w:color w:val="auto"/>
                <w:sz w:val="21"/>
                <w:vertAlign w:val="baseline"/>
              </w:rPr>
            </w:pPr>
            <w:r>
              <w:rPr>
                <w:rFonts w:hint="default" w:ascii="Times New Roman" w:hAnsi="Times New Roman" w:eastAsia="Times New Roman"/>
                <w:color w:val="auto"/>
                <w:sz w:val="21"/>
              </w:rPr>
              <w:t>D3</w:t>
            </w:r>
          </w:p>
        </w:tc>
        <w:tc>
          <w:tcPr>
            <w:tcW w:w="8497" w:type="dxa"/>
            <w:vAlign w:val="top"/>
          </w:tcPr>
          <w:p>
            <w:pPr>
              <w:pStyle w:val="247"/>
              <w:kinsoku w:val="0"/>
              <w:overflowPunct w:val="0"/>
              <w:spacing w:before="46" w:beforeLines="0" w:afterLines="0" w:line="254" w:lineRule="exact"/>
              <w:ind w:left="117" w:leftChars="0"/>
              <w:jc w:val="left"/>
              <w:rPr>
                <w:rFonts w:hint="eastAsia" w:ascii="楷体" w:hAnsi="楷体" w:eastAsia="楷体"/>
                <w:b/>
                <w:color w:val="auto"/>
                <w:sz w:val="21"/>
                <w:vertAlign w:val="baseline"/>
              </w:rPr>
            </w:pPr>
            <w:r>
              <w:rPr>
                <w:rFonts w:hint="default" w:ascii="Times New Roman" w:hAnsi="Times New Roman" w:eastAsia="Times New Roman"/>
                <w:color w:val="auto"/>
                <w:sz w:val="21"/>
              </w:rPr>
              <w:t>Mb ≥1.0m</w:t>
            </w:r>
            <w:r>
              <w:rPr>
                <w:rFonts w:hint="eastAsia"/>
                <w:color w:val="auto"/>
                <w:sz w:val="21"/>
              </w:rPr>
              <w:t>，</w:t>
            </w:r>
            <w:r>
              <w:rPr>
                <w:rFonts w:hint="default" w:ascii="Times New Roman" w:hAnsi="Times New Roman" w:eastAsia="Times New Roman"/>
                <w:color w:val="auto"/>
                <w:sz w:val="21"/>
              </w:rPr>
              <w:t>K≤1.0×10</w:t>
            </w:r>
            <w:r>
              <w:rPr>
                <w:rFonts w:hint="default" w:ascii="Times New Roman" w:hAnsi="Times New Roman" w:eastAsia="Times New Roman"/>
                <w:color w:val="auto"/>
                <w:sz w:val="21"/>
                <w:vertAlign w:val="superscript"/>
              </w:rPr>
              <w:t>-6</w:t>
            </w:r>
            <w:r>
              <w:rPr>
                <w:rFonts w:hint="default" w:ascii="Times New Roman" w:hAnsi="Times New Roman" w:eastAsia="Times New Roman"/>
                <w:color w:val="auto"/>
                <w:sz w:val="21"/>
              </w:rPr>
              <w:t xml:space="preserve"> cm/s</w:t>
            </w:r>
            <w:r>
              <w:rPr>
                <w:rFonts w:hint="eastAsia"/>
                <w:color w:val="auto"/>
                <w:sz w:val="21"/>
              </w:rPr>
              <w:t>，且分布连续、稳定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9" w:type="dxa"/>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80" w:leftChars="0" w:right="72" w:rightChars="0" w:firstLine="210" w:firstLineChars="100"/>
              <w:jc w:val="both"/>
              <w:rPr>
                <w:rFonts w:hint="eastAsia" w:ascii="楷体" w:hAnsi="楷体" w:eastAsia="楷体"/>
                <w:b/>
                <w:color w:val="auto"/>
                <w:sz w:val="21"/>
                <w:vertAlign w:val="baseline"/>
              </w:rPr>
            </w:pPr>
            <w:r>
              <w:rPr>
                <w:rFonts w:hint="default" w:ascii="Times New Roman" w:hAnsi="Times New Roman" w:eastAsia="Times New Roman"/>
                <w:color w:val="auto"/>
                <w:sz w:val="21"/>
              </w:rPr>
              <w:t>D2</w:t>
            </w:r>
          </w:p>
        </w:tc>
        <w:tc>
          <w:tcPr>
            <w:tcW w:w="8497" w:type="dxa"/>
            <w:vAlign w:val="top"/>
          </w:tcPr>
          <w:p>
            <w:pPr>
              <w:pStyle w:val="247"/>
              <w:kinsoku w:val="0"/>
              <w:overflowPunct w:val="0"/>
              <w:spacing w:before="49" w:beforeLines="0" w:afterLines="0"/>
              <w:ind w:left="102"/>
              <w:jc w:val="left"/>
              <w:rPr>
                <w:rFonts w:hint="eastAsia"/>
                <w:color w:val="auto"/>
                <w:sz w:val="21"/>
              </w:rPr>
            </w:pPr>
            <w:r>
              <w:rPr>
                <w:rFonts w:hint="default" w:ascii="Times New Roman" w:hAnsi="Times New Roman" w:eastAsia="Times New Roman"/>
                <w:color w:val="auto"/>
                <w:sz w:val="21"/>
              </w:rPr>
              <w:t>0.5m ≤ Mb&lt;1.0m</w:t>
            </w:r>
            <w:r>
              <w:rPr>
                <w:rFonts w:hint="eastAsia"/>
                <w:color w:val="auto"/>
                <w:sz w:val="21"/>
              </w:rPr>
              <w:t>，</w:t>
            </w:r>
            <w:r>
              <w:rPr>
                <w:rFonts w:hint="default" w:ascii="Times New Roman" w:hAnsi="Times New Roman" w:eastAsia="Times New Roman"/>
                <w:color w:val="auto"/>
                <w:sz w:val="21"/>
              </w:rPr>
              <w:t>K≤1.0×1</w:t>
            </w:r>
            <w:r>
              <w:rPr>
                <w:rFonts w:hint="default" w:ascii="Times New Roman" w:hAnsi="Times New Roman" w:eastAsia="Times New Roman"/>
                <w:color w:val="auto"/>
                <w:sz w:val="21"/>
                <w:vertAlign w:val="superscript"/>
              </w:rPr>
              <w:t>0-6</w:t>
            </w:r>
            <w:r>
              <w:rPr>
                <w:rFonts w:hint="default" w:ascii="Times New Roman" w:hAnsi="Times New Roman" w:eastAsia="Times New Roman"/>
                <w:color w:val="auto"/>
                <w:sz w:val="21"/>
              </w:rPr>
              <w:t>cm/s</w:t>
            </w:r>
            <w:r>
              <w:rPr>
                <w:rFonts w:hint="eastAsia"/>
                <w:color w:val="auto"/>
                <w:sz w:val="21"/>
              </w:rPr>
              <w:t>，且分布连续、稳定</w:t>
            </w:r>
          </w:p>
          <w:p>
            <w:pPr>
              <w:pStyle w:val="247"/>
              <w:kinsoku w:val="0"/>
              <w:overflowPunct w:val="0"/>
              <w:spacing w:before="50" w:beforeLines="0" w:afterLines="0" w:line="252" w:lineRule="exact"/>
              <w:ind w:left="102" w:leftChars="0"/>
              <w:jc w:val="left"/>
              <w:rPr>
                <w:rFonts w:hint="eastAsia" w:ascii="楷体" w:hAnsi="楷体" w:eastAsia="楷体"/>
                <w:b/>
                <w:color w:val="auto"/>
                <w:sz w:val="21"/>
                <w:vertAlign w:val="baseline"/>
              </w:rPr>
            </w:pPr>
            <w:r>
              <w:rPr>
                <w:rFonts w:hint="default" w:ascii="Times New Roman" w:hAnsi="Times New Roman" w:eastAsia="Times New Roman"/>
                <w:color w:val="auto"/>
                <w:sz w:val="21"/>
              </w:rPr>
              <w:t>Mb ≥1.0m</w:t>
            </w:r>
            <w:r>
              <w:rPr>
                <w:rFonts w:hint="eastAsia"/>
                <w:color w:val="auto"/>
                <w:sz w:val="21"/>
              </w:rPr>
              <w:t>，</w:t>
            </w:r>
            <w:r>
              <w:rPr>
                <w:rFonts w:hint="default" w:ascii="Times New Roman" w:hAnsi="Times New Roman" w:eastAsia="Times New Roman"/>
                <w:color w:val="auto"/>
                <w:sz w:val="21"/>
              </w:rPr>
              <w:t>1.0×10 -</w:t>
            </w:r>
            <w:r>
              <w:rPr>
                <w:rFonts w:hint="default" w:ascii="Times New Roman" w:hAnsi="Times New Roman" w:eastAsia="Times New Roman"/>
                <w:color w:val="auto"/>
                <w:sz w:val="21"/>
                <w:vertAlign w:val="superscript"/>
              </w:rPr>
              <w:t>6</w:t>
            </w:r>
            <w:r>
              <w:rPr>
                <w:rFonts w:hint="default" w:ascii="Times New Roman" w:hAnsi="Times New Roman" w:eastAsia="Times New Roman"/>
                <w:color w:val="auto"/>
                <w:sz w:val="21"/>
              </w:rPr>
              <w:t>cm/s</w:t>
            </w:r>
            <w:r>
              <w:rPr>
                <w:rFonts w:hint="eastAsia"/>
                <w:color w:val="auto"/>
                <w:sz w:val="21"/>
              </w:rPr>
              <w:t>＜</w:t>
            </w:r>
            <w:r>
              <w:rPr>
                <w:rFonts w:hint="default" w:ascii="Times New Roman" w:hAnsi="Times New Roman" w:eastAsia="Times New Roman"/>
                <w:color w:val="auto"/>
                <w:sz w:val="21"/>
              </w:rPr>
              <w:t>K≤1.0×10</w:t>
            </w:r>
            <w:r>
              <w:rPr>
                <w:rFonts w:hint="default" w:ascii="Times New Roman" w:hAnsi="Times New Roman" w:eastAsia="Times New Roman"/>
                <w:color w:val="auto"/>
                <w:sz w:val="21"/>
                <w:vertAlign w:val="superscript"/>
              </w:rPr>
              <w:t>-4</w:t>
            </w:r>
            <w:r>
              <w:rPr>
                <w:rFonts w:hint="default" w:ascii="Times New Roman" w:hAnsi="Times New Roman" w:eastAsia="Times New Roman"/>
                <w:color w:val="auto"/>
                <w:sz w:val="21"/>
              </w:rPr>
              <w:t>cm/s</w:t>
            </w:r>
            <w:r>
              <w:rPr>
                <w:rFonts w:hint="eastAsia"/>
                <w:color w:val="auto"/>
                <w:sz w:val="21"/>
              </w:rPr>
              <w:t>，且分布连续、稳定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49" w:type="dxa"/>
            <w:vAlign w:val="top"/>
          </w:tcPr>
          <w:p>
            <w:pPr>
              <w:pStyle w:val="247"/>
              <w:kinsoku w:val="0"/>
              <w:overflowPunct w:val="0"/>
              <w:spacing w:before="60" w:beforeLines="0" w:afterLines="0" w:line="241" w:lineRule="exact"/>
              <w:ind w:left="80" w:leftChars="0" w:right="72" w:rightChars="0" w:firstLine="210" w:firstLineChars="100"/>
              <w:jc w:val="both"/>
              <w:rPr>
                <w:rFonts w:hint="eastAsia" w:ascii="楷体" w:hAnsi="楷体" w:eastAsia="楷体"/>
                <w:b/>
                <w:color w:val="auto"/>
                <w:sz w:val="21"/>
                <w:vertAlign w:val="baseline"/>
              </w:rPr>
            </w:pPr>
            <w:r>
              <w:rPr>
                <w:rFonts w:hint="default" w:ascii="Times New Roman" w:hAnsi="Times New Roman" w:eastAsia="Times New Roman"/>
                <w:color w:val="auto"/>
                <w:sz w:val="21"/>
              </w:rPr>
              <w:t>D1</w:t>
            </w:r>
          </w:p>
        </w:tc>
        <w:tc>
          <w:tcPr>
            <w:tcW w:w="8497" w:type="dxa"/>
            <w:vAlign w:val="top"/>
          </w:tcPr>
          <w:p>
            <w:pPr>
              <w:pStyle w:val="247"/>
              <w:kinsoku w:val="0"/>
              <w:overflowPunct w:val="0"/>
              <w:spacing w:before="46" w:beforeLines="0" w:afterLines="0" w:line="255" w:lineRule="exact"/>
              <w:ind w:left="102" w:leftChars="0"/>
              <w:jc w:val="left"/>
              <w:rPr>
                <w:rFonts w:hint="eastAsia" w:ascii="楷体" w:hAnsi="楷体" w:eastAsia="楷体"/>
                <w:b/>
                <w:color w:val="auto"/>
                <w:sz w:val="21"/>
                <w:vertAlign w:val="baseline"/>
              </w:rPr>
            </w:pPr>
            <w:r>
              <w:rPr>
                <w:rFonts w:hint="eastAsia"/>
                <w:color w:val="auto"/>
                <w:sz w:val="21"/>
              </w:rPr>
              <w:t>岩（</w:t>
            </w:r>
            <w:r>
              <w:rPr>
                <w:rFonts w:hint="eastAsia"/>
                <w:color w:val="auto"/>
                <w:spacing w:val="-3"/>
                <w:sz w:val="21"/>
              </w:rPr>
              <w:t>土</w:t>
            </w:r>
            <w:r>
              <w:rPr>
                <w:rFonts w:hint="eastAsia"/>
                <w:color w:val="auto"/>
                <w:sz w:val="21"/>
              </w:rPr>
              <w:t>）</w:t>
            </w:r>
            <w:r>
              <w:rPr>
                <w:rFonts w:hint="eastAsia"/>
                <w:color w:val="auto"/>
                <w:spacing w:val="-3"/>
                <w:sz w:val="21"/>
              </w:rPr>
              <w:t>层不满足上述</w:t>
            </w:r>
            <w:r>
              <w:rPr>
                <w:rFonts w:hint="default" w:ascii="Times New Roman" w:hAnsi="Times New Roman" w:eastAsia="Times New Roman"/>
                <w:color w:val="auto"/>
                <w:spacing w:val="-3"/>
                <w:w w:val="44"/>
                <w:sz w:val="21"/>
              </w:rPr>
              <w:t>―</w:t>
            </w:r>
            <w:r>
              <w:rPr>
                <w:rFonts w:hint="default" w:ascii="Times New Roman" w:hAnsi="Times New Roman" w:eastAsia="Times New Roman"/>
                <w:color w:val="auto"/>
                <w:sz w:val="21"/>
              </w:rPr>
              <w:t>D</w:t>
            </w:r>
            <w:r>
              <w:rPr>
                <w:rFonts w:hint="default" w:ascii="Times New Roman" w:hAnsi="Times New Roman" w:eastAsia="Times New Roman"/>
                <w:color w:val="auto"/>
                <w:spacing w:val="-3"/>
                <w:sz w:val="21"/>
              </w:rPr>
              <w:t>2</w:t>
            </w:r>
            <w:r>
              <w:rPr>
                <w:rFonts w:hint="default" w:ascii="Times New Roman" w:hAnsi="Times New Roman" w:eastAsia="Times New Roman"/>
                <w:color w:val="auto"/>
                <w:w w:val="158"/>
                <w:sz w:val="21"/>
              </w:rPr>
              <w:t>‖</w:t>
            </w:r>
            <w:r>
              <w:rPr>
                <w:rFonts w:hint="eastAsia"/>
                <w:color w:val="auto"/>
                <w:sz w:val="21"/>
              </w:rPr>
              <w:t>和</w:t>
            </w:r>
            <w:r>
              <w:rPr>
                <w:rFonts w:hint="default" w:ascii="Times New Roman" w:hAnsi="Times New Roman" w:eastAsia="Times New Roman"/>
                <w:color w:val="auto"/>
                <w:spacing w:val="-3"/>
                <w:w w:val="44"/>
                <w:sz w:val="21"/>
              </w:rPr>
              <w:t>―</w:t>
            </w:r>
            <w:r>
              <w:rPr>
                <w:rFonts w:hint="default" w:ascii="Times New Roman" w:hAnsi="Times New Roman" w:eastAsia="Times New Roman"/>
                <w:color w:val="auto"/>
                <w:sz w:val="21"/>
              </w:rPr>
              <w:t>D</w:t>
            </w:r>
            <w:r>
              <w:rPr>
                <w:rFonts w:hint="default" w:ascii="Times New Roman" w:hAnsi="Times New Roman" w:eastAsia="Times New Roman"/>
                <w:color w:val="auto"/>
                <w:w w:val="121"/>
                <w:sz w:val="21"/>
              </w:rPr>
              <w:t>3</w:t>
            </w:r>
            <w:r>
              <w:rPr>
                <w:rFonts w:hint="default" w:ascii="Times New Roman" w:hAnsi="Times New Roman" w:eastAsia="Times New Roman"/>
                <w:color w:val="auto"/>
                <w:spacing w:val="-3"/>
                <w:w w:val="121"/>
                <w:sz w:val="21"/>
              </w:rPr>
              <w:t>‖</w:t>
            </w:r>
            <w:r>
              <w:rPr>
                <w:rFonts w:hint="eastAsia"/>
                <w:color w:val="auto"/>
                <w:sz w:val="21"/>
              </w:rPr>
              <w:t>条件</w:t>
            </w:r>
          </w:p>
        </w:tc>
      </w:tr>
    </w:tbl>
    <w:p>
      <w:pPr>
        <w:pStyle w:val="22"/>
        <w:kinsoku w:val="0"/>
        <w:overflowPunct w:val="0"/>
        <w:spacing w:before="75" w:beforeLines="0" w:after="14" w:afterLines="0"/>
        <w:ind w:left="389"/>
        <w:rPr>
          <w:rFonts w:hint="eastAsia" w:ascii="宋体" w:hAnsi="宋体" w:eastAsia="宋体"/>
          <w:color w:val="auto"/>
          <w:sz w:val="18"/>
        </w:rPr>
      </w:pPr>
      <w:r>
        <w:rPr>
          <w:rFonts w:hint="default" w:ascii="Times New Roman" w:hAnsi="Times New Roman" w:eastAsia="Times New Roman"/>
          <w:color w:val="auto"/>
          <w:sz w:val="18"/>
        </w:rPr>
        <w:t>Mb</w:t>
      </w:r>
      <w:r>
        <w:rPr>
          <w:rFonts w:hint="eastAsia" w:ascii="宋体" w:hAnsi="宋体" w:eastAsia="宋体"/>
          <w:color w:val="auto"/>
          <w:sz w:val="18"/>
        </w:rPr>
        <w:t xml:space="preserve">：岩土层单层厚度。 </w:t>
      </w:r>
      <w:r>
        <w:rPr>
          <w:rFonts w:hint="default" w:ascii="Times New Roman" w:hAnsi="Times New Roman" w:eastAsia="Times New Roman"/>
          <w:color w:val="auto"/>
          <w:sz w:val="18"/>
        </w:rPr>
        <w:t>K</w:t>
      </w:r>
      <w:r>
        <w:rPr>
          <w:rFonts w:hint="eastAsia" w:ascii="宋体" w:hAnsi="宋体" w:eastAsia="宋体"/>
          <w:color w:val="auto"/>
          <w:sz w:val="18"/>
        </w:rPr>
        <w:t>：渗透系数。</w:t>
      </w:r>
    </w:p>
    <w:p>
      <w:pPr>
        <w:spacing w:line="360" w:lineRule="auto"/>
        <w:ind w:firstLine="482"/>
        <w:rPr>
          <w:rFonts w:hint="eastAsia" w:ascii="Times New Roman" w:hAnsi="Times New Roman"/>
          <w:color w:val="auto"/>
          <w:sz w:val="24"/>
          <w:szCs w:val="24"/>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本项目位于</w:t>
      </w:r>
      <w:r>
        <w:rPr>
          <w:rFonts w:hint="eastAsia" w:ascii="Times New Roman" w:hAnsi="Times New Roman"/>
          <w:color w:val="auto"/>
          <w:sz w:val="24"/>
          <w:szCs w:val="24"/>
          <w:lang w:eastAsia="zh-CN"/>
        </w:rPr>
        <w:t>中石化长岭分公司厂</w:t>
      </w:r>
      <w:r>
        <w:rPr>
          <w:rFonts w:hint="eastAsia" w:ascii="Times New Roman" w:hAnsi="Times New Roman"/>
          <w:color w:val="auto"/>
          <w:sz w:val="24"/>
          <w:szCs w:val="24"/>
        </w:rPr>
        <w:t xml:space="preserve">内，不涉及《建设项目环境影响评价分类管理名录》中所界定的涉及地下水的环境敏感区（地下水敏感性为 </w:t>
      </w:r>
      <w:r>
        <w:rPr>
          <w:rFonts w:hint="default" w:ascii="Times New Roman" w:hAnsi="Times New Roman"/>
          <w:color w:val="auto"/>
          <w:sz w:val="24"/>
          <w:szCs w:val="24"/>
        </w:rPr>
        <w:t>G3</w:t>
      </w:r>
      <w:r>
        <w:rPr>
          <w:rFonts w:hint="eastAsia" w:ascii="Times New Roman" w:hAnsi="Times New Roman"/>
          <w:color w:val="auto"/>
          <w:sz w:val="24"/>
          <w:szCs w:val="24"/>
        </w:rPr>
        <w:t xml:space="preserve">），根据项目区域的地勘报告，所在区域包气带岩土， </w:t>
      </w:r>
      <w:r>
        <w:rPr>
          <w:rFonts w:hint="default" w:ascii="Times New Roman" w:hAnsi="Times New Roman"/>
          <w:color w:val="auto"/>
          <w:sz w:val="24"/>
          <w:szCs w:val="24"/>
        </w:rPr>
        <w:t>Mb ≥1.0m</w:t>
      </w:r>
      <w:r>
        <w:rPr>
          <w:rFonts w:hint="eastAsia" w:ascii="Times New Roman" w:hAnsi="Times New Roman"/>
          <w:color w:val="auto"/>
          <w:sz w:val="24"/>
          <w:szCs w:val="24"/>
        </w:rPr>
        <w:t>，</w:t>
      </w:r>
      <w:r>
        <w:rPr>
          <w:rFonts w:hint="default" w:ascii="Times New Roman" w:hAnsi="Times New Roman"/>
          <w:color w:val="auto"/>
          <w:sz w:val="24"/>
          <w:szCs w:val="24"/>
        </w:rPr>
        <w:t>1.0×10 -6cm/s</w:t>
      </w:r>
      <w:r>
        <w:rPr>
          <w:rFonts w:hint="eastAsia" w:ascii="Times New Roman" w:hAnsi="Times New Roman"/>
          <w:color w:val="auto"/>
          <w:sz w:val="24"/>
          <w:szCs w:val="24"/>
        </w:rPr>
        <w:t>＜</w:t>
      </w:r>
      <w:r>
        <w:rPr>
          <w:rFonts w:hint="default" w:ascii="Times New Roman" w:hAnsi="Times New Roman"/>
          <w:color w:val="auto"/>
          <w:sz w:val="24"/>
          <w:szCs w:val="24"/>
        </w:rPr>
        <w:t>K≤1.0×10-4cm/s</w:t>
      </w:r>
      <w:r>
        <w:rPr>
          <w:rFonts w:hint="eastAsia" w:ascii="Times New Roman" w:hAnsi="Times New Roman"/>
          <w:color w:val="auto"/>
          <w:sz w:val="24"/>
          <w:szCs w:val="24"/>
        </w:rPr>
        <w:t xml:space="preserve">，且分布连续、稳定（包气带防污性能分级为 </w:t>
      </w:r>
      <w:r>
        <w:rPr>
          <w:rFonts w:hint="default" w:ascii="Times New Roman" w:hAnsi="Times New Roman"/>
          <w:color w:val="auto"/>
          <w:sz w:val="24"/>
          <w:szCs w:val="24"/>
        </w:rPr>
        <w:t>D2</w:t>
      </w:r>
      <w:r>
        <w:rPr>
          <w:rFonts w:hint="eastAsia" w:ascii="Times New Roman" w:hAnsi="Times New Roman"/>
          <w:color w:val="auto"/>
          <w:sz w:val="24"/>
          <w:szCs w:val="24"/>
        </w:rPr>
        <w:t xml:space="preserve">），因此本项目地下水环境敏感程度分级为 </w:t>
      </w:r>
      <w:r>
        <w:rPr>
          <w:rFonts w:hint="default" w:ascii="Times New Roman" w:hAnsi="Times New Roman"/>
          <w:color w:val="auto"/>
          <w:sz w:val="24"/>
          <w:szCs w:val="24"/>
        </w:rPr>
        <w:t>E3</w:t>
      </w:r>
      <w:r>
        <w:rPr>
          <w:rFonts w:hint="eastAsia" w:ascii="Times New Roman" w:hAnsi="Times New Roman"/>
          <w:color w:val="auto"/>
          <w:sz w:val="24"/>
          <w:szCs w:val="24"/>
        </w:rPr>
        <w:t>。</w:t>
      </w: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lang w:eastAsia="zh-CN"/>
        </w:rPr>
        <w:t>（</w:t>
      </w:r>
      <w:r>
        <w:rPr>
          <w:rFonts w:hint="eastAsia" w:ascii="Times New Roman" w:hAnsi="Times New Roman"/>
          <w:color w:val="auto"/>
          <w:sz w:val="24"/>
          <w:szCs w:val="24"/>
          <w:lang w:val="en-US" w:eastAsia="zh-CN"/>
        </w:rPr>
        <w:t>4</w:t>
      </w:r>
      <w:r>
        <w:rPr>
          <w:rFonts w:hint="eastAsia" w:ascii="Times New Roman" w:hAnsi="Times New Roman"/>
          <w:color w:val="auto"/>
          <w:sz w:val="24"/>
          <w:szCs w:val="24"/>
          <w:lang w:eastAsia="zh-CN"/>
        </w:rPr>
        <w:t>）</w:t>
      </w:r>
      <w:r>
        <w:rPr>
          <w:rFonts w:hint="eastAsia" w:ascii="Times New Roman" w:hAnsi="Times New Roman"/>
          <w:color w:val="auto"/>
          <w:sz w:val="24"/>
          <w:szCs w:val="24"/>
        </w:rPr>
        <w:t>本项目环境风险潜势判断</w:t>
      </w:r>
    </w:p>
    <w:p>
      <w:pPr>
        <w:spacing w:line="360" w:lineRule="auto"/>
        <w:ind w:firstLine="480" w:firstLineChars="200"/>
        <w:rPr>
          <w:rFonts w:hint="eastAsia" w:ascii="Times New Roman" w:hAnsi="Times New Roman"/>
          <w:color w:val="auto"/>
          <w:sz w:val="24"/>
          <w:szCs w:val="24"/>
        </w:rPr>
      </w:pPr>
      <w:r>
        <w:rPr>
          <w:rFonts w:hint="eastAsia" w:ascii="Times New Roman" w:hAnsi="Times New Roman"/>
          <w:color w:val="auto"/>
          <w:sz w:val="24"/>
          <w:szCs w:val="24"/>
        </w:rPr>
        <w:t>按照《建设项目环境风险评价技术导则》（</w:t>
      </w:r>
      <w:r>
        <w:rPr>
          <w:rFonts w:hint="default" w:ascii="Times New Roman" w:hAnsi="Times New Roman"/>
          <w:color w:val="auto"/>
          <w:sz w:val="24"/>
          <w:szCs w:val="24"/>
        </w:rPr>
        <w:t>HJ169-2018</w:t>
      </w:r>
      <w:r>
        <w:rPr>
          <w:rFonts w:hint="eastAsia" w:ascii="Times New Roman" w:hAnsi="Times New Roman"/>
          <w:color w:val="auto"/>
          <w:sz w:val="24"/>
          <w:szCs w:val="24"/>
        </w:rPr>
        <w:t>），环境风险潜势判断见表</w:t>
      </w:r>
      <w:r>
        <w:rPr>
          <w:rFonts w:hint="eastAsia" w:ascii="Times New Roman" w:hAnsi="Times New Roman"/>
          <w:color w:val="auto"/>
          <w:sz w:val="24"/>
          <w:szCs w:val="24"/>
          <w:lang w:val="en-US" w:eastAsia="zh-CN"/>
        </w:rPr>
        <w:t>1.</w:t>
      </w:r>
      <w:r>
        <w:rPr>
          <w:rFonts w:hint="eastAsia" w:ascii="Times New Roman" w:hAnsi="Times New Roman"/>
          <w:color w:val="auto"/>
          <w:sz w:val="24"/>
          <w:szCs w:val="24"/>
        </w:rPr>
        <w:t xml:space="preserve"> </w:t>
      </w:r>
      <w:r>
        <w:rPr>
          <w:rFonts w:hint="default" w:ascii="Times New Roman" w:hAnsi="Times New Roman"/>
          <w:color w:val="auto"/>
          <w:sz w:val="24"/>
          <w:szCs w:val="24"/>
        </w:rPr>
        <w:t>5-</w:t>
      </w:r>
      <w:r>
        <w:rPr>
          <w:rFonts w:hint="eastAsia" w:ascii="Times New Roman" w:hAnsi="Times New Roman"/>
          <w:color w:val="auto"/>
          <w:sz w:val="24"/>
          <w:szCs w:val="24"/>
          <w:lang w:val="en-US" w:eastAsia="zh-CN"/>
        </w:rPr>
        <w:t>21</w:t>
      </w:r>
      <w:r>
        <w:rPr>
          <w:rFonts w:hint="eastAsia" w:ascii="Times New Roman" w:hAnsi="Times New Roman"/>
          <w:color w:val="auto"/>
          <w:sz w:val="24"/>
          <w:szCs w:val="24"/>
        </w:rPr>
        <w:t>。</w:t>
      </w:r>
    </w:p>
    <w:p>
      <w:pPr>
        <w:spacing w:line="360" w:lineRule="auto"/>
        <w:rPr>
          <w:rFonts w:hint="eastAsia"/>
          <w:color w:val="auto"/>
          <w:sz w:val="28"/>
        </w:rPr>
      </w:pPr>
      <w:r>
        <w:rPr>
          <w:rFonts w:hint="eastAsia" w:ascii="Times New Roman" w:hAnsi="Times New Roman"/>
          <w:color w:val="auto"/>
          <w:sz w:val="24"/>
          <w:szCs w:val="24"/>
        </w:rPr>
        <w:t>建设项目环境风险潜势综合等级取各要素等级的相对高值。</w:t>
      </w:r>
    </w:p>
    <w:p>
      <w:pPr>
        <w:keepNext w:val="0"/>
        <w:keepLines w:val="0"/>
        <w:pageBreakBefore w:val="0"/>
        <w:widowControl w:val="0"/>
        <w:kinsoku/>
        <w:wordWrap/>
        <w:overflowPunct/>
        <w:topLinePunct w:val="0"/>
        <w:autoSpaceDE/>
        <w:autoSpaceDN/>
        <w:bidi w:val="0"/>
        <w:adjustRightInd/>
        <w:snapToGrid/>
        <w:spacing w:beforeLines="0" w:afterLines="0"/>
        <w:textAlignment w:val="auto"/>
        <w:rPr>
          <w:rFonts w:hint="eastAsia" w:ascii="楷体" w:hAnsi="楷体" w:eastAsia="楷体"/>
          <w:b/>
          <w:color w:val="auto"/>
          <w:sz w:val="21"/>
        </w:rPr>
        <w:sectPr>
          <w:footerReference r:id="rId14" w:type="default"/>
          <w:pgSz w:w="11910" w:h="16840"/>
          <w:pgMar w:top="1400" w:right="1180" w:bottom="1660" w:left="1200" w:header="877" w:footer="1476" w:gutter="0"/>
          <w:pgBorders>
            <w:top w:val="none" w:sz="0" w:space="0"/>
            <w:left w:val="none" w:sz="0" w:space="0"/>
            <w:bottom w:val="none" w:sz="0" w:space="0"/>
            <w:right w:val="none" w:sz="0" w:space="0"/>
          </w:pgBorders>
          <w:lnNumType w:countBy="0" w:distance="360"/>
          <w:pgNumType w:fmt="decimal"/>
          <w:cols w:space="720" w:num="1"/>
        </w:sectPr>
      </w:pPr>
    </w:p>
    <w:p>
      <w:pPr>
        <w:pStyle w:val="22"/>
        <w:kinsoku w:val="0"/>
        <w:overflowPunct w:val="0"/>
        <w:spacing w:before="79" w:beforeLines="0" w:after="42" w:afterLines="0"/>
        <w:rPr>
          <w:rFonts w:hint="eastAsia" w:ascii="楷体" w:hAnsi="楷体" w:eastAsia="楷体"/>
          <w:b/>
          <w:color w:val="auto"/>
          <w:sz w:val="21"/>
        </w:rPr>
      </w:pPr>
    </w:p>
    <w:p>
      <w:pPr>
        <w:pStyle w:val="2"/>
        <w:ind w:left="0" w:leftChars="0" w:firstLine="0" w:firstLineChars="0"/>
        <w:rPr>
          <w:rFonts w:hint="eastAsia" w:ascii="楷体" w:hAnsi="楷体" w:eastAsia="楷体"/>
          <w:b/>
          <w:color w:val="auto"/>
          <w:sz w:val="21"/>
        </w:rPr>
      </w:pPr>
    </w:p>
    <w:p>
      <w:pPr>
        <w:pStyle w:val="22"/>
        <w:kinsoku w:val="0"/>
        <w:overflowPunct w:val="0"/>
        <w:spacing w:before="178" w:beforeLines="0" w:after="31" w:afterLines="0"/>
        <w:ind w:left="3185"/>
        <w:rPr>
          <w:rFonts w:hint="eastAsia" w:ascii="楷体" w:hAnsi="楷体" w:eastAsia="楷体"/>
          <w:b/>
          <w:color w:val="auto"/>
          <w:sz w:val="24"/>
        </w:rPr>
      </w:pPr>
      <w:r>
        <w:rPr>
          <w:rFonts w:hint="eastAsia" w:ascii="楷体" w:hAnsi="楷体" w:eastAsia="楷体"/>
          <w:b/>
          <w:color w:val="auto"/>
          <w:spacing w:val="-30"/>
          <w:sz w:val="24"/>
        </w:rPr>
        <w:t xml:space="preserve">表 </w:t>
      </w:r>
      <w:r>
        <w:rPr>
          <w:rFonts w:hint="eastAsia" w:ascii="楷体" w:hAnsi="楷体" w:eastAsia="楷体" w:cs="Times New Roman"/>
          <w:b/>
          <w:color w:val="auto"/>
          <w:spacing w:val="-52"/>
          <w:sz w:val="21"/>
          <w:lang w:val="en-US" w:eastAsia="zh-CN"/>
        </w:rPr>
        <w:t>1.</w:t>
      </w:r>
      <w:r>
        <w:rPr>
          <w:rFonts w:hint="eastAsia" w:ascii="楷体" w:hAnsi="楷体" w:eastAsia="楷体" w:cs="Times New Roman"/>
          <w:b/>
          <w:color w:val="auto"/>
          <w:spacing w:val="-52"/>
          <w:sz w:val="21"/>
        </w:rPr>
        <w:t xml:space="preserve"> </w:t>
      </w:r>
      <w:r>
        <w:rPr>
          <w:rFonts w:hint="default" w:ascii="楷体" w:hAnsi="楷体" w:eastAsia="楷体" w:cs="Times New Roman"/>
          <w:b/>
          <w:color w:val="auto"/>
          <w:spacing w:val="-52"/>
          <w:sz w:val="21"/>
        </w:rPr>
        <w:t>5</w:t>
      </w:r>
      <w:r>
        <w:rPr>
          <w:rFonts w:hint="default" w:ascii="Times New Roman" w:hAnsi="Times New Roman" w:eastAsia="Times New Roman"/>
          <w:b/>
          <w:color w:val="auto"/>
          <w:sz w:val="21"/>
        </w:rPr>
        <w:t>.</w:t>
      </w:r>
      <w:r>
        <w:rPr>
          <w:rFonts w:hint="default" w:ascii="Times New Roman" w:hAnsi="Times New Roman" w:eastAsia="Times New Roman"/>
          <w:b/>
          <w:color w:val="auto"/>
          <w:sz w:val="24"/>
        </w:rPr>
        <w:t>-</w:t>
      </w:r>
      <w:r>
        <w:rPr>
          <w:rFonts w:hint="eastAsia" w:eastAsia="宋体"/>
          <w:b/>
          <w:color w:val="auto"/>
          <w:sz w:val="24"/>
          <w:lang w:val="en-US" w:eastAsia="zh-CN"/>
        </w:rPr>
        <w:t>21</w:t>
      </w:r>
      <w:r>
        <w:rPr>
          <w:rFonts w:hint="default" w:ascii="Times New Roman" w:hAnsi="Times New Roman" w:eastAsia="Times New Roman"/>
          <w:b/>
          <w:color w:val="auto"/>
          <w:spacing w:val="58"/>
          <w:sz w:val="24"/>
        </w:rPr>
        <w:t xml:space="preserve"> </w:t>
      </w:r>
      <w:r>
        <w:rPr>
          <w:rFonts w:hint="eastAsia" w:ascii="楷体" w:hAnsi="楷体" w:eastAsia="楷体"/>
          <w:b/>
          <w:color w:val="auto"/>
          <w:sz w:val="24"/>
        </w:rPr>
        <w:t>本项目环境风险潜势划分</w:t>
      </w:r>
    </w:p>
    <w:tbl>
      <w:tblPr>
        <w:tblStyle w:val="45"/>
        <w:tblW w:w="8949" w:type="dxa"/>
        <w:tblInd w:w="39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269"/>
        <w:gridCol w:w="1668"/>
        <w:gridCol w:w="1671"/>
        <w:gridCol w:w="1671"/>
        <w:gridCol w:w="16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21" w:hRule="atLeast"/>
        </w:trPr>
        <w:tc>
          <w:tcPr>
            <w:tcW w:w="2269" w:type="dxa"/>
            <w:vMerge w:val="restart"/>
            <w:tcBorders>
              <w:top w:val="single" w:color="000000" w:sz="12"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9" w:beforeLines="0" w:afterLines="0"/>
              <w:jc w:val="left"/>
              <w:rPr>
                <w:rFonts w:hint="eastAsia" w:ascii="楷体" w:hAnsi="楷体" w:eastAsia="楷体"/>
                <w:b/>
                <w:color w:val="auto"/>
                <w:sz w:val="16"/>
                <w:highlight w:val="none"/>
                <w:shd w:val="clear" w:color="auto" w:fill="auto"/>
              </w:rPr>
            </w:pPr>
          </w:p>
          <w:p>
            <w:pPr>
              <w:pStyle w:val="247"/>
              <w:kinsoku w:val="0"/>
              <w:overflowPunct w:val="0"/>
              <w:spacing w:beforeLines="0" w:afterLines="0"/>
              <w:ind w:left="228"/>
              <w:jc w:val="left"/>
              <w:rPr>
                <w:rFonts w:hint="eastAsia"/>
                <w:color w:val="auto"/>
                <w:sz w:val="21"/>
                <w:highlight w:val="none"/>
                <w:shd w:val="clear" w:color="auto" w:fill="auto"/>
              </w:rPr>
            </w:pPr>
            <w:r>
              <w:rPr>
                <w:rFonts w:hint="eastAsia"/>
                <w:color w:val="auto"/>
                <w:sz w:val="21"/>
                <w:highlight w:val="none"/>
                <w:shd w:val="clear" w:color="auto" w:fill="auto"/>
              </w:rPr>
              <w:t>环境敏感程度（</w:t>
            </w:r>
            <w:r>
              <w:rPr>
                <w:rFonts w:hint="default" w:ascii="Times New Roman" w:hAnsi="Times New Roman" w:eastAsia="Times New Roman"/>
                <w:color w:val="auto"/>
                <w:sz w:val="21"/>
                <w:highlight w:val="none"/>
                <w:shd w:val="clear" w:color="auto" w:fill="auto"/>
              </w:rPr>
              <w:t>E</w:t>
            </w:r>
            <w:r>
              <w:rPr>
                <w:rFonts w:hint="eastAsia"/>
                <w:color w:val="auto"/>
                <w:sz w:val="21"/>
                <w:highlight w:val="none"/>
                <w:shd w:val="clear" w:color="auto" w:fill="auto"/>
              </w:rPr>
              <w:t>）</w:t>
            </w:r>
          </w:p>
        </w:tc>
        <w:tc>
          <w:tcPr>
            <w:tcW w:w="6680" w:type="dxa"/>
            <w:gridSpan w:val="4"/>
            <w:tcBorders>
              <w:top w:val="single" w:color="000000" w:sz="12" w:space="0"/>
              <w:left w:val="single" w:color="000000" w:sz="4" w:space="0"/>
              <w:bottom w:val="single" w:color="000000" w:sz="4" w:space="0"/>
              <w:right w:val="nil"/>
              <w:tl2br w:val="nil"/>
              <w:tr2bl w:val="nil"/>
            </w:tcBorders>
            <w:shd w:val="clear" w:color="auto" w:fill="auto"/>
            <w:vAlign w:val="top"/>
          </w:tcPr>
          <w:p>
            <w:pPr>
              <w:pStyle w:val="247"/>
              <w:kinsoku w:val="0"/>
              <w:overflowPunct w:val="0"/>
              <w:spacing w:before="49" w:beforeLines="0" w:afterLines="0" w:line="252" w:lineRule="exact"/>
              <w:ind w:left="1804"/>
              <w:jc w:val="left"/>
              <w:rPr>
                <w:rFonts w:hint="eastAsia"/>
                <w:color w:val="auto"/>
                <w:sz w:val="21"/>
                <w:highlight w:val="none"/>
                <w:shd w:val="clear" w:color="auto" w:fill="auto"/>
              </w:rPr>
            </w:pPr>
            <w:r>
              <w:rPr>
                <w:rFonts w:hint="eastAsia"/>
                <w:color w:val="auto"/>
                <w:sz w:val="21"/>
                <w:highlight w:val="none"/>
                <w:shd w:val="clear" w:color="auto" w:fill="auto"/>
              </w:rPr>
              <w:t>危险物质及工艺系统危险性（</w:t>
            </w:r>
            <w:r>
              <w:rPr>
                <w:rFonts w:hint="default" w:ascii="Times New Roman" w:hAnsi="Times New Roman" w:eastAsia="Times New Roman"/>
                <w:color w:val="auto"/>
                <w:sz w:val="21"/>
                <w:highlight w:val="none"/>
                <w:shd w:val="clear" w:color="auto" w:fill="auto"/>
              </w:rPr>
              <w:t>P</w:t>
            </w:r>
            <w:r>
              <w:rPr>
                <w:rFonts w:hint="eastAsia"/>
                <w:color w:val="auto"/>
                <w:sz w:val="21"/>
                <w:highlight w:val="none"/>
                <w:shd w:val="clear" w:color="auto" w:fill="auto"/>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1" w:hRule="atLeast"/>
        </w:trPr>
        <w:tc>
          <w:tcPr>
            <w:tcW w:w="2269" w:type="dxa"/>
            <w:vMerge w:val="continue"/>
            <w:tcBorders>
              <w:top w:val="nil"/>
              <w:left w:val="nil"/>
              <w:bottom w:val="single" w:color="000000" w:sz="4" w:space="0"/>
              <w:right w:val="single" w:color="000000" w:sz="4" w:space="0"/>
              <w:tl2br w:val="nil"/>
              <w:tr2bl w:val="nil"/>
            </w:tcBorders>
            <w:shd w:val="clear" w:color="auto" w:fill="auto"/>
            <w:vAlign w:val="top"/>
          </w:tcPr>
          <w:p>
            <w:pPr>
              <w:pStyle w:val="22"/>
              <w:kinsoku w:val="0"/>
              <w:overflowPunct w:val="0"/>
              <w:spacing w:before="178" w:beforeLines="0" w:after="31" w:afterLines="0"/>
              <w:ind w:left="3185"/>
              <w:rPr>
                <w:rFonts w:hint="eastAsia" w:ascii="楷体" w:hAnsi="楷体" w:eastAsia="楷体"/>
                <w:b/>
                <w:color w:val="auto"/>
                <w:sz w:val="2"/>
                <w:highlight w:val="none"/>
                <w:shd w:val="clear" w:color="auto" w:fill="auto"/>
              </w:rPr>
            </w:pPr>
          </w:p>
        </w:tc>
        <w:tc>
          <w:tcPr>
            <w:tcW w:w="1668"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5" w:lineRule="exact"/>
              <w:ind w:right="53"/>
              <w:jc w:val="both"/>
              <w:rPr>
                <w:rFonts w:hint="eastAsia"/>
                <w:color w:val="auto"/>
                <w:sz w:val="21"/>
                <w:highlight w:val="none"/>
                <w:shd w:val="clear" w:color="auto" w:fill="auto"/>
              </w:rPr>
            </w:pPr>
            <w:r>
              <w:rPr>
                <w:rFonts w:hint="eastAsia"/>
                <w:color w:val="auto"/>
                <w:sz w:val="21"/>
                <w:highlight w:val="none"/>
                <w:shd w:val="clear" w:color="auto" w:fill="auto"/>
              </w:rPr>
              <w:t>极高危害（</w:t>
            </w:r>
            <w:r>
              <w:rPr>
                <w:rFonts w:hint="default" w:ascii="Times New Roman" w:hAnsi="Times New Roman" w:eastAsia="Times New Roman"/>
                <w:color w:val="auto"/>
                <w:sz w:val="21"/>
                <w:highlight w:val="none"/>
                <w:shd w:val="clear" w:color="auto" w:fill="auto"/>
              </w:rPr>
              <w:t>P1</w:t>
            </w:r>
            <w:r>
              <w:rPr>
                <w:rFonts w:hint="eastAsia"/>
                <w:color w:val="auto"/>
                <w:sz w:val="21"/>
                <w:highlight w:val="none"/>
                <w:shd w:val="clear" w:color="auto" w:fill="auto"/>
              </w:rPr>
              <w:t>）</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5" w:lineRule="exact"/>
              <w:ind w:right="53"/>
              <w:jc w:val="both"/>
              <w:rPr>
                <w:rFonts w:hint="eastAsia"/>
                <w:color w:val="auto"/>
                <w:sz w:val="21"/>
                <w:highlight w:val="none"/>
                <w:shd w:val="clear" w:color="auto" w:fill="auto"/>
              </w:rPr>
            </w:pPr>
            <w:r>
              <w:rPr>
                <w:rFonts w:hint="eastAsia"/>
                <w:color w:val="auto"/>
                <w:sz w:val="21"/>
                <w:highlight w:val="none"/>
                <w:shd w:val="clear" w:color="auto" w:fill="auto"/>
              </w:rPr>
              <w:t>高度危害（</w:t>
            </w:r>
            <w:r>
              <w:rPr>
                <w:rFonts w:hint="default" w:ascii="Times New Roman" w:hAnsi="Times New Roman" w:eastAsia="Times New Roman"/>
                <w:color w:val="auto"/>
                <w:sz w:val="21"/>
                <w:highlight w:val="none"/>
                <w:shd w:val="clear" w:color="auto" w:fill="auto"/>
              </w:rPr>
              <w:t>P2</w:t>
            </w:r>
            <w:r>
              <w:rPr>
                <w:rFonts w:hint="eastAsia"/>
                <w:color w:val="auto"/>
                <w:sz w:val="21"/>
                <w:highlight w:val="none"/>
                <w:shd w:val="clear" w:color="auto" w:fill="auto"/>
              </w:rPr>
              <w:t>）</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5" w:lineRule="exact"/>
              <w:ind w:right="54"/>
              <w:jc w:val="both"/>
              <w:rPr>
                <w:rFonts w:hint="eastAsia"/>
                <w:color w:val="auto"/>
                <w:sz w:val="21"/>
                <w:highlight w:val="none"/>
                <w:shd w:val="clear" w:color="auto" w:fill="auto"/>
              </w:rPr>
            </w:pPr>
            <w:r>
              <w:rPr>
                <w:rFonts w:hint="eastAsia"/>
                <w:color w:val="auto"/>
                <w:sz w:val="21"/>
                <w:highlight w:val="none"/>
                <w:shd w:val="clear" w:color="auto" w:fill="auto"/>
              </w:rPr>
              <w:t>中度危害（</w:t>
            </w:r>
            <w:r>
              <w:rPr>
                <w:rFonts w:hint="default" w:ascii="Times New Roman" w:hAnsi="Times New Roman" w:eastAsia="Times New Roman"/>
                <w:color w:val="auto"/>
                <w:sz w:val="21"/>
                <w:highlight w:val="none"/>
                <w:shd w:val="clear" w:color="auto" w:fill="auto"/>
              </w:rPr>
              <w:t>P3</w:t>
            </w:r>
            <w:r>
              <w:rPr>
                <w:rFonts w:hint="eastAsia"/>
                <w:color w:val="auto"/>
                <w:sz w:val="21"/>
                <w:highlight w:val="none"/>
                <w:shd w:val="clear" w:color="auto" w:fill="auto"/>
              </w:rPr>
              <w:t>）</w:t>
            </w:r>
          </w:p>
        </w:tc>
        <w:tc>
          <w:tcPr>
            <w:tcW w:w="1670" w:type="dxa"/>
            <w:tcBorders>
              <w:top w:val="single" w:color="000000" w:sz="4" w:space="0"/>
              <w:left w:val="single" w:color="000000" w:sz="4" w:space="0"/>
              <w:bottom w:val="single" w:color="000000" w:sz="4" w:space="0"/>
              <w:right w:val="nil"/>
              <w:tl2br w:val="nil"/>
              <w:tr2bl w:val="nil"/>
            </w:tcBorders>
            <w:shd w:val="clear" w:color="auto" w:fill="auto"/>
            <w:vAlign w:val="top"/>
          </w:tcPr>
          <w:p>
            <w:pPr>
              <w:pStyle w:val="247"/>
              <w:kinsoku w:val="0"/>
              <w:overflowPunct w:val="0"/>
              <w:spacing w:before="46" w:beforeLines="0" w:afterLines="0" w:line="255" w:lineRule="exact"/>
              <w:ind w:right="61"/>
              <w:jc w:val="both"/>
              <w:rPr>
                <w:rFonts w:hint="eastAsia"/>
                <w:color w:val="auto"/>
                <w:sz w:val="21"/>
                <w:highlight w:val="none"/>
                <w:shd w:val="clear" w:color="auto" w:fill="auto"/>
              </w:rPr>
            </w:pPr>
            <w:r>
              <w:rPr>
                <w:rFonts w:hint="eastAsia"/>
                <w:color w:val="auto"/>
                <w:sz w:val="21"/>
                <w:highlight w:val="none"/>
                <w:shd w:val="clear" w:color="auto" w:fill="auto"/>
              </w:rPr>
              <w:t>轻度危害（</w:t>
            </w:r>
            <w:r>
              <w:rPr>
                <w:rFonts w:hint="default" w:ascii="Times New Roman" w:hAnsi="Times New Roman" w:eastAsia="Times New Roman"/>
                <w:color w:val="auto"/>
                <w:sz w:val="21"/>
                <w:highlight w:val="none"/>
                <w:shd w:val="clear" w:color="auto" w:fill="auto"/>
              </w:rPr>
              <w:t>P</w:t>
            </w:r>
            <w:r>
              <w:rPr>
                <w:rFonts w:hint="eastAsia" w:eastAsia="宋体"/>
                <w:color w:val="auto"/>
                <w:sz w:val="21"/>
                <w:highlight w:val="none"/>
                <w:shd w:val="clear" w:color="auto" w:fill="auto"/>
                <w:lang w:val="en-US" w:eastAsia="zh-CN"/>
              </w:rPr>
              <w:t>4</w:t>
            </w:r>
            <w:r>
              <w:rPr>
                <w:rFonts w:hint="eastAsia"/>
                <w:color w:val="auto"/>
                <w:sz w:val="21"/>
                <w:highlight w:val="none"/>
                <w:shd w:val="clear" w:color="auto" w:fill="auto"/>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2269" w:type="dxa"/>
            <w:tcBorders>
              <w:top w:val="single" w:color="000000" w:sz="4"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2" w:lineRule="exact"/>
              <w:ind w:right="152"/>
              <w:jc w:val="both"/>
              <w:rPr>
                <w:rFonts w:hint="eastAsia"/>
                <w:color w:val="auto"/>
                <w:sz w:val="21"/>
                <w:highlight w:val="none"/>
                <w:shd w:val="clear" w:color="auto" w:fill="auto"/>
              </w:rPr>
            </w:pPr>
            <w:r>
              <w:rPr>
                <w:rFonts w:hint="eastAsia"/>
                <w:color w:val="auto"/>
                <w:sz w:val="21"/>
                <w:highlight w:val="none"/>
                <w:shd w:val="clear" w:color="auto" w:fill="auto"/>
              </w:rPr>
              <w:t>环境敏感程度（</w:t>
            </w:r>
            <w:r>
              <w:rPr>
                <w:rFonts w:hint="default" w:ascii="Times New Roman" w:hAnsi="Times New Roman" w:eastAsia="Times New Roman"/>
                <w:color w:val="auto"/>
                <w:sz w:val="21"/>
                <w:highlight w:val="none"/>
                <w:shd w:val="clear" w:color="auto" w:fill="auto"/>
              </w:rPr>
              <w:t>E1</w:t>
            </w:r>
            <w:r>
              <w:rPr>
                <w:rFonts w:hint="eastAsia"/>
                <w:color w:val="auto"/>
                <w:sz w:val="21"/>
                <w:highlight w:val="none"/>
                <w:shd w:val="clear" w:color="auto" w:fill="auto"/>
              </w:rPr>
              <w:t>）</w:t>
            </w:r>
          </w:p>
        </w:tc>
        <w:tc>
          <w:tcPr>
            <w:tcW w:w="1668"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56" w:beforeLines="0" w:afterLines="0" w:line="160" w:lineRule="auto"/>
              <w:ind w:left="53" w:right="53"/>
              <w:rPr>
                <w:rFonts w:hint="default" w:ascii="Times New Roman" w:hAnsi="Times New Roman" w:eastAsia="Times New Roman"/>
                <w:color w:val="auto"/>
                <w:w w:val="120"/>
                <w:sz w:val="14"/>
                <w:highlight w:val="none"/>
                <w:shd w:val="clear" w:color="auto" w:fill="auto"/>
              </w:rPr>
            </w:pPr>
            <w:r>
              <w:rPr>
                <w:rFonts w:hint="default" w:ascii="Times New Roman" w:hAnsi="Times New Roman" w:eastAsia="Times New Roman"/>
                <w:color w:val="auto"/>
                <w:w w:val="120"/>
                <w:position w:val="-10"/>
                <w:sz w:val="21"/>
                <w:highlight w:val="none"/>
                <w:shd w:val="clear" w:color="auto" w:fill="auto"/>
              </w:rPr>
              <w:t>Ⅳ</w:t>
            </w:r>
            <w:r>
              <w:rPr>
                <w:rFonts w:hint="default" w:ascii="Times New Roman" w:hAnsi="Times New Roman" w:eastAsia="Times New Roman"/>
                <w:color w:val="auto"/>
                <w:w w:val="120"/>
                <w:sz w:val="14"/>
                <w:highlight w:val="none"/>
                <w:shd w:val="clear" w:color="auto" w:fill="auto"/>
              </w:rPr>
              <w:t>+</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rPr>
                <w:rFonts w:hint="default" w:ascii="Times New Roman" w:hAnsi="Times New Roman" w:eastAsia="Times New Roman"/>
                <w:color w:val="auto"/>
                <w:w w:val="135"/>
                <w:sz w:val="21"/>
                <w:highlight w:val="none"/>
                <w:shd w:val="clear" w:color="auto" w:fill="auto"/>
              </w:rPr>
            </w:pPr>
            <w:r>
              <w:rPr>
                <w:rFonts w:hint="default" w:ascii="Times New Roman" w:hAnsi="Times New Roman" w:eastAsia="Times New Roman"/>
                <w:color w:val="auto"/>
                <w:w w:val="135"/>
                <w:sz w:val="21"/>
                <w:highlight w:val="none"/>
                <w:shd w:val="clear" w:color="auto" w:fill="auto"/>
              </w:rPr>
              <w:t>Ⅳ</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ind w:right="3"/>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c>
          <w:tcPr>
            <w:tcW w:w="1670" w:type="dxa"/>
            <w:tcBorders>
              <w:top w:val="single" w:color="000000" w:sz="4" w:space="0"/>
              <w:left w:val="single" w:color="000000" w:sz="4" w:space="0"/>
              <w:bottom w:val="single" w:color="000000" w:sz="4" w:space="0"/>
              <w:right w:val="nil"/>
              <w:tl2br w:val="nil"/>
              <w:tr2bl w:val="nil"/>
            </w:tcBorders>
            <w:shd w:val="clear" w:color="auto" w:fill="auto"/>
            <w:vAlign w:val="top"/>
          </w:tcPr>
          <w:p>
            <w:pPr>
              <w:pStyle w:val="247"/>
              <w:kinsoku w:val="0"/>
              <w:overflowPunct w:val="0"/>
              <w:spacing w:before="60" w:beforeLines="0" w:afterLines="0" w:line="238" w:lineRule="exact"/>
              <w:ind w:right="7"/>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3" w:hRule="atLeast"/>
        </w:trPr>
        <w:tc>
          <w:tcPr>
            <w:tcW w:w="2269" w:type="dxa"/>
            <w:tcBorders>
              <w:top w:val="single" w:color="000000" w:sz="4"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5" w:lineRule="exact"/>
              <w:ind w:right="152"/>
              <w:jc w:val="both"/>
              <w:rPr>
                <w:rFonts w:hint="eastAsia"/>
                <w:color w:val="auto"/>
                <w:sz w:val="21"/>
                <w:highlight w:val="none"/>
                <w:shd w:val="clear" w:color="auto" w:fill="auto"/>
              </w:rPr>
            </w:pPr>
            <w:r>
              <w:rPr>
                <w:rFonts w:hint="eastAsia"/>
                <w:color w:val="auto"/>
                <w:sz w:val="21"/>
                <w:highlight w:val="none"/>
                <w:shd w:val="clear" w:color="auto" w:fill="auto"/>
              </w:rPr>
              <w:t>环境敏感程度（</w:t>
            </w:r>
            <w:r>
              <w:rPr>
                <w:rFonts w:hint="default" w:ascii="Times New Roman" w:hAnsi="Times New Roman" w:eastAsia="Times New Roman"/>
                <w:color w:val="auto"/>
                <w:sz w:val="21"/>
                <w:highlight w:val="none"/>
                <w:shd w:val="clear" w:color="auto" w:fill="auto"/>
              </w:rPr>
              <w:t>E2</w:t>
            </w:r>
            <w:r>
              <w:rPr>
                <w:rFonts w:hint="eastAsia"/>
                <w:color w:val="auto"/>
                <w:sz w:val="21"/>
                <w:highlight w:val="none"/>
                <w:shd w:val="clear" w:color="auto" w:fill="auto"/>
              </w:rPr>
              <w:t>）</w:t>
            </w:r>
          </w:p>
        </w:tc>
        <w:tc>
          <w:tcPr>
            <w:tcW w:w="1668"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41" w:lineRule="exact"/>
              <w:rPr>
                <w:rFonts w:hint="default" w:ascii="Times New Roman" w:hAnsi="Times New Roman" w:eastAsia="Times New Roman"/>
                <w:color w:val="auto"/>
                <w:w w:val="135"/>
                <w:sz w:val="21"/>
                <w:highlight w:val="none"/>
                <w:shd w:val="clear" w:color="auto" w:fill="auto"/>
              </w:rPr>
            </w:pPr>
            <w:r>
              <w:rPr>
                <w:rFonts w:hint="default" w:ascii="Times New Roman" w:hAnsi="Times New Roman" w:eastAsia="Times New Roman"/>
                <w:color w:val="auto"/>
                <w:w w:val="135"/>
                <w:sz w:val="21"/>
                <w:highlight w:val="none"/>
                <w:shd w:val="clear" w:color="auto" w:fill="auto"/>
              </w:rPr>
              <w:t>Ⅳ</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41" w:lineRule="exact"/>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41" w:lineRule="exact"/>
              <w:ind w:right="3"/>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c>
          <w:tcPr>
            <w:tcW w:w="1670" w:type="dxa"/>
            <w:tcBorders>
              <w:top w:val="single" w:color="000000" w:sz="4" w:space="0"/>
              <w:left w:val="single" w:color="000000" w:sz="4" w:space="0"/>
              <w:bottom w:val="single" w:color="000000" w:sz="4" w:space="0"/>
              <w:right w:val="nil"/>
              <w:tl2br w:val="nil"/>
              <w:tr2bl w:val="nil"/>
            </w:tcBorders>
            <w:shd w:val="clear" w:color="auto" w:fill="auto"/>
            <w:vAlign w:val="top"/>
          </w:tcPr>
          <w:p>
            <w:pPr>
              <w:pStyle w:val="247"/>
              <w:kinsoku w:val="0"/>
              <w:overflowPunct w:val="0"/>
              <w:spacing w:before="60" w:beforeLines="0" w:afterLines="0" w:line="241" w:lineRule="exact"/>
              <w:ind w:right="11"/>
              <w:rPr>
                <w:rFonts w:hint="default" w:ascii="Times New Roman" w:hAnsi="Times New Roman" w:eastAsia="Times New Roman"/>
                <w:color w:val="auto"/>
                <w:w w:val="83"/>
                <w:sz w:val="21"/>
                <w:highlight w:val="none"/>
                <w:shd w:val="clear" w:color="auto" w:fill="auto"/>
              </w:rPr>
            </w:pPr>
            <w:r>
              <w:rPr>
                <w:rFonts w:hint="default" w:ascii="Times New Roman" w:hAnsi="Times New Roman" w:eastAsia="Times New Roman"/>
                <w:color w:val="auto"/>
                <w:w w:val="83"/>
                <w:sz w:val="21"/>
                <w:highlight w:val="none"/>
                <w:shd w:val="clear" w:color="auto" w:fill="auto"/>
              </w:rPr>
              <w:t>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2269" w:type="dxa"/>
            <w:tcBorders>
              <w:top w:val="single" w:color="000000" w:sz="4" w:space="0"/>
              <w:left w:val="nil"/>
              <w:bottom w:val="single" w:color="000000" w:sz="4" w:space="0"/>
              <w:right w:val="single" w:color="000000" w:sz="4" w:space="0"/>
              <w:tl2br w:val="nil"/>
              <w:tr2bl w:val="nil"/>
            </w:tcBorders>
            <w:shd w:val="clear" w:color="auto" w:fill="auto"/>
            <w:vAlign w:val="top"/>
          </w:tcPr>
          <w:p>
            <w:pPr>
              <w:pStyle w:val="247"/>
              <w:kinsoku w:val="0"/>
              <w:overflowPunct w:val="0"/>
              <w:spacing w:before="46" w:beforeLines="0" w:afterLines="0" w:line="252" w:lineRule="exact"/>
              <w:ind w:right="152"/>
              <w:jc w:val="both"/>
              <w:rPr>
                <w:rFonts w:hint="eastAsia"/>
                <w:color w:val="auto"/>
                <w:sz w:val="21"/>
                <w:highlight w:val="none"/>
                <w:shd w:val="clear" w:color="auto" w:fill="auto"/>
              </w:rPr>
            </w:pPr>
            <w:r>
              <w:rPr>
                <w:rFonts w:hint="eastAsia"/>
                <w:color w:val="auto"/>
                <w:sz w:val="21"/>
                <w:highlight w:val="none"/>
                <w:shd w:val="clear" w:color="auto" w:fill="auto"/>
              </w:rPr>
              <w:t>环境敏感程度（</w:t>
            </w:r>
            <w:r>
              <w:rPr>
                <w:rFonts w:hint="default" w:ascii="Times New Roman" w:hAnsi="Times New Roman" w:eastAsia="Times New Roman"/>
                <w:color w:val="auto"/>
                <w:sz w:val="21"/>
                <w:highlight w:val="none"/>
                <w:shd w:val="clear" w:color="auto" w:fill="auto"/>
              </w:rPr>
              <w:t>E3</w:t>
            </w:r>
            <w:r>
              <w:rPr>
                <w:rFonts w:hint="eastAsia"/>
                <w:color w:val="auto"/>
                <w:sz w:val="21"/>
                <w:highlight w:val="none"/>
                <w:shd w:val="clear" w:color="auto" w:fill="auto"/>
              </w:rPr>
              <w:t>）</w:t>
            </w:r>
          </w:p>
        </w:tc>
        <w:tc>
          <w:tcPr>
            <w:tcW w:w="1668"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rPr>
                <w:rFonts w:hint="default" w:ascii="Times New Roman" w:hAnsi="Times New Roman" w:eastAsia="Times New Roman"/>
                <w:color w:val="auto"/>
                <w:w w:val="124"/>
                <w:sz w:val="21"/>
                <w:highlight w:val="none"/>
                <w:shd w:val="clear" w:color="auto" w:fill="auto"/>
              </w:rPr>
            </w:pPr>
            <w:r>
              <w:rPr>
                <w:rFonts w:hint="default" w:ascii="Times New Roman" w:hAnsi="Times New Roman" w:eastAsia="Times New Roman"/>
                <w:color w:val="auto"/>
                <w:w w:val="124"/>
                <w:sz w:val="21"/>
                <w:highlight w:val="none"/>
                <w:shd w:val="clear" w:color="auto" w:fill="auto"/>
              </w:rPr>
              <w:t>Ⅲ</w:t>
            </w:r>
          </w:p>
        </w:tc>
        <w:tc>
          <w:tcPr>
            <w:tcW w:w="1671" w:type="dxa"/>
            <w:tcBorders>
              <w:top w:val="single" w:color="000000" w:sz="4" w:space="0"/>
              <w:left w:val="single" w:color="000000" w:sz="4" w:space="0"/>
              <w:bottom w:val="single" w:color="000000" w:sz="4" w:space="0"/>
              <w:right w:val="single" w:color="000000" w:sz="4" w:space="0"/>
              <w:tl2br w:val="nil"/>
              <w:tr2bl w:val="nil"/>
            </w:tcBorders>
            <w:shd w:val="clear" w:color="auto" w:fill="auto"/>
            <w:vAlign w:val="top"/>
          </w:tcPr>
          <w:p>
            <w:pPr>
              <w:pStyle w:val="247"/>
              <w:kinsoku w:val="0"/>
              <w:overflowPunct w:val="0"/>
              <w:spacing w:before="60" w:beforeLines="0" w:afterLines="0" w:line="238" w:lineRule="exact"/>
              <w:ind w:right="2"/>
              <w:rPr>
                <w:rFonts w:hint="default" w:ascii="Times New Roman" w:hAnsi="Times New Roman" w:eastAsia="Times New Roman"/>
                <w:color w:val="auto"/>
                <w:w w:val="83"/>
                <w:sz w:val="21"/>
                <w:highlight w:val="none"/>
                <w:shd w:val="clear" w:color="auto" w:fill="auto"/>
              </w:rPr>
            </w:pPr>
            <w:r>
              <w:rPr>
                <w:rFonts w:hint="default" w:ascii="Times New Roman" w:hAnsi="Times New Roman" w:eastAsia="Times New Roman"/>
                <w:color w:val="auto"/>
                <w:w w:val="83"/>
                <w:sz w:val="21"/>
                <w:highlight w:val="none"/>
                <w:shd w:val="clear" w:color="auto" w:fill="auto"/>
              </w:rPr>
              <w:t>Ⅱ</w:t>
            </w:r>
          </w:p>
        </w:tc>
        <w:tc>
          <w:tcPr>
            <w:tcW w:w="1670" w:type="dxa"/>
            <w:tcBorders>
              <w:top w:val="single" w:color="000000" w:sz="4" w:space="0"/>
              <w:left w:val="single" w:color="000000" w:sz="4" w:space="0"/>
              <w:bottom w:val="single" w:color="000000" w:sz="4" w:space="0"/>
              <w:right w:val="nil"/>
              <w:tl2br w:val="nil"/>
              <w:tr2bl w:val="nil"/>
            </w:tcBorders>
            <w:shd w:val="clear" w:color="auto" w:fill="auto"/>
            <w:vAlign w:val="top"/>
          </w:tcPr>
          <w:p>
            <w:pPr>
              <w:pStyle w:val="247"/>
              <w:kinsoku w:val="0"/>
              <w:overflowPunct w:val="0"/>
              <w:spacing w:before="60" w:beforeLines="0" w:afterLines="0" w:line="238" w:lineRule="exact"/>
              <w:ind w:right="10"/>
              <w:rPr>
                <w:rFonts w:hint="default" w:ascii="Times New Roman" w:hAnsi="Times New Roman" w:eastAsia="Times New Roman"/>
                <w:color w:val="auto"/>
                <w:w w:val="43"/>
                <w:sz w:val="21"/>
                <w:highlight w:val="none"/>
                <w:shd w:val="clear" w:color="auto" w:fill="auto"/>
              </w:rPr>
            </w:pPr>
            <w:r>
              <w:rPr>
                <w:rFonts w:hint="default" w:ascii="Times New Roman" w:hAnsi="Times New Roman" w:eastAsia="Times New Roman"/>
                <w:color w:val="auto"/>
                <w:w w:val="43"/>
                <w:sz w:val="21"/>
                <w:highlight w:val="none"/>
                <w:shd w:val="clear" w:color="auto" w:fill="auto"/>
              </w:rPr>
              <w:t>Ⅰ</w:t>
            </w:r>
          </w:p>
        </w:tc>
      </w:tr>
    </w:tbl>
    <w:p>
      <w:pPr>
        <w:pStyle w:val="22"/>
        <w:kinsoku w:val="0"/>
        <w:overflowPunct w:val="0"/>
        <w:spacing w:before="47" w:beforeLines="0" w:after="5" w:afterLines="0"/>
        <w:ind w:left="389"/>
        <w:rPr>
          <w:rFonts w:hint="eastAsia" w:ascii="宋体" w:hAnsi="宋体" w:eastAsia="宋体"/>
          <w:color w:val="auto"/>
          <w:sz w:val="21"/>
        </w:rPr>
      </w:pPr>
      <w:r>
        <w:rPr>
          <w:rFonts w:hint="eastAsia" w:ascii="宋体" w:hAnsi="宋体" w:eastAsia="宋体"/>
          <w:color w:val="auto"/>
          <w:sz w:val="21"/>
        </w:rPr>
        <w:t>注：</w:t>
      </w:r>
      <w:r>
        <w:rPr>
          <w:rFonts w:hint="default" w:ascii="Times New Roman" w:hAnsi="Times New Roman" w:eastAsia="Times New Roman"/>
          <w:color w:val="auto"/>
          <w:sz w:val="21"/>
        </w:rPr>
        <w:t>Ⅳ+</w:t>
      </w:r>
      <w:r>
        <w:rPr>
          <w:rFonts w:hint="eastAsia" w:ascii="宋体" w:hAnsi="宋体" w:eastAsia="宋体"/>
          <w:color w:val="auto"/>
          <w:sz w:val="21"/>
        </w:rPr>
        <w:t>为极高环境风险。</w:t>
      </w:r>
    </w:p>
    <w:p>
      <w:pPr>
        <w:pStyle w:val="22"/>
        <w:kinsoku w:val="0"/>
        <w:overflowPunct w:val="0"/>
        <w:spacing w:beforeLines="0" w:afterLines="0" w:line="30" w:lineRule="exact"/>
        <w:ind w:left="251"/>
        <w:rPr>
          <w:rFonts w:hint="eastAsia" w:ascii="宋体" w:hAnsi="宋体" w:eastAsia="宋体"/>
          <w:color w:val="auto"/>
          <w:position w:val="-1"/>
          <w:sz w:val="3"/>
        </w:rPr>
      </w:pPr>
      <w:r>
        <w:rPr>
          <w:rFonts w:hint="eastAsia" w:ascii="宋体" w:hAnsi="宋体" w:eastAsia="宋体"/>
          <w:color w:val="auto"/>
          <w:position w:val="-1"/>
          <w:sz w:val="3"/>
        </w:rPr>
        <mc:AlternateContent>
          <mc:Choice Requires="wpg">
            <w:drawing>
              <wp:inline distT="0" distB="0" distL="114300" distR="114300">
                <wp:extent cx="5691505" cy="18415"/>
                <wp:effectExtent l="0" t="0" r="0" b="0"/>
                <wp:docPr id="199" name="组合 199"/>
                <wp:cNvGraphicFramePr/>
                <a:graphic xmlns:a="http://schemas.openxmlformats.org/drawingml/2006/main">
                  <a:graphicData uri="http://schemas.microsoft.com/office/word/2010/wordprocessingGroup">
                    <wpg:wgp>
                      <wpg:cNvGrpSpPr/>
                      <wpg:grpSpPr>
                        <a:xfrm>
                          <a:off x="0" y="0"/>
                          <a:ext cx="5691505" cy="18415"/>
                          <a:chOff x="0" y="14"/>
                          <a:chExt cx="8963" cy="20"/>
                        </a:xfrm>
                      </wpg:grpSpPr>
                      <wps:wsp>
                        <wps:cNvPr id="430" name="任意多边形 430"/>
                        <wps:cNvSpPr/>
                        <wps:spPr>
                          <a:xfrm>
                            <a:off x="0" y="14"/>
                            <a:ext cx="8963" cy="20"/>
                          </a:xfrm>
                          <a:custGeom>
                            <a:avLst/>
                            <a:gdLst/>
                            <a:ahLst/>
                            <a:cxnLst/>
                            <a:pathLst>
                              <a:path w="8963" h="20">
                                <a:moveTo>
                                  <a:pt x="0" y="0"/>
                                </a:moveTo>
                                <a:lnTo>
                                  <a:pt x="8962" y="0"/>
                                </a:lnTo>
                              </a:path>
                            </a:pathLst>
                          </a:custGeom>
                          <a:noFill/>
                          <a:ln w="18287" cap="flat" cmpd="sng">
                            <a:solidFill>
                              <a:srgbClr val="000000"/>
                            </a:solidFill>
                            <a:prstDash val="solid"/>
                            <a:headEnd type="none" w="med" len="med"/>
                            <a:tailEnd type="none" w="med" len="med"/>
                          </a:ln>
                        </wps:spPr>
                        <wps:bodyPr upright="1"/>
                      </wps:wsp>
                    </wpg:wgp>
                  </a:graphicData>
                </a:graphic>
              </wp:inline>
            </w:drawing>
          </mc:Choice>
          <mc:Fallback>
            <w:pict>
              <v:group id="_x0000_s1026" o:spid="_x0000_s1026" o:spt="203" style="height:1.45pt;width:448.15pt;" coordorigin="0,14" coordsize="8963,20" o:gfxdata="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KlPYe1QAAAAMBAAAPAAAAAAAAAAEAIAAAACIA&#10;AABkcnMvZG93bnJldi54bWxQSwECFAAUAAAACACHTuJAsbRFX34CAABrBQAADgAAAAAAAAABACAA&#10;AAAkAQAAZHJzL2Uyb0RvYy54bWxQSwUGAAAAAAYABgBZAQAAFAYAAAAA&#10;">
                <o:lock v:ext="edit" aspectratio="f"/>
                <v:shape id="_x0000_s1026" o:spid="_x0000_s1026" o:spt="100" style="position:absolute;left:0;top:14;height:20;width:8963;" filled="f" stroked="t" coordsize="8963,20" o:gfxdata="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BXtaugAAANwA&#10;AAAPAAAAAAAAAAEAIAAAACIAAABkcnMvZG93bnJldi54bWxQSwECFAAUAAAACACHTuJAMy8FnjsA&#10;AAA5AAAAEAAAAAAAAAABACAAAAAJAQAAZHJzL3NoYXBleG1sLnhtbFBLBQYAAAAABgAGAFsBAACz&#10;AwAAAAA=&#10;" path="m0,0l8962,0e">
                  <v:fill on="f" focussize="0,0"/>
                  <v:stroke weight="1.43992125984252pt" color="#000000" joinstyle="round"/>
                  <v:imagedata o:title=""/>
                  <o:lock v:ext="edit" aspectratio="f"/>
                </v:shape>
                <w10:wrap type="none"/>
                <w10:anchorlock/>
              </v:group>
            </w:pict>
          </mc:Fallback>
        </mc:AlternateContent>
      </w:r>
    </w:p>
    <w:p>
      <w:pPr>
        <w:spacing w:line="360" w:lineRule="auto"/>
        <w:ind w:firstLine="482"/>
        <w:rPr>
          <w:rFonts w:hint="eastAsia" w:ascii="Times New Roman" w:hAnsi="Times New Roman"/>
          <w:color w:val="auto"/>
          <w:sz w:val="24"/>
          <w:szCs w:val="24"/>
        </w:rPr>
      </w:pPr>
    </w:p>
    <w:p>
      <w:pPr>
        <w:pStyle w:val="2"/>
        <w:ind w:left="0" w:leftChars="0" w:firstLine="0" w:firstLineChars="0"/>
        <w:rPr>
          <w:rFonts w:hint="eastAsia" w:ascii="楷体" w:hAnsi="楷体" w:eastAsia="楷体"/>
          <w:b/>
          <w:color w:val="auto"/>
          <w:sz w:val="21"/>
        </w:rPr>
      </w:pPr>
    </w:p>
    <w:p>
      <w:pPr>
        <w:spacing w:line="360" w:lineRule="auto"/>
        <w:ind w:firstLine="482"/>
        <w:rPr>
          <w:rFonts w:hint="eastAsia" w:ascii="Times New Roman" w:hAnsi="Times New Roman"/>
          <w:color w:val="auto"/>
          <w:sz w:val="24"/>
          <w:szCs w:val="24"/>
        </w:rPr>
      </w:pPr>
      <w:r>
        <w:rPr>
          <w:rFonts w:hint="eastAsia" w:ascii="Times New Roman" w:hAnsi="Times New Roman"/>
          <w:color w:val="auto"/>
          <w:sz w:val="24"/>
          <w:szCs w:val="24"/>
        </w:rPr>
        <w:t xml:space="preserve">根据以上分析，本项目环境敏感程度最高者为大气 </w:t>
      </w:r>
      <w:r>
        <w:rPr>
          <w:rFonts w:hint="default" w:ascii="Times New Roman" w:hAnsi="Times New Roman"/>
          <w:color w:val="auto"/>
          <w:sz w:val="24"/>
          <w:szCs w:val="24"/>
        </w:rPr>
        <w:t>E2</w:t>
      </w:r>
      <w:r>
        <w:rPr>
          <w:rFonts w:hint="eastAsia" w:ascii="Times New Roman" w:hAnsi="Times New Roman"/>
          <w:color w:val="auto"/>
          <w:sz w:val="24"/>
          <w:szCs w:val="24"/>
        </w:rPr>
        <w:t xml:space="preserve">，危险物质及工艺系统危险性分级为 </w:t>
      </w:r>
      <w:r>
        <w:rPr>
          <w:rFonts w:hint="default" w:ascii="Times New Roman" w:hAnsi="Times New Roman"/>
          <w:color w:val="auto"/>
          <w:sz w:val="24"/>
          <w:szCs w:val="24"/>
        </w:rPr>
        <w:t>P</w:t>
      </w:r>
      <w:r>
        <w:rPr>
          <w:rFonts w:hint="eastAsia" w:ascii="Times New Roman" w:hAnsi="Times New Roman"/>
          <w:color w:val="auto"/>
          <w:sz w:val="24"/>
          <w:szCs w:val="24"/>
          <w:lang w:val="en-US" w:eastAsia="zh-CN"/>
        </w:rPr>
        <w:t>4</w:t>
      </w:r>
      <w:r>
        <w:rPr>
          <w:rFonts w:hint="eastAsia" w:ascii="Times New Roman" w:hAnsi="Times New Roman"/>
          <w:color w:val="auto"/>
          <w:sz w:val="24"/>
          <w:szCs w:val="24"/>
        </w:rPr>
        <w:t xml:space="preserve">。因此，根据表 </w:t>
      </w:r>
      <w:r>
        <w:rPr>
          <w:rFonts w:hint="eastAsia" w:ascii="Times New Roman" w:hAnsi="Times New Roman"/>
          <w:color w:val="auto"/>
          <w:sz w:val="24"/>
          <w:szCs w:val="24"/>
          <w:lang w:val="en-US" w:eastAsia="zh-CN"/>
        </w:rPr>
        <w:t>1.5-21</w:t>
      </w:r>
      <w:r>
        <w:rPr>
          <w:rFonts w:hint="eastAsia" w:ascii="Times New Roman" w:hAnsi="Times New Roman"/>
          <w:color w:val="auto"/>
          <w:sz w:val="24"/>
          <w:szCs w:val="24"/>
        </w:rPr>
        <w:t>，本项目环境风险潜势为</w:t>
      </w:r>
      <w:r>
        <w:rPr>
          <w:rFonts w:hint="default" w:ascii="Times New Roman" w:hAnsi="Times New Roman"/>
          <w:color w:val="auto"/>
          <w:sz w:val="24"/>
          <w:szCs w:val="24"/>
        </w:rPr>
        <w:t>Ⅱ</w:t>
      </w:r>
      <w:r>
        <w:rPr>
          <w:rFonts w:hint="eastAsia" w:ascii="Times New Roman" w:hAnsi="Times New Roman"/>
          <w:color w:val="auto"/>
          <w:sz w:val="24"/>
          <w:szCs w:val="24"/>
        </w:rPr>
        <w:t>级。</w:t>
      </w:r>
    </w:p>
    <w:p>
      <w:pPr>
        <w:spacing w:line="360" w:lineRule="auto"/>
        <w:ind w:firstLine="482"/>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（5）评价等级及范围</w:t>
      </w:r>
    </w:p>
    <w:p>
      <w:pPr>
        <w:spacing w:line="360" w:lineRule="auto"/>
        <w:ind w:firstLine="482"/>
        <w:rPr>
          <w:rFonts w:hint="eastAsia" w:ascii="Times New Roman" w:hAnsi="Times New Roman"/>
          <w:color w:val="auto"/>
          <w:sz w:val="24"/>
          <w:szCs w:val="24"/>
          <w:lang w:val="en-US" w:eastAsia="zh-CN"/>
        </w:rPr>
      </w:pPr>
      <w:r>
        <w:rPr>
          <w:rFonts w:hint="eastAsia" w:ascii="Times New Roman" w:hAnsi="Times New Roman"/>
          <w:color w:val="auto"/>
          <w:sz w:val="24"/>
          <w:szCs w:val="24"/>
          <w:lang w:val="en-US" w:eastAsia="zh-CN"/>
        </w:rPr>
        <w:t>根据表1.5-22可知，本项目风险评价等级为三级，评价范围距建设项目边界不低于3公里，化学品输送管线距管道中心线两侧不小于100米。</w:t>
      </w:r>
    </w:p>
    <w:p>
      <w:pPr>
        <w:pStyle w:val="2"/>
        <w:ind w:left="0" w:leftChars="0" w:firstLine="0" w:firstLineChars="0"/>
        <w:rPr>
          <w:rFonts w:hint="eastAsia" w:ascii="Times New Roman" w:hAnsi="Times New Roman"/>
          <w:color w:val="auto"/>
          <w:sz w:val="24"/>
          <w:szCs w:val="24"/>
          <w:lang w:val="en-US" w:eastAsia="zh-CN"/>
        </w:rPr>
      </w:pPr>
    </w:p>
    <w:p>
      <w:pPr>
        <w:pStyle w:val="18"/>
        <w:spacing w:line="440" w:lineRule="exact"/>
        <w:rPr>
          <w:rFonts w:hint="default"/>
          <w:color w:val="auto"/>
          <w:lang w:val="en-US" w:eastAsia="zh-CN"/>
        </w:rPr>
      </w:pPr>
      <w:r>
        <w:rPr>
          <w:color w:val="auto"/>
        </w:rPr>
        <w:t xml:space="preserve">表 </w:t>
      </w:r>
      <w:r>
        <w:rPr>
          <w:rFonts w:hint="eastAsia"/>
          <w:color w:val="auto"/>
          <w:lang w:val="en-US" w:eastAsia="zh-CN"/>
        </w:rPr>
        <w:t>1.5-22</w:t>
      </w:r>
      <w:r>
        <w:rPr>
          <w:color w:val="auto"/>
        </w:rPr>
        <w:t xml:space="preserve">  </w:t>
      </w:r>
      <w:r>
        <w:rPr>
          <w:rFonts w:hint="eastAsia"/>
          <w:color w:val="auto"/>
          <w:lang w:eastAsia="zh-CN"/>
        </w:rPr>
        <w:t>风险</w:t>
      </w:r>
      <w:r>
        <w:rPr>
          <w:color w:val="auto"/>
        </w:rPr>
        <w:t>评价工作等级划分表</w:t>
      </w:r>
    </w:p>
    <w:tbl>
      <w:tblPr>
        <w:tblStyle w:val="46"/>
        <w:tblpPr w:leftFromText="180" w:rightFromText="180" w:vertAnchor="text" w:horzAnchor="page" w:tblpXSpec="center" w:tblpY="498"/>
        <w:tblOverlap w:val="never"/>
        <w:tblW w:w="81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624"/>
        <w:gridCol w:w="1624"/>
        <w:gridCol w:w="1624"/>
        <w:gridCol w:w="1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24" w:type="dxa"/>
          </w:tcPr>
          <w:p>
            <w:pPr>
              <w:jc w:val="both"/>
              <w:rPr>
                <w:rFonts w:hint="eastAsia" w:eastAsia="宋体"/>
                <w:b/>
                <w:bCs/>
                <w:color w:val="auto"/>
                <w:vertAlign w:val="baseline"/>
                <w:lang w:eastAsia="zh-CN"/>
              </w:rPr>
            </w:pPr>
            <w:r>
              <w:rPr>
                <w:rFonts w:hint="eastAsia"/>
                <w:b/>
                <w:bCs/>
                <w:color w:val="auto"/>
                <w:vertAlign w:val="baseline"/>
                <w:lang w:eastAsia="zh-CN"/>
              </w:rPr>
              <w:t>环境风险潜势</w:t>
            </w:r>
          </w:p>
        </w:tc>
        <w:tc>
          <w:tcPr>
            <w:tcW w:w="1624" w:type="dxa"/>
            <w:vAlign w:val="center"/>
          </w:tcPr>
          <w:p>
            <w:pPr>
              <w:jc w:val="center"/>
              <w:rPr>
                <w:rFonts w:hint="eastAsia" w:eastAsia="宋体"/>
                <w:b/>
                <w:bCs/>
                <w:color w:val="auto"/>
                <w:vertAlign w:val="baseline"/>
                <w:lang w:eastAsia="zh-CN"/>
              </w:rPr>
            </w:pPr>
            <w:r>
              <w:rPr>
                <w:rFonts w:hint="default" w:ascii="Times New Roman" w:hAnsi="Times New Roman" w:eastAsia="Times New Roman"/>
                <w:color w:val="auto"/>
                <w:w w:val="135"/>
                <w:sz w:val="21"/>
                <w:highlight w:val="none"/>
                <w:shd w:val="clear" w:color="auto" w:fill="auto"/>
              </w:rPr>
              <w:t>Ⅳ</w:t>
            </w:r>
            <w:r>
              <w:rPr>
                <w:rFonts w:hint="eastAsia" w:ascii="Times New Roman" w:hAnsi="Times New Roman" w:eastAsia="宋体"/>
                <w:color w:val="auto"/>
                <w:w w:val="135"/>
                <w:sz w:val="21"/>
                <w:highlight w:val="none"/>
                <w:shd w:val="clear" w:color="auto" w:fill="auto"/>
                <w:lang w:eastAsia="zh-CN"/>
              </w:rPr>
              <w:t>、</w:t>
            </w:r>
            <w:r>
              <w:rPr>
                <w:rFonts w:hint="default" w:ascii="Times New Roman" w:hAnsi="Times New Roman" w:eastAsia="Times New Roman"/>
                <w:color w:val="auto"/>
                <w:w w:val="120"/>
                <w:position w:val="-10"/>
                <w:sz w:val="21"/>
                <w:highlight w:val="none"/>
                <w:shd w:val="clear" w:color="auto" w:fill="auto"/>
              </w:rPr>
              <w:t>Ⅳ</w:t>
            </w:r>
            <w:r>
              <w:rPr>
                <w:rFonts w:hint="default" w:ascii="Times New Roman" w:hAnsi="Times New Roman" w:eastAsia="Times New Roman"/>
                <w:color w:val="auto"/>
                <w:w w:val="120"/>
                <w:sz w:val="14"/>
                <w:highlight w:val="none"/>
                <w:shd w:val="clear" w:color="auto" w:fill="auto"/>
              </w:rPr>
              <w:t>+</w:t>
            </w:r>
          </w:p>
        </w:tc>
        <w:tc>
          <w:tcPr>
            <w:tcW w:w="1624" w:type="dxa"/>
          </w:tcPr>
          <w:p>
            <w:pPr>
              <w:jc w:val="center"/>
              <w:rPr>
                <w:rFonts w:hint="eastAsia"/>
                <w:b/>
                <w:bCs/>
                <w:color w:val="auto"/>
                <w:vertAlign w:val="baseline"/>
              </w:rPr>
            </w:pPr>
            <w:r>
              <w:rPr>
                <w:rFonts w:hint="default" w:ascii="Times New Roman" w:hAnsi="Times New Roman" w:eastAsia="Times New Roman"/>
                <w:color w:val="auto"/>
                <w:w w:val="124"/>
                <w:sz w:val="21"/>
                <w:highlight w:val="none"/>
                <w:shd w:val="clear" w:color="auto" w:fill="auto"/>
              </w:rPr>
              <w:t>Ⅲ</w:t>
            </w:r>
          </w:p>
        </w:tc>
        <w:tc>
          <w:tcPr>
            <w:tcW w:w="1624" w:type="dxa"/>
          </w:tcPr>
          <w:p>
            <w:pPr>
              <w:jc w:val="center"/>
              <w:rPr>
                <w:rFonts w:hint="eastAsia"/>
                <w:b/>
                <w:bCs/>
                <w:color w:val="auto"/>
                <w:vertAlign w:val="baseline"/>
              </w:rPr>
            </w:pPr>
            <w:r>
              <w:rPr>
                <w:rFonts w:hint="default" w:ascii="Times New Roman" w:hAnsi="Times New Roman" w:eastAsia="Times New Roman"/>
                <w:color w:val="auto"/>
                <w:w w:val="83"/>
                <w:sz w:val="21"/>
                <w:highlight w:val="none"/>
                <w:shd w:val="clear" w:color="auto" w:fill="auto"/>
              </w:rPr>
              <w:t>Ⅱ</w:t>
            </w:r>
          </w:p>
        </w:tc>
        <w:tc>
          <w:tcPr>
            <w:tcW w:w="1625" w:type="dxa"/>
          </w:tcPr>
          <w:p>
            <w:pPr>
              <w:jc w:val="center"/>
              <w:rPr>
                <w:rFonts w:hint="eastAsia"/>
                <w:b/>
                <w:bCs/>
                <w:color w:val="auto"/>
                <w:vertAlign w:val="baseline"/>
              </w:rPr>
            </w:pPr>
            <w:r>
              <w:rPr>
                <w:rFonts w:hint="default" w:ascii="Times New Roman" w:hAnsi="Times New Roman" w:eastAsia="Times New Roman"/>
                <w:color w:val="auto"/>
                <w:w w:val="43"/>
                <w:sz w:val="21"/>
                <w:highlight w:val="none"/>
                <w:shd w:val="clear" w:color="auto" w:fill="auto"/>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24" w:type="dxa"/>
          </w:tcPr>
          <w:p>
            <w:pPr>
              <w:jc w:val="center"/>
              <w:rPr>
                <w:rFonts w:hint="default" w:eastAsia="宋体"/>
                <w:b/>
                <w:bCs/>
                <w:color w:val="auto"/>
                <w:vertAlign w:val="baseline"/>
                <w:lang w:val="en-US" w:eastAsia="zh-CN"/>
              </w:rPr>
            </w:pPr>
            <w:r>
              <w:rPr>
                <w:rFonts w:hint="eastAsia"/>
                <w:b/>
                <w:bCs/>
                <w:color w:val="auto"/>
                <w:vertAlign w:val="baseline"/>
                <w:lang w:eastAsia="zh-CN"/>
              </w:rPr>
              <w:t>评价工作等级</w:t>
            </w:r>
          </w:p>
        </w:tc>
        <w:tc>
          <w:tcPr>
            <w:tcW w:w="1624" w:type="dxa"/>
          </w:tcPr>
          <w:p>
            <w:pPr>
              <w:jc w:val="center"/>
              <w:rPr>
                <w:rFonts w:hint="eastAsia" w:eastAsia="宋体"/>
                <w:b/>
                <w:bCs/>
                <w:color w:val="auto"/>
                <w:vertAlign w:val="baseline"/>
                <w:lang w:eastAsia="zh-CN"/>
              </w:rPr>
            </w:pPr>
            <w:r>
              <w:rPr>
                <w:rFonts w:hint="eastAsia"/>
                <w:b/>
                <w:bCs/>
                <w:color w:val="auto"/>
                <w:vertAlign w:val="baseline"/>
                <w:lang w:eastAsia="zh-CN"/>
              </w:rPr>
              <w:t>一级</w:t>
            </w:r>
          </w:p>
        </w:tc>
        <w:tc>
          <w:tcPr>
            <w:tcW w:w="1624" w:type="dxa"/>
          </w:tcPr>
          <w:p>
            <w:pPr>
              <w:jc w:val="center"/>
              <w:rPr>
                <w:rFonts w:hint="eastAsia" w:eastAsia="宋体"/>
                <w:b/>
                <w:bCs/>
                <w:color w:val="auto"/>
                <w:vertAlign w:val="baseline"/>
                <w:lang w:eastAsia="zh-CN"/>
              </w:rPr>
            </w:pPr>
            <w:r>
              <w:rPr>
                <w:rFonts w:hint="eastAsia"/>
                <w:b/>
                <w:bCs/>
                <w:color w:val="auto"/>
                <w:vertAlign w:val="baseline"/>
                <w:lang w:eastAsia="zh-CN"/>
              </w:rPr>
              <w:t>二级</w:t>
            </w:r>
          </w:p>
        </w:tc>
        <w:tc>
          <w:tcPr>
            <w:tcW w:w="1624" w:type="dxa"/>
          </w:tcPr>
          <w:p>
            <w:pPr>
              <w:jc w:val="center"/>
              <w:rPr>
                <w:rFonts w:hint="eastAsia" w:eastAsia="宋体"/>
                <w:b/>
                <w:bCs/>
                <w:color w:val="auto"/>
                <w:vertAlign w:val="baseline"/>
                <w:lang w:eastAsia="zh-CN"/>
              </w:rPr>
            </w:pPr>
            <w:r>
              <w:rPr>
                <w:rFonts w:hint="eastAsia"/>
                <w:b/>
                <w:bCs/>
                <w:color w:val="auto"/>
                <w:vertAlign w:val="baseline"/>
                <w:lang w:eastAsia="zh-CN"/>
              </w:rPr>
              <w:t>三级</w:t>
            </w:r>
          </w:p>
        </w:tc>
        <w:tc>
          <w:tcPr>
            <w:tcW w:w="1625" w:type="dxa"/>
          </w:tcPr>
          <w:p>
            <w:pPr>
              <w:jc w:val="both"/>
              <w:rPr>
                <w:rFonts w:hint="eastAsia" w:eastAsia="宋体"/>
                <w:b/>
                <w:bCs/>
                <w:color w:val="auto"/>
                <w:vertAlign w:val="baseline"/>
                <w:lang w:val="en-US" w:eastAsia="zh-CN"/>
              </w:rPr>
            </w:pPr>
            <w:r>
              <w:rPr>
                <w:rFonts w:hint="eastAsia"/>
                <w:b/>
                <w:bCs/>
                <w:color w:val="auto"/>
                <w:vertAlign w:val="baseline"/>
                <w:lang w:val="en-US" w:eastAsia="zh-CN"/>
              </w:rPr>
              <w:t>简单分析</w:t>
            </w:r>
          </w:p>
        </w:tc>
      </w:tr>
    </w:tbl>
    <w:p>
      <w:pPr>
        <w:jc w:val="center"/>
        <w:rPr>
          <w:rFonts w:hint="eastAsia"/>
          <w:b/>
          <w:bCs/>
          <w:color w:val="auto"/>
        </w:rPr>
      </w:pPr>
    </w:p>
    <w:p>
      <w:pPr>
        <w:pStyle w:val="2"/>
        <w:ind w:left="0" w:leftChars="0" w:firstLine="0" w:firstLineChars="0"/>
        <w:jc w:val="center"/>
        <w:rPr>
          <w:rFonts w:hint="eastAsia" w:ascii="楷体" w:hAnsi="楷体" w:eastAsia="楷体"/>
          <w:b/>
          <w:bCs/>
          <w:color w:val="auto"/>
          <w:sz w:val="21"/>
        </w:rPr>
        <w:sectPr>
          <w:footerReference r:id="rId15" w:type="default"/>
          <w:pgSz w:w="11910" w:h="16840"/>
          <w:pgMar w:top="1400" w:right="1180" w:bottom="1660" w:left="1200" w:header="877" w:footer="1476" w:gutter="0"/>
          <w:pgBorders>
            <w:top w:val="none" w:sz="0" w:space="0"/>
            <w:left w:val="none" w:sz="0" w:space="0"/>
            <w:bottom w:val="none" w:sz="0" w:space="0"/>
            <w:right w:val="none" w:sz="0" w:space="0"/>
          </w:pgBorders>
          <w:lnNumType w:countBy="0" w:distance="360"/>
          <w:pgNumType w:fmt="decimal"/>
          <w:cols w:space="720" w:num="1"/>
        </w:sectPr>
      </w:pPr>
    </w:p>
    <w:p>
      <w:pPr>
        <w:pStyle w:val="22"/>
        <w:kinsoku w:val="0"/>
        <w:overflowPunct w:val="0"/>
        <w:spacing w:beforeLines="0" w:afterLines="0"/>
        <w:rPr>
          <w:rFonts w:hint="eastAsia" w:ascii="楷体" w:hAnsi="楷体" w:eastAsia="楷体"/>
          <w:b/>
          <w:color w:val="auto"/>
          <w:sz w:val="2"/>
        </w:rPr>
      </w:pPr>
    </w:p>
    <w:p>
      <w:pPr>
        <w:pStyle w:val="22"/>
        <w:kinsoku w:val="0"/>
        <w:overflowPunct w:val="0"/>
        <w:spacing w:beforeLines="0" w:afterLines="0" w:line="30" w:lineRule="exact"/>
        <w:ind w:left="251"/>
        <w:rPr>
          <w:rFonts w:hint="eastAsia" w:ascii="宋体" w:hAnsi="宋体" w:eastAsia="宋体"/>
          <w:color w:val="auto"/>
          <w:position w:val="-1"/>
          <w:sz w:val="3"/>
        </w:rPr>
      </w:pPr>
    </w:p>
    <w:p>
      <w:pPr>
        <w:pStyle w:val="7"/>
        <w:spacing w:before="120" w:beforeLines="0" w:after="120" w:afterLines="0"/>
        <w:rPr>
          <w:color w:val="auto"/>
        </w:rPr>
      </w:pPr>
      <w:bookmarkStart w:id="108" w:name="_Toc10225"/>
      <w:bookmarkStart w:id="109" w:name="_Toc7593"/>
      <w:bookmarkStart w:id="110" w:name="_Toc17991"/>
      <w:r>
        <w:rPr>
          <w:color w:val="auto"/>
        </w:rPr>
        <w:t>生态环境影响评价等级与评价范围</w:t>
      </w:r>
      <w:bookmarkEnd w:id="108"/>
      <w:bookmarkEnd w:id="109"/>
      <w:bookmarkEnd w:id="110"/>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（1）生态评价等级划分依据</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对照《环境影响评价技术导则—生态影响》（HJ19-2011）中有关要求，本项目生态评价工作级别判别见表</w:t>
      </w:r>
      <w:r>
        <w:rPr>
          <w:rFonts w:hint="eastAsia" w:ascii="Times New Roman" w:hAnsi="Times New Roman" w:cs="Times New Roman"/>
          <w:color w:val="auto"/>
          <w:sz w:val="24"/>
          <w:lang w:val="en-US" w:eastAsia="zh-CN"/>
        </w:rPr>
        <w:t>1.5-23</w:t>
      </w:r>
      <w:r>
        <w:rPr>
          <w:rFonts w:ascii="Times New Roman" w:hAnsi="Times New Roman" w:cs="Times New Roman"/>
          <w:color w:val="auto"/>
          <w:sz w:val="24"/>
        </w:rPr>
        <w:t>。</w:t>
      </w:r>
    </w:p>
    <w:p>
      <w:pPr>
        <w:pStyle w:val="18"/>
        <w:spacing w:line="440" w:lineRule="exact"/>
        <w:rPr>
          <w:bCs/>
          <w:color w:val="auto"/>
          <w:kern w:val="24"/>
        </w:rPr>
      </w:pPr>
      <w:r>
        <w:rPr>
          <w:color w:val="auto"/>
        </w:rPr>
        <w:t xml:space="preserve">表 </w:t>
      </w:r>
      <w:r>
        <w:rPr>
          <w:rFonts w:hint="eastAsia"/>
          <w:color w:val="auto"/>
          <w:lang w:val="en-US" w:eastAsia="zh-CN"/>
        </w:rPr>
        <w:t>1.5-23</w:t>
      </w:r>
      <w:r>
        <w:rPr>
          <w:bCs/>
          <w:color w:val="auto"/>
          <w:kern w:val="24"/>
        </w:rPr>
        <w:t xml:space="preserve">  生态影响评价工作等级划分表</w:t>
      </w:r>
    </w:p>
    <w:tbl>
      <w:tblPr>
        <w:tblStyle w:val="45"/>
        <w:tblW w:w="8522"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808"/>
        <w:gridCol w:w="2129"/>
        <w:gridCol w:w="2540"/>
        <w:gridCol w:w="204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jc w:val="center"/>
        </w:trPr>
        <w:tc>
          <w:tcPr>
            <w:tcW w:w="1808" w:type="dxa"/>
            <w:vMerge w:val="restart"/>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影响区域生态敏感性</w:t>
            </w:r>
          </w:p>
        </w:tc>
        <w:tc>
          <w:tcPr>
            <w:tcW w:w="6714" w:type="dxa"/>
            <w:gridSpan w:val="3"/>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工程占地（水域）范围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jc w:val="center"/>
        </w:trPr>
        <w:tc>
          <w:tcPr>
            <w:tcW w:w="1808" w:type="dxa"/>
            <w:vMerge w:val="continue"/>
            <w:vAlign w:val="center"/>
          </w:tcPr>
          <w:p>
            <w:pPr>
              <w:rPr>
                <w:rFonts w:ascii="Times New Roman" w:hAnsi="Times New Roman" w:cs="Times New Roman"/>
                <w:color w:val="auto"/>
              </w:rPr>
            </w:pPr>
          </w:p>
        </w:tc>
        <w:tc>
          <w:tcPr>
            <w:tcW w:w="2129"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面积≥20km</w:t>
            </w:r>
            <w:r>
              <w:rPr>
                <w:rFonts w:ascii="Times New Roman" w:hAnsi="Times New Roman" w:cs="Times New Roman"/>
                <w:b/>
                <w:color w:val="auto"/>
                <w:szCs w:val="21"/>
                <w:vertAlign w:val="superscript"/>
              </w:rPr>
              <w:t>2</w:t>
            </w:r>
          </w:p>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或长度≥100km</w:t>
            </w:r>
          </w:p>
        </w:tc>
        <w:tc>
          <w:tcPr>
            <w:tcW w:w="2540"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面积2km</w:t>
            </w:r>
            <w:r>
              <w:rPr>
                <w:rFonts w:ascii="Times New Roman" w:hAnsi="Times New Roman" w:cs="Times New Roman"/>
                <w:b/>
                <w:color w:val="auto"/>
                <w:szCs w:val="21"/>
                <w:vertAlign w:val="superscript"/>
              </w:rPr>
              <w:t>2</w:t>
            </w:r>
            <w:r>
              <w:rPr>
                <w:rFonts w:ascii="Times New Roman" w:hAnsi="Times New Roman" w:cs="Times New Roman"/>
                <w:b/>
                <w:color w:val="auto"/>
                <w:szCs w:val="21"/>
              </w:rPr>
              <w:t>～20km</w:t>
            </w:r>
            <w:r>
              <w:rPr>
                <w:rFonts w:ascii="Times New Roman" w:hAnsi="Times New Roman" w:cs="Times New Roman"/>
                <w:b/>
                <w:color w:val="auto"/>
                <w:szCs w:val="21"/>
                <w:vertAlign w:val="superscript"/>
              </w:rPr>
              <w:t>2</w:t>
            </w:r>
          </w:p>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或长度50km～100km</w:t>
            </w:r>
          </w:p>
        </w:tc>
        <w:tc>
          <w:tcPr>
            <w:tcW w:w="2045" w:type="dxa"/>
            <w:vAlign w:val="center"/>
          </w:tcPr>
          <w:p>
            <w:pPr>
              <w:spacing w:line="360" w:lineRule="exact"/>
              <w:jc w:val="center"/>
              <w:rPr>
                <w:rFonts w:ascii="Times New Roman" w:hAnsi="Times New Roman" w:cs="Times New Roman"/>
                <w:b/>
                <w:color w:val="auto"/>
                <w:szCs w:val="21"/>
                <w:vertAlign w:val="superscript"/>
              </w:rPr>
            </w:pPr>
            <w:r>
              <w:rPr>
                <w:rFonts w:ascii="Times New Roman" w:hAnsi="Times New Roman" w:cs="Times New Roman"/>
                <w:b/>
                <w:color w:val="auto"/>
                <w:szCs w:val="21"/>
              </w:rPr>
              <w:t>面积≤2km</w:t>
            </w:r>
            <w:r>
              <w:rPr>
                <w:rFonts w:ascii="Times New Roman" w:hAnsi="Times New Roman" w:cs="Times New Roman"/>
                <w:b/>
                <w:color w:val="auto"/>
                <w:szCs w:val="21"/>
                <w:vertAlign w:val="superscript"/>
              </w:rPr>
              <w:t>2</w:t>
            </w:r>
          </w:p>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或长度≤50km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jc w:val="center"/>
        </w:trPr>
        <w:tc>
          <w:tcPr>
            <w:tcW w:w="180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特殊生态敏感区</w:t>
            </w:r>
          </w:p>
        </w:tc>
        <w:tc>
          <w:tcPr>
            <w:tcW w:w="2129"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一级</w:t>
            </w:r>
          </w:p>
        </w:tc>
        <w:tc>
          <w:tcPr>
            <w:tcW w:w="254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一级</w:t>
            </w:r>
          </w:p>
        </w:tc>
        <w:tc>
          <w:tcPr>
            <w:tcW w:w="2045"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一级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jc w:val="center"/>
        </w:trPr>
        <w:tc>
          <w:tcPr>
            <w:tcW w:w="180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重要生态敏感区</w:t>
            </w:r>
          </w:p>
        </w:tc>
        <w:tc>
          <w:tcPr>
            <w:tcW w:w="2129"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一级</w:t>
            </w:r>
          </w:p>
        </w:tc>
        <w:tc>
          <w:tcPr>
            <w:tcW w:w="254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二级</w:t>
            </w:r>
          </w:p>
        </w:tc>
        <w:tc>
          <w:tcPr>
            <w:tcW w:w="2045"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三级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jc w:val="center"/>
        </w:trPr>
        <w:tc>
          <w:tcPr>
            <w:tcW w:w="180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一般区域</w:t>
            </w:r>
          </w:p>
        </w:tc>
        <w:tc>
          <w:tcPr>
            <w:tcW w:w="2129"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二级</w:t>
            </w:r>
          </w:p>
        </w:tc>
        <w:tc>
          <w:tcPr>
            <w:tcW w:w="2540"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三级</w:t>
            </w:r>
          </w:p>
        </w:tc>
        <w:tc>
          <w:tcPr>
            <w:tcW w:w="2045"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三级</w:t>
            </w:r>
          </w:p>
        </w:tc>
      </w:tr>
    </w:tbl>
    <w:p>
      <w:pPr>
        <w:spacing w:line="480" w:lineRule="exact"/>
        <w:ind w:firstLine="480" w:firstLineChars="200"/>
        <w:rPr>
          <w:rFonts w:ascii="Times New Roman" w:hAnsi="Times New Roman" w:cs="Times New Roman"/>
          <w:color w:val="auto"/>
          <w:sz w:val="24"/>
        </w:rPr>
      </w:pP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（2）工程占范围</w:t>
      </w: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本项目占地面积500</w:t>
      </w:r>
      <w:r>
        <w:rPr>
          <w:rFonts w:ascii="Times New Roman" w:hAnsi="Times New Roman" w:cs="Times New Roman"/>
          <w:color w:val="auto"/>
          <w:szCs w:val="21"/>
        </w:rPr>
        <w:t>m</w:t>
      </w:r>
      <w:r>
        <w:rPr>
          <w:rFonts w:ascii="Times New Roman" w:hAnsi="Times New Roman" w:cs="Times New Roman"/>
          <w:color w:val="auto"/>
          <w:szCs w:val="21"/>
          <w:vertAlign w:val="superscript"/>
        </w:rPr>
        <w:t>2</w:t>
      </w:r>
      <w:r>
        <w:rPr>
          <w:rFonts w:ascii="Times New Roman" w:hAnsi="Times New Roman" w:cs="Times New Roman"/>
          <w:color w:val="auto"/>
          <w:sz w:val="24"/>
        </w:rPr>
        <w:t>远小于2km</w:t>
      </w:r>
      <w:r>
        <w:rPr>
          <w:rFonts w:ascii="Times New Roman" w:hAnsi="Times New Roman" w:cs="Times New Roman"/>
          <w:color w:val="auto"/>
          <w:sz w:val="24"/>
          <w:vertAlign w:val="superscript"/>
        </w:rPr>
        <w:t>2</w:t>
      </w:r>
      <w:r>
        <w:rPr>
          <w:rFonts w:ascii="Times New Roman" w:hAnsi="Times New Roman" w:cs="Times New Roman"/>
          <w:color w:val="auto"/>
          <w:sz w:val="24"/>
        </w:rPr>
        <w:t>。</w:t>
      </w: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（3）影响区域生态敏感性</w:t>
      </w: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本项目区在长岭分公司厂区内，属于一般区域。</w:t>
      </w: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（4）评价等级及评价范围确定</w:t>
      </w:r>
    </w:p>
    <w:p>
      <w:pPr>
        <w:spacing w:line="480" w:lineRule="exact"/>
        <w:ind w:firstLine="480" w:firstLineChars="200"/>
        <w:rPr>
          <w:rFonts w:ascii="Times New Roman" w:hAnsi="Times New Roman" w:cs="Times New Roman"/>
          <w:color w:val="auto"/>
          <w:sz w:val="24"/>
        </w:rPr>
      </w:pPr>
      <w:r>
        <w:rPr>
          <w:rFonts w:ascii="Times New Roman" w:hAnsi="Times New Roman" w:cs="Times New Roman"/>
          <w:color w:val="auto"/>
          <w:sz w:val="24"/>
        </w:rPr>
        <w:t>本次生态评价等级为三级评价，评价范围为厂区边界外扩500m区域。</w:t>
      </w:r>
    </w:p>
    <w:p>
      <w:pPr>
        <w:pStyle w:val="6"/>
        <w:spacing w:before="120" w:beforeLines="0" w:after="0" w:afterLines="0"/>
        <w:ind w:left="822" w:hanging="822" w:hangingChars="273"/>
        <w:rPr>
          <w:color w:val="auto"/>
        </w:rPr>
      </w:pPr>
      <w:bookmarkStart w:id="111" w:name="_Toc280188814"/>
      <w:bookmarkStart w:id="112" w:name="_Toc18661"/>
      <w:bookmarkStart w:id="113" w:name="_Toc5281"/>
      <w:bookmarkStart w:id="114" w:name="_Toc219258498"/>
      <w:bookmarkStart w:id="115" w:name="_Toc13841"/>
      <w:bookmarkStart w:id="116" w:name="_Toc220122772"/>
      <w:bookmarkStart w:id="117" w:name="_Toc306034524"/>
      <w:bookmarkStart w:id="118" w:name="_Toc304810274"/>
      <w:bookmarkStart w:id="119" w:name="_Toc16240"/>
      <w:bookmarkStart w:id="120" w:name="_Toc280188817"/>
      <w:bookmarkStart w:id="121" w:name="_Toc220122775"/>
      <w:r>
        <w:rPr>
          <w:color w:val="auto"/>
        </w:rPr>
        <w:t>环境保护目标</w:t>
      </w:r>
      <w:bookmarkEnd w:id="111"/>
      <w:bookmarkEnd w:id="112"/>
      <w:bookmarkEnd w:id="113"/>
      <w:bookmarkEnd w:id="114"/>
      <w:bookmarkEnd w:id="115"/>
      <w:bookmarkEnd w:id="116"/>
      <w:bookmarkEnd w:id="117"/>
      <w:bookmarkEnd w:id="118"/>
      <w:bookmarkEnd w:id="119"/>
      <w:r>
        <w:rPr>
          <w:color w:val="auto"/>
        </w:rPr>
        <w:t xml:space="preserve"> </w:t>
      </w:r>
    </w:p>
    <w:p>
      <w:p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本项目位于长岭分公司厂区内，根据本次环评确定的各要素评价工作等级，结合现场踏勘和环境敏感点分布情况，确定环境保护目标见表</w:t>
      </w:r>
      <w:r>
        <w:rPr>
          <w:rFonts w:hint="eastAsia" w:ascii="Times New Roman" w:hAnsi="Times New Roman" w:cs="Times New Roman"/>
          <w:color w:val="auto"/>
          <w:sz w:val="24"/>
          <w:lang w:val="en-US" w:eastAsia="zh-CN"/>
        </w:rPr>
        <w:t>1.6-1、1.6-2</w:t>
      </w:r>
      <w:r>
        <w:rPr>
          <w:rFonts w:ascii="Times New Roman" w:hAnsi="Times New Roman" w:cs="Times New Roman"/>
          <w:color w:val="auto"/>
          <w:sz w:val="24"/>
        </w:rPr>
        <w:t>和附图</w:t>
      </w:r>
      <w:r>
        <w:rPr>
          <w:rFonts w:hint="eastAsia" w:ascii="Times New Roman" w:hAnsi="Times New Roman" w:cs="Times New Roman"/>
          <w:color w:val="auto"/>
          <w:sz w:val="24"/>
          <w:lang w:val="en-US" w:eastAsia="zh-CN"/>
        </w:rPr>
        <w:t>5</w:t>
      </w:r>
      <w:r>
        <w:rPr>
          <w:rFonts w:ascii="Times New Roman" w:hAnsi="Times New Roman" w:cs="Times New Roman"/>
          <w:color w:val="auto"/>
          <w:sz w:val="24"/>
        </w:rPr>
        <w:t>。</w:t>
      </w:r>
    </w:p>
    <w:p>
      <w:pPr>
        <w:pStyle w:val="2"/>
        <w:ind w:left="420" w:firstLine="420"/>
        <w:rPr>
          <w:rFonts w:hint="eastAsia"/>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rPr>
      </w:pPr>
    </w:p>
    <w:p>
      <w:pPr>
        <w:pStyle w:val="18"/>
        <w:spacing w:line="440" w:lineRule="exact"/>
        <w:rPr>
          <w:rFonts w:hint="eastAsia" w:ascii="Times New Roman" w:hAnsi="Times New Roman" w:cs="Times New Roman"/>
          <w:color w:val="auto"/>
          <w:u w:val="single"/>
        </w:rPr>
      </w:pPr>
      <w:r>
        <w:rPr>
          <w:rFonts w:hint="eastAsia" w:ascii="Times New Roman" w:hAnsi="Times New Roman" w:cs="Times New Roman"/>
          <w:color w:val="auto"/>
          <w:u w:val="single"/>
        </w:rPr>
        <w:t xml:space="preserve">表 </w:t>
      </w:r>
      <w:r>
        <w:rPr>
          <w:rFonts w:hint="eastAsia" w:ascii="Times New Roman" w:hAnsi="Times New Roman" w:cs="Times New Roman"/>
          <w:color w:val="auto"/>
          <w:u w:val="single"/>
          <w:lang w:val="en-US" w:eastAsia="zh-CN"/>
        </w:rPr>
        <w:t>1.6-1</w:t>
      </w:r>
      <w:r>
        <w:rPr>
          <w:rFonts w:hint="default" w:ascii="Times New Roman" w:hAnsi="Times New Roman" w:cs="Times New Roman"/>
          <w:color w:val="auto"/>
          <w:u w:val="single"/>
        </w:rPr>
        <w:tab/>
      </w:r>
      <w:r>
        <w:rPr>
          <w:rFonts w:hint="eastAsia" w:ascii="Times New Roman" w:hAnsi="Times New Roman" w:cs="Times New Roman"/>
          <w:color w:val="auto"/>
          <w:u w:val="single"/>
        </w:rPr>
        <w:t>项目大气环境保护目标</w:t>
      </w:r>
    </w:p>
    <w:tbl>
      <w:tblPr>
        <w:tblStyle w:val="46"/>
        <w:tblW w:w="93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154"/>
        <w:gridCol w:w="848"/>
        <w:gridCol w:w="831"/>
        <w:gridCol w:w="1102"/>
        <w:gridCol w:w="1154"/>
        <w:gridCol w:w="1327"/>
        <w:gridCol w:w="1073"/>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468" w:type="dxa"/>
            <w:vMerge w:val="restart"/>
            <w:vAlign w:val="top"/>
          </w:tcPr>
          <w:p>
            <w:pPr>
              <w:pStyle w:val="247"/>
              <w:kinsoku w:val="0"/>
              <w:overflowPunct w:val="0"/>
              <w:spacing w:before="5" w:beforeLines="0" w:afterLines="0"/>
              <w:jc w:val="left"/>
              <w:rPr>
                <w:color w:val="auto"/>
                <w:u w:val="single"/>
                <w:vertAlign w:val="baseline"/>
              </w:rPr>
            </w:pPr>
            <w:r>
              <w:rPr>
                <w:rFonts w:hint="eastAsia"/>
                <w:color w:val="auto"/>
                <w:sz w:val="21"/>
                <w:u w:val="single"/>
              </w:rPr>
              <w:t>序号</w:t>
            </w:r>
          </w:p>
        </w:tc>
        <w:tc>
          <w:tcPr>
            <w:tcW w:w="1154" w:type="dxa"/>
            <w:vMerge w:val="restart"/>
            <w:vAlign w:val="top"/>
          </w:tcPr>
          <w:p>
            <w:pPr>
              <w:pStyle w:val="247"/>
              <w:kinsoku w:val="0"/>
              <w:overflowPunct w:val="0"/>
              <w:spacing w:before="5" w:beforeLines="0" w:afterLines="0"/>
              <w:ind w:left="254" w:leftChars="0"/>
              <w:jc w:val="left"/>
              <w:rPr>
                <w:color w:val="auto"/>
                <w:u w:val="single"/>
                <w:vertAlign w:val="baseline"/>
              </w:rPr>
            </w:pPr>
            <w:r>
              <w:rPr>
                <w:rFonts w:hint="eastAsia"/>
                <w:color w:val="auto"/>
                <w:sz w:val="21"/>
                <w:u w:val="single"/>
              </w:rPr>
              <w:t>名称</w:t>
            </w:r>
          </w:p>
        </w:tc>
        <w:tc>
          <w:tcPr>
            <w:tcW w:w="1679" w:type="dxa"/>
            <w:gridSpan w:val="2"/>
            <w:vAlign w:val="top"/>
          </w:tcPr>
          <w:p>
            <w:pPr>
              <w:pStyle w:val="247"/>
              <w:kinsoku w:val="0"/>
              <w:overflowPunct w:val="0"/>
              <w:spacing w:before="4" w:beforeLines="0" w:afterLines="0" w:line="270" w:lineRule="atLeast"/>
              <w:ind w:left="362" w:leftChars="0" w:right="141" w:rightChars="0" w:hanging="212" w:firstLineChars="0"/>
              <w:jc w:val="center"/>
              <w:rPr>
                <w:color w:val="auto"/>
                <w:u w:val="single"/>
                <w:vertAlign w:val="baseline"/>
              </w:rPr>
            </w:pPr>
            <w:r>
              <w:rPr>
                <w:rFonts w:hint="eastAsia"/>
                <w:color w:val="auto"/>
                <w:sz w:val="21"/>
                <w:u w:val="single"/>
              </w:rPr>
              <w:t>坐标</w:t>
            </w:r>
          </w:p>
        </w:tc>
        <w:tc>
          <w:tcPr>
            <w:tcW w:w="1102" w:type="dxa"/>
            <w:vMerge w:val="restart"/>
            <w:vAlign w:val="top"/>
          </w:tcPr>
          <w:p>
            <w:pPr>
              <w:pStyle w:val="247"/>
              <w:kinsoku w:val="0"/>
              <w:overflowPunct w:val="0"/>
              <w:spacing w:before="4" w:beforeLines="0" w:afterLines="0" w:line="270" w:lineRule="atLeast"/>
              <w:ind w:right="141" w:rightChars="0"/>
              <w:jc w:val="left"/>
              <w:rPr>
                <w:color w:val="auto"/>
                <w:u w:val="single"/>
                <w:vertAlign w:val="baseline"/>
              </w:rPr>
            </w:pPr>
            <w:r>
              <w:rPr>
                <w:rFonts w:hint="eastAsia"/>
                <w:color w:val="auto"/>
                <w:sz w:val="21"/>
                <w:u w:val="single"/>
              </w:rPr>
              <w:t>保护对象</w:t>
            </w:r>
          </w:p>
        </w:tc>
        <w:tc>
          <w:tcPr>
            <w:tcW w:w="1154" w:type="dxa"/>
            <w:vMerge w:val="restart"/>
            <w:vAlign w:val="top"/>
          </w:tcPr>
          <w:p>
            <w:pPr>
              <w:pStyle w:val="247"/>
              <w:kinsoku w:val="0"/>
              <w:overflowPunct w:val="0"/>
              <w:spacing w:before="4" w:beforeLines="0" w:afterLines="0" w:line="270" w:lineRule="atLeast"/>
              <w:ind w:right="137" w:rightChars="0"/>
              <w:jc w:val="left"/>
              <w:rPr>
                <w:color w:val="auto"/>
                <w:u w:val="single"/>
                <w:vertAlign w:val="baseline"/>
              </w:rPr>
            </w:pPr>
            <w:r>
              <w:rPr>
                <w:rFonts w:hint="eastAsia"/>
                <w:color w:val="auto"/>
                <w:sz w:val="21"/>
                <w:u w:val="single"/>
              </w:rPr>
              <w:t>保护内容</w:t>
            </w:r>
          </w:p>
        </w:tc>
        <w:tc>
          <w:tcPr>
            <w:tcW w:w="1327" w:type="dxa"/>
            <w:vMerge w:val="restart"/>
            <w:vAlign w:val="top"/>
          </w:tcPr>
          <w:p>
            <w:pPr>
              <w:pStyle w:val="247"/>
              <w:kinsoku w:val="0"/>
              <w:overflowPunct w:val="0"/>
              <w:spacing w:before="4" w:beforeLines="0" w:afterLines="0" w:line="270" w:lineRule="atLeast"/>
              <w:ind w:right="139" w:rightChars="0"/>
              <w:jc w:val="left"/>
              <w:rPr>
                <w:color w:val="auto"/>
                <w:u w:val="single"/>
                <w:vertAlign w:val="baseline"/>
              </w:rPr>
            </w:pPr>
            <w:r>
              <w:rPr>
                <w:rFonts w:hint="eastAsia"/>
                <w:color w:val="auto"/>
                <w:sz w:val="21"/>
                <w:u w:val="single"/>
              </w:rPr>
              <w:t>环境功能区</w:t>
            </w:r>
          </w:p>
        </w:tc>
        <w:tc>
          <w:tcPr>
            <w:tcW w:w="1073" w:type="dxa"/>
            <w:vMerge w:val="restart"/>
            <w:vAlign w:val="top"/>
          </w:tcPr>
          <w:p>
            <w:pPr>
              <w:pStyle w:val="247"/>
              <w:kinsoku w:val="0"/>
              <w:overflowPunct w:val="0"/>
              <w:spacing w:before="4" w:beforeLines="0" w:afterLines="0" w:line="270" w:lineRule="atLeast"/>
              <w:ind w:right="135" w:rightChars="0"/>
              <w:jc w:val="left"/>
              <w:rPr>
                <w:color w:val="auto"/>
                <w:u w:val="single"/>
                <w:vertAlign w:val="baseline"/>
              </w:rPr>
            </w:pPr>
            <w:r>
              <w:rPr>
                <w:rFonts w:hint="eastAsia"/>
                <w:color w:val="auto"/>
                <w:sz w:val="21"/>
                <w:u w:val="single"/>
              </w:rPr>
              <w:t>相对厂址方位</w:t>
            </w:r>
          </w:p>
        </w:tc>
        <w:tc>
          <w:tcPr>
            <w:tcW w:w="1356" w:type="dxa"/>
            <w:vMerge w:val="restart"/>
            <w:vAlign w:val="top"/>
          </w:tcPr>
          <w:p>
            <w:pPr>
              <w:pStyle w:val="247"/>
              <w:kinsoku w:val="0"/>
              <w:overflowPunct w:val="0"/>
              <w:spacing w:before="4" w:beforeLines="0" w:afterLines="0" w:line="270" w:lineRule="atLeast"/>
              <w:ind w:right="185" w:rightChars="0"/>
              <w:jc w:val="left"/>
              <w:rPr>
                <w:rFonts w:hint="default" w:eastAsia="宋体"/>
                <w:color w:val="auto"/>
                <w:u w:val="single"/>
                <w:vertAlign w:val="baseline"/>
                <w:lang w:val="en-US" w:eastAsia="zh-CN"/>
              </w:rPr>
            </w:pPr>
            <w:r>
              <w:rPr>
                <w:rFonts w:hint="eastAsia"/>
                <w:color w:val="auto"/>
                <w:sz w:val="21"/>
                <w:u w:val="single"/>
              </w:rPr>
              <w:t>相对厂界距离</w:t>
            </w:r>
            <w:r>
              <w:rPr>
                <w:rFonts w:hint="eastAsia" w:eastAsia="宋体"/>
                <w:color w:val="auto"/>
                <w:sz w:val="21"/>
                <w:u w:val="single"/>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468"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color w:val="auto"/>
                <w:u w:val="single"/>
              </w:rPr>
            </w:pPr>
          </w:p>
        </w:tc>
        <w:tc>
          <w:tcPr>
            <w:tcW w:w="1154"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color w:val="auto"/>
                <w:u w:val="single"/>
              </w:rPr>
            </w:pPr>
          </w:p>
        </w:tc>
        <w:tc>
          <w:tcPr>
            <w:tcW w:w="848" w:type="dxa"/>
            <w:vAlign w:val="top"/>
          </w:tcPr>
          <w:p>
            <w:pPr>
              <w:pStyle w:val="247"/>
              <w:kinsoku w:val="0"/>
              <w:overflowPunct w:val="0"/>
              <w:spacing w:beforeLines="0" w:afterLines="0" w:line="232" w:lineRule="exact"/>
              <w:ind w:left="7" w:leftChars="0"/>
              <w:rPr>
                <w:rFonts w:hint="eastAsia"/>
                <w:color w:val="auto"/>
                <w:sz w:val="21"/>
                <w:u w:val="single"/>
              </w:rPr>
            </w:pPr>
            <w:r>
              <w:rPr>
                <w:rFonts w:hint="default" w:ascii="Times New Roman" w:hAnsi="Times New Roman" w:eastAsia="Times New Roman"/>
                <w:color w:val="auto"/>
                <w:sz w:val="21"/>
                <w:u w:val="single"/>
              </w:rPr>
              <w:t>X</w:t>
            </w:r>
          </w:p>
        </w:tc>
        <w:tc>
          <w:tcPr>
            <w:tcW w:w="831" w:type="dxa"/>
            <w:vAlign w:val="top"/>
          </w:tcPr>
          <w:p>
            <w:pPr>
              <w:pStyle w:val="247"/>
              <w:kinsoku w:val="0"/>
              <w:overflowPunct w:val="0"/>
              <w:spacing w:beforeLines="0" w:afterLines="0" w:line="232" w:lineRule="exact"/>
              <w:ind w:right="3" w:rightChars="0"/>
              <w:rPr>
                <w:rFonts w:hint="eastAsia"/>
                <w:color w:val="auto"/>
                <w:sz w:val="21"/>
                <w:u w:val="single"/>
              </w:rPr>
            </w:pPr>
            <w:r>
              <w:rPr>
                <w:rFonts w:hint="default" w:ascii="Times New Roman" w:hAnsi="Times New Roman" w:eastAsia="Times New Roman"/>
                <w:color w:val="auto"/>
                <w:sz w:val="21"/>
                <w:u w:val="single"/>
              </w:rPr>
              <w:t>Y</w:t>
            </w:r>
          </w:p>
        </w:tc>
        <w:tc>
          <w:tcPr>
            <w:tcW w:w="1102"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rFonts w:hint="eastAsia"/>
                <w:color w:val="auto"/>
                <w:sz w:val="21"/>
                <w:u w:val="single"/>
              </w:rPr>
            </w:pPr>
          </w:p>
        </w:tc>
        <w:tc>
          <w:tcPr>
            <w:tcW w:w="1154"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rFonts w:hint="eastAsia"/>
                <w:color w:val="auto"/>
                <w:sz w:val="21"/>
                <w:u w:val="single"/>
              </w:rPr>
            </w:pPr>
          </w:p>
        </w:tc>
        <w:tc>
          <w:tcPr>
            <w:tcW w:w="1327"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rFonts w:hint="eastAsia"/>
                <w:color w:val="auto"/>
                <w:sz w:val="21"/>
                <w:u w:val="single"/>
              </w:rPr>
            </w:pPr>
          </w:p>
        </w:tc>
        <w:tc>
          <w:tcPr>
            <w:tcW w:w="1073"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rFonts w:hint="eastAsia"/>
                <w:color w:val="auto"/>
                <w:sz w:val="21"/>
                <w:u w:val="single"/>
              </w:rPr>
            </w:pPr>
          </w:p>
        </w:tc>
        <w:tc>
          <w:tcPr>
            <w:tcW w:w="1356" w:type="dxa"/>
            <w:vMerge w:val="continue"/>
            <w:vAlign w:val="top"/>
          </w:tcPr>
          <w:p>
            <w:pPr>
              <w:pStyle w:val="247"/>
              <w:kinsoku w:val="0"/>
              <w:overflowPunct w:val="0"/>
              <w:spacing w:before="4" w:beforeLines="0" w:afterLines="0" w:line="270" w:lineRule="atLeast"/>
              <w:ind w:left="362" w:leftChars="0" w:right="141" w:rightChars="0" w:hanging="212" w:firstLineChars="0"/>
              <w:jc w:val="left"/>
              <w:rPr>
                <w:rFonts w:hint="eastAsia"/>
                <w:color w:val="auto"/>
                <w:sz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1</w:t>
            </w:r>
          </w:p>
        </w:tc>
        <w:tc>
          <w:tcPr>
            <w:tcW w:w="1154" w:type="dxa"/>
            <w:vAlign w:val="top"/>
          </w:tcPr>
          <w:p>
            <w:pPr>
              <w:pStyle w:val="247"/>
              <w:kinsoku w:val="0"/>
              <w:overflowPunct w:val="0"/>
              <w:spacing w:before="91"/>
              <w:ind w:left="109" w:leftChars="0" w:right="83" w:rightChars="0"/>
              <w:rPr>
                <w:color w:val="auto"/>
                <w:u w:val="single"/>
                <w:vertAlign w:val="baseline"/>
              </w:rPr>
            </w:pPr>
            <w:r>
              <w:rPr>
                <w:rFonts w:hint="eastAsia" w:ascii="宋体" w:hAnsi="宋体" w:eastAsia="宋体"/>
                <w:color w:val="auto"/>
                <w:u w:val="single"/>
              </w:rPr>
              <w:t>新合村</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20</w:t>
            </w:r>
            <w:r>
              <w:rPr>
                <w:rFonts w:hint="eastAsia" w:ascii="宋体" w:hAnsi="宋体" w:cs="Times New Roman"/>
                <w:b w:val="0"/>
                <w:color w:val="auto"/>
                <w:kern w:val="2"/>
                <w:sz w:val="21"/>
                <w:szCs w:val="22"/>
                <w:u w:val="single"/>
                <w:lang w:val="en-US" w:eastAsia="zh-CN" w:bidi="ar-SA"/>
              </w:rPr>
              <w:t>5</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-1500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left="29" w:leftChars="0"/>
              <w:rPr>
                <w:color w:val="auto"/>
                <w:u w:val="single"/>
                <w:vertAlign w:val="baseline"/>
              </w:rPr>
            </w:pPr>
            <w:r>
              <w:rPr>
                <w:color w:val="auto"/>
                <w:w w:val="99"/>
                <w:u w:val="single"/>
              </w:rPr>
              <w:t>S</w:t>
            </w:r>
          </w:p>
        </w:tc>
        <w:tc>
          <w:tcPr>
            <w:tcW w:w="1356" w:type="dxa"/>
            <w:vAlign w:val="top"/>
          </w:tcPr>
          <w:p>
            <w:pPr>
              <w:pStyle w:val="247"/>
              <w:kinsoku w:val="0"/>
              <w:overflowPunct w:val="0"/>
              <w:spacing w:before="105"/>
              <w:ind w:left="102" w:leftChars="0" w:right="74" w:rightChars="0"/>
              <w:rPr>
                <w:color w:val="auto"/>
                <w:u w:val="single"/>
                <w:vertAlign w:val="baseline"/>
              </w:rPr>
            </w:pPr>
            <w:r>
              <w:rPr>
                <w:color w:val="auto"/>
                <w:u w:val="single"/>
              </w:rPr>
              <w:t>1700m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2</w:t>
            </w:r>
          </w:p>
        </w:tc>
        <w:tc>
          <w:tcPr>
            <w:tcW w:w="1154" w:type="dxa"/>
            <w:vAlign w:val="top"/>
          </w:tcPr>
          <w:p>
            <w:pPr>
              <w:pStyle w:val="247"/>
              <w:kinsoku w:val="0"/>
              <w:overflowPunct w:val="0"/>
              <w:spacing w:before="90"/>
              <w:ind w:left="107" w:leftChars="0" w:right="83" w:rightChars="0"/>
              <w:rPr>
                <w:color w:val="auto"/>
                <w:u w:val="single"/>
                <w:vertAlign w:val="baseline"/>
              </w:rPr>
            </w:pPr>
            <w:r>
              <w:rPr>
                <w:rFonts w:hint="eastAsia" w:ascii="宋体" w:hAnsi="宋体" w:eastAsia="宋体"/>
                <w:color w:val="auto"/>
                <w:u w:val="single"/>
              </w:rPr>
              <w:t>南山社区</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-310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1060</w:t>
            </w:r>
          </w:p>
        </w:tc>
        <w:tc>
          <w:tcPr>
            <w:tcW w:w="1102"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4"/>
              <w:ind w:right="321" w:rightChars="0"/>
              <w:jc w:val="right"/>
              <w:rPr>
                <w:color w:val="auto"/>
                <w:u w:val="single"/>
                <w:vertAlign w:val="baseline"/>
              </w:rPr>
            </w:pPr>
            <w:r>
              <w:rPr>
                <w:color w:val="auto"/>
                <w:w w:val="95"/>
                <w:u w:val="single"/>
              </w:rPr>
              <w:t>SW</w:t>
            </w:r>
          </w:p>
        </w:tc>
        <w:tc>
          <w:tcPr>
            <w:tcW w:w="1356" w:type="dxa"/>
            <w:vAlign w:val="top"/>
          </w:tcPr>
          <w:p>
            <w:pPr>
              <w:pStyle w:val="247"/>
              <w:kinsoku w:val="0"/>
              <w:overflowPunct w:val="0"/>
              <w:spacing w:before="104"/>
              <w:ind w:left="100" w:leftChars="0" w:right="74" w:rightChars="0"/>
              <w:rPr>
                <w:color w:val="auto"/>
                <w:u w:val="single"/>
                <w:vertAlign w:val="baseline"/>
              </w:rPr>
            </w:pPr>
            <w:r>
              <w:rPr>
                <w:color w:val="auto"/>
                <w:u w:val="single"/>
              </w:rPr>
              <w:t>1</w:t>
            </w:r>
            <w:r>
              <w:rPr>
                <w:rFonts w:hint="eastAsia" w:eastAsia="宋体"/>
                <w:color w:val="auto"/>
                <w:u w:val="single"/>
              </w:rPr>
              <w:t>3</w:t>
            </w:r>
            <w:r>
              <w:rPr>
                <w:color w:val="auto"/>
                <w:u w:val="single"/>
              </w:rPr>
              <w:t>60m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3</w:t>
            </w:r>
          </w:p>
        </w:tc>
        <w:tc>
          <w:tcPr>
            <w:tcW w:w="1154" w:type="dxa"/>
            <w:vAlign w:val="top"/>
          </w:tcPr>
          <w:p>
            <w:pPr>
              <w:pStyle w:val="247"/>
              <w:kinsoku w:val="0"/>
              <w:overflowPunct w:val="0"/>
              <w:spacing w:before="89"/>
              <w:ind w:left="107" w:leftChars="0" w:right="83" w:rightChars="0"/>
              <w:rPr>
                <w:color w:val="auto"/>
                <w:u w:val="single"/>
                <w:vertAlign w:val="baseline"/>
              </w:rPr>
            </w:pPr>
            <w:r>
              <w:rPr>
                <w:rFonts w:hint="eastAsia" w:ascii="宋体" w:hAnsi="宋体" w:eastAsia="宋体"/>
                <w:color w:val="auto"/>
                <w:u w:val="single"/>
              </w:rPr>
              <w:t>长岭社区</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-1650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0</w:t>
            </w:r>
          </w:p>
        </w:tc>
        <w:tc>
          <w:tcPr>
            <w:tcW w:w="1102"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6"/>
              <w:ind w:right="321" w:rightChars="0"/>
              <w:jc w:val="right"/>
              <w:rPr>
                <w:color w:val="auto"/>
                <w:u w:val="single"/>
                <w:vertAlign w:val="baseline"/>
              </w:rPr>
            </w:pPr>
            <w:r>
              <w:rPr>
                <w:color w:val="auto"/>
                <w:w w:val="95"/>
                <w:u w:val="single"/>
              </w:rPr>
              <w:t>SW</w:t>
            </w:r>
          </w:p>
        </w:tc>
        <w:tc>
          <w:tcPr>
            <w:tcW w:w="1356" w:type="dxa"/>
            <w:vAlign w:val="top"/>
          </w:tcPr>
          <w:p>
            <w:pPr>
              <w:pStyle w:val="247"/>
              <w:kinsoku w:val="0"/>
              <w:overflowPunct w:val="0"/>
              <w:spacing w:before="106"/>
              <w:ind w:left="102" w:leftChars="0" w:right="74" w:rightChars="0"/>
              <w:rPr>
                <w:color w:val="auto"/>
                <w:u w:val="single"/>
                <w:vertAlign w:val="baseline"/>
              </w:rPr>
            </w:pPr>
            <w:r>
              <w:rPr>
                <w:color w:val="auto"/>
                <w:u w:val="single"/>
              </w:rPr>
              <w:t>1</w:t>
            </w:r>
            <w:r>
              <w:rPr>
                <w:rFonts w:hint="eastAsia" w:eastAsia="宋体"/>
                <w:color w:val="auto"/>
                <w:u w:val="single"/>
              </w:rPr>
              <w:t>8</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4</w:t>
            </w:r>
          </w:p>
        </w:tc>
        <w:tc>
          <w:tcPr>
            <w:tcW w:w="1154" w:type="dxa"/>
            <w:vAlign w:val="top"/>
          </w:tcPr>
          <w:p>
            <w:pPr>
              <w:pStyle w:val="247"/>
              <w:kinsoku w:val="0"/>
              <w:overflowPunct w:val="0"/>
              <w:spacing w:before="91"/>
              <w:ind w:left="109" w:leftChars="0" w:right="83" w:rightChars="0"/>
              <w:rPr>
                <w:color w:val="auto"/>
                <w:u w:val="single"/>
                <w:vertAlign w:val="baseline"/>
              </w:rPr>
            </w:pPr>
            <w:r>
              <w:rPr>
                <w:rFonts w:hint="eastAsia" w:ascii="宋体" w:hAnsi="宋体" w:eastAsia="宋体"/>
                <w:color w:val="auto"/>
                <w:u w:val="single"/>
              </w:rPr>
              <w:t>岳阳长炼医院</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-800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医院</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left="29" w:leftChars="0"/>
              <w:rPr>
                <w:color w:val="auto"/>
                <w:u w:val="single"/>
                <w:vertAlign w:val="baseline"/>
              </w:rPr>
            </w:pPr>
            <w:r>
              <w:rPr>
                <w:color w:val="auto"/>
                <w:w w:val="99"/>
                <w:u w:val="single"/>
              </w:rPr>
              <w:t>W</w:t>
            </w:r>
          </w:p>
        </w:tc>
        <w:tc>
          <w:tcPr>
            <w:tcW w:w="1356" w:type="dxa"/>
            <w:vAlign w:val="top"/>
          </w:tcPr>
          <w:p>
            <w:pPr>
              <w:pStyle w:val="247"/>
              <w:kinsoku w:val="0"/>
              <w:overflowPunct w:val="0"/>
              <w:spacing w:before="105"/>
              <w:ind w:left="104" w:leftChars="0" w:right="74" w:rightChars="0"/>
              <w:rPr>
                <w:color w:val="auto"/>
                <w:u w:val="single"/>
                <w:vertAlign w:val="baseline"/>
              </w:rPr>
            </w:pPr>
            <w:r>
              <w:rPr>
                <w:rFonts w:hint="eastAsia" w:eastAsia="宋体"/>
                <w:color w:val="auto"/>
                <w:u w:val="single"/>
                <w:lang w:val="en-US" w:eastAsia="zh-CN"/>
              </w:rPr>
              <w:t>800</w:t>
            </w:r>
            <w:r>
              <w:rPr>
                <w:color w:val="auto"/>
                <w:u w:val="singl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5</w:t>
            </w:r>
          </w:p>
        </w:tc>
        <w:tc>
          <w:tcPr>
            <w:tcW w:w="1154" w:type="dxa"/>
            <w:vAlign w:val="top"/>
          </w:tcPr>
          <w:p>
            <w:pPr>
              <w:pStyle w:val="247"/>
              <w:kinsoku w:val="0"/>
              <w:overflowPunct w:val="0"/>
              <w:spacing w:before="90"/>
              <w:ind w:left="107" w:leftChars="0" w:right="83" w:rightChars="0"/>
              <w:rPr>
                <w:color w:val="auto"/>
                <w:u w:val="single"/>
                <w:vertAlign w:val="baseline"/>
              </w:rPr>
            </w:pPr>
            <w:r>
              <w:rPr>
                <w:rFonts w:hint="eastAsia" w:ascii="宋体" w:hAnsi="宋体" w:eastAsia="宋体"/>
                <w:color w:val="auto"/>
                <w:u w:val="single"/>
              </w:rPr>
              <w:t>长炼学校</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-1520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-1520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学校</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学生</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4"/>
              <w:ind w:right="304" w:rightChars="0"/>
              <w:jc w:val="right"/>
              <w:rPr>
                <w:color w:val="auto"/>
                <w:u w:val="single"/>
                <w:vertAlign w:val="baseline"/>
              </w:rPr>
            </w:pPr>
            <w:r>
              <w:rPr>
                <w:color w:val="auto"/>
                <w:w w:val="95"/>
                <w:u w:val="single"/>
              </w:rPr>
              <w:t>NW</w:t>
            </w:r>
          </w:p>
        </w:tc>
        <w:tc>
          <w:tcPr>
            <w:tcW w:w="1356" w:type="dxa"/>
            <w:vAlign w:val="top"/>
          </w:tcPr>
          <w:p>
            <w:pPr>
              <w:pStyle w:val="247"/>
              <w:kinsoku w:val="0"/>
              <w:overflowPunct w:val="0"/>
              <w:spacing w:before="104"/>
              <w:ind w:left="102" w:leftChars="0" w:right="74" w:rightChars="0"/>
              <w:rPr>
                <w:color w:val="auto"/>
                <w:u w:val="single"/>
                <w:vertAlign w:val="baseline"/>
              </w:rPr>
            </w:pPr>
            <w:r>
              <w:rPr>
                <w:color w:val="auto"/>
                <w:u w:val="single"/>
              </w:rPr>
              <w:t>1</w:t>
            </w:r>
            <w:r>
              <w:rPr>
                <w:rFonts w:hint="eastAsia" w:eastAsia="宋体"/>
                <w:color w:val="auto"/>
                <w:u w:val="single"/>
              </w:rPr>
              <w:t>9</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6</w:t>
            </w:r>
          </w:p>
        </w:tc>
        <w:tc>
          <w:tcPr>
            <w:tcW w:w="1154" w:type="dxa"/>
            <w:vAlign w:val="top"/>
          </w:tcPr>
          <w:p>
            <w:pPr>
              <w:pStyle w:val="247"/>
              <w:kinsoku w:val="0"/>
              <w:overflowPunct w:val="0"/>
              <w:ind w:right="83"/>
              <w:jc w:val="both"/>
              <w:rPr>
                <w:color w:val="auto"/>
                <w:u w:val="single"/>
                <w:vertAlign w:val="baseline"/>
              </w:rPr>
            </w:pPr>
            <w:r>
              <w:rPr>
                <w:rFonts w:hint="eastAsia" w:ascii="宋体" w:hAnsi="宋体" w:eastAsia="宋体"/>
                <w:color w:val="auto"/>
                <w:u w:val="single"/>
              </w:rPr>
              <w:t>湖南石油化工职业技术学院</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-2050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-1850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学校</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学生</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49"/>
              <w:ind w:right="321" w:rightChars="0"/>
              <w:jc w:val="right"/>
              <w:rPr>
                <w:color w:val="auto"/>
                <w:u w:val="single"/>
                <w:vertAlign w:val="baseline"/>
              </w:rPr>
            </w:pPr>
            <w:r>
              <w:rPr>
                <w:color w:val="auto"/>
                <w:w w:val="95"/>
                <w:u w:val="single"/>
              </w:rPr>
              <w:t>SW</w:t>
            </w:r>
          </w:p>
        </w:tc>
        <w:tc>
          <w:tcPr>
            <w:tcW w:w="1356" w:type="dxa"/>
            <w:vAlign w:val="top"/>
          </w:tcPr>
          <w:p>
            <w:pPr>
              <w:pStyle w:val="247"/>
              <w:kinsoku w:val="0"/>
              <w:overflowPunct w:val="0"/>
              <w:spacing w:before="149"/>
              <w:ind w:left="102" w:leftChars="0" w:right="74" w:rightChars="0"/>
              <w:rPr>
                <w:color w:val="auto"/>
                <w:u w:val="single"/>
                <w:vertAlign w:val="baseline"/>
              </w:rPr>
            </w:pPr>
            <w:r>
              <w:rPr>
                <w:color w:val="auto"/>
                <w:u w:val="single"/>
              </w:rPr>
              <w:t>2</w:t>
            </w:r>
            <w:r>
              <w:rPr>
                <w:rFonts w:hint="eastAsia" w:eastAsia="宋体"/>
                <w:color w:val="auto"/>
                <w:u w:val="single"/>
              </w:rPr>
              <w:t>4</w:t>
            </w:r>
            <w:r>
              <w:rPr>
                <w:color w:val="auto"/>
                <w:u w:val="single"/>
              </w:rPr>
              <w:t>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7</w:t>
            </w:r>
          </w:p>
        </w:tc>
        <w:tc>
          <w:tcPr>
            <w:tcW w:w="1154" w:type="dxa"/>
            <w:vAlign w:val="top"/>
          </w:tcPr>
          <w:p>
            <w:pPr>
              <w:pStyle w:val="247"/>
              <w:kinsoku w:val="0"/>
              <w:overflowPunct w:val="0"/>
              <w:spacing w:before="1"/>
              <w:ind w:right="83"/>
              <w:jc w:val="both"/>
              <w:rPr>
                <w:color w:val="auto"/>
                <w:u w:val="single"/>
                <w:vertAlign w:val="baseline"/>
              </w:rPr>
            </w:pPr>
            <w:r>
              <w:rPr>
                <w:rFonts w:hint="eastAsia" w:ascii="宋体" w:hAnsi="宋体" w:eastAsia="宋体"/>
                <w:color w:val="auto"/>
                <w:u w:val="single"/>
              </w:rPr>
              <w:t>长岭分公司生活</w:t>
            </w:r>
            <w:r>
              <w:rPr>
                <w:rFonts w:hint="eastAsia" w:ascii="宋体" w:hAnsi="宋体" w:eastAsia="宋体"/>
                <w:color w:val="auto"/>
                <w:w w:val="99"/>
                <w:u w:val="single"/>
              </w:rPr>
              <w:t>区</w:t>
            </w:r>
          </w:p>
        </w:tc>
        <w:tc>
          <w:tcPr>
            <w:tcW w:w="848" w:type="dxa"/>
          </w:tcPr>
          <w:p>
            <w:pPr>
              <w:pStyle w:val="18"/>
              <w:spacing w:line="480" w:lineRule="exact"/>
              <w:rPr>
                <w:rFonts w:hint="default" w:ascii="Times New Roman" w:hAnsi="Times New Roman"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w:t>
            </w:r>
            <w:r>
              <w:rPr>
                <w:rFonts w:hint="eastAsia" w:ascii="宋体" w:hAnsi="宋体" w:eastAsia="宋体" w:cs="Times New Roman"/>
                <w:b w:val="0"/>
                <w:color w:val="auto"/>
                <w:kern w:val="2"/>
                <w:sz w:val="21"/>
                <w:szCs w:val="22"/>
                <w:u w:val="single"/>
                <w:lang w:val="en-US" w:eastAsia="zh-CN" w:bidi="ar-SA"/>
              </w:rPr>
              <w:t>1000-</w:t>
            </w:r>
            <w:r>
              <w:rPr>
                <w:rFonts w:hint="eastAsia" w:ascii="宋体" w:hAnsi="宋体" w:cs="Times New Roman"/>
                <w:b w:val="0"/>
                <w:color w:val="auto"/>
                <w:kern w:val="2"/>
                <w:sz w:val="21"/>
                <w:szCs w:val="22"/>
                <w:u w:val="single"/>
                <w:lang w:val="en-US" w:eastAsia="zh-CN" w:bidi="ar-SA"/>
              </w:rPr>
              <w:t>-</w:t>
            </w:r>
            <w:r>
              <w:rPr>
                <w:rFonts w:hint="eastAsia" w:ascii="宋体" w:hAnsi="宋体" w:eastAsia="宋体" w:cs="Times New Roman"/>
                <w:b w:val="0"/>
                <w:color w:val="auto"/>
                <w:kern w:val="2"/>
                <w:sz w:val="21"/>
                <w:szCs w:val="22"/>
                <w:u w:val="single"/>
                <w:lang w:val="en-US" w:eastAsia="zh-CN" w:bidi="ar-SA"/>
              </w:rPr>
              <w:t>2500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52"/>
              <w:ind w:left="29" w:leftChars="0"/>
              <w:rPr>
                <w:color w:val="auto"/>
                <w:u w:val="single"/>
                <w:vertAlign w:val="baseline"/>
              </w:rPr>
            </w:pPr>
            <w:r>
              <w:rPr>
                <w:color w:val="auto"/>
                <w:w w:val="99"/>
                <w:u w:val="single"/>
              </w:rPr>
              <w:t>W</w:t>
            </w:r>
          </w:p>
        </w:tc>
        <w:tc>
          <w:tcPr>
            <w:tcW w:w="1356" w:type="dxa"/>
            <w:vAlign w:val="top"/>
          </w:tcPr>
          <w:p>
            <w:pPr>
              <w:pStyle w:val="247"/>
              <w:kinsoku w:val="0"/>
              <w:overflowPunct w:val="0"/>
              <w:spacing w:before="152"/>
              <w:ind w:left="104" w:leftChars="0" w:right="74" w:rightChars="0"/>
              <w:rPr>
                <w:color w:val="auto"/>
                <w:u w:val="single"/>
                <w:vertAlign w:val="baseline"/>
              </w:rPr>
            </w:pPr>
            <w:r>
              <w:rPr>
                <w:rFonts w:hint="eastAsia" w:eastAsia="宋体"/>
                <w:color w:val="auto"/>
                <w:u w:val="single"/>
              </w:rPr>
              <w:t>10</w:t>
            </w:r>
            <w:r>
              <w:rPr>
                <w:color w:val="auto"/>
                <w:u w:val="single"/>
              </w:rPr>
              <w:t>00-2</w:t>
            </w:r>
            <w:r>
              <w:rPr>
                <w:rFonts w:hint="eastAsia" w:eastAsia="宋体"/>
                <w:color w:val="auto"/>
                <w:u w:val="single"/>
              </w:rPr>
              <w:t>5</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8</w:t>
            </w:r>
          </w:p>
        </w:tc>
        <w:tc>
          <w:tcPr>
            <w:tcW w:w="1154" w:type="dxa"/>
            <w:vAlign w:val="top"/>
          </w:tcPr>
          <w:p>
            <w:pPr>
              <w:pStyle w:val="247"/>
              <w:kinsoku w:val="0"/>
              <w:overflowPunct w:val="0"/>
              <w:spacing w:before="91"/>
              <w:ind w:left="107" w:leftChars="0" w:right="83" w:rightChars="0"/>
              <w:rPr>
                <w:color w:val="auto"/>
                <w:u w:val="single"/>
                <w:vertAlign w:val="baseline"/>
              </w:rPr>
            </w:pPr>
            <w:r>
              <w:rPr>
                <w:rFonts w:hint="eastAsia" w:ascii="宋体" w:hAnsi="宋体" w:eastAsia="宋体"/>
                <w:color w:val="auto"/>
                <w:u w:val="single"/>
              </w:rPr>
              <w:t>长兴花园</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-1850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-250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left="29" w:leftChars="0"/>
              <w:rPr>
                <w:color w:val="auto"/>
                <w:u w:val="single"/>
                <w:vertAlign w:val="baseline"/>
              </w:rPr>
            </w:pPr>
            <w:r>
              <w:rPr>
                <w:color w:val="auto"/>
                <w:w w:val="99"/>
                <w:u w:val="single"/>
              </w:rPr>
              <w:t>W</w:t>
            </w:r>
          </w:p>
        </w:tc>
        <w:tc>
          <w:tcPr>
            <w:tcW w:w="1356" w:type="dxa"/>
            <w:vAlign w:val="top"/>
          </w:tcPr>
          <w:p>
            <w:pPr>
              <w:pStyle w:val="247"/>
              <w:kinsoku w:val="0"/>
              <w:overflowPunct w:val="0"/>
              <w:spacing w:before="105"/>
              <w:ind w:left="102" w:leftChars="0" w:right="74" w:rightChars="0"/>
              <w:rPr>
                <w:color w:val="auto"/>
                <w:u w:val="single"/>
                <w:vertAlign w:val="baseline"/>
              </w:rPr>
            </w:pPr>
            <w:r>
              <w:rPr>
                <w:rFonts w:hint="eastAsia" w:eastAsia="宋体"/>
                <w:color w:val="auto"/>
                <w:u w:val="single"/>
              </w:rPr>
              <w:t>21</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eastAsia" w:eastAsia="宋体"/>
                <w:color w:val="auto"/>
                <w:u w:val="single"/>
                <w:vertAlign w:val="baseline"/>
                <w:lang w:val="en-US" w:eastAsia="zh-CN"/>
              </w:rPr>
            </w:pPr>
            <w:r>
              <w:rPr>
                <w:rFonts w:hint="eastAsia"/>
                <w:color w:val="auto"/>
                <w:u w:val="single"/>
                <w:vertAlign w:val="baseline"/>
                <w:lang w:val="en-US" w:eastAsia="zh-CN"/>
              </w:rPr>
              <w:t>9</w:t>
            </w:r>
          </w:p>
        </w:tc>
        <w:tc>
          <w:tcPr>
            <w:tcW w:w="1154" w:type="dxa"/>
            <w:vAlign w:val="top"/>
          </w:tcPr>
          <w:p>
            <w:pPr>
              <w:pStyle w:val="247"/>
              <w:kinsoku w:val="0"/>
              <w:overflowPunct w:val="0"/>
              <w:spacing w:before="91"/>
              <w:ind w:left="109" w:leftChars="0" w:right="80" w:rightChars="0"/>
              <w:rPr>
                <w:color w:val="auto"/>
                <w:u w:val="single"/>
                <w:vertAlign w:val="baseline"/>
              </w:rPr>
            </w:pPr>
            <w:r>
              <w:rPr>
                <w:rFonts w:hint="eastAsia" w:ascii="宋体" w:hAnsi="宋体" w:eastAsia="宋体"/>
                <w:color w:val="auto"/>
                <w:u w:val="single"/>
              </w:rPr>
              <w:t>阳西村小区</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-1760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-258</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left="29" w:leftChars="0"/>
              <w:rPr>
                <w:color w:val="auto"/>
                <w:u w:val="single"/>
                <w:vertAlign w:val="baseline"/>
              </w:rPr>
            </w:pPr>
            <w:r>
              <w:rPr>
                <w:color w:val="auto"/>
                <w:w w:val="99"/>
                <w:u w:val="single"/>
              </w:rPr>
              <w:t>W</w:t>
            </w:r>
          </w:p>
        </w:tc>
        <w:tc>
          <w:tcPr>
            <w:tcW w:w="1356" w:type="dxa"/>
            <w:vAlign w:val="top"/>
          </w:tcPr>
          <w:p>
            <w:pPr>
              <w:pStyle w:val="247"/>
              <w:kinsoku w:val="0"/>
              <w:overflowPunct w:val="0"/>
              <w:spacing w:before="105"/>
              <w:ind w:left="102" w:leftChars="0" w:right="74" w:rightChars="0"/>
              <w:rPr>
                <w:color w:val="auto"/>
                <w:u w:val="single"/>
                <w:vertAlign w:val="baseline"/>
              </w:rPr>
            </w:pPr>
            <w:r>
              <w:rPr>
                <w:rFonts w:hint="eastAsia" w:eastAsia="宋体"/>
                <w:color w:val="auto"/>
                <w:u w:val="single"/>
              </w:rPr>
              <w:t>20</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default" w:eastAsia="宋体"/>
                <w:color w:val="auto"/>
                <w:u w:val="single"/>
                <w:vertAlign w:val="baseline"/>
                <w:lang w:val="en-US" w:eastAsia="zh-CN"/>
              </w:rPr>
            </w:pPr>
            <w:r>
              <w:rPr>
                <w:rFonts w:hint="eastAsia"/>
                <w:color w:val="auto"/>
                <w:u w:val="single"/>
                <w:vertAlign w:val="baseline"/>
                <w:lang w:val="en-US" w:eastAsia="zh-CN"/>
              </w:rPr>
              <w:t>10</w:t>
            </w:r>
          </w:p>
        </w:tc>
        <w:tc>
          <w:tcPr>
            <w:tcW w:w="1154" w:type="dxa"/>
            <w:vAlign w:val="top"/>
          </w:tcPr>
          <w:p>
            <w:pPr>
              <w:pStyle w:val="247"/>
              <w:kinsoku w:val="0"/>
              <w:overflowPunct w:val="0"/>
              <w:spacing w:before="90"/>
              <w:ind w:left="109" w:leftChars="0" w:right="83" w:rightChars="0"/>
              <w:rPr>
                <w:color w:val="auto"/>
                <w:u w:val="single"/>
                <w:vertAlign w:val="baseline"/>
              </w:rPr>
            </w:pPr>
            <w:r>
              <w:rPr>
                <w:rFonts w:hint="eastAsia" w:ascii="宋体" w:hAnsi="宋体" w:eastAsia="宋体"/>
                <w:color w:val="auto"/>
                <w:u w:val="single"/>
              </w:rPr>
              <w:t>和平村</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108</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756</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6"/>
              <w:ind w:right="338" w:rightChars="0"/>
              <w:jc w:val="right"/>
              <w:rPr>
                <w:color w:val="auto"/>
                <w:u w:val="single"/>
                <w:vertAlign w:val="baseline"/>
              </w:rPr>
            </w:pPr>
            <w:r>
              <w:rPr>
                <w:color w:val="auto"/>
                <w:w w:val="95"/>
                <w:u w:val="single"/>
              </w:rPr>
              <w:t>EN</w:t>
            </w:r>
          </w:p>
        </w:tc>
        <w:tc>
          <w:tcPr>
            <w:tcW w:w="1356" w:type="dxa"/>
            <w:vAlign w:val="top"/>
          </w:tcPr>
          <w:p>
            <w:pPr>
              <w:pStyle w:val="247"/>
              <w:kinsoku w:val="0"/>
              <w:overflowPunct w:val="0"/>
              <w:spacing w:before="106"/>
              <w:ind w:left="104" w:leftChars="0" w:right="74" w:rightChars="0"/>
              <w:rPr>
                <w:color w:val="auto"/>
                <w:u w:val="single"/>
                <w:vertAlign w:val="baseline"/>
              </w:rPr>
            </w:pPr>
            <w:r>
              <w:rPr>
                <w:rFonts w:hint="eastAsia" w:eastAsia="宋体"/>
                <w:color w:val="auto"/>
                <w:u w:val="single"/>
              </w:rPr>
              <w:t>8</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vAlign w:val="top"/>
          </w:tcPr>
          <w:p>
            <w:pPr>
              <w:pStyle w:val="18"/>
              <w:spacing w:line="480" w:lineRule="exact"/>
              <w:rPr>
                <w:rFonts w:hint="eastAsia"/>
                <w:color w:val="auto"/>
                <w:u w:val="single"/>
                <w:vertAlign w:val="baseline"/>
                <w:lang w:val="en-US" w:eastAsia="zh-CN"/>
              </w:rPr>
            </w:pPr>
            <w:r>
              <w:rPr>
                <w:rFonts w:hint="eastAsia"/>
                <w:color w:val="auto"/>
                <w:u w:val="single"/>
                <w:vertAlign w:val="baseline"/>
                <w:lang w:val="en-US" w:eastAsia="zh-CN"/>
              </w:rPr>
              <w:t>11</w:t>
            </w:r>
          </w:p>
        </w:tc>
        <w:tc>
          <w:tcPr>
            <w:tcW w:w="1154" w:type="dxa"/>
            <w:vAlign w:val="top"/>
          </w:tcPr>
          <w:p>
            <w:pPr>
              <w:pStyle w:val="247"/>
              <w:kinsoku w:val="0"/>
              <w:overflowPunct w:val="0"/>
              <w:spacing w:before="90"/>
              <w:ind w:left="109" w:leftChars="0" w:right="83" w:rightChars="0"/>
              <w:rPr>
                <w:rFonts w:hint="eastAsia" w:ascii="宋体" w:hAnsi="宋体" w:eastAsia="宋体"/>
                <w:color w:val="auto"/>
                <w:u w:val="single"/>
                <w:lang w:eastAsia="zh-CN"/>
              </w:rPr>
            </w:pPr>
            <w:r>
              <w:rPr>
                <w:rFonts w:hint="eastAsia" w:ascii="宋体" w:hAnsi="宋体" w:eastAsia="宋体"/>
                <w:color w:val="auto"/>
                <w:u w:val="single"/>
                <w:lang w:eastAsia="zh-CN"/>
              </w:rPr>
              <w:t>小桥村</w:t>
            </w:r>
          </w:p>
        </w:tc>
        <w:tc>
          <w:tcPr>
            <w:tcW w:w="848" w:type="dxa"/>
          </w:tcPr>
          <w:p>
            <w:pPr>
              <w:pStyle w:val="18"/>
              <w:spacing w:line="480" w:lineRule="exact"/>
              <w:rPr>
                <w:rFonts w:hint="default" w:ascii="宋体" w:hAnsi="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252</w:t>
            </w:r>
          </w:p>
        </w:tc>
        <w:tc>
          <w:tcPr>
            <w:tcW w:w="831" w:type="dxa"/>
          </w:tcPr>
          <w:p>
            <w:pPr>
              <w:pStyle w:val="18"/>
              <w:spacing w:line="480" w:lineRule="exact"/>
              <w:rPr>
                <w:rFonts w:hint="default" w:ascii="宋体" w:hAnsi="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1250</w:t>
            </w:r>
          </w:p>
        </w:tc>
        <w:tc>
          <w:tcPr>
            <w:tcW w:w="1102" w:type="dxa"/>
            <w:vAlign w:val="top"/>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vAlign w:val="top"/>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vAlign w:val="top"/>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6"/>
              <w:ind w:right="338" w:rightChars="0"/>
              <w:jc w:val="right"/>
              <w:rPr>
                <w:color w:val="auto"/>
                <w:w w:val="95"/>
                <w:u w:val="single"/>
              </w:rPr>
            </w:pPr>
            <w:r>
              <w:rPr>
                <w:color w:val="auto"/>
                <w:w w:val="95"/>
                <w:u w:val="single"/>
              </w:rPr>
              <w:t>EN</w:t>
            </w:r>
          </w:p>
        </w:tc>
        <w:tc>
          <w:tcPr>
            <w:tcW w:w="1356" w:type="dxa"/>
            <w:vAlign w:val="top"/>
          </w:tcPr>
          <w:p>
            <w:pPr>
              <w:pStyle w:val="247"/>
              <w:kinsoku w:val="0"/>
              <w:overflowPunct w:val="0"/>
              <w:spacing w:before="106"/>
              <w:ind w:left="104" w:leftChars="0" w:right="74" w:rightChars="0"/>
              <w:rPr>
                <w:rFonts w:hint="eastAsia" w:eastAsia="宋体"/>
                <w:color w:val="auto"/>
                <w:u w:val="single"/>
              </w:rPr>
            </w:pPr>
            <w:r>
              <w:rPr>
                <w:rFonts w:hint="eastAsia" w:eastAsia="宋体"/>
                <w:color w:val="auto"/>
                <w:u w:val="single"/>
                <w:lang w:val="en-US" w:eastAsia="zh-CN"/>
              </w:rPr>
              <w:t>13</w:t>
            </w:r>
            <w:r>
              <w:rPr>
                <w:color w:val="auto"/>
                <w:u w:val="single"/>
              </w:rPr>
              <w:t>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vAlign w:val="top"/>
          </w:tcPr>
          <w:p>
            <w:pPr>
              <w:pStyle w:val="18"/>
              <w:spacing w:line="480" w:lineRule="exact"/>
              <w:rPr>
                <w:rFonts w:hint="default" w:eastAsia="宋体"/>
                <w:color w:val="auto"/>
                <w:u w:val="single"/>
                <w:vertAlign w:val="baseline"/>
                <w:lang w:val="en-US" w:eastAsia="zh-CN"/>
              </w:rPr>
            </w:pPr>
            <w:r>
              <w:rPr>
                <w:rFonts w:hint="eastAsia"/>
                <w:color w:val="auto"/>
                <w:u w:val="single"/>
                <w:vertAlign w:val="baseline"/>
                <w:lang w:val="en-US" w:eastAsia="zh-CN"/>
              </w:rPr>
              <w:t>12</w:t>
            </w:r>
          </w:p>
        </w:tc>
        <w:tc>
          <w:tcPr>
            <w:tcW w:w="1154" w:type="dxa"/>
            <w:vAlign w:val="top"/>
          </w:tcPr>
          <w:p>
            <w:pPr>
              <w:pStyle w:val="247"/>
              <w:kinsoku w:val="0"/>
              <w:overflowPunct w:val="0"/>
              <w:spacing w:before="91"/>
              <w:ind w:left="109" w:leftChars="0" w:right="83" w:rightChars="0"/>
              <w:rPr>
                <w:color w:val="auto"/>
                <w:u w:val="single"/>
                <w:vertAlign w:val="baseline"/>
              </w:rPr>
            </w:pPr>
            <w:r>
              <w:rPr>
                <w:rFonts w:hint="eastAsia" w:ascii="宋体" w:hAnsi="宋体" w:eastAsia="宋体"/>
                <w:color w:val="auto"/>
                <w:u w:val="single"/>
              </w:rPr>
              <w:t>文桥村卫生院</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-610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1560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医院</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right="305" w:rightChars="0"/>
              <w:jc w:val="right"/>
              <w:rPr>
                <w:color w:val="auto"/>
                <w:u w:val="single"/>
                <w:vertAlign w:val="baseline"/>
              </w:rPr>
            </w:pPr>
            <w:r>
              <w:rPr>
                <w:color w:val="auto"/>
                <w:w w:val="95"/>
                <w:u w:val="single"/>
              </w:rPr>
              <w:t>WN</w:t>
            </w:r>
          </w:p>
        </w:tc>
        <w:tc>
          <w:tcPr>
            <w:tcW w:w="1356" w:type="dxa"/>
            <w:vAlign w:val="top"/>
          </w:tcPr>
          <w:p>
            <w:pPr>
              <w:pStyle w:val="247"/>
              <w:kinsoku w:val="0"/>
              <w:overflowPunct w:val="0"/>
              <w:spacing w:before="105"/>
              <w:ind w:left="102" w:leftChars="0" w:right="74" w:rightChars="0"/>
              <w:rPr>
                <w:color w:val="auto"/>
                <w:u w:val="single"/>
                <w:vertAlign w:val="baseline"/>
              </w:rPr>
            </w:pPr>
            <w:r>
              <w:rPr>
                <w:color w:val="auto"/>
                <w:u w:val="single"/>
              </w:rPr>
              <w:t>1860m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3" w:hRule="atLeast"/>
        </w:trPr>
        <w:tc>
          <w:tcPr>
            <w:tcW w:w="468" w:type="dxa"/>
            <w:vAlign w:val="top"/>
          </w:tcPr>
          <w:p>
            <w:pPr>
              <w:pStyle w:val="18"/>
              <w:spacing w:line="480" w:lineRule="exact"/>
              <w:rPr>
                <w:rFonts w:hint="default" w:eastAsia="宋体"/>
                <w:color w:val="auto"/>
                <w:u w:val="single"/>
                <w:vertAlign w:val="baseline"/>
                <w:lang w:val="en-US" w:eastAsia="zh-CN"/>
              </w:rPr>
            </w:pPr>
            <w:r>
              <w:rPr>
                <w:rFonts w:hint="eastAsia"/>
                <w:color w:val="auto"/>
                <w:u w:val="single"/>
                <w:vertAlign w:val="baseline"/>
                <w:lang w:val="en-US" w:eastAsia="zh-CN"/>
              </w:rPr>
              <w:t>13</w:t>
            </w:r>
          </w:p>
        </w:tc>
        <w:tc>
          <w:tcPr>
            <w:tcW w:w="1154" w:type="dxa"/>
            <w:vAlign w:val="top"/>
          </w:tcPr>
          <w:p>
            <w:pPr>
              <w:pStyle w:val="247"/>
              <w:kinsoku w:val="0"/>
              <w:overflowPunct w:val="0"/>
              <w:spacing w:before="91"/>
              <w:ind w:left="109" w:leftChars="0" w:right="83" w:rightChars="0"/>
              <w:rPr>
                <w:color w:val="auto"/>
                <w:u w:val="single"/>
                <w:vertAlign w:val="baseline"/>
              </w:rPr>
            </w:pPr>
            <w:r>
              <w:rPr>
                <w:rFonts w:hint="eastAsia" w:ascii="宋体" w:hAnsi="宋体" w:eastAsia="宋体"/>
                <w:color w:val="auto"/>
                <w:u w:val="single"/>
              </w:rPr>
              <w:t>文桥村</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-120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980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5"/>
              <w:ind w:right="305" w:rightChars="0"/>
              <w:jc w:val="right"/>
              <w:rPr>
                <w:color w:val="auto"/>
                <w:u w:val="single"/>
                <w:vertAlign w:val="baseline"/>
              </w:rPr>
            </w:pPr>
            <w:r>
              <w:rPr>
                <w:color w:val="auto"/>
                <w:w w:val="95"/>
                <w:u w:val="single"/>
              </w:rPr>
              <w:t>WN</w:t>
            </w:r>
          </w:p>
        </w:tc>
        <w:tc>
          <w:tcPr>
            <w:tcW w:w="1356" w:type="dxa"/>
            <w:vAlign w:val="top"/>
          </w:tcPr>
          <w:p>
            <w:pPr>
              <w:pStyle w:val="247"/>
              <w:kinsoku w:val="0"/>
              <w:overflowPunct w:val="0"/>
              <w:spacing w:before="105"/>
              <w:ind w:left="100" w:leftChars="0" w:right="74" w:rightChars="0"/>
              <w:rPr>
                <w:color w:val="auto"/>
                <w:u w:val="single"/>
                <w:vertAlign w:val="baseline"/>
              </w:rPr>
            </w:pPr>
            <w:r>
              <w:rPr>
                <w:color w:val="auto"/>
                <w:u w:val="single"/>
              </w:rPr>
              <w:t>1100m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vAlign w:val="top"/>
          </w:tcPr>
          <w:p>
            <w:pPr>
              <w:pStyle w:val="18"/>
              <w:spacing w:line="480" w:lineRule="exact"/>
              <w:rPr>
                <w:rFonts w:hint="default" w:eastAsia="宋体"/>
                <w:color w:val="auto"/>
                <w:u w:val="single"/>
                <w:vertAlign w:val="baseline"/>
                <w:lang w:val="en-US" w:eastAsia="zh-CN"/>
              </w:rPr>
            </w:pPr>
            <w:r>
              <w:rPr>
                <w:rFonts w:hint="eastAsia"/>
                <w:color w:val="auto"/>
                <w:u w:val="single"/>
                <w:vertAlign w:val="baseline"/>
                <w:lang w:val="en-US" w:eastAsia="zh-CN"/>
              </w:rPr>
              <w:t>14</w:t>
            </w:r>
          </w:p>
        </w:tc>
        <w:tc>
          <w:tcPr>
            <w:tcW w:w="1154" w:type="dxa"/>
            <w:vAlign w:val="top"/>
          </w:tcPr>
          <w:p>
            <w:pPr>
              <w:pStyle w:val="247"/>
              <w:kinsoku w:val="0"/>
              <w:overflowPunct w:val="0"/>
              <w:spacing w:before="90"/>
              <w:ind w:left="107" w:leftChars="0" w:right="83" w:rightChars="0"/>
              <w:rPr>
                <w:color w:val="auto"/>
                <w:u w:val="single"/>
                <w:vertAlign w:val="baseline"/>
              </w:rPr>
            </w:pPr>
            <w:r>
              <w:rPr>
                <w:rFonts w:hint="eastAsia" w:ascii="宋体" w:hAnsi="宋体" w:eastAsia="宋体"/>
                <w:color w:val="auto"/>
                <w:u w:val="single"/>
              </w:rPr>
              <w:t>文桥中学</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-620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1980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学校</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学生</w:t>
            </w:r>
          </w:p>
        </w:tc>
        <w:tc>
          <w:tcPr>
            <w:tcW w:w="1327" w:type="dxa"/>
          </w:tcPr>
          <w:p>
            <w:pPr>
              <w:spacing w:line="480" w:lineRule="exact"/>
              <w:jc w:val="center"/>
              <w:rPr>
                <w:color w:val="auto"/>
                <w:u w:val="single"/>
                <w:vertAlign w:val="baseline"/>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6"/>
              <w:ind w:right="305" w:rightChars="0"/>
              <w:jc w:val="right"/>
              <w:rPr>
                <w:color w:val="auto"/>
                <w:u w:val="single"/>
                <w:vertAlign w:val="baseline"/>
              </w:rPr>
            </w:pPr>
            <w:r>
              <w:rPr>
                <w:color w:val="auto"/>
                <w:w w:val="95"/>
                <w:u w:val="single"/>
              </w:rPr>
              <w:t>WN</w:t>
            </w:r>
          </w:p>
        </w:tc>
        <w:tc>
          <w:tcPr>
            <w:tcW w:w="1356" w:type="dxa"/>
            <w:vAlign w:val="top"/>
          </w:tcPr>
          <w:p>
            <w:pPr>
              <w:pStyle w:val="247"/>
              <w:kinsoku w:val="0"/>
              <w:overflowPunct w:val="0"/>
              <w:spacing w:before="106"/>
              <w:ind w:left="102" w:leftChars="0" w:right="74" w:rightChars="0"/>
              <w:rPr>
                <w:color w:val="auto"/>
                <w:u w:val="single"/>
                <w:vertAlign w:val="baseline"/>
              </w:rPr>
            </w:pPr>
            <w:r>
              <w:rPr>
                <w:color w:val="auto"/>
                <w:u w:val="single"/>
              </w:rPr>
              <w:t>2200m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68" w:type="dxa"/>
          </w:tcPr>
          <w:p>
            <w:pPr>
              <w:pStyle w:val="18"/>
              <w:spacing w:line="480" w:lineRule="exact"/>
              <w:rPr>
                <w:rFonts w:hint="default"/>
                <w:color w:val="auto"/>
                <w:u w:val="single"/>
                <w:vertAlign w:val="baseline"/>
                <w:lang w:val="en-US" w:eastAsia="zh-CN"/>
              </w:rPr>
            </w:pPr>
            <w:r>
              <w:rPr>
                <w:rFonts w:hint="eastAsia"/>
                <w:color w:val="auto"/>
                <w:u w:val="single"/>
                <w:vertAlign w:val="baseline"/>
                <w:lang w:val="en-US" w:eastAsia="zh-CN"/>
              </w:rPr>
              <w:t>15</w:t>
            </w:r>
          </w:p>
        </w:tc>
        <w:tc>
          <w:tcPr>
            <w:tcW w:w="1154" w:type="dxa"/>
            <w:vAlign w:val="top"/>
          </w:tcPr>
          <w:p>
            <w:pPr>
              <w:pStyle w:val="247"/>
              <w:kinsoku w:val="0"/>
              <w:overflowPunct w:val="0"/>
              <w:spacing w:before="90"/>
              <w:ind w:left="107" w:leftChars="0" w:right="83" w:rightChars="0"/>
              <w:rPr>
                <w:rFonts w:hint="eastAsia" w:ascii="宋体" w:hAnsi="宋体" w:eastAsia="宋体"/>
                <w:color w:val="auto"/>
                <w:u w:val="single"/>
                <w:lang w:eastAsia="zh-CN"/>
              </w:rPr>
            </w:pPr>
            <w:r>
              <w:rPr>
                <w:rFonts w:hint="eastAsia" w:ascii="宋体" w:hAnsi="宋体" w:eastAsia="宋体"/>
                <w:color w:val="auto"/>
                <w:u w:val="single"/>
                <w:lang w:eastAsia="zh-CN"/>
              </w:rPr>
              <w:t>路口村</w:t>
            </w:r>
          </w:p>
        </w:tc>
        <w:tc>
          <w:tcPr>
            <w:tcW w:w="848"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-350</w:t>
            </w:r>
          </w:p>
        </w:tc>
        <w:tc>
          <w:tcPr>
            <w:tcW w:w="831" w:type="dxa"/>
          </w:tcPr>
          <w:p>
            <w:pPr>
              <w:pStyle w:val="18"/>
              <w:spacing w:line="480" w:lineRule="exact"/>
              <w:rPr>
                <w:rFonts w:hint="default" w:ascii="宋体" w:hAnsi="宋体" w:eastAsia="宋体" w:cs="Times New Roman"/>
                <w:b w:val="0"/>
                <w:color w:val="auto"/>
                <w:kern w:val="2"/>
                <w:sz w:val="21"/>
                <w:szCs w:val="22"/>
                <w:u w:val="single"/>
                <w:lang w:val="en-US" w:eastAsia="zh-CN" w:bidi="ar-SA"/>
              </w:rPr>
            </w:pPr>
            <w:r>
              <w:rPr>
                <w:rFonts w:hint="eastAsia" w:ascii="宋体" w:hAnsi="宋体" w:cs="Times New Roman"/>
                <w:b w:val="0"/>
                <w:color w:val="auto"/>
                <w:kern w:val="2"/>
                <w:sz w:val="21"/>
                <w:szCs w:val="22"/>
                <w:u w:val="single"/>
                <w:lang w:val="en-US" w:eastAsia="zh-CN" w:bidi="ar-SA"/>
              </w:rPr>
              <w:t>2850</w:t>
            </w:r>
          </w:p>
        </w:tc>
        <w:tc>
          <w:tcPr>
            <w:tcW w:w="1102"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居民</w:t>
            </w:r>
          </w:p>
        </w:tc>
        <w:tc>
          <w:tcPr>
            <w:tcW w:w="1154" w:type="dxa"/>
          </w:tcPr>
          <w:p>
            <w:pPr>
              <w:pStyle w:val="18"/>
              <w:spacing w:line="480" w:lineRule="exact"/>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人群</w:t>
            </w:r>
          </w:p>
        </w:tc>
        <w:tc>
          <w:tcPr>
            <w:tcW w:w="1327" w:type="dxa"/>
          </w:tcPr>
          <w:p>
            <w:pPr>
              <w:spacing w:line="480" w:lineRule="exact"/>
              <w:jc w:val="center"/>
              <w:rPr>
                <w:rFonts w:hint="eastAsia" w:ascii="宋体" w:hAnsi="宋体" w:eastAsia="宋体" w:cs="Times New Roman"/>
                <w:b w:val="0"/>
                <w:color w:val="auto"/>
                <w:kern w:val="2"/>
                <w:sz w:val="21"/>
                <w:szCs w:val="22"/>
                <w:u w:val="single"/>
                <w:lang w:val="en-US" w:eastAsia="zh-CN" w:bidi="ar-SA"/>
              </w:rPr>
            </w:pPr>
            <w:r>
              <w:rPr>
                <w:rFonts w:hint="eastAsia" w:ascii="宋体" w:hAnsi="宋体" w:eastAsia="宋体" w:cs="Times New Roman"/>
                <w:b w:val="0"/>
                <w:color w:val="auto"/>
                <w:kern w:val="2"/>
                <w:sz w:val="21"/>
                <w:szCs w:val="22"/>
                <w:u w:val="single"/>
                <w:lang w:val="en-US" w:eastAsia="zh-CN" w:bidi="ar-SA"/>
              </w:rPr>
              <w:t>二类区</w:t>
            </w:r>
          </w:p>
        </w:tc>
        <w:tc>
          <w:tcPr>
            <w:tcW w:w="1073" w:type="dxa"/>
            <w:vAlign w:val="top"/>
          </w:tcPr>
          <w:p>
            <w:pPr>
              <w:pStyle w:val="247"/>
              <w:kinsoku w:val="0"/>
              <w:overflowPunct w:val="0"/>
              <w:spacing w:before="106"/>
              <w:ind w:right="305" w:rightChars="0"/>
              <w:jc w:val="right"/>
              <w:rPr>
                <w:color w:val="auto"/>
                <w:w w:val="95"/>
                <w:u w:val="single"/>
              </w:rPr>
            </w:pPr>
            <w:r>
              <w:rPr>
                <w:color w:val="auto"/>
                <w:w w:val="95"/>
                <w:u w:val="single"/>
              </w:rPr>
              <w:t>S</w:t>
            </w:r>
          </w:p>
        </w:tc>
        <w:tc>
          <w:tcPr>
            <w:tcW w:w="1356" w:type="dxa"/>
            <w:vAlign w:val="top"/>
          </w:tcPr>
          <w:p>
            <w:pPr>
              <w:pStyle w:val="247"/>
              <w:kinsoku w:val="0"/>
              <w:overflowPunct w:val="0"/>
              <w:spacing w:before="106"/>
              <w:ind w:left="102" w:leftChars="0" w:right="74" w:rightChars="0"/>
              <w:rPr>
                <w:rFonts w:hint="default" w:eastAsia="宋体"/>
                <w:color w:val="auto"/>
                <w:u w:val="single"/>
                <w:lang w:val="en-US" w:eastAsia="zh-CN"/>
              </w:rPr>
            </w:pPr>
            <w:r>
              <w:rPr>
                <w:rFonts w:hint="eastAsia" w:eastAsia="宋体"/>
                <w:color w:val="auto"/>
                <w:u w:val="single"/>
                <w:lang w:val="en-US" w:eastAsia="zh-CN"/>
              </w:rPr>
              <w:t>3000</w:t>
            </w:r>
            <w:r>
              <w:rPr>
                <w:color w:val="auto"/>
                <w:u w:val="single"/>
              </w:rPr>
              <w:t>m</w:t>
            </w:r>
          </w:p>
        </w:tc>
      </w:tr>
    </w:tbl>
    <w:p>
      <w:pPr>
        <w:rPr>
          <w:rFonts w:ascii="Times New Roman" w:hAnsi="Times New Roman" w:cs="Times New Roman"/>
          <w:color w:val="auto"/>
          <w:u w:val="single"/>
        </w:rPr>
      </w:pPr>
    </w:p>
    <w:p>
      <w:pPr>
        <w:rPr>
          <w:rFonts w:ascii="Times New Roman" w:hAnsi="Times New Roman" w:cs="Times New Roman"/>
          <w:color w:val="auto"/>
          <w:szCs w:val="21"/>
          <w:u w:val="single"/>
        </w:rPr>
      </w:pPr>
    </w:p>
    <w:p>
      <w:pPr>
        <w:pStyle w:val="22"/>
        <w:tabs>
          <w:tab w:val="left" w:pos="3933"/>
        </w:tabs>
        <w:kinsoku w:val="0"/>
        <w:overflowPunct w:val="0"/>
        <w:spacing w:before="74" w:beforeLines="0" w:after="5" w:afterLines="0"/>
        <w:ind w:left="2889"/>
        <w:rPr>
          <w:rFonts w:hint="eastAsia"/>
          <w:b/>
          <w:color w:val="auto"/>
          <w:sz w:val="24"/>
          <w:u w:val="single"/>
        </w:rPr>
      </w:pPr>
      <w:r>
        <w:rPr>
          <w:rFonts w:hint="eastAsia"/>
          <w:b/>
          <w:color w:val="auto"/>
          <w:sz w:val="24"/>
          <w:u w:val="single"/>
        </w:rPr>
        <w:t>表</w:t>
      </w:r>
      <w:r>
        <w:rPr>
          <w:rFonts w:hint="eastAsia"/>
          <w:b/>
          <w:color w:val="auto"/>
          <w:spacing w:val="-58"/>
          <w:sz w:val="24"/>
          <w:u w:val="single"/>
        </w:rPr>
        <w:t xml:space="preserve"> </w:t>
      </w:r>
      <w:r>
        <w:rPr>
          <w:rFonts w:hint="eastAsia" w:ascii="Times New Roman" w:hAnsi="Times New Roman" w:eastAsia="宋体"/>
          <w:b/>
          <w:color w:val="auto"/>
          <w:sz w:val="24"/>
          <w:u w:val="single"/>
          <w:lang w:val="en-US" w:eastAsia="zh-CN"/>
        </w:rPr>
        <w:t>1.6-2</w:t>
      </w:r>
      <w:r>
        <w:rPr>
          <w:rFonts w:hint="default" w:ascii="Times New Roman" w:hAnsi="Times New Roman" w:eastAsia="Times New Roman"/>
          <w:b/>
          <w:color w:val="auto"/>
          <w:sz w:val="24"/>
          <w:u w:val="single"/>
        </w:rPr>
        <w:tab/>
      </w:r>
      <w:r>
        <w:rPr>
          <w:rFonts w:hint="eastAsia"/>
          <w:b/>
          <w:color w:val="auto"/>
          <w:sz w:val="24"/>
          <w:u w:val="single"/>
        </w:rPr>
        <w:t>项目地表水保护目标</w:t>
      </w:r>
    </w:p>
    <w:tbl>
      <w:tblPr>
        <w:tblStyle w:val="45"/>
        <w:tblW w:w="8792" w:type="dxa"/>
        <w:tblInd w:w="7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04"/>
        <w:gridCol w:w="1811"/>
        <w:gridCol w:w="836"/>
        <w:gridCol w:w="1455"/>
        <w:gridCol w:w="1195"/>
        <w:gridCol w:w="21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18" w:hRule="atLeast"/>
        </w:trPr>
        <w:tc>
          <w:tcPr>
            <w:tcW w:w="130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7" w:beforeLines="0" w:afterLines="0"/>
              <w:ind w:right="174"/>
              <w:jc w:val="center"/>
              <w:rPr>
                <w:rFonts w:hint="eastAsia"/>
                <w:color w:val="auto"/>
                <w:sz w:val="21"/>
                <w:u w:val="single"/>
              </w:rPr>
            </w:pPr>
            <w:r>
              <w:rPr>
                <w:rFonts w:hint="eastAsia"/>
                <w:color w:val="auto"/>
                <w:sz w:val="21"/>
                <w:u w:val="single"/>
              </w:rPr>
              <w:t>环境要素</w:t>
            </w:r>
          </w:p>
        </w:tc>
        <w:tc>
          <w:tcPr>
            <w:tcW w:w="181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b/>
                <w:color w:val="auto"/>
                <w:sz w:val="20"/>
                <w:u w:val="single"/>
              </w:rPr>
            </w:pPr>
          </w:p>
          <w:p>
            <w:pPr>
              <w:pStyle w:val="247"/>
              <w:kinsoku w:val="0"/>
              <w:overflowPunct w:val="0"/>
              <w:spacing w:beforeLines="0" w:afterLines="0"/>
              <w:ind w:left="83" w:right="70"/>
              <w:rPr>
                <w:rFonts w:hint="eastAsia"/>
                <w:color w:val="auto"/>
                <w:sz w:val="21"/>
                <w:u w:val="single"/>
              </w:rPr>
            </w:pPr>
            <w:r>
              <w:rPr>
                <w:rFonts w:hint="eastAsia"/>
                <w:color w:val="auto"/>
                <w:sz w:val="21"/>
                <w:u w:val="single"/>
              </w:rPr>
              <w:t>敏感点</w:t>
            </w:r>
          </w:p>
        </w:tc>
        <w:tc>
          <w:tcPr>
            <w:tcW w:w="83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b/>
                <w:color w:val="auto"/>
                <w:sz w:val="20"/>
                <w:u w:val="single"/>
              </w:rPr>
            </w:pPr>
          </w:p>
          <w:p>
            <w:pPr>
              <w:pStyle w:val="247"/>
              <w:kinsoku w:val="0"/>
              <w:overflowPunct w:val="0"/>
              <w:spacing w:beforeLines="0" w:afterLines="0"/>
              <w:ind w:left="102" w:right="91"/>
              <w:rPr>
                <w:rFonts w:hint="eastAsia"/>
                <w:color w:val="auto"/>
                <w:sz w:val="21"/>
                <w:u w:val="single"/>
              </w:rPr>
            </w:pPr>
            <w:r>
              <w:rPr>
                <w:rFonts w:hint="eastAsia"/>
                <w:color w:val="auto"/>
                <w:sz w:val="21"/>
                <w:u w:val="single"/>
              </w:rPr>
              <w:t>方位</w:t>
            </w:r>
          </w:p>
        </w:tc>
        <w:tc>
          <w:tcPr>
            <w:tcW w:w="145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b/>
                <w:color w:val="auto"/>
                <w:sz w:val="20"/>
                <w:u w:val="single"/>
              </w:rPr>
            </w:pPr>
          </w:p>
          <w:p>
            <w:pPr>
              <w:pStyle w:val="247"/>
              <w:kinsoku w:val="0"/>
              <w:overflowPunct w:val="0"/>
              <w:spacing w:beforeLines="0" w:afterLines="0"/>
              <w:ind w:left="78" w:right="64"/>
              <w:rPr>
                <w:rFonts w:hint="eastAsia"/>
                <w:color w:val="auto"/>
                <w:sz w:val="21"/>
                <w:u w:val="single"/>
              </w:rPr>
            </w:pPr>
            <w:r>
              <w:rPr>
                <w:rFonts w:hint="eastAsia"/>
                <w:color w:val="auto"/>
                <w:sz w:val="21"/>
                <w:u w:val="single"/>
              </w:rPr>
              <w:t>规模</w:t>
            </w:r>
          </w:p>
        </w:tc>
        <w:tc>
          <w:tcPr>
            <w:tcW w:w="119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b/>
                <w:color w:val="auto"/>
                <w:sz w:val="20"/>
                <w:u w:val="single"/>
              </w:rPr>
            </w:pPr>
          </w:p>
          <w:p>
            <w:pPr>
              <w:pStyle w:val="247"/>
              <w:kinsoku w:val="0"/>
              <w:overflowPunct w:val="0"/>
              <w:spacing w:beforeLines="0" w:afterLines="0"/>
              <w:ind w:left="233" w:right="220"/>
              <w:rPr>
                <w:rFonts w:hint="eastAsia"/>
                <w:color w:val="auto"/>
                <w:sz w:val="21"/>
                <w:u w:val="single"/>
              </w:rPr>
            </w:pPr>
            <w:r>
              <w:rPr>
                <w:rFonts w:hint="eastAsia"/>
                <w:color w:val="auto"/>
                <w:sz w:val="21"/>
                <w:u w:val="single"/>
              </w:rPr>
              <w:t>距离</w:t>
            </w:r>
          </w:p>
        </w:tc>
        <w:tc>
          <w:tcPr>
            <w:tcW w:w="219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b/>
                <w:color w:val="auto"/>
                <w:sz w:val="20"/>
                <w:u w:val="single"/>
              </w:rPr>
            </w:pPr>
          </w:p>
          <w:p>
            <w:pPr>
              <w:pStyle w:val="247"/>
              <w:kinsoku w:val="0"/>
              <w:overflowPunct w:val="0"/>
              <w:spacing w:beforeLines="0" w:afterLines="0"/>
              <w:ind w:left="680"/>
              <w:jc w:val="left"/>
              <w:rPr>
                <w:rFonts w:hint="eastAsia"/>
                <w:color w:val="auto"/>
                <w:sz w:val="21"/>
                <w:u w:val="single"/>
              </w:rPr>
            </w:pPr>
            <w:r>
              <w:rPr>
                <w:rFonts w:hint="eastAsia"/>
                <w:color w:val="auto"/>
                <w:sz w:val="21"/>
                <w:u w:val="single"/>
              </w:rPr>
              <w:t>保护目标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atLeast"/>
        </w:trPr>
        <w:tc>
          <w:tcPr>
            <w:tcW w:w="1304"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 w:beforeLines="0" w:afterLines="0"/>
              <w:jc w:val="left"/>
              <w:rPr>
                <w:rFonts w:hint="eastAsia"/>
                <w:b/>
                <w:color w:val="auto"/>
                <w:sz w:val="23"/>
                <w:u w:val="single"/>
              </w:rPr>
            </w:pPr>
          </w:p>
          <w:p>
            <w:pPr>
              <w:pStyle w:val="247"/>
              <w:kinsoku w:val="0"/>
              <w:overflowPunct w:val="0"/>
              <w:spacing w:beforeLines="0" w:afterLines="0"/>
              <w:ind w:left="195"/>
              <w:jc w:val="left"/>
              <w:rPr>
                <w:rFonts w:hint="eastAsia"/>
                <w:color w:val="auto"/>
                <w:sz w:val="21"/>
                <w:u w:val="single"/>
              </w:rPr>
            </w:pPr>
            <w:r>
              <w:rPr>
                <w:rFonts w:hint="eastAsia"/>
                <w:color w:val="auto"/>
                <w:sz w:val="21"/>
                <w:u w:val="single"/>
              </w:rPr>
              <w:t>地表水</w:t>
            </w:r>
          </w:p>
        </w:tc>
        <w:tc>
          <w:tcPr>
            <w:tcW w:w="181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7" w:beforeLines="0" w:afterLines="0"/>
              <w:ind w:left="85" w:right="70"/>
              <w:rPr>
                <w:rFonts w:hint="default" w:ascii="Times New Roman" w:hAnsi="Times New Roman" w:eastAsia="Times New Roman"/>
                <w:color w:val="auto"/>
                <w:sz w:val="21"/>
                <w:u w:val="single"/>
              </w:rPr>
            </w:pPr>
            <w:r>
              <w:rPr>
                <w:rFonts w:hint="eastAsia"/>
                <w:color w:val="auto"/>
                <w:sz w:val="21"/>
                <w:u w:val="single"/>
              </w:rPr>
              <w:t>长江</w:t>
            </w:r>
            <w:r>
              <w:rPr>
                <w:rFonts w:hint="default" w:ascii="Times New Roman" w:hAnsi="Times New Roman" w:eastAsia="Times New Roman"/>
                <w:color w:val="auto"/>
                <w:sz w:val="21"/>
                <w:u w:val="single"/>
              </w:rPr>
              <w:t>*</w:t>
            </w:r>
          </w:p>
        </w:tc>
        <w:tc>
          <w:tcPr>
            <w:tcW w:w="83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1" w:beforeLines="0" w:afterLines="0"/>
              <w:ind w:left="92" w:right="91"/>
              <w:rPr>
                <w:rFonts w:hint="default" w:ascii="Times New Roman" w:hAnsi="Times New Roman" w:eastAsia="Times New Roman"/>
                <w:color w:val="auto"/>
                <w:sz w:val="21"/>
                <w:u w:val="single"/>
              </w:rPr>
            </w:pPr>
            <w:r>
              <w:rPr>
                <w:rFonts w:hint="default" w:ascii="Times New Roman" w:hAnsi="Times New Roman" w:eastAsia="Times New Roman"/>
                <w:color w:val="auto"/>
                <w:sz w:val="21"/>
                <w:u w:val="single"/>
              </w:rPr>
              <w:t>NW</w:t>
            </w:r>
          </w:p>
        </w:tc>
        <w:tc>
          <w:tcPr>
            <w:tcW w:w="145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7" w:beforeLines="0" w:afterLines="0"/>
              <w:ind w:left="81" w:right="63"/>
              <w:rPr>
                <w:rFonts w:hint="eastAsia"/>
                <w:color w:val="auto"/>
                <w:sz w:val="21"/>
                <w:u w:val="single"/>
              </w:rPr>
            </w:pPr>
            <w:r>
              <w:rPr>
                <w:rFonts w:hint="eastAsia"/>
                <w:color w:val="auto"/>
                <w:sz w:val="21"/>
                <w:u w:val="single"/>
              </w:rPr>
              <w:t>特大河</w:t>
            </w:r>
          </w:p>
        </w:tc>
        <w:tc>
          <w:tcPr>
            <w:tcW w:w="119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1" w:beforeLines="0" w:afterLines="0"/>
              <w:ind w:right="220"/>
              <w:jc w:val="both"/>
              <w:rPr>
                <w:rFonts w:hint="default" w:ascii="Times New Roman" w:hAnsi="Times New Roman" w:eastAsia="Times New Roman"/>
                <w:color w:val="auto"/>
                <w:sz w:val="21"/>
                <w:u w:val="single"/>
              </w:rPr>
            </w:pPr>
            <w:r>
              <w:rPr>
                <w:rFonts w:hint="default" w:ascii="Times New Roman" w:hAnsi="Times New Roman" w:eastAsia="Times New Roman"/>
                <w:color w:val="auto"/>
                <w:sz w:val="21"/>
                <w:u w:val="single"/>
              </w:rPr>
              <w:t>13000m</w:t>
            </w:r>
          </w:p>
        </w:tc>
        <w:tc>
          <w:tcPr>
            <w:tcW w:w="2191"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0" w:beforeLines="0" w:afterLines="0"/>
              <w:ind w:left="166" w:right="143"/>
              <w:jc w:val="both"/>
              <w:rPr>
                <w:rFonts w:hint="eastAsia"/>
                <w:color w:val="auto"/>
                <w:sz w:val="21"/>
                <w:u w:val="single"/>
              </w:rPr>
            </w:pPr>
            <w:r>
              <w:rPr>
                <w:rFonts w:hint="default" w:ascii="Times New Roman" w:hAnsi="Times New Roman" w:eastAsia="Times New Roman"/>
                <w:color w:val="auto"/>
                <w:sz w:val="21"/>
                <w:u w:val="single"/>
              </w:rPr>
              <w:t>GB3838-2002</w:t>
            </w:r>
            <w:r>
              <w:rPr>
                <w:rFonts w:hint="eastAsia"/>
                <w:color w:val="auto"/>
                <w:sz w:val="21"/>
                <w:u w:val="single"/>
              </w:rPr>
              <w:t>Ⅲ类标准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atLeast"/>
        </w:trPr>
        <w:tc>
          <w:tcPr>
            <w:tcW w:w="1304"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933"/>
              </w:tabs>
              <w:kinsoku w:val="0"/>
              <w:overflowPunct w:val="0"/>
              <w:spacing w:before="74" w:beforeLines="0" w:after="5" w:afterLines="0"/>
              <w:ind w:left="2889"/>
              <w:rPr>
                <w:rFonts w:hint="eastAsia"/>
                <w:b/>
                <w:color w:val="auto"/>
                <w:sz w:val="2"/>
                <w:u w:val="single"/>
              </w:rPr>
            </w:pPr>
          </w:p>
        </w:tc>
        <w:tc>
          <w:tcPr>
            <w:tcW w:w="181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7" w:beforeLines="0" w:afterLines="0"/>
              <w:ind w:left="83" w:right="70"/>
              <w:rPr>
                <w:rFonts w:hint="eastAsia"/>
                <w:color w:val="auto"/>
                <w:sz w:val="21"/>
                <w:u w:val="single"/>
              </w:rPr>
            </w:pPr>
            <w:r>
              <w:rPr>
                <w:rFonts w:hint="eastAsia"/>
                <w:color w:val="auto"/>
                <w:sz w:val="21"/>
                <w:u w:val="single"/>
              </w:rPr>
              <w:t>泄洪渠</w:t>
            </w:r>
          </w:p>
        </w:tc>
        <w:tc>
          <w:tcPr>
            <w:tcW w:w="83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0" w:beforeLines="0" w:afterLines="0"/>
              <w:ind w:left="9"/>
              <w:rPr>
                <w:rFonts w:hint="default" w:ascii="Times New Roman" w:hAnsi="Times New Roman" w:eastAsia="Times New Roman"/>
                <w:color w:val="auto"/>
                <w:sz w:val="21"/>
                <w:u w:val="single"/>
              </w:rPr>
            </w:pPr>
            <w:r>
              <w:rPr>
                <w:rFonts w:hint="default" w:ascii="Times New Roman" w:hAnsi="Times New Roman" w:eastAsia="Times New Roman"/>
                <w:color w:val="auto"/>
                <w:sz w:val="21"/>
                <w:u w:val="single"/>
              </w:rPr>
              <w:t>S</w:t>
            </w:r>
          </w:p>
        </w:tc>
        <w:tc>
          <w:tcPr>
            <w:tcW w:w="145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7" w:beforeLines="0" w:afterLines="0"/>
              <w:ind w:left="78" w:right="64"/>
              <w:rPr>
                <w:rFonts w:hint="eastAsia"/>
                <w:color w:val="auto"/>
                <w:sz w:val="21"/>
                <w:u w:val="single"/>
              </w:rPr>
            </w:pPr>
            <w:r>
              <w:rPr>
                <w:rFonts w:hint="eastAsia"/>
                <w:color w:val="auto"/>
                <w:sz w:val="21"/>
                <w:u w:val="single"/>
              </w:rPr>
              <w:t>小河</w:t>
            </w:r>
          </w:p>
        </w:tc>
        <w:tc>
          <w:tcPr>
            <w:tcW w:w="119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0" w:beforeLines="0" w:afterLines="0"/>
              <w:ind w:left="236" w:right="217"/>
              <w:rPr>
                <w:rFonts w:hint="default" w:ascii="Times New Roman" w:hAnsi="Times New Roman" w:eastAsia="Times New Roman"/>
                <w:color w:val="auto"/>
                <w:sz w:val="21"/>
                <w:u w:val="single"/>
              </w:rPr>
            </w:pPr>
            <w:r>
              <w:rPr>
                <w:rFonts w:hint="eastAsia" w:ascii="Times New Roman" w:hAnsi="Times New Roman" w:eastAsia="宋体"/>
                <w:color w:val="auto"/>
                <w:sz w:val="21"/>
                <w:u w:val="single"/>
                <w:lang w:val="en-US" w:eastAsia="zh-CN"/>
              </w:rPr>
              <w:t>1</w:t>
            </w:r>
            <w:r>
              <w:rPr>
                <w:rFonts w:hint="default" w:ascii="Times New Roman" w:hAnsi="Times New Roman" w:eastAsia="Times New Roman"/>
                <w:color w:val="auto"/>
                <w:sz w:val="21"/>
                <w:u w:val="single"/>
              </w:rPr>
              <w:t>0m</w:t>
            </w:r>
          </w:p>
        </w:tc>
        <w:tc>
          <w:tcPr>
            <w:tcW w:w="2191"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933"/>
              </w:tabs>
              <w:kinsoku w:val="0"/>
              <w:overflowPunct w:val="0"/>
              <w:spacing w:before="74" w:beforeLines="0" w:after="5" w:afterLines="0"/>
              <w:ind w:left="2889"/>
              <w:rPr>
                <w:rFonts w:hint="eastAsia"/>
                <w:b/>
                <w:color w:val="auto"/>
                <w:sz w:val="2"/>
                <w:u w:val="single"/>
              </w:rPr>
            </w:pPr>
          </w:p>
        </w:tc>
      </w:tr>
    </w:tbl>
    <w:p>
      <w:pPr>
        <w:ind w:firstLine="840" w:firstLineChars="400"/>
        <w:rPr>
          <w:rFonts w:ascii="Times New Roman" w:hAnsi="Times New Roman" w:cs="Times New Roman"/>
          <w:color w:val="auto"/>
          <w:u w:val="single"/>
        </w:rPr>
        <w:sectPr>
          <w:headerReference r:id="rId16" w:type="default"/>
          <w:footerReference r:id="rId18" w:type="default"/>
          <w:headerReference r:id="rId17" w:type="even"/>
          <w:footerReference r:id="rId19" w:type="even"/>
          <w:type w:val="continuous"/>
          <w:pgSz w:w="11907" w:h="16840"/>
          <w:pgMar w:top="1474" w:right="1531" w:bottom="1418" w:left="1474" w:header="850" w:footer="510" w:gutter="0"/>
          <w:pgNumType w:fmt="decimal"/>
          <w:cols w:space="720" w:num="1"/>
          <w:docGrid w:linePitch="312" w:charSpace="0"/>
        </w:sectPr>
      </w:pPr>
    </w:p>
    <w:bookmarkEnd w:id="120"/>
    <w:bookmarkEnd w:id="121"/>
    <w:p>
      <w:pPr>
        <w:pStyle w:val="4"/>
        <w:jc w:val="both"/>
        <w:rPr>
          <w:color w:val="auto"/>
        </w:rPr>
      </w:pPr>
      <w:bookmarkStart w:id="122" w:name="_Toc12130"/>
      <w:bookmarkStart w:id="123" w:name="_Toc4760"/>
      <w:bookmarkStart w:id="124" w:name="_Toc15054"/>
      <w:bookmarkStart w:id="125" w:name="_Toc23837"/>
      <w:r>
        <w:rPr>
          <w:rFonts w:hint="eastAsia"/>
          <w:color w:val="auto"/>
          <w:lang w:val="en-US" w:eastAsia="zh-CN"/>
        </w:rPr>
        <w:t xml:space="preserve"> </w:t>
      </w:r>
      <w:r>
        <w:rPr>
          <w:color w:val="auto"/>
        </w:rPr>
        <w:t>建设项目工程分析</w:t>
      </w:r>
      <w:bookmarkEnd w:id="122"/>
      <w:bookmarkEnd w:id="123"/>
      <w:bookmarkEnd w:id="124"/>
      <w:bookmarkEnd w:id="125"/>
    </w:p>
    <w:p>
      <w:pPr>
        <w:pStyle w:val="6"/>
        <w:spacing w:before="120" w:beforeLines="0" w:after="0" w:afterLines="0"/>
        <w:ind w:left="822" w:hanging="822" w:hangingChars="273"/>
        <w:rPr>
          <w:color w:val="auto"/>
          <w:u w:val="single"/>
        </w:rPr>
      </w:pPr>
      <w:bookmarkStart w:id="126" w:name="_Toc28154"/>
      <w:r>
        <w:rPr>
          <w:color w:val="auto"/>
          <w:u w:val="single"/>
        </w:rPr>
        <w:t>现有</w:t>
      </w:r>
      <w:r>
        <w:rPr>
          <w:rFonts w:hint="eastAsia"/>
          <w:color w:val="auto"/>
          <w:u w:val="single"/>
          <w:lang w:eastAsia="zh-CN"/>
        </w:rPr>
        <w:t>液氨装车</w:t>
      </w:r>
      <w:r>
        <w:rPr>
          <w:color w:val="auto"/>
          <w:u w:val="single"/>
        </w:rPr>
        <w:t>工程概况</w:t>
      </w:r>
      <w:bookmarkEnd w:id="126"/>
    </w:p>
    <w:p>
      <w:pPr>
        <w:pStyle w:val="7"/>
        <w:numPr>
          <w:ilvl w:val="2"/>
          <w:numId w:val="0"/>
        </w:numPr>
        <w:spacing w:before="120" w:beforeLines="0" w:after="120" w:afterLines="0"/>
        <w:ind w:left="142" w:leftChars="0"/>
        <w:rPr>
          <w:color w:val="auto"/>
          <w:u w:val="single"/>
        </w:rPr>
      </w:pPr>
      <w:bookmarkStart w:id="127" w:name="_Toc8786"/>
      <w:r>
        <w:rPr>
          <w:color w:val="auto"/>
          <w:u w:val="single"/>
        </w:rPr>
        <w:t>2.1.1 现有工程概况</w:t>
      </w:r>
      <w:bookmarkEnd w:id="127"/>
    </w:p>
    <w:p>
      <w:pPr>
        <w:pStyle w:val="5"/>
        <w:spacing w:line="480" w:lineRule="exact"/>
        <w:ind w:firstLine="480"/>
        <w:rPr>
          <w:rFonts w:hint="eastAsia"/>
          <w:color w:val="auto"/>
          <w:u w:val="single"/>
        </w:rPr>
      </w:pPr>
      <w:r>
        <w:rPr>
          <w:color w:val="auto"/>
          <w:u w:val="single"/>
        </w:rPr>
        <w:t>现有液氨装车</w:t>
      </w:r>
      <w:r>
        <w:rPr>
          <w:rFonts w:hint="eastAsia"/>
          <w:color w:val="auto"/>
          <w:u w:val="single"/>
          <w:lang w:eastAsia="zh-CN"/>
        </w:rPr>
        <w:t>设施</w:t>
      </w:r>
      <w:r>
        <w:rPr>
          <w:color w:val="auto"/>
          <w:u w:val="single"/>
        </w:rPr>
        <w:t>位于</w:t>
      </w:r>
      <w:r>
        <w:rPr>
          <w:rFonts w:hint="eastAsia"/>
          <w:color w:val="auto"/>
          <w:u w:val="single"/>
          <w:lang w:eastAsia="zh-CN"/>
        </w:rPr>
        <w:t>炼油一部</w:t>
      </w:r>
      <w:r>
        <w:rPr>
          <w:color w:val="auto"/>
          <w:u w:val="single"/>
        </w:rPr>
        <w:t>污水汽提装置的东北角，包括液氨储存设施100m</w:t>
      </w:r>
      <w:r>
        <w:rPr>
          <w:color w:val="auto"/>
          <w:u w:val="single"/>
          <w:vertAlign w:val="superscript"/>
        </w:rPr>
        <w:t>3</w:t>
      </w:r>
      <w:r>
        <w:rPr>
          <w:color w:val="auto"/>
          <w:u w:val="single"/>
        </w:rPr>
        <w:t>卧式液氨储罐2台，30m</w:t>
      </w:r>
      <w:r>
        <w:rPr>
          <w:color w:val="auto"/>
          <w:u w:val="single"/>
          <w:vertAlign w:val="superscript"/>
        </w:rPr>
        <w:t>3</w:t>
      </w:r>
      <w:r>
        <w:rPr>
          <w:color w:val="auto"/>
          <w:u w:val="single"/>
        </w:rPr>
        <w:t>卧式吸收罐1台，两台泵及1个装车鹤管。</w:t>
      </w:r>
      <w:r>
        <w:rPr>
          <w:rFonts w:hint="eastAsia"/>
          <w:color w:val="auto"/>
          <w:u w:val="single"/>
          <w:lang w:eastAsia="zh-CN"/>
        </w:rPr>
        <w:t>液氨储罐采用压力容器，全密闭没有无组织气体挥发，储罐围堰高</w:t>
      </w:r>
      <w:r>
        <w:rPr>
          <w:rFonts w:hint="eastAsia"/>
          <w:color w:val="auto"/>
          <w:u w:val="single"/>
          <w:lang w:val="en-US" w:eastAsia="zh-CN"/>
        </w:rPr>
        <w:t>1m，围堰内面积100m</w:t>
      </w:r>
      <w:r>
        <w:rPr>
          <w:rFonts w:hint="eastAsia"/>
          <w:color w:val="auto"/>
          <w:u w:val="single"/>
          <w:vertAlign w:val="superscript"/>
          <w:lang w:val="en-US" w:eastAsia="zh-CN"/>
        </w:rPr>
        <w:t>2</w:t>
      </w:r>
      <w:r>
        <w:rPr>
          <w:rFonts w:hint="eastAsia"/>
          <w:color w:val="auto"/>
          <w:u w:val="single"/>
          <w:lang w:val="en-US" w:eastAsia="zh-CN"/>
        </w:rPr>
        <w:t>，能接纳储罐事故状态下泄漏液体。</w:t>
      </w:r>
      <w:r>
        <w:rPr>
          <w:rFonts w:hint="eastAsia"/>
          <w:color w:val="auto"/>
          <w:u w:val="single"/>
          <w:lang w:eastAsia="zh-CN"/>
        </w:rPr>
        <w:t>现有液氨装车设施建于</w:t>
      </w:r>
      <w:r>
        <w:rPr>
          <w:rFonts w:hint="eastAsia"/>
          <w:color w:val="auto"/>
          <w:u w:val="single"/>
          <w:lang w:val="en-US" w:eastAsia="zh-CN"/>
        </w:rPr>
        <w:t>2011，属于公司油品质量升级改扩建项目的一部分，主要负责将</w:t>
      </w:r>
      <w:r>
        <w:rPr>
          <w:rFonts w:hint="eastAsia"/>
          <w:color w:val="auto"/>
          <w:u w:val="single"/>
          <w:lang w:eastAsia="zh-CN"/>
        </w:rPr>
        <w:t>炼油一部污水汽提装及炼油二部污水提装置所生产的液氨装车外送。</w:t>
      </w:r>
      <w:r>
        <w:rPr>
          <w:color w:val="auto"/>
          <w:u w:val="single"/>
        </w:rPr>
        <w:t>现有工程基本情况见下表。</w:t>
      </w:r>
    </w:p>
    <w:p>
      <w:pPr>
        <w:pStyle w:val="5"/>
        <w:spacing w:line="480" w:lineRule="exact"/>
        <w:ind w:left="0" w:leftChars="0" w:firstLine="0" w:firstLineChars="0"/>
        <w:jc w:val="center"/>
        <w:rPr>
          <w:b/>
          <w:bCs/>
          <w:color w:val="auto"/>
          <w:u w:val="single"/>
        </w:rPr>
      </w:pPr>
      <w:r>
        <w:rPr>
          <w:b/>
          <w:bCs/>
          <w:color w:val="auto"/>
          <w:u w:val="single"/>
        </w:rPr>
        <w:t>表 2.1-1现有工程基本情况一览表</w:t>
      </w:r>
    </w:p>
    <w:tbl>
      <w:tblPr>
        <w:tblStyle w:val="46"/>
        <w:tblW w:w="91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4"/>
        <w:gridCol w:w="7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pStyle w:val="5"/>
              <w:ind w:firstLine="0" w:firstLineChars="0"/>
              <w:jc w:val="center"/>
              <w:rPr>
                <w:color w:val="auto"/>
                <w:sz w:val="21"/>
                <w:szCs w:val="22"/>
                <w:u w:val="single"/>
              </w:rPr>
            </w:pPr>
            <w:r>
              <w:rPr>
                <w:color w:val="auto"/>
                <w:sz w:val="21"/>
                <w:szCs w:val="22"/>
                <w:u w:val="single"/>
              </w:rPr>
              <w:t>建设单位名称</w:t>
            </w:r>
          </w:p>
        </w:tc>
        <w:tc>
          <w:tcPr>
            <w:tcW w:w="7234" w:type="dxa"/>
            <w:vAlign w:val="center"/>
          </w:tcPr>
          <w:p>
            <w:pPr>
              <w:pStyle w:val="5"/>
              <w:ind w:firstLine="420"/>
              <w:jc w:val="center"/>
              <w:rPr>
                <w:color w:val="auto"/>
                <w:sz w:val="21"/>
                <w:szCs w:val="22"/>
                <w:u w:val="single"/>
              </w:rPr>
            </w:pPr>
            <w:r>
              <w:rPr>
                <w:color w:val="auto"/>
                <w:sz w:val="21"/>
                <w:szCs w:val="22"/>
                <w:u w:val="single"/>
              </w:rPr>
              <w:t>中国石化股份有限公司长岭分公司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pStyle w:val="5"/>
              <w:ind w:firstLine="0" w:firstLineChars="0"/>
              <w:jc w:val="center"/>
              <w:rPr>
                <w:color w:val="auto"/>
                <w:sz w:val="21"/>
                <w:szCs w:val="22"/>
                <w:u w:val="single"/>
              </w:rPr>
            </w:pPr>
            <w:r>
              <w:rPr>
                <w:color w:val="auto"/>
                <w:sz w:val="21"/>
                <w:szCs w:val="22"/>
                <w:u w:val="single"/>
              </w:rPr>
              <w:t>项目建设地点</w:t>
            </w:r>
          </w:p>
        </w:tc>
        <w:tc>
          <w:tcPr>
            <w:tcW w:w="7234" w:type="dxa"/>
            <w:vAlign w:val="center"/>
          </w:tcPr>
          <w:p>
            <w:pPr>
              <w:pStyle w:val="5"/>
              <w:ind w:firstLine="420"/>
              <w:jc w:val="center"/>
              <w:rPr>
                <w:color w:val="auto"/>
                <w:sz w:val="21"/>
                <w:szCs w:val="22"/>
                <w:u w:val="single"/>
              </w:rPr>
            </w:pPr>
            <w:r>
              <w:rPr>
                <w:color w:val="auto"/>
                <w:sz w:val="21"/>
                <w:szCs w:val="22"/>
                <w:u w:val="single"/>
              </w:rPr>
              <w:t>湖南岳阳市云溪区中国石油化工股份有限公司长岭分公司现有厂区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主要建设内容</w:t>
            </w:r>
          </w:p>
        </w:tc>
        <w:tc>
          <w:tcPr>
            <w:tcW w:w="7234" w:type="dxa"/>
            <w:vAlign w:val="center"/>
          </w:tcPr>
          <w:p>
            <w:pPr>
              <w:jc w:val="left"/>
              <w:rPr>
                <w:rFonts w:hint="default" w:ascii="Times New Roman" w:hAnsi="Times New Roman" w:eastAsia="宋体" w:cs="Times New Roman"/>
                <w:color w:val="auto"/>
                <w:u w:val="single"/>
                <w:lang w:val="en-US" w:eastAsia="zh-CN"/>
              </w:rPr>
            </w:pPr>
            <w:r>
              <w:rPr>
                <w:color w:val="auto"/>
                <w:u w:val="single"/>
              </w:rPr>
              <w:t>液氨储存设施包括100m</w:t>
            </w:r>
            <w:r>
              <w:rPr>
                <w:color w:val="auto"/>
                <w:u w:val="single"/>
                <w:vertAlign w:val="superscript"/>
              </w:rPr>
              <w:t>3</w:t>
            </w:r>
            <w:r>
              <w:rPr>
                <w:color w:val="auto"/>
                <w:u w:val="single"/>
              </w:rPr>
              <w:t>卧式液氨储罐2台，30m</w:t>
            </w:r>
            <w:r>
              <w:rPr>
                <w:color w:val="auto"/>
                <w:u w:val="single"/>
                <w:vertAlign w:val="superscript"/>
              </w:rPr>
              <w:t>3</w:t>
            </w:r>
            <w:r>
              <w:rPr>
                <w:color w:val="auto"/>
                <w:u w:val="single"/>
              </w:rPr>
              <w:t>卧式吸收罐1台，</w:t>
            </w:r>
            <w:r>
              <w:rPr>
                <w:rFonts w:hint="eastAsia"/>
                <w:color w:val="auto"/>
                <w:u w:val="single"/>
                <w:lang w:eastAsia="zh-CN"/>
              </w:rPr>
              <w:t>装车</w:t>
            </w:r>
            <w:r>
              <w:rPr>
                <w:color w:val="auto"/>
                <w:u w:val="single"/>
              </w:rPr>
              <w:t>泵</w:t>
            </w:r>
            <w:r>
              <w:rPr>
                <w:rFonts w:hint="eastAsia"/>
                <w:color w:val="auto"/>
                <w:u w:val="single"/>
                <w:lang w:val="en-US" w:eastAsia="zh-CN"/>
              </w:rPr>
              <w:t>2台</w:t>
            </w:r>
            <w:r>
              <w:rPr>
                <w:color w:val="auto"/>
                <w:u w:val="single"/>
              </w:rPr>
              <w:t>及装车鹤管1个</w:t>
            </w:r>
            <w:r>
              <w:rPr>
                <w:rFonts w:hint="eastAsia"/>
                <w:color w:val="auto"/>
                <w:u w:val="single"/>
                <w:lang w:eastAsia="zh-CN"/>
              </w:rPr>
              <w:t>。</w:t>
            </w:r>
            <w:r>
              <w:rPr>
                <w:rFonts w:hint="eastAsia"/>
                <w:color w:val="auto"/>
                <w:u w:val="single"/>
                <w:lang w:val="en-US" w:eastAsia="zh-CN"/>
              </w:rPr>
              <w:t>2010年，公司新建油品质量升级时同步建设液氨装车设旆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环评及验收情况</w:t>
            </w:r>
          </w:p>
        </w:tc>
        <w:tc>
          <w:tcPr>
            <w:tcW w:w="7234" w:type="dxa"/>
            <w:vAlign w:val="center"/>
          </w:tcPr>
          <w:p>
            <w:pPr>
              <w:jc w:val="left"/>
              <w:rPr>
                <w:rFonts w:hint="eastAsia" w:ascii="Times New Roman" w:hAnsi="Times New Roman" w:eastAsia="宋体" w:cs="Times New Roman"/>
                <w:color w:val="auto"/>
                <w:u w:val="single"/>
                <w:lang w:eastAsia="zh-CN"/>
              </w:rPr>
            </w:pPr>
            <w:r>
              <w:rPr>
                <w:rFonts w:ascii="Times New Roman" w:hAnsi="Times New Roman" w:cs="Times New Roman"/>
                <w:color w:val="auto"/>
                <w:u w:val="single"/>
              </w:rPr>
              <w:t>2010年11月湖南省环境保护科学研究院完成项目的环境影响报告书，</w:t>
            </w:r>
            <w:r>
              <w:rPr>
                <w:rFonts w:hint="eastAsia" w:ascii="Times New Roman" w:hAnsi="Times New Roman" w:cs="Times New Roman"/>
                <w:color w:val="auto"/>
                <w:u w:val="single"/>
                <w:lang w:eastAsia="zh-CN"/>
              </w:rPr>
              <w:t>包括现有液氨装车设施的建设，</w:t>
            </w:r>
            <w:r>
              <w:rPr>
                <w:rFonts w:ascii="Times New Roman" w:hAnsi="Times New Roman" w:cs="Times New Roman"/>
                <w:color w:val="auto"/>
                <w:u w:val="single"/>
              </w:rPr>
              <w:t>国家环保部于2010 年12月9日以环审[2010]407号予以批复；2016年2月湖南省环境保护厅以湘环评验[2016]14号予以竣工环境保护验收</w:t>
            </w:r>
            <w:r>
              <w:rPr>
                <w:rFonts w:hint="eastAsia" w:ascii="Times New Roman" w:hAnsi="Times New Roman" w:cs="Times New Roman"/>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pStyle w:val="5"/>
              <w:ind w:firstLine="0" w:firstLineChars="0"/>
              <w:jc w:val="center"/>
              <w:rPr>
                <w:color w:val="auto"/>
                <w:sz w:val="21"/>
                <w:szCs w:val="22"/>
                <w:u w:val="single"/>
              </w:rPr>
            </w:pPr>
            <w:r>
              <w:rPr>
                <w:color w:val="auto"/>
                <w:sz w:val="21"/>
                <w:szCs w:val="22"/>
                <w:u w:val="single"/>
              </w:rPr>
              <w:t>项目占地面积</w:t>
            </w:r>
          </w:p>
        </w:tc>
        <w:tc>
          <w:tcPr>
            <w:tcW w:w="7234" w:type="dxa"/>
            <w:vAlign w:val="center"/>
          </w:tcPr>
          <w:p>
            <w:pPr>
              <w:pStyle w:val="5"/>
              <w:ind w:firstLine="420"/>
              <w:jc w:val="center"/>
              <w:rPr>
                <w:color w:val="auto"/>
                <w:sz w:val="21"/>
                <w:szCs w:val="22"/>
                <w:u w:val="single"/>
              </w:rPr>
            </w:pPr>
            <w:r>
              <w:rPr>
                <w:rFonts w:hint="eastAsia"/>
                <w:color w:val="auto"/>
                <w:sz w:val="21"/>
                <w:szCs w:val="22"/>
                <w:u w:val="single"/>
                <w:lang w:val="en-US" w:eastAsia="zh-CN"/>
              </w:rPr>
              <w:t>400</w:t>
            </w:r>
            <w:r>
              <w:rPr>
                <w:color w:val="auto"/>
                <w:sz w:val="21"/>
                <w:szCs w:val="22"/>
                <w:u w:val="single"/>
              </w:rPr>
              <w:t>m</w:t>
            </w:r>
            <w:r>
              <w:rPr>
                <w:color w:val="auto"/>
                <w:sz w:val="21"/>
                <w:szCs w:val="22"/>
                <w:u w:val="single"/>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工程投资</w:t>
            </w:r>
          </w:p>
        </w:tc>
        <w:tc>
          <w:tcPr>
            <w:tcW w:w="7234"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总投资</w:t>
            </w:r>
            <w:r>
              <w:rPr>
                <w:rFonts w:hint="eastAsia" w:ascii="Times New Roman" w:hAnsi="Times New Roman" w:cs="Times New Roman"/>
                <w:color w:val="auto"/>
                <w:u w:val="single"/>
                <w:lang w:val="en-US" w:eastAsia="zh-CN"/>
              </w:rPr>
              <w:t>298</w:t>
            </w:r>
            <w:r>
              <w:rPr>
                <w:rFonts w:ascii="Times New Roman" w:hAnsi="Times New Roman" w:cs="Times New Roman"/>
                <w:color w:val="auto"/>
                <w:u w:val="single"/>
              </w:rPr>
              <w:t>万元，其中环保投资</w:t>
            </w:r>
            <w:r>
              <w:rPr>
                <w:rFonts w:hint="eastAsia" w:ascii="Times New Roman" w:hAnsi="Times New Roman" w:cs="Times New Roman"/>
                <w:color w:val="auto"/>
                <w:u w:val="single"/>
                <w:lang w:val="en-US" w:eastAsia="zh-CN"/>
              </w:rPr>
              <w:t>30</w:t>
            </w:r>
            <w:r>
              <w:rPr>
                <w:rFonts w:ascii="Times New Roman" w:hAnsi="Times New Roman" w:cs="Times New Roman"/>
                <w:color w:val="auto"/>
                <w:u w:val="single"/>
              </w:rPr>
              <w:t>万元，占工程总投资的11.4%。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84" w:type="dxa"/>
            <w:vAlign w:val="center"/>
          </w:tcPr>
          <w:p>
            <w:pPr>
              <w:pStyle w:val="5"/>
              <w:ind w:firstLine="0" w:firstLineChars="0"/>
              <w:jc w:val="center"/>
              <w:rPr>
                <w:color w:val="auto"/>
                <w:sz w:val="21"/>
                <w:szCs w:val="22"/>
                <w:u w:val="single"/>
              </w:rPr>
            </w:pPr>
            <w:r>
              <w:rPr>
                <w:color w:val="auto"/>
                <w:sz w:val="21"/>
                <w:szCs w:val="22"/>
                <w:u w:val="single"/>
              </w:rPr>
              <w:t>工程纳污水体</w:t>
            </w:r>
          </w:p>
        </w:tc>
        <w:tc>
          <w:tcPr>
            <w:tcW w:w="7234" w:type="dxa"/>
            <w:vAlign w:val="center"/>
          </w:tcPr>
          <w:p>
            <w:pPr>
              <w:pStyle w:val="5"/>
              <w:ind w:firstLine="420"/>
              <w:jc w:val="center"/>
              <w:rPr>
                <w:color w:val="auto"/>
                <w:sz w:val="21"/>
                <w:szCs w:val="22"/>
                <w:u w:val="single"/>
              </w:rPr>
            </w:pPr>
            <w:r>
              <w:rPr>
                <w:rFonts w:hint="eastAsia"/>
                <w:color w:val="auto"/>
                <w:sz w:val="21"/>
                <w:szCs w:val="22"/>
                <w:u w:val="single"/>
                <w:lang w:eastAsia="zh-CN"/>
              </w:rPr>
              <w:t>公司污水处理场处理合格后外排</w:t>
            </w:r>
            <w:r>
              <w:rPr>
                <w:color w:val="auto"/>
                <w:sz w:val="21"/>
                <w:szCs w:val="22"/>
                <w:u w:val="single"/>
              </w:rPr>
              <w:t>长江</w:t>
            </w:r>
          </w:p>
        </w:tc>
      </w:tr>
    </w:tbl>
    <w:p>
      <w:pPr>
        <w:pStyle w:val="5"/>
        <w:ind w:firstLine="0" w:firstLineChars="0"/>
        <w:rPr>
          <w:rFonts w:hint="eastAsia"/>
          <w:b/>
          <w:bCs/>
          <w:color w:val="auto"/>
          <w:u w:val="single"/>
        </w:rPr>
      </w:pPr>
    </w:p>
    <w:p>
      <w:pPr>
        <w:pStyle w:val="7"/>
        <w:numPr>
          <w:ilvl w:val="2"/>
          <w:numId w:val="0"/>
        </w:numPr>
        <w:spacing w:before="120" w:beforeLines="0" w:after="120" w:afterLines="0"/>
        <w:ind w:left="142" w:leftChars="0"/>
        <w:rPr>
          <w:color w:val="auto"/>
          <w:u w:val="single"/>
        </w:rPr>
      </w:pPr>
      <w:bookmarkStart w:id="128" w:name="_Toc8703"/>
      <w:r>
        <w:rPr>
          <w:color w:val="auto"/>
          <w:u w:val="single"/>
        </w:rPr>
        <w:t>2.1.2 主要污染防治措施</w:t>
      </w:r>
      <w:bookmarkEnd w:id="128"/>
    </w:p>
    <w:p>
      <w:pPr>
        <w:pStyle w:val="5"/>
        <w:spacing w:line="480" w:lineRule="exact"/>
        <w:ind w:firstLine="480"/>
        <w:rPr>
          <w:color w:val="auto"/>
          <w:u w:val="single"/>
        </w:rPr>
      </w:pPr>
      <w:r>
        <w:rPr>
          <w:rFonts w:hint="eastAsia"/>
          <w:color w:val="auto"/>
          <w:u w:val="single"/>
          <w:lang w:eastAsia="zh-CN"/>
        </w:rPr>
        <w:t>现有液氮装车设施污染物合理处理，并达标排放，无现有环境问题。</w:t>
      </w:r>
      <w:r>
        <w:rPr>
          <w:color w:val="auto"/>
          <w:u w:val="single"/>
        </w:rPr>
        <w:t>主要污染防治设施见表 2.1-2。</w:t>
      </w:r>
    </w:p>
    <w:p>
      <w:pPr>
        <w:pStyle w:val="5"/>
        <w:ind w:firstLine="480"/>
        <w:jc w:val="center"/>
        <w:rPr>
          <w:color w:val="auto"/>
          <w:u w:val="single"/>
        </w:rPr>
      </w:pPr>
    </w:p>
    <w:p>
      <w:pPr>
        <w:pStyle w:val="5"/>
        <w:ind w:left="0" w:leftChars="0" w:firstLine="0" w:firstLineChars="0"/>
        <w:jc w:val="center"/>
        <w:rPr>
          <w:b/>
          <w:bCs/>
          <w:color w:val="auto"/>
          <w:u w:val="single"/>
        </w:rPr>
      </w:pPr>
      <w:r>
        <w:rPr>
          <w:b/>
          <w:bCs/>
          <w:color w:val="auto"/>
          <w:u w:val="single"/>
        </w:rPr>
        <w:t>表2.1-2 长岭分公司现有工程主要污染防治措施一览表</w:t>
      </w:r>
    </w:p>
    <w:tbl>
      <w:tblPr>
        <w:tblStyle w:val="46"/>
        <w:tblW w:w="83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905"/>
        <w:gridCol w:w="5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分类</w:t>
            </w:r>
          </w:p>
        </w:tc>
        <w:tc>
          <w:tcPr>
            <w:tcW w:w="1905"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名称</w:t>
            </w:r>
          </w:p>
        </w:tc>
        <w:tc>
          <w:tcPr>
            <w:tcW w:w="5607" w:type="dxa"/>
            <w:vAlign w:val="center"/>
          </w:tcPr>
          <w:p>
            <w:pPr>
              <w:jc w:val="center"/>
              <w:rPr>
                <w:rFonts w:ascii="Times New Roman" w:hAnsi="Times New Roman" w:cs="Times New Roman"/>
                <w:color w:val="auto"/>
                <w:u w:val="single"/>
              </w:rPr>
            </w:pPr>
            <w:r>
              <w:rPr>
                <w:rFonts w:ascii="Times New Roman" w:hAnsi="Times New Roman" w:cs="Times New Roman"/>
                <w:color w:val="auto"/>
                <w:u w:val="single"/>
              </w:rPr>
              <w:t>主要环保措施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废气</w:t>
            </w:r>
          </w:p>
        </w:tc>
        <w:tc>
          <w:tcPr>
            <w:tcW w:w="1905"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储罐呼吸气及阀门法兰之间的无组织排放</w:t>
            </w:r>
          </w:p>
        </w:tc>
        <w:tc>
          <w:tcPr>
            <w:tcW w:w="5607"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采用泄漏检测与修复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Merge w:val="restart"/>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废水</w:t>
            </w:r>
          </w:p>
        </w:tc>
        <w:tc>
          <w:tcPr>
            <w:tcW w:w="1905"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装车时泄漏的废气经吸收罐吸收产生的少量含氨废水</w:t>
            </w:r>
          </w:p>
        </w:tc>
        <w:tc>
          <w:tcPr>
            <w:tcW w:w="5607"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送炼油一部污水汽提装置处理。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Merge w:val="continue"/>
            <w:vAlign w:val="center"/>
          </w:tcPr>
          <w:p>
            <w:pPr>
              <w:jc w:val="center"/>
              <w:rPr>
                <w:rFonts w:ascii="Times New Roman" w:hAnsi="Times New Roman" w:cs="Times New Roman"/>
                <w:color w:val="auto"/>
                <w:spacing w:val="-6"/>
                <w:u w:val="single"/>
              </w:rPr>
            </w:pPr>
          </w:p>
        </w:tc>
        <w:tc>
          <w:tcPr>
            <w:tcW w:w="1905"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初期雨水</w:t>
            </w:r>
          </w:p>
          <w:p>
            <w:pPr>
              <w:jc w:val="center"/>
              <w:rPr>
                <w:rFonts w:ascii="Times New Roman" w:hAnsi="Times New Roman" w:cs="Times New Roman"/>
                <w:color w:val="auto"/>
                <w:spacing w:val="-6"/>
                <w:u w:val="single"/>
              </w:rPr>
            </w:pPr>
          </w:p>
        </w:tc>
        <w:tc>
          <w:tcPr>
            <w:tcW w:w="5607" w:type="dxa"/>
            <w:vAlign w:val="center"/>
          </w:tcPr>
          <w:p>
            <w:pPr>
              <w:jc w:val="left"/>
              <w:rPr>
                <w:rFonts w:hint="default" w:ascii="Times New Roman" w:hAnsi="Times New Roman" w:eastAsia="宋体" w:cs="Times New Roman"/>
                <w:color w:val="auto"/>
                <w:spacing w:val="-6"/>
                <w:u w:val="single"/>
                <w:lang w:val="en-US" w:eastAsia="zh-CN"/>
              </w:rPr>
            </w:pPr>
            <w:r>
              <w:rPr>
                <w:rFonts w:hint="eastAsia" w:ascii="Times New Roman" w:hAnsi="Times New Roman" w:cs="Times New Roman"/>
                <w:color w:val="auto"/>
                <w:spacing w:val="-6"/>
                <w:u w:val="single"/>
                <w:lang w:eastAsia="zh-CN"/>
              </w:rPr>
              <w:t>经雨污分流设施，排入公司含油污水管网，送公司污水场处理达标后排放。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Merge w:val="continue"/>
            <w:vAlign w:val="center"/>
          </w:tcPr>
          <w:p>
            <w:pPr>
              <w:jc w:val="center"/>
              <w:rPr>
                <w:rFonts w:ascii="Times New Roman" w:hAnsi="Times New Roman" w:cs="Times New Roman"/>
                <w:color w:val="auto"/>
                <w:spacing w:val="-6"/>
                <w:u w:val="single"/>
              </w:rPr>
            </w:pPr>
          </w:p>
        </w:tc>
        <w:tc>
          <w:tcPr>
            <w:tcW w:w="1905"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事故水池及雨水监控池</w:t>
            </w:r>
          </w:p>
        </w:tc>
        <w:tc>
          <w:tcPr>
            <w:tcW w:w="5607"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3座事故池分别为：大排洪沟东侧一座10000m</w:t>
            </w:r>
            <w:r>
              <w:rPr>
                <w:rFonts w:ascii="Times New Roman" w:hAnsi="Times New Roman" w:cs="Times New Roman"/>
                <w:color w:val="auto"/>
                <w:spacing w:val="-6"/>
                <w:u w:val="single"/>
                <w:vertAlign w:val="superscript"/>
              </w:rPr>
              <w:t xml:space="preserve">3 </w:t>
            </w:r>
            <w:r>
              <w:rPr>
                <w:rFonts w:ascii="Times New Roman" w:hAnsi="Times New Roman" w:cs="Times New Roman"/>
                <w:color w:val="auto"/>
                <w:spacing w:val="-6"/>
                <w:u w:val="single"/>
              </w:rPr>
              <w:t>的事故水</w:t>
            </w:r>
          </w:p>
          <w:p>
            <w:pPr>
              <w:rPr>
                <w:rFonts w:hint="eastAsia" w:ascii="Times New Roman" w:hAnsi="Times New Roman" w:eastAsia="宋体" w:cs="Times New Roman"/>
                <w:color w:val="auto"/>
                <w:spacing w:val="-6"/>
                <w:u w:val="single"/>
                <w:lang w:eastAsia="zh-CN"/>
              </w:rPr>
            </w:pPr>
            <w:r>
              <w:rPr>
                <w:rFonts w:ascii="Times New Roman" w:hAnsi="Times New Roman" w:cs="Times New Roman"/>
                <w:color w:val="auto"/>
                <w:spacing w:val="-6"/>
                <w:u w:val="single"/>
              </w:rPr>
              <w:t>池和雨水监控池，“一污”内一座10000m</w:t>
            </w:r>
            <w:r>
              <w:rPr>
                <w:rFonts w:ascii="Times New Roman" w:hAnsi="Times New Roman" w:cs="Times New Roman"/>
                <w:color w:val="auto"/>
                <w:spacing w:val="-6"/>
                <w:u w:val="single"/>
                <w:vertAlign w:val="superscript"/>
              </w:rPr>
              <w:t>3</w:t>
            </w:r>
            <w:r>
              <w:rPr>
                <w:rFonts w:ascii="Times New Roman" w:hAnsi="Times New Roman" w:cs="Times New Roman"/>
                <w:color w:val="auto"/>
                <w:spacing w:val="-6"/>
                <w:u w:val="single"/>
              </w:rPr>
              <w:t xml:space="preserve"> 的事故水池，两座事故池通过管线连通，并设有大流量的潜水泵；原油罐区一座18500 m</w:t>
            </w:r>
            <w:r>
              <w:rPr>
                <w:rFonts w:ascii="Times New Roman" w:hAnsi="Times New Roman" w:cs="Times New Roman"/>
                <w:color w:val="auto"/>
                <w:spacing w:val="-6"/>
                <w:u w:val="single"/>
                <w:vertAlign w:val="superscript"/>
              </w:rPr>
              <w:t>3</w:t>
            </w:r>
            <w:r>
              <w:rPr>
                <w:rFonts w:ascii="Times New Roman" w:hAnsi="Times New Roman" w:cs="Times New Roman"/>
                <w:color w:val="auto"/>
                <w:spacing w:val="-6"/>
                <w:u w:val="single"/>
              </w:rPr>
              <w:t xml:space="preserve"> 的事故水池</w:t>
            </w:r>
            <w:r>
              <w:rPr>
                <w:rFonts w:hint="eastAsia" w:ascii="Times New Roman" w:hAnsi="Times New Roman" w:cs="Times New Roman"/>
                <w:color w:val="auto"/>
                <w:spacing w:val="-6"/>
                <w:u w:val="single"/>
                <w:lang w:eastAsia="zh-CN"/>
              </w:rPr>
              <w:t>与一污事故池连通，</w:t>
            </w:r>
            <w:r>
              <w:rPr>
                <w:rFonts w:ascii="Times New Roman" w:hAnsi="Times New Roman" w:cs="Times New Roman"/>
                <w:color w:val="auto"/>
                <w:spacing w:val="-6"/>
                <w:u w:val="single"/>
              </w:rPr>
              <w:t>用于全厂事故水及后期雨水的收集</w:t>
            </w:r>
            <w:r>
              <w:rPr>
                <w:rFonts w:hint="eastAsia" w:ascii="Times New Roman" w:hAnsi="Times New Roman" w:cs="Times New Roman"/>
                <w:color w:val="auto"/>
                <w:spacing w:val="-6"/>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地下水</w:t>
            </w:r>
          </w:p>
        </w:tc>
        <w:tc>
          <w:tcPr>
            <w:tcW w:w="1905"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地下水污染防治</w:t>
            </w:r>
          </w:p>
        </w:tc>
        <w:tc>
          <w:tcPr>
            <w:tcW w:w="5607"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边沟、构筑物</w:t>
            </w:r>
            <w:r>
              <w:rPr>
                <w:rFonts w:hint="eastAsia" w:ascii="Times New Roman" w:hAnsi="Times New Roman" w:cs="Times New Roman"/>
                <w:color w:val="auto"/>
                <w:spacing w:val="-6"/>
                <w:u w:val="single"/>
                <w:lang w:eastAsia="zh-CN"/>
              </w:rPr>
              <w:t>防</w:t>
            </w:r>
            <w:r>
              <w:rPr>
                <w:rFonts w:ascii="Times New Roman" w:hAnsi="Times New Roman" w:cs="Times New Roman"/>
                <w:color w:val="auto"/>
                <w:spacing w:val="-6"/>
                <w:u w:val="single"/>
              </w:rPr>
              <w:t>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噪声</w:t>
            </w:r>
          </w:p>
        </w:tc>
        <w:tc>
          <w:tcPr>
            <w:tcW w:w="1905"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噪声治理措施</w:t>
            </w:r>
          </w:p>
        </w:tc>
        <w:tc>
          <w:tcPr>
            <w:tcW w:w="5607" w:type="dxa"/>
            <w:vAlign w:val="center"/>
          </w:tcPr>
          <w:p>
            <w:pPr>
              <w:jc w:val="center"/>
              <w:rPr>
                <w:rFonts w:ascii="Times New Roman" w:hAnsi="Times New Roman" w:cs="Times New Roman"/>
                <w:color w:val="auto"/>
                <w:spacing w:val="-6"/>
                <w:u w:val="single"/>
              </w:rPr>
            </w:pPr>
            <w:r>
              <w:rPr>
                <w:rFonts w:ascii="Times New Roman" w:hAnsi="Times New Roman" w:cs="Times New Roman"/>
                <w:color w:val="auto"/>
                <w:spacing w:val="-6"/>
                <w:u w:val="single"/>
              </w:rPr>
              <w:t>消音罩、消声器、隔震垫等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1"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固废</w:t>
            </w:r>
          </w:p>
        </w:tc>
        <w:tc>
          <w:tcPr>
            <w:tcW w:w="1905"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机泵废润滑油</w:t>
            </w:r>
          </w:p>
        </w:tc>
        <w:tc>
          <w:tcPr>
            <w:tcW w:w="5607" w:type="dxa"/>
            <w:vAlign w:val="center"/>
          </w:tcPr>
          <w:p>
            <w:pPr>
              <w:jc w:val="center"/>
              <w:rPr>
                <w:rFonts w:hint="eastAsia" w:ascii="Times New Roman" w:hAnsi="Times New Roman" w:eastAsia="宋体" w:cs="Times New Roman"/>
                <w:color w:val="auto"/>
                <w:spacing w:val="-6"/>
                <w:u w:val="single"/>
                <w:lang w:eastAsia="zh-CN"/>
              </w:rPr>
            </w:pPr>
            <w:r>
              <w:rPr>
                <w:rFonts w:hint="eastAsia" w:ascii="Times New Roman" w:hAnsi="Times New Roman" w:cs="Times New Roman"/>
                <w:color w:val="auto"/>
                <w:spacing w:val="-6"/>
                <w:u w:val="single"/>
                <w:lang w:eastAsia="zh-CN"/>
              </w:rPr>
              <w:t>属于危废，由公司统一收集处理</w:t>
            </w:r>
          </w:p>
        </w:tc>
      </w:tr>
    </w:tbl>
    <w:p>
      <w:pPr>
        <w:pStyle w:val="5"/>
        <w:ind w:firstLine="480"/>
        <w:rPr>
          <w:color w:val="auto"/>
          <w:u w:val="single"/>
        </w:rPr>
      </w:pPr>
    </w:p>
    <w:p>
      <w:pPr>
        <w:pStyle w:val="7"/>
        <w:numPr>
          <w:ilvl w:val="2"/>
          <w:numId w:val="0"/>
        </w:numPr>
        <w:spacing w:before="120" w:beforeLines="0" w:after="120" w:afterLines="0"/>
        <w:ind w:left="142" w:leftChars="0"/>
        <w:rPr>
          <w:rFonts w:hint="eastAsia" w:eastAsia="宋体"/>
          <w:color w:val="auto"/>
          <w:u w:val="single"/>
          <w:lang w:eastAsia="zh-CN"/>
        </w:rPr>
      </w:pPr>
      <w:bookmarkStart w:id="129" w:name="_Toc15433"/>
      <w:r>
        <w:rPr>
          <w:color w:val="auto"/>
          <w:u w:val="single"/>
        </w:rPr>
        <w:t>2.1.3</w:t>
      </w:r>
      <w:bookmarkEnd w:id="129"/>
      <w:r>
        <w:rPr>
          <w:color w:val="auto"/>
          <w:u w:val="single"/>
        </w:rPr>
        <w:t>现有</w:t>
      </w:r>
      <w:r>
        <w:rPr>
          <w:rFonts w:hint="eastAsia"/>
          <w:color w:val="auto"/>
          <w:u w:val="single"/>
          <w:lang w:eastAsia="zh-CN"/>
        </w:rPr>
        <w:t>液氨装车</w:t>
      </w:r>
      <w:r>
        <w:rPr>
          <w:color w:val="auto"/>
          <w:u w:val="single"/>
        </w:rPr>
        <w:t>工程</w:t>
      </w:r>
      <w:r>
        <w:rPr>
          <w:rFonts w:hint="eastAsia"/>
          <w:color w:val="auto"/>
          <w:u w:val="single"/>
          <w:lang w:eastAsia="zh-CN"/>
        </w:rPr>
        <w:t>的污染物排放情况</w:t>
      </w:r>
    </w:p>
    <w:p>
      <w:pPr>
        <w:pStyle w:val="18"/>
        <w:autoSpaceDE w:val="0"/>
        <w:autoSpaceDN w:val="0"/>
        <w:rPr>
          <w:bCs/>
          <w:color w:val="auto"/>
          <w:sz w:val="21"/>
          <w:szCs w:val="21"/>
          <w:u w:val="single"/>
        </w:rPr>
      </w:pPr>
      <w:bookmarkStart w:id="130" w:name="_Toc18407"/>
      <w:bookmarkStart w:id="131" w:name="_Toc14507"/>
      <w:bookmarkStart w:id="132" w:name="_Toc2111"/>
      <w:bookmarkStart w:id="133" w:name="_Toc19747"/>
      <w:bookmarkStart w:id="134" w:name="_Toc304810288"/>
      <w:bookmarkStart w:id="135" w:name="_Toc306034538"/>
      <w:bookmarkStart w:id="136" w:name="_Toc280188834"/>
      <w:r>
        <w:rPr>
          <w:color w:val="auto"/>
          <w:u w:val="single"/>
        </w:rPr>
        <w:t>表 2.</w:t>
      </w:r>
      <w:r>
        <w:rPr>
          <w:rFonts w:hint="eastAsia"/>
          <w:color w:val="auto"/>
          <w:u w:val="single"/>
          <w:lang w:val="en-US" w:eastAsia="zh-CN"/>
        </w:rPr>
        <w:t>1</w:t>
      </w:r>
      <w:r>
        <w:rPr>
          <w:color w:val="auto"/>
          <w:u w:val="single"/>
        </w:rPr>
        <w:t>-</w:t>
      </w:r>
      <w:r>
        <w:rPr>
          <w:rFonts w:hint="eastAsia"/>
          <w:color w:val="auto"/>
          <w:u w:val="single"/>
          <w:lang w:val="en-US" w:eastAsia="zh-CN"/>
        </w:rPr>
        <w:t>3</w:t>
      </w:r>
      <w:r>
        <w:rPr>
          <w:bCs/>
          <w:color w:val="auto"/>
          <w:sz w:val="21"/>
          <w:szCs w:val="21"/>
          <w:u w:val="single"/>
        </w:rPr>
        <w:t xml:space="preserve">  </w:t>
      </w:r>
      <w:r>
        <w:rPr>
          <w:rFonts w:hint="eastAsia"/>
          <w:bCs/>
          <w:color w:val="auto"/>
          <w:sz w:val="21"/>
          <w:szCs w:val="21"/>
          <w:u w:val="single"/>
          <w:lang w:eastAsia="zh-CN"/>
        </w:rPr>
        <w:t>现有液氨装车</w:t>
      </w:r>
      <w:r>
        <w:rPr>
          <w:bCs/>
          <w:color w:val="auto"/>
          <w:sz w:val="21"/>
          <w:szCs w:val="21"/>
          <w:u w:val="single"/>
        </w:rPr>
        <w:t>项目污染物排放情况汇总表</w:t>
      </w:r>
    </w:p>
    <w:tbl>
      <w:tblPr>
        <w:tblStyle w:val="45"/>
        <w:tblpPr w:leftFromText="180" w:rightFromText="180" w:vertAnchor="text" w:horzAnchor="page" w:tblpX="1191" w:tblpY="496"/>
        <w:tblOverlap w:val="never"/>
        <w:tblW w:w="9101" w:type="dxa"/>
        <w:tblInd w:w="0" w:type="dxa"/>
        <w:tblLayout w:type="fixed"/>
        <w:tblCellMar>
          <w:top w:w="15" w:type="dxa"/>
          <w:left w:w="15" w:type="dxa"/>
          <w:bottom w:w="15" w:type="dxa"/>
          <w:right w:w="15" w:type="dxa"/>
        </w:tblCellMar>
      </w:tblPr>
      <w:tblGrid>
        <w:gridCol w:w="1231"/>
        <w:gridCol w:w="1052"/>
        <w:gridCol w:w="1134"/>
        <w:gridCol w:w="993"/>
        <w:gridCol w:w="850"/>
        <w:gridCol w:w="1418"/>
        <w:gridCol w:w="2423"/>
      </w:tblGrid>
      <w:tr>
        <w:tblPrEx>
          <w:tblLayout w:type="fixed"/>
          <w:tblCellMar>
            <w:top w:w="15" w:type="dxa"/>
            <w:left w:w="15" w:type="dxa"/>
            <w:bottom w:w="15" w:type="dxa"/>
            <w:right w:w="15" w:type="dxa"/>
          </w:tblCellMar>
        </w:tblPrEx>
        <w:trPr>
          <w:trHeight w:val="233" w:hRule="atLeast"/>
          <w:tblHeader/>
        </w:trPr>
        <w:tc>
          <w:tcPr>
            <w:tcW w:w="123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种类</w:t>
            </w:r>
          </w:p>
        </w:tc>
        <w:tc>
          <w:tcPr>
            <w:tcW w:w="105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污染物</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名称</w:t>
            </w:r>
          </w:p>
        </w:tc>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产生量</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（t/a）</w:t>
            </w:r>
          </w:p>
        </w:tc>
        <w:tc>
          <w:tcPr>
            <w:tcW w:w="99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削减量</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（t/a）</w:t>
            </w:r>
          </w:p>
        </w:tc>
        <w:tc>
          <w:tcPr>
            <w:tcW w:w="85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排放量（t/a）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szCs w:val="21"/>
                <w:u w:val="single"/>
              </w:rPr>
              <w:t>排放浓度</w:t>
            </w:r>
          </w:p>
        </w:tc>
        <w:tc>
          <w:tcPr>
            <w:tcW w:w="24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去向</w:t>
            </w:r>
          </w:p>
        </w:tc>
      </w:tr>
      <w:tr>
        <w:tblPrEx>
          <w:tblLayout w:type="fixed"/>
          <w:tblCellMar>
            <w:top w:w="15" w:type="dxa"/>
            <w:left w:w="15" w:type="dxa"/>
            <w:bottom w:w="15" w:type="dxa"/>
            <w:right w:w="15" w:type="dxa"/>
          </w:tblCellMar>
        </w:tblPrEx>
        <w:trPr>
          <w:trHeight w:val="435" w:hRule="atLeast"/>
        </w:trPr>
        <w:tc>
          <w:tcPr>
            <w:tcW w:w="1231" w:type="dxa"/>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无组织废气</w:t>
            </w:r>
          </w:p>
        </w:tc>
        <w:tc>
          <w:tcPr>
            <w:tcW w:w="105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氨</w:t>
            </w:r>
          </w:p>
        </w:tc>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0.0012</w:t>
            </w: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w:t>
            </w:r>
          </w:p>
        </w:tc>
        <w:tc>
          <w:tcPr>
            <w:tcW w:w="85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0.0012</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2423" w:type="dxa"/>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332" w:hRule="atLeast"/>
        </w:trPr>
        <w:tc>
          <w:tcPr>
            <w:tcW w:w="1231" w:type="dxa"/>
            <w:vMerge w:val="restart"/>
            <w:tcBorders>
              <w:top w:val="single" w:color="auto" w:sz="4" w:space="0"/>
              <w:left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废水</w:t>
            </w:r>
          </w:p>
        </w:tc>
        <w:tc>
          <w:tcPr>
            <w:tcW w:w="105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hint="eastAsia" w:ascii="Times New Roman" w:hAnsi="Times New Roman" w:cs="Times New Roman"/>
                <w:color w:val="auto"/>
                <w:kern w:val="0"/>
                <w:szCs w:val="21"/>
                <w:u w:val="single"/>
                <w:lang w:eastAsia="zh-CN"/>
              </w:rPr>
              <w:t>含氨</w:t>
            </w:r>
            <w:r>
              <w:rPr>
                <w:rFonts w:ascii="Times New Roman" w:hAnsi="Times New Roman" w:cs="Times New Roman"/>
                <w:color w:val="auto"/>
                <w:kern w:val="0"/>
                <w:szCs w:val="21"/>
                <w:u w:val="single"/>
              </w:rPr>
              <w:t>废水量</w:t>
            </w:r>
          </w:p>
        </w:tc>
        <w:tc>
          <w:tcPr>
            <w:tcW w:w="1134"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90</w:t>
            </w:r>
          </w:p>
        </w:tc>
        <w:tc>
          <w:tcPr>
            <w:tcW w:w="993" w:type="dxa"/>
            <w:tcBorders>
              <w:top w:val="single" w:color="auto" w:sz="4" w:space="0"/>
              <w:left w:val="single" w:color="000000" w:sz="4" w:space="0"/>
              <w:bottom w:val="single" w:color="000000"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850" w:type="dxa"/>
            <w:tcBorders>
              <w:top w:val="single" w:color="auto" w:sz="4" w:space="0"/>
              <w:left w:val="single" w:color="auto"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90</w:t>
            </w:r>
          </w:p>
        </w:tc>
        <w:tc>
          <w:tcPr>
            <w:tcW w:w="141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2423" w:type="dxa"/>
            <w:vMerge w:val="restart"/>
            <w:tcBorders>
              <w:top w:val="single" w:color="auto" w:sz="4" w:space="0"/>
              <w:left w:val="single" w:color="000000" w:sz="4" w:space="0"/>
              <w:right w:val="single" w:color="000000" w:sz="4" w:space="0"/>
            </w:tcBorders>
            <w:vAlign w:val="center"/>
          </w:tcPr>
          <w:p>
            <w:pPr>
              <w:spacing w:line="276" w:lineRule="auto"/>
              <w:jc w:val="center"/>
              <w:rPr>
                <w:rFonts w:ascii="Times New Roman" w:hAnsi="Times New Roman" w:cs="Times New Roman"/>
                <w:color w:val="auto"/>
                <w:szCs w:val="21"/>
                <w:u w:val="single"/>
              </w:rPr>
            </w:pPr>
            <w:r>
              <w:rPr>
                <w:rFonts w:ascii="Times New Roman" w:hAnsi="Times New Roman" w:cs="Times New Roman"/>
                <w:color w:val="auto"/>
                <w:szCs w:val="21"/>
                <w:u w:val="single"/>
              </w:rPr>
              <w:t>废水</w:t>
            </w:r>
            <w:r>
              <w:rPr>
                <w:rFonts w:hint="eastAsia" w:ascii="Times New Roman" w:hAnsi="Times New Roman" w:cs="Times New Roman"/>
                <w:color w:val="auto"/>
                <w:szCs w:val="21"/>
                <w:u w:val="single"/>
                <w:lang w:eastAsia="zh-CN"/>
              </w:rPr>
              <w:t>送公司炼油二部污水汽提装置处理</w:t>
            </w:r>
            <w:r>
              <w:rPr>
                <w:rFonts w:ascii="Times New Roman" w:hAnsi="Times New Roman" w:cs="Times New Roman"/>
                <w:color w:val="auto"/>
                <w:szCs w:val="21"/>
                <w:u w:val="single"/>
              </w:rPr>
              <w:t>。</w:t>
            </w:r>
          </w:p>
        </w:tc>
      </w:tr>
      <w:tr>
        <w:tblPrEx>
          <w:tblLayout w:type="fixed"/>
          <w:tblCellMar>
            <w:top w:w="15" w:type="dxa"/>
            <w:left w:w="15" w:type="dxa"/>
            <w:bottom w:w="15" w:type="dxa"/>
            <w:right w:w="15" w:type="dxa"/>
          </w:tblCellMar>
        </w:tblPrEx>
        <w:trPr>
          <w:trHeight w:val="386" w:hRule="atLeast"/>
        </w:trPr>
        <w:tc>
          <w:tcPr>
            <w:tcW w:w="1231" w:type="dxa"/>
            <w:vMerge w:val="continue"/>
            <w:tcBorders>
              <w:left w:val="single" w:color="auto" w:sz="4" w:space="0"/>
              <w:right w:val="single" w:color="000000" w:sz="4" w:space="0"/>
            </w:tcBorders>
            <w:vAlign w:val="center"/>
          </w:tcPr>
          <w:p>
            <w:pPr>
              <w:rPr>
                <w:rFonts w:ascii="Times New Roman" w:hAnsi="Times New Roman" w:cs="Times New Roman"/>
                <w:color w:val="auto"/>
                <w:u w:val="single"/>
              </w:rPr>
            </w:pPr>
          </w:p>
        </w:tc>
        <w:tc>
          <w:tcPr>
            <w:tcW w:w="10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氨</w:t>
            </w:r>
          </w:p>
        </w:tc>
        <w:tc>
          <w:tcPr>
            <w:tcW w:w="11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4.5</w:t>
            </w:r>
          </w:p>
        </w:tc>
        <w:tc>
          <w:tcPr>
            <w:tcW w:w="993"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val="en-US" w:eastAsia="zh-CN"/>
              </w:rPr>
              <w:t>/</w:t>
            </w:r>
          </w:p>
        </w:tc>
        <w:tc>
          <w:tcPr>
            <w:tcW w:w="85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4.5</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5%</w:t>
            </w:r>
          </w:p>
        </w:tc>
        <w:tc>
          <w:tcPr>
            <w:tcW w:w="2423" w:type="dxa"/>
            <w:vMerge w:val="continue"/>
            <w:tcBorders>
              <w:left w:val="single" w:color="000000" w:sz="4" w:space="0"/>
              <w:right w:val="single" w:color="000000"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285" w:hRule="atLeast"/>
        </w:trPr>
        <w:tc>
          <w:tcPr>
            <w:tcW w:w="1231" w:type="dxa"/>
            <w:tcBorders>
              <w:top w:val="single" w:color="auto" w:sz="4" w:space="0"/>
              <w:left w:val="single" w:color="auto"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危险废物</w:t>
            </w:r>
          </w:p>
        </w:tc>
        <w:tc>
          <w:tcPr>
            <w:tcW w:w="1052" w:type="dxa"/>
            <w:tcBorders>
              <w:top w:val="single" w:color="auto" w:sz="4" w:space="0"/>
              <w:left w:val="single" w:color="000000" w:sz="4" w:space="0"/>
              <w:bottom w:val="single" w:color="auto" w:sz="4" w:space="0"/>
              <w:right w:val="single" w:color="000000" w:sz="4" w:space="0"/>
            </w:tcBorders>
            <w:vAlign w:val="center"/>
          </w:tcPr>
          <w:p>
            <w:pPr>
              <w:pStyle w:val="27"/>
              <w:tabs>
                <w:tab w:val="left" w:pos="15"/>
              </w:tabs>
              <w:jc w:val="center"/>
              <w:rPr>
                <w:rFonts w:ascii="Times New Roman" w:hAnsi="Times New Roman"/>
                <w:color w:val="auto"/>
                <w:sz w:val="21"/>
                <w:szCs w:val="21"/>
                <w:u w:val="single"/>
              </w:rPr>
            </w:pPr>
            <w:r>
              <w:rPr>
                <w:rFonts w:ascii="Times New Roman" w:hAnsi="Times New Roman"/>
                <w:color w:val="auto"/>
                <w:sz w:val="21"/>
                <w:szCs w:val="21"/>
                <w:u w:val="single"/>
              </w:rPr>
              <w:t>废物润滑油</w:t>
            </w:r>
          </w:p>
        </w:tc>
        <w:tc>
          <w:tcPr>
            <w:tcW w:w="1134" w:type="dxa"/>
            <w:tcBorders>
              <w:top w:val="single" w:color="auto" w:sz="4" w:space="0"/>
              <w:left w:val="single" w:color="000000" w:sz="4" w:space="0"/>
              <w:bottom w:val="single" w:color="auto" w:sz="4" w:space="0"/>
              <w:right w:val="single" w:color="000000" w:sz="4" w:space="0"/>
            </w:tcBorders>
            <w:vAlign w:val="center"/>
          </w:tcPr>
          <w:p>
            <w:pPr>
              <w:pStyle w:val="246"/>
              <w:widowControl/>
              <w:ind w:left="360" w:firstLine="0" w:firstLineChars="0"/>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0.006</w:t>
            </w:r>
          </w:p>
        </w:tc>
        <w:tc>
          <w:tcPr>
            <w:tcW w:w="993" w:type="dxa"/>
            <w:tcBorders>
              <w:top w:val="single" w:color="auto" w:sz="4" w:space="0"/>
              <w:left w:val="single" w:color="000000"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850" w:type="dxa"/>
            <w:tcBorders>
              <w:top w:val="single" w:color="auto" w:sz="4" w:space="0"/>
              <w:left w:val="single" w:color="auto" w:sz="4" w:space="0"/>
              <w:bottom w:val="single" w:color="auto" w:sz="4" w:space="0"/>
              <w:right w:val="single" w:color="000000" w:sz="4" w:space="0"/>
            </w:tcBorders>
            <w:vAlign w:val="center"/>
          </w:tcPr>
          <w:p>
            <w:pPr>
              <w:jc w:val="center"/>
              <w:rPr>
                <w:rFonts w:ascii="Times New Roman" w:hAnsi="Times New Roman" w:cs="Times New Roman"/>
                <w:color w:val="auto"/>
                <w:szCs w:val="21"/>
                <w:u w:val="single"/>
              </w:rPr>
            </w:pPr>
          </w:p>
        </w:tc>
        <w:tc>
          <w:tcPr>
            <w:tcW w:w="1418" w:type="dxa"/>
            <w:tcBorders>
              <w:top w:val="single" w:color="auto"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2423" w:type="dxa"/>
            <w:tcBorders>
              <w:top w:val="single" w:color="auto" w:sz="4" w:space="0"/>
              <w:left w:val="single" w:color="000000"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委托有资质单位处置</w:t>
            </w:r>
          </w:p>
        </w:tc>
      </w:tr>
    </w:tbl>
    <w:p>
      <w:pPr>
        <w:pStyle w:val="6"/>
        <w:numPr>
          <w:ilvl w:val="0"/>
          <w:numId w:val="0"/>
        </w:numPr>
        <w:spacing w:before="120" w:beforeLines="0" w:after="120" w:afterLines="0"/>
        <w:rPr>
          <w:color w:val="auto"/>
        </w:rPr>
      </w:pPr>
    </w:p>
    <w:p>
      <w:pPr>
        <w:pStyle w:val="6"/>
        <w:numPr>
          <w:ilvl w:val="0"/>
          <w:numId w:val="0"/>
        </w:numPr>
        <w:spacing w:before="120" w:beforeLines="0" w:after="120" w:afterLines="0"/>
        <w:rPr>
          <w:color w:val="auto"/>
        </w:rPr>
      </w:pPr>
      <w:r>
        <w:rPr>
          <w:color w:val="auto"/>
        </w:rPr>
        <w:t>2.2拟建工程概况</w:t>
      </w:r>
      <w:bookmarkEnd w:id="130"/>
      <w:bookmarkEnd w:id="131"/>
      <w:bookmarkEnd w:id="132"/>
      <w:bookmarkEnd w:id="133"/>
    </w:p>
    <w:p>
      <w:pPr>
        <w:pStyle w:val="5"/>
        <w:spacing w:line="480" w:lineRule="exact"/>
        <w:ind w:firstLine="480"/>
        <w:rPr>
          <w:color w:val="auto"/>
        </w:rPr>
      </w:pPr>
      <w:r>
        <w:rPr>
          <w:color w:val="auto"/>
        </w:rPr>
        <w:t>项目名称：液氨装车安全隐患治理项目；</w:t>
      </w:r>
    </w:p>
    <w:p>
      <w:pPr>
        <w:pStyle w:val="5"/>
        <w:spacing w:line="480" w:lineRule="exact"/>
        <w:ind w:firstLine="480"/>
        <w:rPr>
          <w:color w:val="auto"/>
        </w:rPr>
      </w:pPr>
      <w:r>
        <w:rPr>
          <w:color w:val="auto"/>
        </w:rPr>
        <w:t>建设单位：中国石油化工股份有限公司长岭分公司；</w:t>
      </w:r>
    </w:p>
    <w:p>
      <w:pPr>
        <w:pStyle w:val="5"/>
        <w:spacing w:line="480" w:lineRule="exact"/>
        <w:ind w:firstLine="480"/>
        <w:rPr>
          <w:color w:val="auto"/>
        </w:rPr>
      </w:pPr>
      <w:r>
        <w:rPr>
          <w:color w:val="auto"/>
        </w:rPr>
        <w:t>项目性质：</w:t>
      </w:r>
      <w:r>
        <w:rPr>
          <w:rFonts w:hint="eastAsia"/>
          <w:color w:val="auto"/>
          <w:lang w:eastAsia="zh-CN"/>
        </w:rPr>
        <w:t>技改</w:t>
      </w:r>
      <w:r>
        <w:rPr>
          <w:color w:val="auto"/>
        </w:rPr>
        <w:t>；</w:t>
      </w:r>
    </w:p>
    <w:p>
      <w:pPr>
        <w:pStyle w:val="5"/>
        <w:spacing w:line="480" w:lineRule="exact"/>
        <w:ind w:firstLine="480"/>
        <w:rPr>
          <w:color w:val="auto"/>
        </w:rPr>
      </w:pPr>
      <w:r>
        <w:rPr>
          <w:color w:val="auto"/>
        </w:rPr>
        <w:t xml:space="preserve">建设地点：中国石油化工股份有限公司长岭分公司厂内； </w:t>
      </w:r>
    </w:p>
    <w:p>
      <w:pPr>
        <w:pStyle w:val="5"/>
        <w:spacing w:line="480" w:lineRule="exact"/>
        <w:ind w:firstLine="480"/>
        <w:rPr>
          <w:color w:val="auto"/>
        </w:rPr>
      </w:pPr>
      <w:r>
        <w:rPr>
          <w:color w:val="auto"/>
        </w:rPr>
        <w:t xml:space="preserve">项目投资：本项目总投资为 237.66万元，环保投资约 </w:t>
      </w:r>
      <w:r>
        <w:rPr>
          <w:rFonts w:hint="eastAsia"/>
          <w:color w:val="auto"/>
        </w:rPr>
        <w:t>3</w:t>
      </w:r>
      <w:r>
        <w:rPr>
          <w:rFonts w:hint="eastAsia"/>
          <w:color w:val="auto"/>
          <w:lang w:val="en-US" w:eastAsia="zh-CN"/>
        </w:rPr>
        <w:t>5</w:t>
      </w:r>
      <w:r>
        <w:rPr>
          <w:color w:val="auto"/>
        </w:rPr>
        <w:t xml:space="preserve">万元，占项目总投资的 </w:t>
      </w:r>
      <w:r>
        <w:rPr>
          <w:rFonts w:hint="eastAsia"/>
          <w:color w:val="auto"/>
        </w:rPr>
        <w:t>1</w:t>
      </w:r>
      <w:r>
        <w:rPr>
          <w:rFonts w:hint="eastAsia"/>
          <w:color w:val="auto"/>
          <w:lang w:val="en-US" w:eastAsia="zh-CN"/>
        </w:rPr>
        <w:t>.5</w:t>
      </w:r>
      <w:r>
        <w:rPr>
          <w:color w:val="auto"/>
        </w:rPr>
        <w:t xml:space="preserve">%。 </w:t>
      </w:r>
    </w:p>
    <w:p>
      <w:pPr>
        <w:pStyle w:val="5"/>
        <w:spacing w:line="480" w:lineRule="exact"/>
        <w:ind w:firstLine="480"/>
        <w:rPr>
          <w:color w:val="auto"/>
        </w:rPr>
      </w:pPr>
      <w:r>
        <w:rPr>
          <w:color w:val="auto"/>
        </w:rPr>
        <w:t>主要建设内容及规模：</w:t>
      </w:r>
      <w:r>
        <w:rPr>
          <w:rFonts w:hint="eastAsia"/>
          <w:color w:val="auto"/>
          <w:lang w:eastAsia="zh-CN"/>
        </w:rPr>
        <w:t>对</w:t>
      </w:r>
      <w:r>
        <w:rPr>
          <w:color w:val="auto"/>
        </w:rPr>
        <w:t>长岭分公司炼油一部现有液氨罐区储存设施</w:t>
      </w:r>
      <w:r>
        <w:rPr>
          <w:rFonts w:hint="eastAsia"/>
          <w:color w:val="auto"/>
          <w:lang w:eastAsia="zh-CN"/>
        </w:rPr>
        <w:t>进行技改</w:t>
      </w:r>
      <w:r>
        <w:rPr>
          <w:color w:val="auto"/>
        </w:rPr>
        <w:t>，现有储存设施包括100m</w:t>
      </w:r>
      <w:r>
        <w:rPr>
          <w:color w:val="auto"/>
          <w:vertAlign w:val="superscript"/>
        </w:rPr>
        <w:t>3</w:t>
      </w:r>
      <w:r>
        <w:rPr>
          <w:color w:val="auto"/>
        </w:rPr>
        <w:t>卧式液氨储罐2台，30m</w:t>
      </w:r>
      <w:r>
        <w:rPr>
          <w:color w:val="auto"/>
          <w:vertAlign w:val="superscript"/>
        </w:rPr>
        <w:t>3</w:t>
      </w:r>
      <w:r>
        <w:rPr>
          <w:color w:val="auto"/>
        </w:rPr>
        <w:t>卧式吸收罐1台，将现有液氨罐区泵棚延长，泵棚内新增液氨装车泵2台，新敷至液化气站装车管道及气相返回管道</w:t>
      </w:r>
      <w:r>
        <w:rPr>
          <w:rFonts w:hint="eastAsia"/>
          <w:color w:val="auto"/>
          <w:lang w:eastAsia="zh-CN"/>
        </w:rPr>
        <w:t>，并就近增设含氨废水送炼油二部污水汽提处理流程，用于处理兴长集团油气分公司液化气站液氨装车时产生的含氨废水</w:t>
      </w:r>
      <w:r>
        <w:rPr>
          <w:color w:val="auto"/>
        </w:rPr>
        <w:t>。</w:t>
      </w:r>
    </w:p>
    <w:p>
      <w:pPr>
        <w:pStyle w:val="5"/>
        <w:spacing w:line="480" w:lineRule="exact"/>
        <w:ind w:firstLine="480"/>
        <w:rPr>
          <w:color w:val="auto"/>
        </w:rPr>
      </w:pPr>
      <w:r>
        <w:rPr>
          <w:color w:val="auto"/>
        </w:rPr>
        <w:t>劳动定员及工作制度：拟建项目人员从公司内部调配，不新增员工，所有职工不住厂，不设食堂。</w:t>
      </w:r>
    </w:p>
    <w:p>
      <w:pPr>
        <w:pStyle w:val="5"/>
        <w:spacing w:line="480" w:lineRule="exact"/>
        <w:ind w:firstLine="480"/>
        <w:rPr>
          <w:color w:val="auto"/>
        </w:rPr>
      </w:pPr>
      <w:r>
        <w:rPr>
          <w:color w:val="auto"/>
        </w:rPr>
        <w:t>地理位置及周边情况：本项目位于岳阳市云溪区长岭分公司厂内，依托现有管廊成由东向西北的线状分布，项目北侧为云溪工业园，西侧为聚丙烯装置区山地，南面及东面均为长岭分公司生产装置或工用工程装置，项目周边最近的敏感点为西侧相距约 850m 的岳阳长炼医院。</w:t>
      </w:r>
    </w:p>
    <w:p>
      <w:pPr>
        <w:pStyle w:val="5"/>
        <w:spacing w:line="480" w:lineRule="exact"/>
        <w:ind w:firstLine="480"/>
        <w:rPr>
          <w:color w:val="auto"/>
        </w:rPr>
      </w:pPr>
      <w:r>
        <w:rPr>
          <w:color w:val="auto"/>
        </w:rPr>
        <w:t>项目地理位置图见附图 1，项目四周</w:t>
      </w:r>
      <w:r>
        <w:rPr>
          <w:rFonts w:hint="eastAsia"/>
          <w:color w:val="auto"/>
        </w:rPr>
        <w:t>及</w:t>
      </w:r>
      <w:r>
        <w:rPr>
          <w:rFonts w:hint="eastAsia"/>
          <w:color w:val="auto"/>
          <w:lang w:eastAsia="zh-CN"/>
        </w:rPr>
        <w:t>目</w:t>
      </w:r>
      <w:r>
        <w:rPr>
          <w:rFonts w:hint="eastAsia"/>
          <w:color w:val="auto"/>
        </w:rPr>
        <w:t>前现状</w:t>
      </w:r>
      <w:r>
        <w:rPr>
          <w:color w:val="auto"/>
        </w:rPr>
        <w:t>情况见附图2。</w:t>
      </w:r>
    </w:p>
    <w:p>
      <w:pPr>
        <w:pStyle w:val="5"/>
        <w:spacing w:line="480" w:lineRule="exact"/>
        <w:ind w:firstLine="480"/>
        <w:rPr>
          <w:color w:val="auto"/>
        </w:rPr>
      </w:pPr>
    </w:p>
    <w:p>
      <w:pPr>
        <w:pStyle w:val="6"/>
        <w:numPr>
          <w:ilvl w:val="0"/>
          <w:numId w:val="0"/>
        </w:numPr>
        <w:spacing w:before="120" w:beforeLines="0" w:after="120" w:afterLines="0"/>
        <w:rPr>
          <w:color w:val="auto"/>
        </w:rPr>
      </w:pPr>
      <w:bookmarkStart w:id="137" w:name="_Toc15115"/>
      <w:r>
        <w:rPr>
          <w:color w:val="auto"/>
        </w:rPr>
        <w:t>2.3 本项目与依托工程的依托关系</w:t>
      </w:r>
      <w:bookmarkEnd w:id="137"/>
    </w:p>
    <w:p>
      <w:pPr>
        <w:pStyle w:val="7"/>
        <w:numPr>
          <w:ilvl w:val="2"/>
          <w:numId w:val="0"/>
        </w:numPr>
        <w:spacing w:before="120" w:beforeLines="0" w:after="120" w:afterLines="0"/>
        <w:ind w:left="142" w:leftChars="0"/>
        <w:rPr>
          <w:color w:val="auto"/>
        </w:rPr>
      </w:pPr>
      <w:bookmarkStart w:id="138" w:name="_Toc12014"/>
      <w:r>
        <w:rPr>
          <w:color w:val="auto"/>
        </w:rPr>
        <w:t>2.3.1现有液氨装车设施</w:t>
      </w:r>
      <w:r>
        <w:rPr>
          <w:rFonts w:hint="eastAsia"/>
          <w:color w:val="auto"/>
          <w:lang w:eastAsia="zh-CN"/>
        </w:rPr>
        <w:t>技改</w:t>
      </w:r>
      <w:r>
        <w:rPr>
          <w:color w:val="auto"/>
        </w:rPr>
        <w:t>介绍</w:t>
      </w:r>
      <w:bookmarkEnd w:id="138"/>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现有液氨装车</w:t>
      </w:r>
      <w:r>
        <w:rPr>
          <w:rFonts w:hint="eastAsia" w:ascii="宋体" w:hAnsi="宋体" w:eastAsia="宋体" w:cs="宋体"/>
          <w:color w:val="auto"/>
          <w:lang w:eastAsia="zh-CN"/>
        </w:rPr>
        <w:t>位于</w:t>
      </w:r>
      <w:r>
        <w:rPr>
          <w:rFonts w:hint="eastAsia" w:ascii="宋体" w:hAnsi="宋体" w:eastAsia="宋体" w:cs="宋体"/>
          <w:color w:val="auto"/>
        </w:rPr>
        <w:t>长岭分公司炼油一部污水汽提装置的东北角，包括液氨储存设施包括100m</w:t>
      </w:r>
      <w:r>
        <w:rPr>
          <w:rFonts w:hint="eastAsia" w:ascii="宋体" w:hAnsi="宋体" w:eastAsia="宋体" w:cs="宋体"/>
          <w:color w:val="auto"/>
          <w:vertAlign w:val="superscript"/>
        </w:rPr>
        <w:t>3</w:t>
      </w:r>
      <w:r>
        <w:rPr>
          <w:rFonts w:hint="eastAsia" w:ascii="宋体" w:hAnsi="宋体" w:eastAsia="宋体" w:cs="宋体"/>
          <w:color w:val="auto"/>
        </w:rPr>
        <w:t>卧式液氨储罐2台，30m</w:t>
      </w:r>
      <w:r>
        <w:rPr>
          <w:rFonts w:hint="eastAsia" w:ascii="宋体" w:hAnsi="宋体" w:eastAsia="宋体" w:cs="宋体"/>
          <w:color w:val="auto"/>
          <w:vertAlign w:val="superscript"/>
        </w:rPr>
        <w:t>3</w:t>
      </w:r>
      <w:r>
        <w:rPr>
          <w:rFonts w:hint="eastAsia" w:ascii="宋体" w:hAnsi="宋体" w:eastAsia="宋体" w:cs="宋体"/>
          <w:color w:val="auto"/>
        </w:rPr>
        <w:t>卧式吸收罐1台，两台泵及1个装车鹤管，为消除在炼油装置区内进行液氨装车的安全隐患，拟停用现有装车鹤管，增设泵和管道等设施，将液氨送至邻近工业园</w:t>
      </w:r>
      <w:r>
        <w:rPr>
          <w:rFonts w:hint="eastAsia" w:ascii="宋体" w:hAnsi="宋体" w:eastAsia="宋体" w:cs="宋体"/>
          <w:color w:val="auto"/>
          <w:lang w:eastAsia="zh-CN"/>
        </w:rPr>
        <w:t>，兴长集团公司油气分公司液化气站装车</w:t>
      </w:r>
      <w:r>
        <w:rPr>
          <w:rFonts w:hint="eastAsia" w:ascii="宋体" w:hAnsi="宋体" w:eastAsia="宋体" w:cs="宋体"/>
          <w:color w:val="auto"/>
        </w:rPr>
        <w:t>。</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主要新增工程内容</w:t>
      </w:r>
      <w:r>
        <w:rPr>
          <w:rFonts w:hint="eastAsia" w:ascii="宋体" w:hAnsi="宋体" w:eastAsia="宋体" w:cs="宋体"/>
          <w:color w:val="auto"/>
          <w:lang w:eastAsia="zh-CN"/>
        </w:rPr>
        <w:t>见表</w:t>
      </w:r>
      <w:r>
        <w:rPr>
          <w:rFonts w:hint="eastAsia" w:ascii="宋体" w:hAnsi="宋体" w:eastAsia="宋体" w:cs="宋体"/>
          <w:color w:val="auto"/>
          <w:lang w:val="en-US" w:eastAsia="zh-CN"/>
        </w:rPr>
        <w:t>2.3-1</w:t>
      </w:r>
      <w:r>
        <w:rPr>
          <w:rFonts w:hint="eastAsia" w:ascii="宋体" w:hAnsi="宋体" w:eastAsia="宋体" w:cs="宋体"/>
          <w:color w:val="auto"/>
        </w:rPr>
        <w:t>：</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（1）液氨罐区现有泵棚（宽2m）延长6m。</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（2）新增液氨装车泵2台（已采购），泵基础2个。</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液氨装车泵参数：流量10m3/h、扬程140m。</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（3）新增自液氨罐区至液化气站液氨装车</w:t>
      </w:r>
      <w:r>
        <w:rPr>
          <w:rFonts w:hint="eastAsia" w:ascii="宋体" w:hAnsi="宋体" w:eastAsia="宋体" w:cs="宋体"/>
          <w:color w:val="auto"/>
          <w:lang w:eastAsia="zh-CN"/>
        </w:rPr>
        <w:t>台的</w:t>
      </w:r>
      <w:r>
        <w:rPr>
          <w:rFonts w:hint="eastAsia" w:ascii="宋体" w:hAnsi="宋体" w:eastAsia="宋体" w:cs="宋体"/>
          <w:color w:val="auto"/>
        </w:rPr>
        <w:t>管道，液相管道规格DN80，新敷管道长度约1990m，管道保冷采用隔热涂料。</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（4）新增自液化气站至液氨罐区</w:t>
      </w:r>
      <w:r>
        <w:rPr>
          <w:rFonts w:hint="eastAsia" w:ascii="宋体" w:hAnsi="宋体" w:eastAsia="宋体" w:cs="宋体"/>
          <w:color w:val="auto"/>
          <w:lang w:eastAsia="zh-CN"/>
        </w:rPr>
        <w:t>的</w:t>
      </w:r>
      <w:r>
        <w:rPr>
          <w:rFonts w:hint="eastAsia" w:ascii="宋体" w:hAnsi="宋体" w:eastAsia="宋体" w:cs="宋体"/>
          <w:color w:val="auto"/>
        </w:rPr>
        <w:t>液氨装车气相返回管道，管道规格DN50，新敷管道长度约1950m。</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（5）新增自液化气站至炼油二部非加氢污水</w:t>
      </w:r>
      <w:r>
        <w:rPr>
          <w:rFonts w:hint="eastAsia" w:ascii="宋体" w:hAnsi="宋体" w:eastAsia="宋体" w:cs="宋体"/>
          <w:color w:val="auto"/>
          <w:lang w:eastAsia="zh-CN"/>
        </w:rPr>
        <w:t>罐</w:t>
      </w:r>
      <w:r>
        <w:rPr>
          <w:rFonts w:hint="eastAsia" w:ascii="宋体" w:hAnsi="宋体" w:eastAsia="宋体" w:cs="宋体"/>
          <w:color w:val="auto"/>
        </w:rPr>
        <w:t>氨水输送管道，管道规格DN50，新敷管道长度约1280m。</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（6）装车泵配电、设备接地及泵棚照明。</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（7）新增宽0.6m、高0.4m管墩约16个。</w:t>
      </w:r>
    </w:p>
    <w:p>
      <w:pPr>
        <w:pStyle w:val="5"/>
        <w:spacing w:line="480" w:lineRule="exact"/>
        <w:ind w:firstLine="480"/>
        <w:rPr>
          <w:rFonts w:hint="eastAsia" w:ascii="宋体" w:hAnsi="宋体" w:eastAsia="宋体" w:cs="宋体"/>
          <w:color w:val="auto"/>
        </w:rPr>
      </w:pPr>
      <w:r>
        <w:rPr>
          <w:rFonts w:hint="eastAsia" w:ascii="宋体" w:hAnsi="宋体" w:eastAsia="宋体" w:cs="宋体"/>
          <w:color w:val="auto"/>
        </w:rPr>
        <w:t>（8）采用远程装车方式，装车泵设在炼油一部液氨罐区，装车鹤管设在液化气站装车棚内，装车鹤位处设停泵按钮，新敷控制光缆长约2200m，装车泵进出口管道上设现场压力表，装车泵棚设液氨泄漏报警。</w:t>
      </w:r>
    </w:p>
    <w:p>
      <w:pPr>
        <w:pStyle w:val="5"/>
        <w:spacing w:line="480" w:lineRule="exact"/>
        <w:ind w:firstLine="480"/>
        <w:rPr>
          <w:rFonts w:hint="eastAsia" w:ascii="宋体" w:hAnsi="宋体" w:eastAsia="宋体" w:cs="宋体"/>
          <w:color w:val="auto"/>
          <w:u w:val="single"/>
          <w:lang w:val="en-US" w:eastAsia="zh-CN"/>
        </w:rPr>
      </w:pPr>
      <w:r>
        <w:rPr>
          <w:rFonts w:hint="eastAsia" w:ascii="宋体" w:hAnsi="宋体" w:eastAsia="宋体" w:cs="宋体"/>
          <w:color w:val="auto"/>
          <w:u w:val="single"/>
          <w:lang w:eastAsia="zh-CN"/>
        </w:rPr>
        <w:t>本技改项目组成见表</w:t>
      </w:r>
      <w:r>
        <w:rPr>
          <w:rFonts w:hint="eastAsia" w:ascii="宋体" w:hAnsi="宋体" w:eastAsia="宋体" w:cs="宋体"/>
          <w:color w:val="auto"/>
          <w:u w:val="single"/>
          <w:lang w:val="en-US" w:eastAsia="zh-CN"/>
        </w:rPr>
        <w:t>2.3-1。</w:t>
      </w:r>
    </w:p>
    <w:p>
      <w:pPr>
        <w:pStyle w:val="5"/>
        <w:spacing w:line="480" w:lineRule="exact"/>
        <w:ind w:left="0" w:leftChars="0" w:firstLine="0" w:firstLineChars="0"/>
        <w:jc w:val="center"/>
        <w:rPr>
          <w:rFonts w:hint="eastAsia" w:ascii="宋体" w:hAnsi="宋体" w:eastAsia="宋体" w:cs="宋体"/>
          <w:b/>
          <w:bCs/>
          <w:color w:val="auto"/>
          <w:u w:val="single"/>
          <w:lang w:eastAsia="zh-CN"/>
        </w:rPr>
      </w:pPr>
      <w:r>
        <w:rPr>
          <w:rFonts w:hint="eastAsia" w:ascii="宋体" w:hAnsi="宋体" w:eastAsia="宋体" w:cs="宋体"/>
          <w:b/>
          <w:bCs/>
          <w:color w:val="auto"/>
          <w:u w:val="single"/>
          <w:lang w:val="en-US" w:eastAsia="zh-CN"/>
        </w:rPr>
        <w:t>表2.3-1 本项目组成一览表</w:t>
      </w:r>
    </w:p>
    <w:tbl>
      <w:tblPr>
        <w:tblStyle w:val="46"/>
        <w:tblW w:w="97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818"/>
        <w:gridCol w:w="6632"/>
        <w:gridCol w:w="1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b/>
                <w:bCs/>
                <w:szCs w:val="21"/>
                <w:u w:val="single"/>
              </w:rPr>
            </w:pPr>
            <w:r>
              <w:rPr>
                <w:rFonts w:hint="eastAsia"/>
                <w:b/>
                <w:bCs/>
                <w:szCs w:val="21"/>
                <w:u w:val="single"/>
              </w:rPr>
              <w:t>序号</w:t>
            </w:r>
          </w:p>
        </w:tc>
        <w:tc>
          <w:tcPr>
            <w:tcW w:w="818" w:type="dxa"/>
            <w:vAlign w:val="center"/>
          </w:tcPr>
          <w:p>
            <w:pPr>
              <w:jc w:val="center"/>
              <w:rPr>
                <w:b/>
                <w:bCs/>
                <w:szCs w:val="21"/>
                <w:u w:val="single"/>
              </w:rPr>
            </w:pPr>
            <w:r>
              <w:rPr>
                <w:rFonts w:hint="eastAsia"/>
                <w:b/>
                <w:bCs/>
                <w:szCs w:val="21"/>
                <w:u w:val="single"/>
              </w:rPr>
              <w:t>工程名称</w:t>
            </w:r>
          </w:p>
        </w:tc>
        <w:tc>
          <w:tcPr>
            <w:tcW w:w="6632" w:type="dxa"/>
            <w:vAlign w:val="center"/>
          </w:tcPr>
          <w:p>
            <w:pPr>
              <w:jc w:val="center"/>
              <w:rPr>
                <w:b/>
                <w:bCs/>
                <w:szCs w:val="21"/>
                <w:u w:val="single"/>
              </w:rPr>
            </w:pPr>
            <w:r>
              <w:rPr>
                <w:rFonts w:hint="eastAsia"/>
                <w:b/>
                <w:bCs/>
                <w:szCs w:val="21"/>
                <w:u w:val="single"/>
              </w:rPr>
              <w:t>内容及规模</w:t>
            </w:r>
          </w:p>
        </w:tc>
        <w:tc>
          <w:tcPr>
            <w:tcW w:w="1840" w:type="dxa"/>
            <w:vAlign w:val="center"/>
          </w:tcPr>
          <w:p>
            <w:pPr>
              <w:jc w:val="center"/>
              <w:rPr>
                <w:rFonts w:hint="eastAsia" w:eastAsia="宋体"/>
                <w:b/>
                <w:bCs/>
                <w:szCs w:val="21"/>
                <w:u w:val="single"/>
                <w:lang w:eastAsia="zh-CN"/>
              </w:rPr>
            </w:pPr>
            <w:r>
              <w:rPr>
                <w:rFonts w:hint="eastAsia"/>
                <w:b/>
                <w:bCs/>
                <w:szCs w:val="21"/>
                <w:u w:val="singl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rFonts w:hint="eastAsia"/>
                <w:szCs w:val="21"/>
                <w:u w:val="single"/>
                <w:lang w:val="en-US" w:eastAsia="zh-CN"/>
              </w:rPr>
            </w:pPr>
            <w:r>
              <w:rPr>
                <w:rFonts w:hint="eastAsia"/>
                <w:szCs w:val="21"/>
                <w:u w:val="single"/>
                <w:lang w:val="en-US" w:eastAsia="zh-CN"/>
              </w:rPr>
              <w:t>1</w:t>
            </w:r>
          </w:p>
        </w:tc>
        <w:tc>
          <w:tcPr>
            <w:tcW w:w="818" w:type="dxa"/>
            <w:vAlign w:val="center"/>
          </w:tcPr>
          <w:p>
            <w:pPr>
              <w:jc w:val="center"/>
              <w:rPr>
                <w:rFonts w:hint="eastAsia"/>
                <w:szCs w:val="21"/>
                <w:u w:val="single"/>
                <w:lang w:val="en-US" w:eastAsia="zh-CN"/>
              </w:rPr>
            </w:pPr>
            <w:r>
              <w:rPr>
                <w:rFonts w:hint="eastAsia"/>
                <w:szCs w:val="21"/>
                <w:u w:val="single"/>
                <w:lang w:val="en-US" w:eastAsia="zh-CN"/>
              </w:rPr>
              <w:t>储罐</w:t>
            </w:r>
          </w:p>
        </w:tc>
        <w:tc>
          <w:tcPr>
            <w:tcW w:w="6632" w:type="dxa"/>
            <w:vAlign w:val="center"/>
          </w:tcPr>
          <w:p>
            <w:pPr>
              <w:jc w:val="center"/>
              <w:rPr>
                <w:rFonts w:hint="eastAsia"/>
                <w:szCs w:val="21"/>
                <w:u w:val="single"/>
                <w:lang w:val="en-US" w:eastAsia="zh-CN"/>
              </w:rPr>
            </w:pPr>
            <w:r>
              <w:rPr>
                <w:rFonts w:hint="eastAsia"/>
                <w:szCs w:val="21"/>
                <w:u w:val="single"/>
                <w:lang w:val="en-US" w:eastAsia="zh-CN"/>
              </w:rPr>
              <w:t>100m3卧式液氨储罐2台，30m3卧式吸收罐1台</w:t>
            </w:r>
          </w:p>
        </w:tc>
        <w:tc>
          <w:tcPr>
            <w:tcW w:w="1840" w:type="dxa"/>
            <w:vAlign w:val="center"/>
          </w:tcPr>
          <w:p>
            <w:pPr>
              <w:jc w:val="center"/>
              <w:rPr>
                <w:rFonts w:hint="eastAsia"/>
                <w:szCs w:val="21"/>
                <w:u w:val="single"/>
                <w:lang w:val="en-US" w:eastAsia="zh-CN"/>
              </w:rPr>
            </w:pPr>
            <w:r>
              <w:rPr>
                <w:rFonts w:hint="eastAsia"/>
                <w:szCs w:val="21"/>
                <w:u w:val="singl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rFonts w:hint="eastAsia"/>
                <w:szCs w:val="21"/>
                <w:u w:val="single"/>
                <w:lang w:val="en-US" w:eastAsia="zh-CN"/>
              </w:rPr>
            </w:pPr>
            <w:r>
              <w:rPr>
                <w:rFonts w:hint="eastAsia"/>
                <w:szCs w:val="21"/>
                <w:u w:val="single"/>
                <w:lang w:val="en-US" w:eastAsia="zh-CN"/>
              </w:rPr>
              <w:t>2</w:t>
            </w:r>
          </w:p>
        </w:tc>
        <w:tc>
          <w:tcPr>
            <w:tcW w:w="818" w:type="dxa"/>
            <w:vAlign w:val="center"/>
          </w:tcPr>
          <w:p>
            <w:pPr>
              <w:jc w:val="center"/>
              <w:rPr>
                <w:rFonts w:hint="eastAsia"/>
                <w:szCs w:val="21"/>
                <w:u w:val="single"/>
                <w:lang w:val="en-US" w:eastAsia="zh-CN"/>
              </w:rPr>
            </w:pPr>
            <w:r>
              <w:rPr>
                <w:rFonts w:hint="eastAsia"/>
                <w:szCs w:val="21"/>
                <w:u w:val="single"/>
                <w:lang w:val="en-US" w:eastAsia="zh-CN"/>
              </w:rPr>
              <w:t>机泵</w:t>
            </w:r>
          </w:p>
        </w:tc>
        <w:tc>
          <w:tcPr>
            <w:tcW w:w="6632" w:type="dxa"/>
            <w:vAlign w:val="center"/>
          </w:tcPr>
          <w:p>
            <w:pPr>
              <w:jc w:val="center"/>
              <w:rPr>
                <w:rFonts w:hint="eastAsia"/>
                <w:szCs w:val="21"/>
                <w:u w:val="single"/>
                <w:lang w:val="en-US" w:eastAsia="zh-CN"/>
              </w:rPr>
            </w:pPr>
            <w:r>
              <w:rPr>
                <w:rFonts w:hint="eastAsia"/>
                <w:szCs w:val="21"/>
                <w:u w:val="single"/>
                <w:lang w:val="en-US" w:eastAsia="zh-CN"/>
              </w:rPr>
              <w:t>液氨装车泵2台</w:t>
            </w:r>
          </w:p>
        </w:tc>
        <w:tc>
          <w:tcPr>
            <w:tcW w:w="1840" w:type="dxa"/>
            <w:vAlign w:val="center"/>
          </w:tcPr>
          <w:p>
            <w:pPr>
              <w:jc w:val="center"/>
              <w:rPr>
                <w:rFonts w:hint="default"/>
                <w:szCs w:val="21"/>
                <w:u w:val="single"/>
                <w:lang w:val="en-US" w:eastAsia="zh-CN"/>
              </w:rPr>
            </w:pPr>
            <w:r>
              <w:rPr>
                <w:rFonts w:hint="eastAsia"/>
                <w:szCs w:val="21"/>
                <w:u w:val="single"/>
                <w:lang w:val="en-US" w:eastAsia="zh-CN"/>
              </w:rPr>
              <w:t>新增，现有泵棚延长6米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rFonts w:hint="eastAsia"/>
                <w:szCs w:val="21"/>
                <w:u w:val="single"/>
                <w:lang w:val="en-US" w:eastAsia="zh-CN"/>
              </w:rPr>
            </w:pPr>
            <w:r>
              <w:rPr>
                <w:rFonts w:hint="eastAsia"/>
                <w:szCs w:val="21"/>
                <w:u w:val="single"/>
                <w:lang w:val="en-US" w:eastAsia="zh-CN"/>
              </w:rPr>
              <w:t>3</w:t>
            </w:r>
          </w:p>
        </w:tc>
        <w:tc>
          <w:tcPr>
            <w:tcW w:w="818" w:type="dxa"/>
            <w:vAlign w:val="center"/>
          </w:tcPr>
          <w:p>
            <w:pPr>
              <w:jc w:val="center"/>
              <w:rPr>
                <w:rFonts w:hint="eastAsia"/>
                <w:szCs w:val="21"/>
                <w:u w:val="single"/>
                <w:lang w:val="en-US" w:eastAsia="zh-CN"/>
              </w:rPr>
            </w:pPr>
            <w:r>
              <w:rPr>
                <w:rFonts w:hint="eastAsia"/>
                <w:szCs w:val="21"/>
                <w:u w:val="single"/>
                <w:lang w:val="en-US" w:eastAsia="zh-CN"/>
              </w:rPr>
              <w:t>管道</w:t>
            </w:r>
          </w:p>
        </w:tc>
        <w:tc>
          <w:tcPr>
            <w:tcW w:w="6632" w:type="dxa"/>
            <w:vAlign w:val="center"/>
          </w:tcPr>
          <w:p>
            <w:pPr>
              <w:jc w:val="center"/>
              <w:rPr>
                <w:rFonts w:hint="eastAsia"/>
                <w:szCs w:val="21"/>
                <w:u w:val="single"/>
                <w:lang w:val="en-US" w:eastAsia="zh-CN"/>
              </w:rPr>
            </w:pPr>
            <w:r>
              <w:rPr>
                <w:rFonts w:hint="eastAsia"/>
                <w:szCs w:val="21"/>
                <w:u w:val="single"/>
                <w:lang w:val="en-US" w:eastAsia="zh-CN"/>
              </w:rPr>
              <w:t>液氨罐区至液化气站液氨装车台的管道，液相管道规格DN80，新敷管道长度约1990m；液化气站至炼油二部非加氢污水罐氨水输送管道，管道规格DN50，新敷管道长度约1280m；新增自液化气站至炼油二部非加氢污水罐氨水输送管道，管道规格DN50，新敷管道长度约1280m。</w:t>
            </w:r>
          </w:p>
        </w:tc>
        <w:tc>
          <w:tcPr>
            <w:tcW w:w="1840" w:type="dxa"/>
            <w:vAlign w:val="center"/>
          </w:tcPr>
          <w:p>
            <w:pPr>
              <w:jc w:val="center"/>
              <w:rPr>
                <w:rFonts w:hint="eastAsia"/>
                <w:szCs w:val="21"/>
                <w:u w:val="single"/>
                <w:lang w:val="en-US" w:eastAsia="zh-CN"/>
              </w:rPr>
            </w:pPr>
            <w:r>
              <w:rPr>
                <w:rFonts w:hint="eastAsia"/>
                <w:szCs w:val="21"/>
                <w:u w:val="single"/>
                <w:lang w:val="en-US" w:eastAsia="zh-CN"/>
              </w:rPr>
              <w:t>新增地上管道走公司现有管廓架，新增从泵棚至公司主管廊宽0.6m、高0.4m管墩16个。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rFonts w:hint="eastAsia"/>
                <w:szCs w:val="21"/>
                <w:u w:val="single"/>
                <w:lang w:val="en-US" w:eastAsia="zh-CN"/>
              </w:rPr>
            </w:pPr>
            <w:r>
              <w:rPr>
                <w:rFonts w:hint="eastAsia"/>
                <w:szCs w:val="21"/>
                <w:u w:val="single"/>
                <w:lang w:val="en-US" w:eastAsia="zh-CN"/>
              </w:rPr>
              <w:t>4</w:t>
            </w:r>
          </w:p>
        </w:tc>
        <w:tc>
          <w:tcPr>
            <w:tcW w:w="818" w:type="dxa"/>
            <w:vAlign w:val="center"/>
          </w:tcPr>
          <w:p>
            <w:pPr>
              <w:jc w:val="center"/>
              <w:rPr>
                <w:rFonts w:hint="eastAsia"/>
                <w:szCs w:val="21"/>
                <w:u w:val="single"/>
                <w:lang w:val="en-US" w:eastAsia="zh-CN"/>
              </w:rPr>
            </w:pPr>
            <w:r>
              <w:rPr>
                <w:rFonts w:hint="eastAsia"/>
                <w:szCs w:val="21"/>
                <w:u w:val="single"/>
                <w:lang w:val="en-US" w:eastAsia="zh-CN"/>
              </w:rPr>
              <w:t>供电</w:t>
            </w:r>
          </w:p>
        </w:tc>
        <w:tc>
          <w:tcPr>
            <w:tcW w:w="6632" w:type="dxa"/>
            <w:vAlign w:val="center"/>
          </w:tcPr>
          <w:p>
            <w:pPr>
              <w:jc w:val="center"/>
              <w:rPr>
                <w:rFonts w:hint="eastAsia"/>
                <w:szCs w:val="21"/>
                <w:u w:val="single"/>
                <w:lang w:val="en-US" w:eastAsia="zh-CN"/>
              </w:rPr>
            </w:pPr>
            <w:r>
              <w:rPr>
                <w:rFonts w:hint="eastAsia"/>
                <w:szCs w:val="21"/>
                <w:u w:val="single"/>
                <w:lang w:val="en-US" w:eastAsia="zh-CN"/>
              </w:rPr>
              <w:t>装车泵配电、设备接地及泵棚照明。</w:t>
            </w:r>
          </w:p>
        </w:tc>
        <w:tc>
          <w:tcPr>
            <w:tcW w:w="1840" w:type="dxa"/>
            <w:vAlign w:val="center"/>
          </w:tcPr>
          <w:p>
            <w:pPr>
              <w:jc w:val="center"/>
              <w:rPr>
                <w:rFonts w:hint="eastAsia"/>
                <w:szCs w:val="21"/>
                <w:u w:val="single"/>
                <w:lang w:val="en-US" w:eastAsia="zh-CN"/>
              </w:rPr>
            </w:pPr>
            <w:r>
              <w:rPr>
                <w:rFonts w:hint="eastAsia"/>
                <w:szCs w:val="21"/>
                <w:u w:val="singl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8" w:type="dxa"/>
            <w:vAlign w:val="center"/>
          </w:tcPr>
          <w:p>
            <w:pPr>
              <w:jc w:val="center"/>
              <w:rPr>
                <w:rFonts w:hint="eastAsia"/>
                <w:szCs w:val="21"/>
                <w:u w:val="single"/>
                <w:lang w:val="en-US" w:eastAsia="zh-CN"/>
              </w:rPr>
            </w:pPr>
            <w:r>
              <w:rPr>
                <w:rFonts w:hint="eastAsia"/>
                <w:szCs w:val="21"/>
                <w:u w:val="single"/>
                <w:lang w:val="en-US" w:eastAsia="zh-CN"/>
              </w:rPr>
              <w:t>5</w:t>
            </w:r>
          </w:p>
        </w:tc>
        <w:tc>
          <w:tcPr>
            <w:tcW w:w="818" w:type="dxa"/>
            <w:vAlign w:val="center"/>
          </w:tcPr>
          <w:p>
            <w:pPr>
              <w:jc w:val="center"/>
              <w:rPr>
                <w:rFonts w:hint="eastAsia"/>
                <w:szCs w:val="21"/>
                <w:u w:val="single"/>
                <w:lang w:val="en-US" w:eastAsia="zh-CN"/>
              </w:rPr>
            </w:pPr>
            <w:r>
              <w:rPr>
                <w:rFonts w:hint="eastAsia"/>
                <w:szCs w:val="21"/>
                <w:u w:val="single"/>
                <w:lang w:val="en-US" w:eastAsia="zh-CN"/>
              </w:rPr>
              <w:t>控制系统</w:t>
            </w:r>
          </w:p>
        </w:tc>
        <w:tc>
          <w:tcPr>
            <w:tcW w:w="6632" w:type="dxa"/>
            <w:vAlign w:val="center"/>
          </w:tcPr>
          <w:p>
            <w:pPr>
              <w:jc w:val="center"/>
              <w:rPr>
                <w:rFonts w:hint="eastAsia"/>
                <w:szCs w:val="21"/>
                <w:u w:val="single"/>
                <w:lang w:val="en-US" w:eastAsia="zh-CN"/>
              </w:rPr>
            </w:pPr>
          </w:p>
          <w:p>
            <w:pPr>
              <w:jc w:val="center"/>
              <w:rPr>
                <w:rFonts w:hint="eastAsia"/>
                <w:szCs w:val="21"/>
                <w:u w:val="single"/>
                <w:lang w:val="en-US" w:eastAsia="zh-CN"/>
              </w:rPr>
            </w:pPr>
            <w:r>
              <w:rPr>
                <w:rFonts w:hint="eastAsia"/>
                <w:szCs w:val="21"/>
                <w:u w:val="single"/>
                <w:lang w:val="en-US" w:eastAsia="zh-CN"/>
              </w:rPr>
              <w:t>采用远程装车方式，装车泵设在炼油一部液氨罐区，装车鹤管设在液化气站装车棚内，装车鹤位处设停泵按钮，新敷控制光缆长约2200m，装车泵进出口管道上设现场压力表，装车泵棚设液氨泄漏报警。</w:t>
            </w:r>
          </w:p>
          <w:p>
            <w:pPr>
              <w:jc w:val="center"/>
              <w:rPr>
                <w:rFonts w:hint="eastAsia"/>
                <w:szCs w:val="21"/>
                <w:u w:val="single"/>
                <w:lang w:val="en-US" w:eastAsia="zh-CN"/>
              </w:rPr>
            </w:pPr>
          </w:p>
        </w:tc>
        <w:tc>
          <w:tcPr>
            <w:tcW w:w="1840" w:type="dxa"/>
            <w:vAlign w:val="center"/>
          </w:tcPr>
          <w:p>
            <w:pPr>
              <w:jc w:val="center"/>
              <w:rPr>
                <w:rFonts w:hint="eastAsia"/>
                <w:szCs w:val="21"/>
                <w:u w:val="single"/>
                <w:lang w:val="en-US" w:eastAsia="zh-CN"/>
              </w:rPr>
            </w:pPr>
            <w:r>
              <w:rPr>
                <w:rFonts w:hint="eastAsia"/>
                <w:szCs w:val="21"/>
                <w:u w:val="single"/>
                <w:lang w:val="en-US" w:eastAsia="zh-CN"/>
              </w:rPr>
              <w:t>新增</w:t>
            </w:r>
          </w:p>
        </w:tc>
      </w:tr>
    </w:tbl>
    <w:p>
      <w:pPr>
        <w:pStyle w:val="5"/>
        <w:spacing w:line="480" w:lineRule="exact"/>
        <w:ind w:left="0" w:leftChars="0" w:firstLine="0" w:firstLineChars="0"/>
        <w:rPr>
          <w:color w:val="auto"/>
        </w:rPr>
      </w:pPr>
    </w:p>
    <w:p>
      <w:pPr>
        <w:pStyle w:val="7"/>
        <w:numPr>
          <w:ilvl w:val="2"/>
          <w:numId w:val="0"/>
        </w:numPr>
        <w:spacing w:before="120" w:beforeLines="0" w:after="120" w:afterLines="0"/>
        <w:ind w:left="142" w:leftChars="0"/>
        <w:rPr>
          <w:color w:val="auto"/>
        </w:rPr>
      </w:pPr>
      <w:bookmarkStart w:id="139" w:name="_Toc10017"/>
      <w:r>
        <w:rPr>
          <w:color w:val="auto"/>
        </w:rPr>
        <w:t>2.3.</w:t>
      </w:r>
      <w:r>
        <w:rPr>
          <w:rFonts w:hint="eastAsia"/>
          <w:color w:val="auto"/>
          <w:lang w:val="en-US" w:eastAsia="zh-CN"/>
        </w:rPr>
        <w:t>2</w:t>
      </w:r>
      <w:r>
        <w:rPr>
          <w:color w:val="auto"/>
        </w:rPr>
        <w:t xml:space="preserve"> 项目依托情况</w:t>
      </w:r>
      <w:bookmarkEnd w:id="139"/>
      <w:r>
        <w:rPr>
          <w:color w:val="auto"/>
        </w:rPr>
        <w:t xml:space="preserve"> </w:t>
      </w:r>
    </w:p>
    <w:p>
      <w:pPr>
        <w:pStyle w:val="5"/>
        <w:spacing w:line="480" w:lineRule="exact"/>
        <w:ind w:firstLine="480"/>
        <w:rPr>
          <w:color w:val="auto"/>
        </w:rPr>
      </w:pPr>
      <w:r>
        <w:rPr>
          <w:color w:val="auto"/>
        </w:rPr>
        <w:t>本项目主要设备位于炼油一部污水汽提装置</w:t>
      </w:r>
      <w:r>
        <w:rPr>
          <w:rFonts w:hint="eastAsia"/>
          <w:color w:val="auto"/>
          <w:lang w:eastAsia="zh-CN"/>
        </w:rPr>
        <w:t>东北角</w:t>
      </w:r>
      <w:r>
        <w:rPr>
          <w:color w:val="auto"/>
        </w:rPr>
        <w:t>，本项目供电、供风等公用工程均依托长岭分公司及炼油一部污水汽提装置现有公共工程设施，本项目含氨废水依托长岭分公司炼油二部非加氢污水汽提装置，紧急状态下的事故水排放依托长岭分公司现有事故水池。</w:t>
      </w:r>
    </w:p>
    <w:p>
      <w:pPr>
        <w:pStyle w:val="2"/>
        <w:ind w:left="0" w:leftChars="0" w:firstLine="0" w:firstLineChars="0"/>
        <w:rPr>
          <w:rFonts w:hint="eastAsia" w:eastAsia="宋体"/>
          <w:lang w:eastAsia="zh-CN"/>
        </w:rPr>
      </w:pPr>
    </w:p>
    <w:p>
      <w:pPr>
        <w:pStyle w:val="7"/>
        <w:numPr>
          <w:ilvl w:val="2"/>
          <w:numId w:val="0"/>
        </w:numPr>
        <w:spacing w:before="120" w:beforeLines="0" w:after="120" w:afterLines="0"/>
        <w:ind w:left="142" w:leftChars="0"/>
        <w:rPr>
          <w:rFonts w:hint="eastAsia"/>
          <w:color w:val="auto"/>
          <w:u w:val="single"/>
          <w:lang w:val="en-US" w:eastAsia="zh-CN"/>
        </w:rPr>
      </w:pPr>
      <w:r>
        <w:rPr>
          <w:color w:val="auto"/>
          <w:u w:val="single"/>
        </w:rPr>
        <w:t>2.3.</w:t>
      </w:r>
      <w:r>
        <w:rPr>
          <w:rFonts w:hint="eastAsia"/>
          <w:color w:val="auto"/>
          <w:u w:val="single"/>
          <w:lang w:val="en-US" w:eastAsia="zh-CN"/>
        </w:rPr>
        <w:t>2</w:t>
      </w:r>
      <w:r>
        <w:rPr>
          <w:color w:val="auto"/>
          <w:u w:val="single"/>
        </w:rPr>
        <w:t>.</w:t>
      </w:r>
      <w:r>
        <w:rPr>
          <w:rFonts w:hint="eastAsia"/>
          <w:color w:val="auto"/>
          <w:u w:val="single"/>
          <w:lang w:val="en-US" w:eastAsia="zh-CN"/>
        </w:rPr>
        <w:t>1液化气站依托装车情况</w:t>
      </w:r>
    </w:p>
    <w:p>
      <w:pPr>
        <w:pStyle w:val="5"/>
        <w:spacing w:line="480" w:lineRule="exact"/>
        <w:ind w:firstLine="480"/>
        <w:rPr>
          <w:rFonts w:hint="eastAsia"/>
          <w:color w:val="auto"/>
          <w:u w:val="single"/>
          <w:lang w:val="en-US" w:eastAsia="zh-CN"/>
        </w:rPr>
      </w:pPr>
      <w:r>
        <w:rPr>
          <w:rFonts w:hint="eastAsia"/>
          <w:color w:val="auto"/>
          <w:u w:val="single"/>
          <w:lang w:val="en-US" w:eastAsia="zh-CN"/>
        </w:rPr>
        <w:t xml:space="preserve">   湖南长炼兴长集团公司拟接受长岭分公司液氨装车业务，并取得了岳阳市云溪区分局《关于湖南长炼兴长集团有限责任公司新建液化气站项目环境影响报告表的批复》，详见附件5，同时取得了湖南省安全生产监督管理局《危险化学品建设项目安全条件审查意见书》（湘危化项目设立审字【2017】614号），详见附件6。</w:t>
      </w:r>
    </w:p>
    <w:p>
      <w:pPr>
        <w:pStyle w:val="5"/>
        <w:spacing w:line="480" w:lineRule="exact"/>
        <w:ind w:firstLine="480"/>
        <w:rPr>
          <w:rFonts w:hint="default"/>
          <w:color w:val="auto"/>
          <w:lang w:val="en-US" w:eastAsia="zh-CN"/>
        </w:rPr>
      </w:pPr>
    </w:p>
    <w:p>
      <w:pPr>
        <w:pStyle w:val="7"/>
        <w:numPr>
          <w:ilvl w:val="2"/>
          <w:numId w:val="0"/>
        </w:numPr>
        <w:spacing w:before="120" w:beforeLines="0" w:after="120" w:afterLines="0"/>
        <w:ind w:left="142" w:leftChars="0"/>
        <w:rPr>
          <w:color w:val="auto"/>
        </w:rPr>
      </w:pPr>
      <w:r>
        <w:rPr>
          <w:color w:val="auto"/>
        </w:rPr>
        <w:t>2.3.</w:t>
      </w:r>
      <w:r>
        <w:rPr>
          <w:rFonts w:hint="eastAsia"/>
          <w:color w:val="auto"/>
          <w:lang w:val="en-US" w:eastAsia="zh-CN"/>
        </w:rPr>
        <w:t>2</w:t>
      </w:r>
      <w:r>
        <w:rPr>
          <w:color w:val="auto"/>
        </w:rPr>
        <w:t>.2本项目</w:t>
      </w:r>
      <w:r>
        <w:rPr>
          <w:rFonts w:hint="eastAsia"/>
          <w:color w:val="auto"/>
          <w:lang w:eastAsia="zh-CN"/>
        </w:rPr>
        <w:t>公</w:t>
      </w:r>
      <w:r>
        <w:rPr>
          <w:color w:val="auto"/>
        </w:rPr>
        <w:t>用工程依托情况</w:t>
      </w:r>
    </w:p>
    <w:p>
      <w:pPr>
        <w:pStyle w:val="5"/>
        <w:spacing w:line="480" w:lineRule="exact"/>
        <w:ind w:firstLine="480"/>
        <w:rPr>
          <w:rFonts w:hint="eastAsia"/>
          <w:color w:val="auto"/>
        </w:rPr>
      </w:pPr>
      <w:r>
        <w:rPr>
          <w:rFonts w:hint="eastAsia"/>
          <w:color w:val="auto"/>
        </w:rPr>
        <w:t>（1）供水</w:t>
      </w:r>
    </w:p>
    <w:p>
      <w:pPr>
        <w:pStyle w:val="5"/>
        <w:spacing w:line="480" w:lineRule="exact"/>
        <w:ind w:firstLine="480"/>
        <w:rPr>
          <w:rFonts w:hint="eastAsia"/>
          <w:color w:val="auto"/>
        </w:rPr>
      </w:pPr>
      <w:r>
        <w:rPr>
          <w:rFonts w:hint="eastAsia"/>
          <w:color w:val="auto"/>
        </w:rPr>
        <w:t>①新鲜水系统 长岭分公司现有生产给水供水能力4000m</w:t>
      </w:r>
      <w:r>
        <w:rPr>
          <w:rFonts w:hint="eastAsia"/>
          <w:color w:val="auto"/>
          <w:vertAlign w:val="superscript"/>
        </w:rPr>
        <w:t>3</w:t>
      </w:r>
      <w:r>
        <w:rPr>
          <w:rFonts w:hint="eastAsia"/>
          <w:color w:val="auto"/>
        </w:rPr>
        <w:t>/h，生活给水供水能力 1800m</w:t>
      </w:r>
      <w:r>
        <w:rPr>
          <w:rFonts w:hint="eastAsia"/>
          <w:color w:val="auto"/>
          <w:vertAlign w:val="superscript"/>
        </w:rPr>
        <w:t>3</w:t>
      </w:r>
      <w:r>
        <w:rPr>
          <w:rFonts w:hint="eastAsia"/>
          <w:color w:val="auto"/>
        </w:rPr>
        <w:t>/h，新鲜水总供水能力为5800m</w:t>
      </w:r>
      <w:r>
        <w:rPr>
          <w:rFonts w:hint="eastAsia"/>
          <w:color w:val="auto"/>
          <w:vertAlign w:val="superscript"/>
        </w:rPr>
        <w:t>3</w:t>
      </w:r>
      <w:r>
        <w:rPr>
          <w:rFonts w:hint="eastAsia"/>
          <w:color w:val="auto"/>
        </w:rPr>
        <w:t>/h。公司现实际总生产用水量为950m</w:t>
      </w:r>
      <w:r>
        <w:rPr>
          <w:rFonts w:hint="eastAsia"/>
          <w:color w:val="auto"/>
          <w:vertAlign w:val="superscript"/>
        </w:rPr>
        <w:t>3</w:t>
      </w:r>
      <w:r>
        <w:rPr>
          <w:rFonts w:hint="eastAsia"/>
          <w:color w:val="auto"/>
        </w:rPr>
        <w:t>/h，生活用水量为1020m</w:t>
      </w:r>
      <w:r>
        <w:rPr>
          <w:rFonts w:hint="eastAsia"/>
          <w:color w:val="auto"/>
          <w:vertAlign w:val="superscript"/>
        </w:rPr>
        <w:t>3</w:t>
      </w:r>
      <w:r>
        <w:rPr>
          <w:rFonts w:hint="eastAsia"/>
          <w:color w:val="auto"/>
        </w:rPr>
        <w:t>/h，在建工程生活及生产用水量约为428m</w:t>
      </w:r>
      <w:r>
        <w:rPr>
          <w:rFonts w:hint="eastAsia"/>
          <w:color w:val="auto"/>
          <w:vertAlign w:val="superscript"/>
        </w:rPr>
        <w:t>3</w:t>
      </w:r>
      <w:r>
        <w:rPr>
          <w:rFonts w:hint="eastAsia"/>
          <w:color w:val="auto"/>
        </w:rPr>
        <w:t>/h。新鲜水供水能力富足余量约3390m</w:t>
      </w:r>
      <w:r>
        <w:rPr>
          <w:rFonts w:hint="eastAsia"/>
          <w:color w:val="auto"/>
          <w:vertAlign w:val="superscript"/>
        </w:rPr>
        <w:t>3</w:t>
      </w:r>
      <w:r>
        <w:rPr>
          <w:rFonts w:hint="eastAsia"/>
          <w:color w:val="auto"/>
        </w:rPr>
        <w:t>/h。</w:t>
      </w:r>
    </w:p>
    <w:p>
      <w:pPr>
        <w:pStyle w:val="5"/>
        <w:spacing w:line="480" w:lineRule="exact"/>
        <w:ind w:firstLine="480"/>
        <w:rPr>
          <w:rFonts w:hint="eastAsia"/>
          <w:color w:val="auto"/>
        </w:rPr>
      </w:pPr>
      <w:r>
        <w:rPr>
          <w:rFonts w:hint="eastAsia"/>
          <w:color w:val="auto"/>
        </w:rPr>
        <w:fldChar w:fldCharType="begin"/>
      </w:r>
      <w:r>
        <w:rPr>
          <w:rFonts w:hint="eastAsia"/>
          <w:color w:val="auto"/>
        </w:rPr>
        <w:instrText xml:space="preserve"> = 2 \* GB3 </w:instrText>
      </w:r>
      <w:r>
        <w:rPr>
          <w:rFonts w:hint="eastAsia"/>
          <w:color w:val="auto"/>
        </w:rPr>
        <w:fldChar w:fldCharType="separate"/>
      </w:r>
      <w:r>
        <w:rPr>
          <w:rFonts w:hint="eastAsia"/>
          <w:color w:val="auto"/>
        </w:rPr>
        <w:t>②</w:t>
      </w:r>
      <w:r>
        <w:rPr>
          <w:rFonts w:hint="eastAsia"/>
          <w:color w:val="auto"/>
        </w:rPr>
        <w:fldChar w:fldCharType="end"/>
      </w:r>
      <w:r>
        <w:rPr>
          <w:rFonts w:hint="eastAsia"/>
          <w:color w:val="auto"/>
        </w:rPr>
        <w:t>消防水系统 长炼分公司厂内现有2个区域消防泵房，分别为垄内生产装置区和运销成品油罐区，两者消防管网互相独立。垄内生产装置区有 2 处消防泵房，即消防站消防泵房和七垄消防泵房，消防储备水量共为 4580m</w:t>
      </w:r>
      <w:r>
        <w:rPr>
          <w:rFonts w:hint="eastAsia"/>
          <w:color w:val="auto"/>
          <w:vertAlign w:val="superscript"/>
        </w:rPr>
        <w:t>3</w:t>
      </w:r>
      <w:r>
        <w:rPr>
          <w:rFonts w:hint="eastAsia"/>
          <w:color w:val="auto"/>
        </w:rPr>
        <w:t xml:space="preserve">，2 处消防泵房消防管网相互联通，为独立稳高压消防水系统，消防水管道主管径 DN400。 </w:t>
      </w:r>
    </w:p>
    <w:p>
      <w:pPr>
        <w:pStyle w:val="5"/>
        <w:spacing w:line="480" w:lineRule="exact"/>
        <w:ind w:firstLine="480"/>
        <w:rPr>
          <w:rFonts w:hint="eastAsia"/>
          <w:color w:val="auto"/>
        </w:rPr>
      </w:pPr>
      <w:r>
        <w:rPr>
          <w:rFonts w:hint="eastAsia"/>
          <w:color w:val="auto"/>
        </w:rPr>
        <w:t xml:space="preserve">（2）供电 </w:t>
      </w:r>
    </w:p>
    <w:p>
      <w:pPr>
        <w:pStyle w:val="5"/>
        <w:spacing w:line="480" w:lineRule="exact"/>
        <w:ind w:firstLine="480"/>
        <w:rPr>
          <w:rFonts w:hint="eastAsia"/>
          <w:color w:val="auto"/>
        </w:rPr>
      </w:pPr>
      <w:r>
        <w:rPr>
          <w:rFonts w:hint="eastAsia"/>
          <w:color w:val="auto"/>
        </w:rPr>
        <w:t xml:space="preserve">目前，长岭分公司厂区北部拥有110kV变电所一座（即“10kV长炼一站”），110kV电 源外线进线线路共3回，其电源分别接自临湘峡山变电站两条110kV线路和巴陵变电站一 条110kV线路。供电能力满足公司现有及在建工程用电需求，现用电负荷在80%左右。 </w:t>
      </w:r>
    </w:p>
    <w:p>
      <w:pPr>
        <w:pStyle w:val="5"/>
        <w:spacing w:line="480" w:lineRule="exact"/>
        <w:ind w:firstLine="480"/>
        <w:rPr>
          <w:rFonts w:hint="eastAsia"/>
          <w:color w:val="auto"/>
        </w:rPr>
      </w:pPr>
      <w:r>
        <w:rPr>
          <w:rFonts w:hint="eastAsia"/>
          <w:color w:val="auto"/>
        </w:rPr>
        <w:t>（3）供风</w:t>
      </w:r>
    </w:p>
    <w:p>
      <w:pPr>
        <w:pStyle w:val="5"/>
        <w:spacing w:line="480" w:lineRule="exact"/>
        <w:ind w:firstLine="480"/>
        <w:rPr>
          <w:rFonts w:hint="eastAsia"/>
          <w:color w:val="auto"/>
        </w:rPr>
      </w:pPr>
      <w:r>
        <w:rPr>
          <w:rFonts w:hint="eastAsia"/>
          <w:color w:val="auto"/>
        </w:rPr>
        <w:t>长岭分公司现有3座空压站，第一空压站现有2台151Nm</w:t>
      </w:r>
      <w:r>
        <w:rPr>
          <w:rFonts w:hint="eastAsia"/>
          <w:color w:val="auto"/>
          <w:vertAlign w:val="superscript"/>
        </w:rPr>
        <w:t>3</w:t>
      </w:r>
      <w:r>
        <w:rPr>
          <w:rFonts w:hint="eastAsia"/>
          <w:color w:val="auto"/>
        </w:rPr>
        <w:t>/min 离心空压机，第二 空压站现有1台60Nm</w:t>
      </w:r>
      <w:r>
        <w:rPr>
          <w:rFonts w:hint="eastAsia"/>
          <w:color w:val="auto"/>
          <w:vertAlign w:val="superscript"/>
        </w:rPr>
        <w:t>3</w:t>
      </w:r>
      <w:r>
        <w:rPr>
          <w:rFonts w:hint="eastAsia"/>
          <w:color w:val="auto"/>
        </w:rPr>
        <w:t>/min 活塞式空压机，第三空压站现有2台200Nm</w:t>
      </w:r>
      <w:r>
        <w:rPr>
          <w:rFonts w:hint="eastAsia"/>
          <w:color w:val="auto"/>
          <w:vertAlign w:val="superscript"/>
        </w:rPr>
        <w:t>3</w:t>
      </w:r>
      <w:r>
        <w:rPr>
          <w:rFonts w:hint="eastAsia"/>
          <w:color w:val="auto"/>
        </w:rPr>
        <w:t>/min离心空压机、2台60Nm</w:t>
      </w:r>
      <w:r>
        <w:rPr>
          <w:rFonts w:hint="eastAsia"/>
          <w:color w:val="auto"/>
          <w:vertAlign w:val="superscript"/>
        </w:rPr>
        <w:t>3</w:t>
      </w:r>
      <w:r>
        <w:rPr>
          <w:rFonts w:hint="eastAsia"/>
          <w:color w:val="auto"/>
        </w:rPr>
        <w:t>/min活塞式空压机，在建1台200Nm</w:t>
      </w:r>
      <w:r>
        <w:rPr>
          <w:rFonts w:hint="eastAsia"/>
          <w:color w:val="auto"/>
          <w:vertAlign w:val="superscript"/>
        </w:rPr>
        <w:t>3</w:t>
      </w:r>
      <w:r>
        <w:rPr>
          <w:rFonts w:hint="eastAsia"/>
          <w:color w:val="auto"/>
        </w:rPr>
        <w:t>/min离心空压机；其中第二空压站已停用，总供风能力达为1020Nm</w:t>
      </w:r>
      <w:r>
        <w:rPr>
          <w:rFonts w:hint="eastAsia"/>
          <w:color w:val="auto"/>
          <w:vertAlign w:val="superscript"/>
        </w:rPr>
        <w:t>3</w:t>
      </w:r>
      <w:r>
        <w:rPr>
          <w:rFonts w:hint="eastAsia"/>
          <w:color w:val="auto"/>
        </w:rPr>
        <w:t>/min。</w:t>
      </w:r>
    </w:p>
    <w:p>
      <w:pPr>
        <w:pStyle w:val="5"/>
        <w:spacing w:line="480" w:lineRule="exact"/>
        <w:ind w:firstLine="480"/>
        <w:rPr>
          <w:rFonts w:hint="eastAsia"/>
          <w:color w:val="auto"/>
        </w:rPr>
      </w:pPr>
      <w:r>
        <w:rPr>
          <w:rFonts w:hint="eastAsia"/>
          <w:color w:val="auto"/>
        </w:rPr>
        <w:t>全厂设有净化压缩空气和非净化压缩空气二个管网。现有全厂需净化压缩空气 278Nm</w:t>
      </w:r>
      <w:r>
        <w:rPr>
          <w:rFonts w:hint="eastAsia"/>
          <w:color w:val="auto"/>
          <w:vertAlign w:val="superscript"/>
        </w:rPr>
        <w:t>3</w:t>
      </w:r>
      <w:r>
        <w:rPr>
          <w:rFonts w:hint="eastAsia"/>
          <w:color w:val="auto"/>
        </w:rPr>
        <w:t>/min，非净化压缩空气418Nm</w:t>
      </w:r>
      <w:r>
        <w:rPr>
          <w:rFonts w:hint="eastAsia"/>
          <w:color w:val="auto"/>
          <w:vertAlign w:val="superscript"/>
        </w:rPr>
        <w:t>3</w:t>
      </w:r>
      <w:r>
        <w:rPr>
          <w:rFonts w:hint="eastAsia"/>
          <w:color w:val="auto"/>
        </w:rPr>
        <w:t>/min，合计696Nm</w:t>
      </w:r>
      <w:r>
        <w:rPr>
          <w:rFonts w:hint="eastAsia"/>
          <w:color w:val="auto"/>
          <w:vertAlign w:val="superscript"/>
        </w:rPr>
        <w:t>3</w:t>
      </w:r>
      <w:r>
        <w:rPr>
          <w:rFonts w:hint="eastAsia"/>
          <w:color w:val="auto"/>
        </w:rPr>
        <w:t>/min。在建工程消耗量约为 250Nm</w:t>
      </w:r>
      <w:r>
        <w:rPr>
          <w:rFonts w:hint="eastAsia"/>
          <w:color w:val="auto"/>
          <w:vertAlign w:val="superscript"/>
        </w:rPr>
        <w:t>3</w:t>
      </w:r>
      <w:r>
        <w:rPr>
          <w:rFonts w:hint="eastAsia"/>
          <w:color w:val="auto"/>
        </w:rPr>
        <w:t>/min，富余能力约73.4Nm</w:t>
      </w:r>
      <w:r>
        <w:rPr>
          <w:rFonts w:hint="eastAsia"/>
          <w:color w:val="auto"/>
          <w:vertAlign w:val="superscript"/>
        </w:rPr>
        <w:t>3</w:t>
      </w:r>
      <w:r>
        <w:rPr>
          <w:rFonts w:hint="eastAsia"/>
          <w:color w:val="auto"/>
        </w:rPr>
        <w:t>/min。</w:t>
      </w:r>
    </w:p>
    <w:p>
      <w:pPr>
        <w:pStyle w:val="5"/>
        <w:spacing w:line="480" w:lineRule="exact"/>
        <w:ind w:firstLine="480"/>
        <w:rPr>
          <w:rFonts w:hint="eastAsia"/>
          <w:color w:val="auto"/>
          <w:lang w:val="en-US" w:eastAsia="zh-CN"/>
        </w:rPr>
      </w:pPr>
      <w:r>
        <w:rPr>
          <w:rFonts w:hint="eastAsia"/>
          <w:color w:val="auto"/>
          <w:lang w:val="en-US" w:eastAsia="zh-CN"/>
        </w:rPr>
        <w:t>（4）环保工程</w:t>
      </w:r>
    </w:p>
    <w:p>
      <w:pPr>
        <w:pStyle w:val="5"/>
        <w:spacing w:line="480" w:lineRule="exact"/>
        <w:ind w:firstLine="480"/>
        <w:rPr>
          <w:rFonts w:hint="eastAsia"/>
          <w:color w:val="auto"/>
          <w:lang w:val="en-US" w:eastAsia="zh-CN"/>
        </w:rPr>
      </w:pPr>
      <w:r>
        <w:rPr>
          <w:rFonts w:hint="eastAsia"/>
          <w:color w:val="auto"/>
          <w:lang w:val="en-US" w:eastAsia="zh-CN"/>
        </w:rPr>
        <w:t xml:space="preserve">①污水处理场 </w:t>
      </w:r>
    </w:p>
    <w:p>
      <w:pPr>
        <w:pStyle w:val="5"/>
        <w:spacing w:line="480" w:lineRule="exact"/>
        <w:ind w:firstLine="480"/>
        <w:rPr>
          <w:rFonts w:hint="eastAsia"/>
          <w:color w:val="auto"/>
          <w:lang w:val="en-US" w:eastAsia="zh-CN"/>
        </w:rPr>
      </w:pPr>
      <w:r>
        <w:rPr>
          <w:rFonts w:hint="eastAsia"/>
          <w:color w:val="auto"/>
          <w:lang w:val="en-US" w:eastAsia="zh-CN"/>
        </w:rPr>
        <w:t>长岭分公司现有 2 座污水处理场，分别为第一污水处理场和第二污水处理场，第一污水处理场负责对全公司废水进行隔油、气浮等预处理以满足二污进水水质标准，分为含油污水、含盐污水两个处理系统。含油、含盐污水分别经过隔油和浮选后，送第二污水处场处理。第一污水处理场总处理能力为850m</w:t>
      </w:r>
      <w:r>
        <w:rPr>
          <w:rFonts w:hint="eastAsia"/>
          <w:color w:val="auto"/>
          <w:vertAlign w:val="superscript"/>
        </w:rPr>
        <w:t>3</w:t>
      </w:r>
      <w:r>
        <w:rPr>
          <w:rFonts w:hint="eastAsia"/>
          <w:color w:val="auto"/>
          <w:lang w:val="en-US" w:eastAsia="zh-CN"/>
        </w:rPr>
        <w:t>/h，其中含盐污水处理能力为250m</w:t>
      </w:r>
      <w:r>
        <w:rPr>
          <w:rFonts w:hint="eastAsia"/>
          <w:color w:val="auto"/>
          <w:vertAlign w:val="superscript"/>
        </w:rPr>
        <w:t>3</w:t>
      </w:r>
      <w:r>
        <w:rPr>
          <w:rFonts w:hint="eastAsia"/>
          <w:color w:val="auto"/>
          <w:lang w:val="en-US" w:eastAsia="zh-CN"/>
        </w:rPr>
        <w:t>/h，含油污水处理能力为 600m</w:t>
      </w:r>
      <w:r>
        <w:rPr>
          <w:rFonts w:hint="eastAsia"/>
          <w:color w:val="auto"/>
          <w:vertAlign w:val="superscript"/>
        </w:rPr>
        <w:t>3</w:t>
      </w:r>
      <w:r>
        <w:rPr>
          <w:rFonts w:hint="eastAsia"/>
          <w:color w:val="auto"/>
          <w:lang w:val="en-US" w:eastAsia="zh-CN"/>
        </w:rPr>
        <w:t>/h，现有含油污水处理量450m</w:t>
      </w:r>
      <w:r>
        <w:rPr>
          <w:rFonts w:hint="eastAsia"/>
          <w:color w:val="auto"/>
          <w:vertAlign w:val="superscript"/>
        </w:rPr>
        <w:t>3</w:t>
      </w:r>
      <w:r>
        <w:rPr>
          <w:rFonts w:hint="eastAsia"/>
          <w:color w:val="auto"/>
          <w:lang w:val="en-US" w:eastAsia="zh-CN"/>
        </w:rPr>
        <w:t>/h，富余150m</w:t>
      </w:r>
      <w:r>
        <w:rPr>
          <w:rFonts w:hint="eastAsia"/>
          <w:color w:val="auto"/>
          <w:vertAlign w:val="superscript"/>
        </w:rPr>
        <w:t>3</w:t>
      </w:r>
      <w:r>
        <w:rPr>
          <w:rFonts w:hint="eastAsia"/>
          <w:color w:val="auto"/>
          <w:lang w:val="en-US" w:eastAsia="zh-CN"/>
        </w:rPr>
        <w:t>/h。 第二污水处理场位于长岭分公司现有厂区西北侧6.5km，采取生化方式处理一污的来水以满足全厂废水达标外排的要求，</w:t>
      </w:r>
    </w:p>
    <w:p>
      <w:pPr>
        <w:pStyle w:val="5"/>
        <w:spacing w:line="480" w:lineRule="exact"/>
        <w:ind w:left="0" w:leftChars="0" w:firstLine="0" w:firstLineChars="0"/>
        <w:rPr>
          <w:rFonts w:hint="eastAsia"/>
          <w:color w:val="auto"/>
          <w:lang w:val="en-US" w:eastAsia="zh-CN"/>
        </w:rPr>
      </w:pPr>
      <w:r>
        <w:rPr>
          <w:rFonts w:hint="eastAsia"/>
          <w:color w:val="auto"/>
          <w:lang w:val="en-US" w:eastAsia="zh-CN"/>
        </w:rPr>
        <w:t>分为含油污水、含盐污水两个处理系统。经第一污水处理场预处理后的含油污水，进入第二污水处理场调节池，调节池出水经计量后自流经配水井、混合井进入接触氧化池进行一级生化处理，再通过中间沉淀池沉淀、消氧后进入水解酸化池，在无氧或缺氧的条件下发生厌氧水解酸化反应以提高污水的可生化性。然后进入氧化沟进行二级生化处理，出水进入二沉池进行泥水分离后进入提升水池，经泵提升后进入砂滤池，降低悬浮物后进入内循环曝气生物滤池（BAF）进行三级生化处理，处理后的合格出水经反洗水池溢流至待滤水池。炼油装置区的含油废水设计拟经处理达标后 75%经进一步净化后回用于装置区，因目前废水回用设施处于调试状态，回用率约50%，不能回用的部分外排长江。含盐污水通过调节罐后进入MBBR池，出水进短程生物池进一步生化处理，短程生物池出水经二沉池进行泥水分离，经提升泵提升至高效沉淀池，</w:t>
      </w:r>
      <w:r>
        <w:rPr>
          <w:rFonts w:hint="eastAsia"/>
          <w:color w:val="auto"/>
          <w:lang w:val="en-GB" w:eastAsia="zh-CN"/>
        </w:rPr>
        <w:t>高效沉淀池出水自流至臭氧催化氧化池，并通入臭氧，在催化剂的作用下进行化学高级氧化处理，出水自流至EM-BAF池进一步处理，合格后经泵排放至长江。</w:t>
      </w:r>
      <w:r>
        <w:rPr>
          <w:rFonts w:hint="eastAsia"/>
          <w:color w:val="auto"/>
          <w:lang w:val="en-US" w:eastAsia="zh-CN"/>
        </w:rPr>
        <w:t>本项目初期雨水、机泵和地面冲洗污水通过污水管道直接送公司污水处理场含油污水处理设施处理。</w:t>
      </w:r>
    </w:p>
    <w:p>
      <w:pPr>
        <w:pStyle w:val="5"/>
        <w:spacing w:line="480" w:lineRule="exact"/>
        <w:ind w:firstLine="480"/>
        <w:rPr>
          <w:rFonts w:hint="eastAsia"/>
          <w:color w:val="auto"/>
        </w:rPr>
      </w:pPr>
      <w:r>
        <w:rPr>
          <w:color w:val="auto"/>
        </w:rPr>
        <w:drawing>
          <wp:anchor distT="0" distB="0" distL="114300" distR="114300" simplePos="0" relativeHeight="251689984" behindDoc="1" locked="0" layoutInCell="1" allowOverlap="1">
            <wp:simplePos x="0" y="0"/>
            <wp:positionH relativeFrom="margin">
              <wp:posOffset>44450</wp:posOffset>
            </wp:positionH>
            <wp:positionV relativeFrom="page">
              <wp:posOffset>5866765</wp:posOffset>
            </wp:positionV>
            <wp:extent cx="5372100" cy="1120140"/>
            <wp:effectExtent l="0" t="0" r="0" b="381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6"/>
                    <a:stretch>
                      <a:fillRect/>
                    </a:stretch>
                  </pic:blipFill>
                  <pic:spPr>
                    <a:xfrm>
                      <a:off x="0" y="0"/>
                      <a:ext cx="5372100" cy="1120140"/>
                    </a:xfrm>
                    <a:prstGeom prst="rect">
                      <a:avLst/>
                    </a:prstGeom>
                    <a:noFill/>
                    <a:ln>
                      <a:noFill/>
                    </a:ln>
                  </pic:spPr>
                </pic:pic>
              </a:graphicData>
            </a:graphic>
          </wp:anchor>
        </w:drawing>
      </w:r>
      <w:r>
        <w:rPr>
          <w:rFonts w:hint="eastAsia"/>
          <w:color w:val="auto"/>
        </w:rPr>
        <w:t>污水处理场工艺流程简图详见图 2.3-</w:t>
      </w:r>
      <w:r>
        <w:rPr>
          <w:rFonts w:hint="eastAsia"/>
          <w:color w:val="auto"/>
          <w:lang w:val="en-US" w:eastAsia="zh-CN"/>
        </w:rPr>
        <w:t>2</w:t>
      </w:r>
      <w:r>
        <w:rPr>
          <w:rFonts w:hint="eastAsia"/>
          <w:color w:val="auto"/>
        </w:rPr>
        <w:t>~2.3-</w:t>
      </w:r>
      <w:r>
        <w:rPr>
          <w:rFonts w:hint="eastAsia"/>
          <w:color w:val="auto"/>
          <w:lang w:val="en-US" w:eastAsia="zh-CN"/>
        </w:rPr>
        <w:t>4</w:t>
      </w:r>
      <w:r>
        <w:rPr>
          <w:rFonts w:hint="eastAsia"/>
          <w:color w:val="auto"/>
        </w:rPr>
        <w:t>。</w:t>
      </w:r>
    </w:p>
    <w:p>
      <w:pPr>
        <w:pStyle w:val="5"/>
        <w:spacing w:line="480" w:lineRule="exact"/>
        <w:ind w:firstLine="480"/>
        <w:rPr>
          <w:color w:val="auto"/>
        </w:rPr>
      </w:pPr>
    </w:p>
    <w:p>
      <w:pPr>
        <w:pStyle w:val="5"/>
        <w:spacing w:line="480" w:lineRule="exact"/>
        <w:ind w:firstLine="480"/>
        <w:rPr>
          <w:color w:val="auto"/>
        </w:rPr>
      </w:pPr>
    </w:p>
    <w:p>
      <w:pPr>
        <w:pStyle w:val="5"/>
        <w:spacing w:line="480" w:lineRule="exact"/>
        <w:ind w:left="0" w:leftChars="0" w:firstLine="0" w:firstLineChars="0"/>
        <w:rPr>
          <w:color w:val="auto"/>
        </w:rPr>
      </w:pPr>
    </w:p>
    <w:p>
      <w:pPr>
        <w:pStyle w:val="5"/>
        <w:spacing w:line="480" w:lineRule="exact"/>
        <w:ind w:firstLine="480"/>
        <w:rPr>
          <w:color w:val="auto"/>
        </w:rPr>
      </w:pPr>
    </w:p>
    <w:p>
      <w:pPr>
        <w:pStyle w:val="5"/>
        <w:spacing w:line="480" w:lineRule="exact"/>
        <w:ind w:firstLine="480"/>
        <w:rPr>
          <w:color w:val="auto"/>
        </w:rPr>
      </w:pPr>
      <w:r>
        <w:rPr>
          <w:color w:val="auto"/>
        </w:rPr>
        <w:t>图 2.3-</w:t>
      </w:r>
      <w:r>
        <w:rPr>
          <w:rFonts w:hint="eastAsia"/>
          <w:color w:val="auto"/>
          <w:lang w:val="en-US" w:eastAsia="zh-CN"/>
        </w:rPr>
        <w:t>2</w:t>
      </w:r>
      <w:r>
        <w:rPr>
          <w:color w:val="auto"/>
        </w:rPr>
        <w:t xml:space="preserve"> 长岭分公司第一污水处理场含油（含盐）污水处理工艺简要流程</w:t>
      </w:r>
    </w:p>
    <w:p>
      <w:pPr>
        <w:pStyle w:val="5"/>
        <w:spacing w:line="480" w:lineRule="exact"/>
        <w:ind w:firstLine="480"/>
        <w:rPr>
          <w:color w:val="auto"/>
        </w:rPr>
      </w:pPr>
    </w:p>
    <w:p>
      <w:pPr>
        <w:pStyle w:val="5"/>
        <w:spacing w:line="480" w:lineRule="exact"/>
        <w:ind w:firstLine="480"/>
        <w:rPr>
          <w:color w:val="auto"/>
        </w:rPr>
      </w:pPr>
      <w:r>
        <w:rPr>
          <w:rFonts w:hint="eastAsia"/>
          <w:color w:val="auto"/>
        </w:rPr>
        <w:drawing>
          <wp:anchor distT="0" distB="0" distL="114300" distR="114300" simplePos="0" relativeHeight="251691008" behindDoc="0" locked="0" layoutInCell="1" allowOverlap="1">
            <wp:simplePos x="0" y="0"/>
            <wp:positionH relativeFrom="column">
              <wp:posOffset>-22225</wp:posOffset>
            </wp:positionH>
            <wp:positionV relativeFrom="paragraph">
              <wp:posOffset>158115</wp:posOffset>
            </wp:positionV>
            <wp:extent cx="5273040" cy="1479550"/>
            <wp:effectExtent l="0" t="0" r="3810" b="6350"/>
            <wp:wrapNone/>
            <wp:docPr id="115" name="图片 21" descr="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 descr="10.bmp"/>
                    <pic:cNvPicPr>
                      <a:picLocks noChangeAspect="1"/>
                    </pic:cNvPicPr>
                  </pic:nvPicPr>
                  <pic:blipFill>
                    <a:blip r:embed="rId37">
                      <a:extLst>
                        <a:ext uri="{28A0092B-C50C-407E-A947-70E740481C1C}">
                          <a14:useLocalDpi xmlns:a14="http://schemas.microsoft.com/office/drawing/2010/main" val="0"/>
                        </a:ext>
                      </a:extLst>
                    </a:blip>
                    <a:srcRect b="10316"/>
                    <a:stretch>
                      <a:fillRect/>
                    </a:stretch>
                  </pic:blipFill>
                  <pic:spPr>
                    <a:xfrm>
                      <a:off x="0" y="0"/>
                      <a:ext cx="5273040" cy="1479550"/>
                    </a:xfrm>
                    <a:prstGeom prst="rect">
                      <a:avLst/>
                    </a:prstGeom>
                    <a:ln>
                      <a:noFill/>
                    </a:ln>
                  </pic:spPr>
                </pic:pic>
              </a:graphicData>
            </a:graphic>
          </wp:anchor>
        </w:drawing>
      </w:r>
    </w:p>
    <w:p>
      <w:pPr>
        <w:pStyle w:val="5"/>
        <w:spacing w:line="480" w:lineRule="exact"/>
        <w:ind w:firstLine="480"/>
        <w:rPr>
          <w:color w:val="auto"/>
        </w:rPr>
      </w:pPr>
    </w:p>
    <w:p>
      <w:pPr>
        <w:pStyle w:val="5"/>
        <w:spacing w:line="480" w:lineRule="exact"/>
        <w:ind w:firstLine="480"/>
        <w:rPr>
          <w:color w:val="auto"/>
        </w:rPr>
      </w:pPr>
    </w:p>
    <w:p>
      <w:pPr>
        <w:pStyle w:val="5"/>
        <w:spacing w:line="480" w:lineRule="exact"/>
        <w:ind w:firstLine="480"/>
        <w:rPr>
          <w:color w:val="auto"/>
        </w:rPr>
      </w:pPr>
    </w:p>
    <w:p>
      <w:pPr>
        <w:pStyle w:val="5"/>
        <w:spacing w:line="480" w:lineRule="exact"/>
        <w:ind w:left="0" w:leftChars="0" w:firstLine="0" w:firstLineChars="0"/>
        <w:rPr>
          <w:color w:val="auto"/>
        </w:rPr>
      </w:pPr>
    </w:p>
    <w:p>
      <w:pPr>
        <w:pStyle w:val="5"/>
        <w:spacing w:line="480" w:lineRule="exact"/>
        <w:rPr>
          <w:color w:val="auto"/>
        </w:rPr>
      </w:pPr>
      <w:r>
        <w:rPr>
          <w:color w:val="auto"/>
        </w:rPr>
        <w:t>图 2.3-</w:t>
      </w:r>
      <w:r>
        <w:rPr>
          <w:rFonts w:hint="eastAsia"/>
          <w:color w:val="auto"/>
          <w:lang w:val="en-US" w:eastAsia="zh-CN"/>
        </w:rPr>
        <w:t>3</w:t>
      </w:r>
      <w:r>
        <w:rPr>
          <w:color w:val="auto"/>
        </w:rPr>
        <w:t xml:space="preserve"> 长岭分公司第二污水处理场含油污水处理工艺简要流程</w:t>
      </w:r>
    </w:p>
    <w:p>
      <w:pPr>
        <w:pStyle w:val="5"/>
        <w:spacing w:line="480" w:lineRule="exact"/>
        <w:ind w:firstLine="0" w:firstLineChars="0"/>
        <w:rPr>
          <w:rFonts w:hint="eastAsia"/>
          <w:color w:val="auto"/>
        </w:rPr>
      </w:pPr>
      <w:r>
        <w:rPr>
          <w:rFonts w:hAnsi="宋体"/>
          <w:color w:val="auto"/>
          <w:szCs w:val="24"/>
        </w:rPr>
        <w:drawing>
          <wp:anchor distT="0" distB="0" distL="114300" distR="114300" simplePos="0" relativeHeight="251692032" behindDoc="0" locked="0" layoutInCell="1" allowOverlap="1">
            <wp:simplePos x="0" y="0"/>
            <wp:positionH relativeFrom="column">
              <wp:posOffset>0</wp:posOffset>
            </wp:positionH>
            <wp:positionV relativeFrom="paragraph">
              <wp:posOffset>225425</wp:posOffset>
            </wp:positionV>
            <wp:extent cx="5271135" cy="393700"/>
            <wp:effectExtent l="0" t="0" r="5715" b="6350"/>
            <wp:wrapNone/>
            <wp:docPr id="116" name="图片 22" descr="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2" descr="11.bmp"/>
                    <pic:cNvPicPr>
                      <a:picLocks noChangeAspect="1"/>
                    </pic:cNvPicPr>
                  </pic:nvPicPr>
                  <pic:blipFill>
                    <a:blip r:embed="rId38">
                      <a:extLst>
                        <a:ext uri="{28A0092B-C50C-407E-A947-70E740481C1C}">
                          <a14:useLocalDpi xmlns:a14="http://schemas.microsoft.com/office/drawing/2010/main" val="0"/>
                        </a:ext>
                      </a:extLst>
                    </a:blip>
                    <a:srcRect b="37872"/>
                    <a:stretch>
                      <a:fillRect/>
                    </a:stretch>
                  </pic:blipFill>
                  <pic:spPr>
                    <a:xfrm>
                      <a:off x="0" y="0"/>
                      <a:ext cx="5274310" cy="393937"/>
                    </a:xfrm>
                    <a:prstGeom prst="rect">
                      <a:avLst/>
                    </a:prstGeom>
                    <a:ln>
                      <a:noFill/>
                    </a:ln>
                  </pic:spPr>
                </pic:pic>
              </a:graphicData>
            </a:graphic>
          </wp:anchor>
        </w:drawing>
      </w:r>
    </w:p>
    <w:p>
      <w:pPr>
        <w:pStyle w:val="5"/>
        <w:spacing w:line="480" w:lineRule="exact"/>
        <w:ind w:left="0" w:leftChars="0" w:firstLine="0" w:firstLineChars="0"/>
        <w:rPr>
          <w:color w:val="auto"/>
        </w:rPr>
      </w:pPr>
    </w:p>
    <w:p>
      <w:pPr>
        <w:pStyle w:val="5"/>
        <w:spacing w:line="480" w:lineRule="exact"/>
        <w:ind w:firstLine="480"/>
        <w:rPr>
          <w:color w:val="auto"/>
        </w:rPr>
      </w:pPr>
      <w:r>
        <w:rPr>
          <w:color w:val="auto"/>
        </w:rPr>
        <w:t>图 2.3-</w:t>
      </w:r>
      <w:r>
        <w:rPr>
          <w:rFonts w:hint="eastAsia"/>
          <w:color w:val="auto"/>
          <w:lang w:val="en-US" w:eastAsia="zh-CN"/>
        </w:rPr>
        <w:t>4</w:t>
      </w:r>
      <w:r>
        <w:rPr>
          <w:color w:val="auto"/>
        </w:rPr>
        <w:t xml:space="preserve"> 长岭分公司第二污水处理场含盐污水处理工艺简要流程</w:t>
      </w:r>
    </w:p>
    <w:p>
      <w:pPr>
        <w:pStyle w:val="5"/>
        <w:spacing w:line="480" w:lineRule="exact"/>
        <w:ind w:firstLine="480"/>
        <w:rPr>
          <w:color w:val="auto"/>
        </w:rPr>
      </w:pPr>
    </w:p>
    <w:p>
      <w:pPr>
        <w:pStyle w:val="5"/>
        <w:spacing w:line="480" w:lineRule="exact"/>
        <w:ind w:firstLine="480"/>
        <w:rPr>
          <w:rFonts w:hint="eastAsia"/>
          <w:color w:val="auto"/>
          <w:u w:val="single"/>
          <w:lang w:val="en-US" w:eastAsia="zh-CN"/>
        </w:rPr>
      </w:pPr>
      <w:r>
        <w:rPr>
          <w:rFonts w:hint="eastAsia"/>
          <w:color w:val="auto"/>
          <w:u w:val="single"/>
          <w:lang w:val="en-US" w:eastAsia="zh-CN"/>
        </w:rPr>
        <w:fldChar w:fldCharType="begin"/>
      </w:r>
      <w:r>
        <w:rPr>
          <w:rFonts w:hint="eastAsia"/>
          <w:color w:val="auto"/>
          <w:u w:val="single"/>
          <w:lang w:val="en-US" w:eastAsia="zh-CN"/>
        </w:rPr>
        <w:instrText xml:space="preserve"> = 2 \* GB3 \* MERGEFORMAT </w:instrText>
      </w:r>
      <w:r>
        <w:rPr>
          <w:rFonts w:hint="eastAsia"/>
          <w:color w:val="auto"/>
          <w:u w:val="single"/>
          <w:lang w:val="en-US" w:eastAsia="zh-CN"/>
        </w:rPr>
        <w:fldChar w:fldCharType="separate"/>
      </w:r>
      <w:r>
        <w:rPr>
          <w:rFonts w:hint="eastAsia"/>
          <w:color w:val="auto"/>
          <w:u w:val="single"/>
          <w:lang w:val="en-US" w:eastAsia="zh-CN"/>
        </w:rPr>
        <w:t>②</w:t>
      </w:r>
      <w:r>
        <w:rPr>
          <w:rFonts w:hint="eastAsia"/>
          <w:color w:val="auto"/>
          <w:u w:val="single"/>
          <w:lang w:val="en-US" w:eastAsia="zh-CN"/>
        </w:rPr>
        <w:fldChar w:fldCharType="end"/>
      </w:r>
      <w:r>
        <w:rPr>
          <w:rFonts w:hint="eastAsia"/>
          <w:color w:val="auto"/>
          <w:u w:val="single"/>
          <w:lang w:val="en-US" w:eastAsia="zh-CN"/>
        </w:rPr>
        <w:t>炼油二部非加氢污水汽提装置情况</w:t>
      </w:r>
    </w:p>
    <w:p>
      <w:pPr>
        <w:pStyle w:val="5"/>
        <w:spacing w:line="480" w:lineRule="exact"/>
        <w:ind w:firstLine="480"/>
        <w:rPr>
          <w:rFonts w:hint="eastAsia"/>
          <w:color w:val="auto"/>
          <w:u w:val="single"/>
          <w:lang w:val="en-US" w:eastAsia="zh-CN"/>
        </w:rPr>
      </w:pPr>
      <w:r>
        <w:rPr>
          <w:rFonts w:hint="eastAsia"/>
          <w:color w:val="auto"/>
          <w:u w:val="single"/>
          <w:lang w:val="en-US" w:eastAsia="zh-CN"/>
        </w:rPr>
        <w:t>炼油二部非加氢污水汽提装置原料水来自各加氢装置排出的含硫废水，采用单塔常压汽提技术，将含硫废水中的硫化氢和氨同时解吸出来，酸性气自压至硫磺回收装置处理；合格的净化水部分送至常减压装置回用，部分送至污水处理场继续处理，非加氢污水汽提设计处理量80t/h，目前处理量65t/h，富余量约15t/h。其工艺流程如下：</w:t>
      </w:r>
    </w:p>
    <w:p>
      <w:pPr>
        <w:pStyle w:val="5"/>
        <w:spacing w:line="480" w:lineRule="exact"/>
        <w:ind w:firstLine="480"/>
        <w:rPr>
          <w:rFonts w:hint="eastAsia"/>
          <w:color w:val="auto"/>
          <w:u w:val="single"/>
          <w:lang w:val="en-US" w:eastAsia="zh-CN"/>
        </w:rPr>
      </w:pPr>
    </w:p>
    <w:p>
      <w:pPr>
        <w:pStyle w:val="5"/>
        <w:spacing w:line="480" w:lineRule="exact"/>
        <w:ind w:firstLine="480"/>
        <w:rPr>
          <w:color w:val="auto"/>
        </w:rPr>
      </w:pPr>
      <w:r>
        <w:rPr>
          <w:sz w:val="24"/>
        </w:rPr>
        <mc:AlternateContent>
          <mc:Choice Requires="wps">
            <w:drawing>
              <wp:anchor distT="0" distB="0" distL="114300" distR="114300" simplePos="0" relativeHeight="2209464320" behindDoc="0" locked="0" layoutInCell="1" allowOverlap="1">
                <wp:simplePos x="0" y="0"/>
                <wp:positionH relativeFrom="column">
                  <wp:posOffset>2522855</wp:posOffset>
                </wp:positionH>
                <wp:positionV relativeFrom="paragraph">
                  <wp:posOffset>118110</wp:posOffset>
                </wp:positionV>
                <wp:extent cx="619760" cy="342900"/>
                <wp:effectExtent l="4445" t="4445" r="23495" b="14605"/>
                <wp:wrapNone/>
                <wp:docPr id="228" name="文本框 228"/>
                <wp:cNvGraphicFramePr/>
                <a:graphic xmlns:a="http://schemas.openxmlformats.org/drawingml/2006/main">
                  <a:graphicData uri="http://schemas.microsoft.com/office/word/2010/wordprocessingShape">
                    <wps:wsp>
                      <wps:cNvSpPr txBox="1"/>
                      <wps:spPr>
                        <a:xfrm>
                          <a:off x="0" y="0"/>
                          <a:ext cx="61976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汽提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65pt;margin-top:9.3pt;height:27pt;width:48.8pt;z-index:-2085502976;mso-width-relative:page;mso-height-relative:page;" fillcolor="#FFFFFF [3201]" filled="t" stroked="t" coordsize="21600,21600" o:gfxdata="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WmD8fWAAAACQEAAA8AAAAAAAAAAQAgAAAAIgAAAGRy&#10;cy9kb3ducmV2LnhtbFBLAQIUABQAAAAIAIdO4kAw4qmtQAIAAGwEAAAOAAAAAAAAAAEAIAAAACUB&#10;AABkcnMvZTJvRG9jLnhtbFBLBQYAAAAABgAGAFkBAADXBQAAAAA=&#10;">
                <v:fill on="t" focussize="0,0"/>
                <v:stroke weight="0.5pt" color="#000000 [3204]" joinstyle="round"/>
                <v:imagedata o:title=""/>
                <o:lock v:ext="edit" aspectratio="f"/>
                <v:textbox>
                  <w:txbxContent>
                    <w:p>
                      <w:pPr>
                        <w:rPr>
                          <w:rFonts w:hint="eastAsia" w:eastAsia="宋体"/>
                          <w:lang w:eastAsia="zh-CN"/>
                        </w:rPr>
                      </w:pPr>
                      <w:r>
                        <w:rPr>
                          <w:rFonts w:hint="eastAsia"/>
                          <w:lang w:eastAsia="zh-CN"/>
                        </w:rPr>
                        <w:t>汽提</w:t>
                      </w:r>
                    </w:p>
                  </w:txbxContent>
                </v:textbox>
              </v:shape>
            </w:pict>
          </mc:Fallback>
        </mc:AlternateContent>
      </w:r>
      <w:r>
        <w:rPr>
          <w:sz w:val="24"/>
        </w:rPr>
        <mc:AlternateContent>
          <mc:Choice Requires="wps">
            <w:drawing>
              <wp:anchor distT="0" distB="0" distL="114300" distR="114300" simplePos="0" relativeHeight="125196288" behindDoc="0" locked="0" layoutInCell="1" allowOverlap="1">
                <wp:simplePos x="0" y="0"/>
                <wp:positionH relativeFrom="column">
                  <wp:posOffset>627380</wp:posOffset>
                </wp:positionH>
                <wp:positionV relativeFrom="paragraph">
                  <wp:posOffset>109855</wp:posOffset>
                </wp:positionV>
                <wp:extent cx="1200150" cy="342900"/>
                <wp:effectExtent l="4445" t="4445" r="14605" b="14605"/>
                <wp:wrapNone/>
                <wp:docPr id="227" name="文本框 227"/>
                <wp:cNvGraphicFramePr/>
                <a:graphic xmlns:a="http://schemas.openxmlformats.org/drawingml/2006/main">
                  <a:graphicData uri="http://schemas.microsoft.com/office/word/2010/wordprocessingShape">
                    <wps:wsp>
                      <wps:cNvSpPr txBox="1"/>
                      <wps:spPr>
                        <a:xfrm>
                          <a:off x="795655" y="5547995"/>
                          <a:ext cx="120015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原料污水大罐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pt;margin-top:8.65pt;height:27pt;width:94.5pt;z-index:125196288;mso-width-relative:page;mso-height-relative:page;" fillcolor="#FFFFFF [3201]" filled="t" stroked="t" coordsize="21600,21600" o:gfxdata="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xbyCo1QAAAAgBAAAPAAAAAAAAAAEA&#10;IAAAACIAAABkcnMvZG93bnJldi54bWxQSwECFAAUAAAACACHTuJAfa7ZaUsCAAB4BAAADgAAAAAA&#10;AAABACAAAAAkAQAAZHJzL2Uyb0RvYy54bWxQSwUGAAAAAAYABgBZAQAA4QUAAAAA&#10;">
                <v:fill on="t" focussize="0,0"/>
                <v:stroke weight="0.5pt" color="#000000 [3204]" joinstyle="round"/>
                <v:imagedata o:title=""/>
                <o:lock v:ext="edit" aspectratio="f"/>
                <v:textbox>
                  <w:txbxContent>
                    <w:p>
                      <w:pPr>
                        <w:rPr>
                          <w:rFonts w:hint="eastAsia" w:eastAsia="宋体"/>
                          <w:lang w:eastAsia="zh-CN"/>
                        </w:rPr>
                      </w:pPr>
                      <w:r>
                        <w:rPr>
                          <w:rFonts w:hint="eastAsia"/>
                          <w:lang w:eastAsia="zh-CN"/>
                        </w:rPr>
                        <w:t>原料污水大罐</w:t>
                      </w:r>
                    </w:p>
                  </w:txbxContent>
                </v:textbox>
              </v:shape>
            </w:pict>
          </mc:Fallback>
        </mc:AlternateContent>
      </w:r>
      <w:r>
        <w:rPr>
          <w:sz w:val="24"/>
        </w:rPr>
        <mc:AlternateContent>
          <mc:Choice Requires="wps">
            <w:drawing>
              <wp:anchor distT="0" distB="0" distL="114300" distR="114300" simplePos="0" relativeHeight="2209465344" behindDoc="0" locked="0" layoutInCell="1" allowOverlap="1">
                <wp:simplePos x="0" y="0"/>
                <wp:positionH relativeFrom="column">
                  <wp:posOffset>1846580</wp:posOffset>
                </wp:positionH>
                <wp:positionV relativeFrom="paragraph">
                  <wp:posOffset>281305</wp:posOffset>
                </wp:positionV>
                <wp:extent cx="695325" cy="0"/>
                <wp:effectExtent l="0" t="48895" r="9525" b="65405"/>
                <wp:wrapNone/>
                <wp:docPr id="231" name="直接箭头连接符 231"/>
                <wp:cNvGraphicFramePr/>
                <a:graphic xmlns:a="http://schemas.openxmlformats.org/drawingml/2006/main">
                  <a:graphicData uri="http://schemas.microsoft.com/office/word/2010/wordprocessingShape">
                    <wps:wsp>
                      <wps:cNvCnPr/>
                      <wps:spPr>
                        <a:xfrm>
                          <a:off x="2529205" y="5719445"/>
                          <a:ext cx="6953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5.4pt;margin-top:22.15pt;height:0pt;width:54.75pt;z-index:-2085501952;mso-width-relative:page;mso-height-relative:page;" filled="f" stroked="t" coordsize="21600,21600" o:gfxdata="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q0iGN2AAAAAkBAAAPAAAAAAAAAAEAIAAAACIA&#10;AABkcnMvZG93bnJldi54bWxQSwECFAAUAAAACACHTuJANwAOawkCAADBAwAADgAAAAAAAAABACAA&#10;AAAnAQAAZHJzL2Uyb0RvYy54bWxQSwUGAAAAAAYABgBZAQAAogUAAAAA&#10;">
                <v:fill on="f" focussize="0,0"/>
                <v:stroke color="#4A7EBB [3204]" joinstyle="round" endarrow="open"/>
                <v:imagedata o:title=""/>
                <o:lock v:ext="edit" aspectratio="f"/>
              </v:shape>
            </w:pict>
          </mc:Fallback>
        </mc:AlternateContent>
      </w:r>
      <w:r>
        <w:rPr>
          <w:sz w:val="24"/>
        </w:rPr>
        <mc:AlternateContent>
          <mc:Choice Requires="wps">
            <w:drawing>
              <wp:anchor distT="0" distB="0" distL="114300" distR="114300" simplePos="0" relativeHeight="2083030016" behindDoc="0" locked="0" layoutInCell="1" allowOverlap="1">
                <wp:simplePos x="0" y="0"/>
                <wp:positionH relativeFrom="column">
                  <wp:posOffset>3161030</wp:posOffset>
                </wp:positionH>
                <wp:positionV relativeFrom="paragraph">
                  <wp:posOffset>281305</wp:posOffset>
                </wp:positionV>
                <wp:extent cx="695325" cy="0"/>
                <wp:effectExtent l="0" t="48895" r="9525" b="65405"/>
                <wp:wrapNone/>
                <wp:docPr id="232" name="直接箭头连接符 232"/>
                <wp:cNvGraphicFramePr/>
                <a:graphic xmlns:a="http://schemas.openxmlformats.org/drawingml/2006/main">
                  <a:graphicData uri="http://schemas.microsoft.com/office/word/2010/wordprocessingShape">
                    <wps:wsp>
                      <wps:cNvCnPr/>
                      <wps:spPr>
                        <a:xfrm>
                          <a:off x="0" y="0"/>
                          <a:ext cx="6953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8.9pt;margin-top:22.15pt;height:0pt;width:54.75pt;z-index:2083030016;mso-width-relative:page;mso-height-relative:page;" filled="f" stroked="t" coordsize="21600,21600" o:gfxdata="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A+OgdgAAAAJAQAADwAAAAAAAAABACAAAAAiAAAAZHJzL2Rvd25yZXYu&#10;eG1sUEsBAhQAFAAAAAgAh07iQHTBkOv7AQAAtQMAAA4AAAAAAAAAAQAgAAAAJwEAAGRycy9lMm9E&#10;b2MueG1sUEsFBgAAAAAGAAYAWQEAAJQFAAAAAA==&#10;">
                <v:fill on="f" focussize="0,0"/>
                <v:stroke color="#4A7EBB [3204]" joinstyle="round" endarrow="open"/>
                <v:imagedata o:title=""/>
                <o:lock v:ext="edit" aspectratio="f"/>
              </v:shape>
            </w:pict>
          </mc:Fallback>
        </mc:AlternateContent>
      </w:r>
      <w:r>
        <w:rPr>
          <w:sz w:val="24"/>
        </w:rPr>
        <mc:AlternateContent>
          <mc:Choice Requires="wps">
            <w:drawing>
              <wp:anchor distT="0" distB="0" distL="114300" distR="114300" simplePos="0" relativeHeight="2083027968" behindDoc="0" locked="0" layoutInCell="1" allowOverlap="1">
                <wp:simplePos x="0" y="0"/>
                <wp:positionH relativeFrom="column">
                  <wp:posOffset>3846830</wp:posOffset>
                </wp:positionH>
                <wp:positionV relativeFrom="paragraph">
                  <wp:posOffset>157480</wp:posOffset>
                </wp:positionV>
                <wp:extent cx="695325" cy="342900"/>
                <wp:effectExtent l="4445" t="4445" r="5080" b="14605"/>
                <wp:wrapNone/>
                <wp:docPr id="229" name="文本框 229"/>
                <wp:cNvGraphicFramePr/>
                <a:graphic xmlns:a="http://schemas.openxmlformats.org/drawingml/2006/main">
                  <a:graphicData uri="http://schemas.microsoft.com/office/word/2010/wordprocessingShape">
                    <wps:wsp>
                      <wps:cNvSpPr txBox="1"/>
                      <wps:spPr>
                        <a:xfrm>
                          <a:off x="0" y="0"/>
                          <a:ext cx="695325"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eastAsia="zh-CN"/>
                              </w:rPr>
                              <w:t>酸性气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9pt;margin-top:12.4pt;height:27pt;width:54.75pt;z-index:2083027968;mso-width-relative:page;mso-height-relative:page;" fillcolor="#FFFFFF [3201]" filled="t" stroked="t" coordsize="21600,21600" o:gfxdata="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Hg1v7WAAAACQEAAA8AAAAAAAAAAQAgAAAAIgAAAGRy&#10;cy9kb3ducmV2LnhtbFBLAQIUABQAAAAIAIdO4kCu2jSrQAIAAGwEAAAOAAAAAAAAAAEAIAAAACUB&#10;AABkcnMvZTJvRG9jLnhtbFBLBQYAAAAABgAGAFkBAADXBQAAAAA=&#10;">
                <v:fill on="t" focussize="0,0"/>
                <v:stroke weight="0.5pt" color="#000000 [3204]" joinstyle="round"/>
                <v:imagedata o:title=""/>
                <o:lock v:ext="edit" aspectratio="f"/>
                <v:textbox>
                  <w:txbxContent>
                    <w:p>
                      <w:pPr>
                        <w:rPr>
                          <w:rFonts w:hint="default" w:eastAsia="宋体"/>
                          <w:lang w:val="en-US" w:eastAsia="zh-CN"/>
                        </w:rPr>
                      </w:pPr>
                      <w:r>
                        <w:rPr>
                          <w:rFonts w:hint="eastAsia"/>
                          <w:lang w:eastAsia="zh-CN"/>
                        </w:rPr>
                        <w:t>酸性气</w:t>
                      </w:r>
                    </w:p>
                  </w:txbxContent>
                </v:textbox>
              </v:shape>
            </w:pict>
          </mc:Fallback>
        </mc:AlternateContent>
      </w:r>
    </w:p>
    <w:p>
      <w:pPr>
        <w:pStyle w:val="5"/>
        <w:spacing w:line="480" w:lineRule="exact"/>
        <w:ind w:firstLine="480"/>
        <w:rPr>
          <w:color w:val="auto"/>
        </w:rPr>
      </w:pPr>
      <w:r>
        <w:rPr>
          <w:sz w:val="24"/>
        </w:rPr>
        <mc:AlternateContent>
          <mc:Choice Requires="wps">
            <w:drawing>
              <wp:anchor distT="0" distB="0" distL="114300" distR="114300" simplePos="0" relativeHeight="1956594688" behindDoc="0" locked="0" layoutInCell="1" allowOverlap="1">
                <wp:simplePos x="0" y="0"/>
                <wp:positionH relativeFrom="column">
                  <wp:posOffset>2818130</wp:posOffset>
                </wp:positionH>
                <wp:positionV relativeFrom="paragraph">
                  <wp:posOffset>147955</wp:posOffset>
                </wp:positionV>
                <wp:extent cx="0" cy="419100"/>
                <wp:effectExtent l="48895" t="0" r="65405" b="0"/>
                <wp:wrapNone/>
                <wp:docPr id="233" name="直接箭头连接符 233"/>
                <wp:cNvGraphicFramePr/>
                <a:graphic xmlns:a="http://schemas.openxmlformats.org/drawingml/2006/main">
                  <a:graphicData uri="http://schemas.microsoft.com/office/word/2010/wordprocessingShape">
                    <wps:wsp>
                      <wps:cNvCnPr/>
                      <wps:spPr>
                        <a:xfrm>
                          <a:off x="0" y="0"/>
                          <a:ext cx="0" cy="4191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1.9pt;margin-top:11.65pt;height:33pt;width:0pt;z-index:1956594688;mso-width-relative:page;mso-height-relative:page;" filled="f" stroked="t" coordsize="21600,21600" o:gfxdata="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pOowfZAAAACQEAAA8AAAAAAAAAAQAgAAAAIgAAAGRycy9kb3ducmV2&#10;LnhtbFBLAQIUABQAAAAIAIdO4kBdrcQW+wEAALUDAAAOAAAAAAAAAAEAIAAAACgBAABkcnMvZTJv&#10;RG9jLnhtbFBLBQYAAAAABgAGAFkBAACVBQAAAAA=&#10;">
                <v:fill on="f" focussize="0,0"/>
                <v:stroke color="#4A7EBB [3204]" joinstyle="round" endarrow="open"/>
                <v:imagedata o:title=""/>
                <o:lock v:ext="edit" aspectratio="f"/>
              </v:shape>
            </w:pict>
          </mc:Fallback>
        </mc:AlternateContent>
      </w:r>
    </w:p>
    <w:p>
      <w:pPr>
        <w:pStyle w:val="5"/>
        <w:spacing w:line="480" w:lineRule="exact"/>
        <w:ind w:firstLine="480"/>
        <w:rPr>
          <w:color w:val="auto"/>
        </w:rPr>
      </w:pPr>
      <w:r>
        <w:rPr>
          <w:sz w:val="24"/>
        </w:rPr>
        <mc:AlternateContent>
          <mc:Choice Requires="wps">
            <w:drawing>
              <wp:anchor distT="0" distB="0" distL="114300" distR="114300" simplePos="0" relativeHeight="2083027968" behindDoc="0" locked="0" layoutInCell="1" allowOverlap="1">
                <wp:simplePos x="0" y="0"/>
                <wp:positionH relativeFrom="column">
                  <wp:posOffset>2465070</wp:posOffset>
                </wp:positionH>
                <wp:positionV relativeFrom="paragraph">
                  <wp:posOffset>290830</wp:posOffset>
                </wp:positionV>
                <wp:extent cx="648970" cy="342900"/>
                <wp:effectExtent l="4445" t="4445" r="13335" b="14605"/>
                <wp:wrapNone/>
                <wp:docPr id="230" name="文本框 230"/>
                <wp:cNvGraphicFramePr/>
                <a:graphic xmlns:a="http://schemas.openxmlformats.org/drawingml/2006/main">
                  <a:graphicData uri="http://schemas.microsoft.com/office/word/2010/wordprocessingShape">
                    <wps:wsp>
                      <wps:cNvSpPr txBox="1"/>
                      <wps:spPr>
                        <a:xfrm>
                          <a:off x="0" y="0"/>
                          <a:ext cx="648970" cy="3429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净化水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1pt;margin-top:22.9pt;height:27pt;width:51.1pt;z-index:2083027968;mso-width-relative:page;mso-height-relative:page;" fillcolor="#FFFFFF [3201]" filled="t" stroked="t" coordsize="21600,21600" o:gfxdata="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T4DbHXAAAACQEAAA8AAAAAAAAAAQAgAAAAIgAAAGRy&#10;cy9kb3ducmV2LnhtbFBLAQIUABQAAAAIAIdO4kDB7AgwPwIAAGwEAAAOAAAAAAAAAAEAIAAAACYB&#10;AABkcnMvZTJvRG9jLnhtbFBLBQYAAAAABgAGAFkBAADXBQAAAAA=&#10;">
                <v:fill on="t" focussize="0,0"/>
                <v:stroke weight="0.5pt" color="#000000 [3204]" joinstyle="round"/>
                <v:imagedata o:title=""/>
                <o:lock v:ext="edit" aspectratio="f"/>
                <v:textbox>
                  <w:txbxContent>
                    <w:p>
                      <w:pPr>
                        <w:rPr>
                          <w:rFonts w:hint="eastAsia" w:eastAsia="宋体"/>
                          <w:lang w:eastAsia="zh-CN"/>
                        </w:rPr>
                      </w:pPr>
                      <w:r>
                        <w:rPr>
                          <w:rFonts w:hint="eastAsia"/>
                          <w:lang w:eastAsia="zh-CN"/>
                        </w:rPr>
                        <w:t>净化水</w:t>
                      </w:r>
                    </w:p>
                  </w:txbxContent>
                </v:textbox>
              </v:shape>
            </w:pict>
          </mc:Fallback>
        </mc:AlternateContent>
      </w:r>
    </w:p>
    <w:p>
      <w:pPr>
        <w:pStyle w:val="5"/>
        <w:spacing w:line="480" w:lineRule="exact"/>
        <w:ind w:firstLine="480"/>
        <w:rPr>
          <w:color w:val="auto"/>
        </w:rPr>
      </w:pPr>
    </w:p>
    <w:p>
      <w:pPr>
        <w:pStyle w:val="5"/>
        <w:spacing w:line="480" w:lineRule="exact"/>
        <w:ind w:left="0" w:leftChars="0" w:firstLine="0" w:firstLineChars="0"/>
        <w:rPr>
          <w:color w:val="auto"/>
        </w:rPr>
      </w:pPr>
    </w:p>
    <w:p>
      <w:pPr>
        <w:spacing w:line="360" w:lineRule="auto"/>
        <w:ind w:firstLine="2640" w:firstLineChars="1100"/>
        <w:jc w:val="both"/>
        <w:rPr>
          <w:color w:val="auto"/>
        </w:rPr>
      </w:pPr>
      <w:r>
        <w:rPr>
          <w:rFonts w:hint="eastAsia" w:hAnsi="宋体"/>
          <w:sz w:val="24"/>
          <w:lang w:eastAsia="zh-CN"/>
        </w:rPr>
        <w:t>图</w:t>
      </w:r>
      <w:r>
        <w:rPr>
          <w:rFonts w:hint="eastAsia" w:hAnsi="宋体"/>
          <w:sz w:val="24"/>
          <w:lang w:val="en-US" w:eastAsia="zh-CN"/>
        </w:rPr>
        <w:t xml:space="preserve">2.3-1 </w:t>
      </w:r>
      <w:r>
        <w:rPr>
          <w:rFonts w:hAnsi="宋体"/>
          <w:sz w:val="24"/>
        </w:rPr>
        <w:t>非加氢污水汽提流程图</w:t>
      </w:r>
    </w:p>
    <w:p>
      <w:pPr>
        <w:pStyle w:val="5"/>
        <w:spacing w:line="480" w:lineRule="exact"/>
        <w:ind w:firstLine="48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3 \* GB3 </w:instrText>
      </w:r>
      <w:r>
        <w:rPr>
          <w:rFonts w:hint="eastAsia"/>
          <w:color w:val="auto"/>
          <w:lang w:val="en-US" w:eastAsia="zh-CN"/>
        </w:rPr>
        <w:fldChar w:fldCharType="separate"/>
      </w:r>
      <w:r>
        <w:rPr>
          <w:rFonts w:hint="eastAsia"/>
          <w:color w:val="auto"/>
          <w:lang w:val="en-US" w:eastAsia="zh-CN"/>
        </w:rPr>
        <w:t>③</w:t>
      </w:r>
      <w:r>
        <w:rPr>
          <w:rFonts w:hint="eastAsia"/>
          <w:color w:val="auto"/>
          <w:lang w:val="en-US" w:eastAsia="zh-CN"/>
        </w:rPr>
        <w:fldChar w:fldCharType="end"/>
      </w:r>
      <w:r>
        <w:rPr>
          <w:rFonts w:hint="eastAsia"/>
          <w:color w:val="auto"/>
          <w:lang w:val="en-US" w:eastAsia="zh-CN"/>
        </w:rPr>
        <w:t>事故废水收集</w:t>
      </w:r>
    </w:p>
    <w:p>
      <w:pPr>
        <w:pStyle w:val="5"/>
        <w:spacing w:line="480" w:lineRule="exact"/>
        <w:ind w:firstLine="480"/>
        <w:rPr>
          <w:rFonts w:hint="eastAsia"/>
          <w:color w:val="auto"/>
          <w:u w:val="single"/>
          <w:lang w:val="en-US" w:eastAsia="zh-CN"/>
        </w:rPr>
      </w:pPr>
      <w:r>
        <w:rPr>
          <w:rFonts w:hint="eastAsia"/>
          <w:color w:val="auto"/>
          <w:lang w:val="en-US" w:eastAsia="zh-CN"/>
        </w:rPr>
        <w:t xml:space="preserve"> </w:t>
      </w:r>
      <w:r>
        <w:rPr>
          <w:rFonts w:hint="eastAsia"/>
          <w:color w:val="auto"/>
          <w:u w:val="single"/>
          <w:lang w:val="en-US" w:eastAsia="zh-CN"/>
        </w:rPr>
        <w:t>公司生产装置及原油罐区有 3 个废水事故池，本项目可依托的事故池有3个公司（储运部事故池用于储存长岭分公司芳烃罐区及油品装卸区事故水）：大排事故水池容积为10000m</w:t>
      </w:r>
      <w:r>
        <w:rPr>
          <w:rFonts w:hint="eastAsia"/>
          <w:color w:val="auto"/>
          <w:u w:val="single"/>
          <w:vertAlign w:val="superscript"/>
          <w:lang w:val="en-US" w:eastAsia="zh-CN"/>
        </w:rPr>
        <w:t>3</w:t>
      </w:r>
      <w:r>
        <w:rPr>
          <w:rFonts w:hint="eastAsia"/>
          <w:color w:val="auto"/>
          <w:u w:val="single"/>
          <w:lang w:val="en-US" w:eastAsia="zh-CN"/>
        </w:rPr>
        <w:t>，用于生产装置范围内雨水及事故液（包括消防液）的暂存；一污事故水池容积为 10000m</w:t>
      </w:r>
      <w:r>
        <w:rPr>
          <w:rFonts w:hint="eastAsia"/>
          <w:color w:val="auto"/>
          <w:u w:val="single"/>
          <w:vertAlign w:val="superscript"/>
          <w:lang w:val="en-US" w:eastAsia="zh-CN"/>
        </w:rPr>
        <w:t>3</w:t>
      </w:r>
      <w:r>
        <w:rPr>
          <w:rFonts w:hint="eastAsia"/>
          <w:color w:val="auto"/>
          <w:u w:val="single"/>
          <w:lang w:val="en-US" w:eastAsia="zh-CN"/>
        </w:rPr>
        <w:t>；上述两个事故池是连通的；原油罐区一座 18500m</w:t>
      </w:r>
      <w:r>
        <w:rPr>
          <w:rFonts w:hint="eastAsia"/>
          <w:color w:val="auto"/>
          <w:u w:val="single"/>
          <w:vertAlign w:val="superscript"/>
          <w:lang w:val="en-US" w:eastAsia="zh-CN"/>
        </w:rPr>
        <w:t>3</w:t>
      </w:r>
      <w:r>
        <w:rPr>
          <w:rFonts w:hint="eastAsia"/>
          <w:color w:val="auto"/>
          <w:u w:val="single"/>
          <w:lang w:val="en-US" w:eastAsia="zh-CN"/>
        </w:rPr>
        <w:t>的事故水池，用于全厂事故水及后期雨水的收集处理，已与上述两个事故池连通。大排事故池位于公司东北侧，地势较低，液氨储罐及输送管廊发生安全事故时，产生的事故液均能通过排洪沟引流至大排事故池，大排事故池与其他事故池相连，能满足本项目事故水排放需求。</w:t>
      </w:r>
    </w:p>
    <w:p>
      <w:pPr>
        <w:pStyle w:val="5"/>
        <w:spacing w:line="480" w:lineRule="exact"/>
        <w:ind w:firstLine="480"/>
        <w:rPr>
          <w:rFonts w:hint="eastAsia"/>
          <w:color w:val="auto"/>
          <w:lang w:val="en-US" w:eastAsia="zh-CN"/>
        </w:rPr>
      </w:pPr>
      <w:r>
        <w:rPr>
          <w:rFonts w:hint="eastAsia"/>
          <w:color w:val="auto"/>
          <w:lang w:val="en-US" w:eastAsia="zh-CN"/>
        </w:rPr>
        <w:t>本项目公用工程新增情况及与新基地现有公用工程的规模、富余量之间的关系见表 2.3-2。</w:t>
      </w:r>
    </w:p>
    <w:p>
      <w:pPr>
        <w:pStyle w:val="5"/>
        <w:spacing w:line="480" w:lineRule="exact"/>
        <w:ind w:left="0" w:leftChars="0" w:firstLine="0" w:firstLineChars="0"/>
        <w:rPr>
          <w:rFonts w:hint="eastAsia"/>
          <w:color w:val="auto"/>
          <w:lang w:val="en-US" w:eastAsia="zh-CN"/>
        </w:rPr>
      </w:pPr>
    </w:p>
    <w:p>
      <w:pPr>
        <w:pStyle w:val="5"/>
        <w:spacing w:line="480" w:lineRule="exact"/>
        <w:ind w:left="0" w:leftChars="0" w:firstLine="0" w:firstLineChars="0"/>
        <w:rPr>
          <w:rFonts w:hint="eastAsia"/>
          <w:color w:val="auto"/>
          <w:lang w:val="en-US" w:eastAsia="zh-CN"/>
        </w:rPr>
      </w:pPr>
    </w:p>
    <w:p>
      <w:pPr>
        <w:spacing w:line="360" w:lineRule="auto"/>
        <w:ind w:firstLine="2650" w:firstLineChars="1100"/>
        <w:jc w:val="both"/>
        <w:rPr>
          <w:rFonts w:hint="eastAsia" w:hAnsi="宋体"/>
          <w:b/>
          <w:bCs/>
          <w:sz w:val="24"/>
          <w:lang w:eastAsia="zh-CN"/>
        </w:rPr>
      </w:pPr>
      <w:r>
        <w:rPr>
          <w:rFonts w:hint="eastAsia" w:hAnsi="宋体"/>
          <w:b/>
          <w:bCs/>
          <w:sz w:val="24"/>
          <w:lang w:eastAsia="zh-CN"/>
        </w:rPr>
        <w:t xml:space="preserve">表 </w:t>
      </w:r>
      <w:r>
        <w:rPr>
          <w:rFonts w:hint="eastAsia" w:hAnsi="宋体"/>
          <w:b/>
          <w:bCs/>
          <w:sz w:val="24"/>
          <w:lang w:val="en-US" w:eastAsia="zh-CN"/>
        </w:rPr>
        <w:t>2</w:t>
      </w:r>
      <w:r>
        <w:rPr>
          <w:rFonts w:hint="eastAsia" w:hAnsi="宋体"/>
          <w:b/>
          <w:bCs/>
          <w:sz w:val="24"/>
          <w:lang w:eastAsia="zh-CN"/>
        </w:rPr>
        <w:t>.3-2 依托工程一览表</w:t>
      </w:r>
    </w:p>
    <w:tbl>
      <w:tblPr>
        <w:tblStyle w:val="46"/>
        <w:tblW w:w="97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975"/>
        <w:gridCol w:w="1461"/>
        <w:gridCol w:w="1500"/>
        <w:gridCol w:w="2040"/>
        <w:gridCol w:w="3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2" w:hRule="atLeast"/>
        </w:trPr>
        <w:tc>
          <w:tcPr>
            <w:tcW w:w="1637" w:type="dxa"/>
            <w:gridSpan w:val="2"/>
            <w:vAlign w:val="center"/>
          </w:tcPr>
          <w:p>
            <w:pPr>
              <w:jc w:val="center"/>
              <w:rPr>
                <w:rFonts w:hint="eastAsia" w:eastAsia="宋体"/>
                <w:b/>
                <w:bCs/>
                <w:szCs w:val="21"/>
                <w:u w:val="single"/>
                <w:lang w:eastAsia="zh-CN"/>
              </w:rPr>
            </w:pPr>
            <w:r>
              <w:rPr>
                <w:rFonts w:hint="eastAsia"/>
                <w:b/>
                <w:bCs/>
                <w:szCs w:val="21"/>
                <w:u w:val="single"/>
                <w:lang w:eastAsia="zh-CN"/>
              </w:rPr>
              <w:t>依托工程</w:t>
            </w:r>
          </w:p>
        </w:tc>
        <w:tc>
          <w:tcPr>
            <w:tcW w:w="1461" w:type="dxa"/>
            <w:vAlign w:val="center"/>
          </w:tcPr>
          <w:p>
            <w:pPr>
              <w:jc w:val="center"/>
              <w:rPr>
                <w:b/>
                <w:bCs/>
                <w:u w:val="single"/>
              </w:rPr>
            </w:pPr>
            <w:r>
              <w:rPr>
                <w:rFonts w:hint="eastAsia"/>
                <w:b/>
                <w:bCs/>
                <w:u w:val="single"/>
              </w:rPr>
              <w:t>现有总能力</w:t>
            </w:r>
          </w:p>
        </w:tc>
        <w:tc>
          <w:tcPr>
            <w:tcW w:w="1500" w:type="dxa"/>
            <w:vAlign w:val="center"/>
          </w:tcPr>
          <w:p>
            <w:pPr>
              <w:jc w:val="center"/>
              <w:rPr>
                <w:b/>
                <w:bCs/>
                <w:u w:val="single"/>
              </w:rPr>
            </w:pPr>
            <w:r>
              <w:rPr>
                <w:rFonts w:hint="eastAsia"/>
                <w:b/>
                <w:bCs/>
                <w:u w:val="single"/>
              </w:rPr>
              <w:t>富足能力</w:t>
            </w:r>
          </w:p>
        </w:tc>
        <w:tc>
          <w:tcPr>
            <w:tcW w:w="2040" w:type="dxa"/>
            <w:vAlign w:val="center"/>
          </w:tcPr>
          <w:p>
            <w:pPr>
              <w:jc w:val="center"/>
              <w:rPr>
                <w:rFonts w:hint="eastAsia" w:eastAsia="宋体"/>
                <w:b/>
                <w:bCs/>
                <w:u w:val="single"/>
                <w:lang w:eastAsia="zh-CN"/>
              </w:rPr>
            </w:pPr>
            <w:r>
              <w:rPr>
                <w:rFonts w:hint="eastAsia"/>
                <w:b/>
                <w:bCs/>
                <w:u w:val="single"/>
                <w:lang w:eastAsia="zh-CN"/>
              </w:rPr>
              <w:t>本技改项目需求</w:t>
            </w:r>
          </w:p>
        </w:tc>
        <w:tc>
          <w:tcPr>
            <w:tcW w:w="3127" w:type="dxa"/>
            <w:vAlign w:val="center"/>
          </w:tcPr>
          <w:p>
            <w:pPr>
              <w:jc w:val="center"/>
              <w:rPr>
                <w:b/>
                <w:bCs/>
                <w:u w:val="single"/>
              </w:rPr>
            </w:pPr>
            <w:r>
              <w:rPr>
                <w:rFonts w:hint="eastAsia"/>
                <w:b/>
                <w:bCs/>
                <w:u w:val="single"/>
              </w:rPr>
              <w:t>依托可行性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662" w:type="dxa"/>
            <w:vMerge w:val="restart"/>
            <w:vAlign w:val="center"/>
          </w:tcPr>
          <w:p>
            <w:pPr>
              <w:jc w:val="center"/>
              <w:rPr>
                <w:rFonts w:hint="eastAsia" w:eastAsia="宋体"/>
                <w:szCs w:val="21"/>
                <w:u w:val="single"/>
                <w:lang w:eastAsia="zh-CN"/>
              </w:rPr>
            </w:pPr>
            <w:r>
              <w:rPr>
                <w:rFonts w:hint="eastAsia"/>
                <w:szCs w:val="21"/>
                <w:u w:val="single"/>
                <w:lang w:eastAsia="zh-CN"/>
              </w:rPr>
              <w:t>供水</w:t>
            </w:r>
          </w:p>
        </w:tc>
        <w:tc>
          <w:tcPr>
            <w:tcW w:w="975" w:type="dxa"/>
            <w:vAlign w:val="center"/>
          </w:tcPr>
          <w:p>
            <w:pPr>
              <w:jc w:val="center"/>
              <w:rPr>
                <w:rFonts w:hint="eastAsia" w:eastAsia="宋体"/>
                <w:szCs w:val="21"/>
                <w:u w:val="single"/>
                <w:lang w:eastAsia="zh-CN"/>
              </w:rPr>
            </w:pPr>
            <w:r>
              <w:rPr>
                <w:rFonts w:hint="eastAsia"/>
                <w:szCs w:val="21"/>
                <w:u w:val="single"/>
                <w:lang w:eastAsia="zh-CN"/>
              </w:rPr>
              <w:t>新鲜水</w:t>
            </w:r>
          </w:p>
        </w:tc>
        <w:tc>
          <w:tcPr>
            <w:tcW w:w="1461" w:type="dxa"/>
            <w:vAlign w:val="center"/>
          </w:tcPr>
          <w:p>
            <w:pPr>
              <w:jc w:val="center"/>
              <w:rPr>
                <w:u w:val="single"/>
              </w:rPr>
            </w:pPr>
            <w:r>
              <w:rPr>
                <w:rFonts w:hint="eastAsia"/>
                <w:u w:val="single"/>
                <w:lang w:val="en-US" w:eastAsia="zh-CN"/>
              </w:rPr>
              <w:t>58</w:t>
            </w:r>
            <w:r>
              <w:rPr>
                <w:rFonts w:hint="eastAsia"/>
                <w:u w:val="single"/>
              </w:rPr>
              <w:t xml:space="preserve">00m </w:t>
            </w:r>
            <w:r>
              <w:rPr>
                <w:rFonts w:hint="eastAsia"/>
                <w:u w:val="single"/>
                <w:vertAlign w:val="superscript"/>
              </w:rPr>
              <w:t>3</w:t>
            </w:r>
            <w:r>
              <w:rPr>
                <w:rFonts w:hint="eastAsia"/>
                <w:u w:val="single"/>
              </w:rPr>
              <w:t xml:space="preserve"> /h</w:t>
            </w:r>
          </w:p>
        </w:tc>
        <w:tc>
          <w:tcPr>
            <w:tcW w:w="1500" w:type="dxa"/>
            <w:vAlign w:val="center"/>
          </w:tcPr>
          <w:p>
            <w:pPr>
              <w:jc w:val="center"/>
              <w:rPr>
                <w:u w:val="single"/>
              </w:rPr>
            </w:pPr>
            <w:r>
              <w:rPr>
                <w:rFonts w:hint="eastAsia"/>
                <w:u w:val="single"/>
                <w:lang w:val="en-US" w:eastAsia="zh-CN"/>
              </w:rPr>
              <w:t>3390</w:t>
            </w:r>
            <w:r>
              <w:rPr>
                <w:rFonts w:hint="eastAsia"/>
                <w:u w:val="single"/>
              </w:rPr>
              <w:t xml:space="preserve">m </w:t>
            </w:r>
            <w:r>
              <w:rPr>
                <w:rFonts w:hint="eastAsia"/>
                <w:u w:val="single"/>
                <w:vertAlign w:val="superscript"/>
              </w:rPr>
              <w:t>3</w:t>
            </w:r>
            <w:r>
              <w:rPr>
                <w:rFonts w:hint="eastAsia"/>
                <w:u w:val="single"/>
              </w:rPr>
              <w:t xml:space="preserve"> /h</w:t>
            </w:r>
          </w:p>
        </w:tc>
        <w:tc>
          <w:tcPr>
            <w:tcW w:w="2040" w:type="dxa"/>
            <w:vAlign w:val="center"/>
          </w:tcPr>
          <w:p>
            <w:pPr>
              <w:jc w:val="center"/>
              <w:rPr>
                <w:rFonts w:hint="default"/>
                <w:u w:val="single"/>
                <w:lang w:val="en-US" w:eastAsia="zh-CN"/>
              </w:rPr>
            </w:pPr>
            <w:r>
              <w:rPr>
                <w:rFonts w:hint="eastAsia"/>
                <w:u w:val="single"/>
                <w:lang w:val="en-US" w:eastAsia="zh-CN"/>
              </w:rPr>
              <w:t>700</w:t>
            </w:r>
            <w:r>
              <w:rPr>
                <w:rFonts w:hint="eastAsia"/>
                <w:u w:val="single"/>
              </w:rPr>
              <w:t xml:space="preserve">m </w:t>
            </w:r>
            <w:r>
              <w:rPr>
                <w:rFonts w:hint="eastAsia"/>
                <w:u w:val="single"/>
                <w:vertAlign w:val="superscript"/>
              </w:rPr>
              <w:t>3</w:t>
            </w:r>
            <w:r>
              <w:rPr>
                <w:rFonts w:hint="eastAsia"/>
                <w:u w:val="single"/>
              </w:rPr>
              <w:t xml:space="preserve"> /h</w:t>
            </w:r>
          </w:p>
        </w:tc>
        <w:tc>
          <w:tcPr>
            <w:tcW w:w="3127" w:type="dxa"/>
            <w:vAlign w:val="center"/>
          </w:tcPr>
          <w:p>
            <w:pPr>
              <w:jc w:val="center"/>
              <w:rPr>
                <w:u w:val="single"/>
              </w:rPr>
            </w:pPr>
            <w:r>
              <w:rPr>
                <w:rFonts w:hint="eastAsia"/>
                <w:u w:val="single"/>
              </w:rPr>
              <w:t>可依托现有给水系统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2" w:type="dxa"/>
            <w:vMerge w:val="continue"/>
            <w:vAlign w:val="center"/>
          </w:tcPr>
          <w:p>
            <w:pPr>
              <w:jc w:val="center"/>
              <w:rPr>
                <w:szCs w:val="21"/>
                <w:u w:val="single"/>
              </w:rPr>
            </w:pPr>
          </w:p>
        </w:tc>
        <w:tc>
          <w:tcPr>
            <w:tcW w:w="975" w:type="dxa"/>
            <w:vAlign w:val="center"/>
          </w:tcPr>
          <w:p>
            <w:pPr>
              <w:jc w:val="center"/>
              <w:rPr>
                <w:szCs w:val="21"/>
                <w:u w:val="single"/>
              </w:rPr>
            </w:pPr>
            <w:r>
              <w:rPr>
                <w:rFonts w:hint="eastAsia"/>
                <w:szCs w:val="21"/>
                <w:u w:val="single"/>
                <w:lang w:eastAsia="zh-CN"/>
              </w:rPr>
              <w:t>消防</w:t>
            </w:r>
            <w:r>
              <w:rPr>
                <w:rFonts w:hint="eastAsia"/>
                <w:szCs w:val="21"/>
                <w:u w:val="single"/>
              </w:rPr>
              <w:t>水</w:t>
            </w:r>
          </w:p>
        </w:tc>
        <w:tc>
          <w:tcPr>
            <w:tcW w:w="1461" w:type="dxa"/>
            <w:vAlign w:val="center"/>
          </w:tcPr>
          <w:p>
            <w:pPr>
              <w:jc w:val="center"/>
              <w:rPr>
                <w:u w:val="single"/>
              </w:rPr>
            </w:pPr>
            <w:r>
              <w:rPr>
                <w:rFonts w:hint="eastAsia"/>
                <w:u w:val="single"/>
                <w:lang w:val="en-US" w:eastAsia="zh-CN"/>
              </w:rPr>
              <w:t>4580</w:t>
            </w:r>
            <w:r>
              <w:rPr>
                <w:rFonts w:hint="eastAsia"/>
                <w:u w:val="single"/>
              </w:rPr>
              <w:t xml:space="preserve">m </w:t>
            </w:r>
            <w:r>
              <w:rPr>
                <w:rFonts w:hint="eastAsia"/>
                <w:u w:val="single"/>
                <w:vertAlign w:val="superscript"/>
              </w:rPr>
              <w:t>3</w:t>
            </w:r>
            <w:r>
              <w:rPr>
                <w:rFonts w:hint="eastAsia"/>
                <w:u w:val="single"/>
              </w:rPr>
              <w:t>/h</w:t>
            </w:r>
          </w:p>
        </w:tc>
        <w:tc>
          <w:tcPr>
            <w:tcW w:w="1500" w:type="dxa"/>
            <w:vAlign w:val="center"/>
          </w:tcPr>
          <w:p>
            <w:pPr>
              <w:jc w:val="center"/>
              <w:rPr>
                <w:u w:val="single"/>
              </w:rPr>
            </w:pPr>
            <w:r>
              <w:rPr>
                <w:rFonts w:hint="eastAsia"/>
                <w:u w:val="single"/>
                <w:lang w:val="en-US" w:eastAsia="zh-CN"/>
              </w:rPr>
              <w:t>4580</w:t>
            </w:r>
            <w:r>
              <w:rPr>
                <w:rFonts w:hint="eastAsia"/>
                <w:u w:val="single"/>
              </w:rPr>
              <w:t xml:space="preserve">m </w:t>
            </w:r>
            <w:r>
              <w:rPr>
                <w:rFonts w:hint="eastAsia"/>
                <w:u w:val="single"/>
                <w:vertAlign w:val="superscript"/>
              </w:rPr>
              <w:t>3</w:t>
            </w:r>
            <w:r>
              <w:rPr>
                <w:rFonts w:hint="eastAsia"/>
                <w:u w:val="single"/>
              </w:rPr>
              <w:t xml:space="preserve"> /h</w:t>
            </w:r>
          </w:p>
        </w:tc>
        <w:tc>
          <w:tcPr>
            <w:tcW w:w="2040" w:type="dxa"/>
            <w:vAlign w:val="center"/>
          </w:tcPr>
          <w:p>
            <w:pPr>
              <w:jc w:val="center"/>
              <w:rPr>
                <w:rFonts w:hint="default"/>
                <w:u w:val="single"/>
                <w:lang w:val="en-US" w:eastAsia="zh-CN"/>
              </w:rPr>
            </w:pPr>
            <w:r>
              <w:rPr>
                <w:rFonts w:hint="eastAsia"/>
                <w:u w:val="single"/>
                <w:lang w:val="en-US" w:eastAsia="zh-CN"/>
              </w:rPr>
              <w:t>与技术前一样</w:t>
            </w:r>
          </w:p>
        </w:tc>
        <w:tc>
          <w:tcPr>
            <w:tcW w:w="3127" w:type="dxa"/>
            <w:vAlign w:val="center"/>
          </w:tcPr>
          <w:p>
            <w:pPr>
              <w:jc w:val="center"/>
              <w:rPr>
                <w:rFonts w:hint="eastAsia" w:eastAsia="宋体"/>
                <w:u w:val="single"/>
                <w:lang w:eastAsia="zh-CN"/>
              </w:rPr>
            </w:pPr>
            <w:r>
              <w:rPr>
                <w:rFonts w:hint="eastAsia"/>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37" w:type="dxa"/>
            <w:gridSpan w:val="2"/>
            <w:vAlign w:val="center"/>
          </w:tcPr>
          <w:p>
            <w:pPr>
              <w:jc w:val="center"/>
              <w:rPr>
                <w:szCs w:val="21"/>
                <w:u w:val="single"/>
              </w:rPr>
            </w:pPr>
            <w:r>
              <w:rPr>
                <w:rFonts w:hint="eastAsia"/>
                <w:szCs w:val="21"/>
                <w:u w:val="single"/>
                <w:lang w:eastAsia="zh-CN"/>
              </w:rPr>
              <w:t>供电</w:t>
            </w:r>
          </w:p>
        </w:tc>
        <w:tc>
          <w:tcPr>
            <w:tcW w:w="1461" w:type="dxa"/>
            <w:vAlign w:val="center"/>
          </w:tcPr>
          <w:p>
            <w:pPr>
              <w:jc w:val="center"/>
              <w:rPr>
                <w:rFonts w:hint="default" w:eastAsia="宋体"/>
                <w:u w:val="single"/>
                <w:lang w:val="en-US" w:eastAsia="zh-CN"/>
              </w:rPr>
            </w:pPr>
            <w:r>
              <w:rPr>
                <w:rFonts w:hint="eastAsia"/>
                <w:u w:val="single"/>
                <w:lang w:val="en-US" w:eastAsia="zh-CN"/>
              </w:rPr>
              <w:t>100%负荷</w:t>
            </w:r>
          </w:p>
        </w:tc>
        <w:tc>
          <w:tcPr>
            <w:tcW w:w="1500" w:type="dxa"/>
            <w:vAlign w:val="center"/>
          </w:tcPr>
          <w:p>
            <w:pPr>
              <w:jc w:val="center"/>
              <w:rPr>
                <w:rFonts w:hint="default" w:eastAsia="宋体"/>
                <w:u w:val="single"/>
                <w:lang w:val="en-US" w:eastAsia="zh-CN"/>
              </w:rPr>
            </w:pPr>
            <w:r>
              <w:rPr>
                <w:rFonts w:hint="eastAsia"/>
                <w:u w:val="single"/>
                <w:lang w:val="en-US" w:eastAsia="zh-CN"/>
              </w:rPr>
              <w:t>20%负荷</w:t>
            </w:r>
          </w:p>
        </w:tc>
        <w:tc>
          <w:tcPr>
            <w:tcW w:w="2040" w:type="dxa"/>
            <w:vAlign w:val="center"/>
          </w:tcPr>
          <w:p>
            <w:pPr>
              <w:jc w:val="center"/>
              <w:rPr>
                <w:rFonts w:hint="eastAsia" w:eastAsia="宋体"/>
                <w:u w:val="single"/>
                <w:lang w:val="en-US" w:eastAsia="zh-CN"/>
              </w:rPr>
            </w:pPr>
            <w:r>
              <w:rPr>
                <w:rFonts w:hint="eastAsia"/>
                <w:u w:val="single"/>
                <w:lang w:val="en-US" w:eastAsia="zh-CN"/>
              </w:rPr>
              <w:t>3.5kw/h</w:t>
            </w:r>
          </w:p>
        </w:tc>
        <w:tc>
          <w:tcPr>
            <w:tcW w:w="3127" w:type="dxa"/>
            <w:vAlign w:val="center"/>
          </w:tcPr>
          <w:p>
            <w:pPr>
              <w:jc w:val="center"/>
              <w:rPr>
                <w:u w:val="single"/>
              </w:rPr>
            </w:pPr>
            <w:r>
              <w:rPr>
                <w:rFonts w:hint="eastAsia"/>
                <w:u w:val="single"/>
              </w:rPr>
              <w:t>可依托现有</w:t>
            </w:r>
            <w:r>
              <w:rPr>
                <w:rFonts w:hint="eastAsia"/>
                <w:u w:val="single"/>
                <w:lang w:eastAsia="zh-CN"/>
              </w:rPr>
              <w:t>供电</w:t>
            </w:r>
            <w:r>
              <w:rPr>
                <w:rFonts w:hint="eastAsia"/>
                <w:u w:val="single"/>
              </w:rPr>
              <w:t>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37" w:type="dxa"/>
            <w:gridSpan w:val="2"/>
            <w:vAlign w:val="center"/>
          </w:tcPr>
          <w:p>
            <w:pPr>
              <w:jc w:val="center"/>
              <w:rPr>
                <w:rFonts w:hint="eastAsia"/>
                <w:szCs w:val="21"/>
                <w:u w:val="single"/>
                <w:lang w:eastAsia="zh-CN"/>
              </w:rPr>
            </w:pPr>
            <w:r>
              <w:rPr>
                <w:rFonts w:hint="eastAsia"/>
                <w:szCs w:val="21"/>
                <w:u w:val="single"/>
                <w:lang w:eastAsia="zh-CN"/>
              </w:rPr>
              <w:t>供风</w:t>
            </w:r>
          </w:p>
        </w:tc>
        <w:tc>
          <w:tcPr>
            <w:tcW w:w="1461" w:type="dxa"/>
            <w:vAlign w:val="center"/>
          </w:tcPr>
          <w:p>
            <w:pPr>
              <w:jc w:val="center"/>
              <w:rPr>
                <w:rFonts w:hint="default"/>
                <w:u w:val="single"/>
                <w:lang w:val="en-US" w:eastAsia="zh-CN"/>
              </w:rPr>
            </w:pPr>
            <w:r>
              <w:rPr>
                <w:rFonts w:hint="eastAsia"/>
                <w:u w:val="single"/>
                <w:lang w:val="en-US" w:eastAsia="zh-CN"/>
              </w:rPr>
              <w:t>1020</w:t>
            </w:r>
            <w:r>
              <w:rPr>
                <w:rFonts w:hint="eastAsia"/>
                <w:color w:val="auto"/>
              </w:rPr>
              <w:t>m</w:t>
            </w:r>
            <w:r>
              <w:rPr>
                <w:rFonts w:hint="eastAsia"/>
                <w:color w:val="auto"/>
                <w:vertAlign w:val="superscript"/>
              </w:rPr>
              <w:t>3</w:t>
            </w:r>
            <w:r>
              <w:rPr>
                <w:rFonts w:hint="eastAsia"/>
                <w:color w:val="auto"/>
              </w:rPr>
              <w:t>/min</w:t>
            </w:r>
          </w:p>
        </w:tc>
        <w:tc>
          <w:tcPr>
            <w:tcW w:w="1500" w:type="dxa"/>
            <w:vAlign w:val="center"/>
          </w:tcPr>
          <w:p>
            <w:pPr>
              <w:jc w:val="center"/>
              <w:rPr>
                <w:rFonts w:hint="eastAsia"/>
                <w:u w:val="single"/>
                <w:lang w:val="en-US" w:eastAsia="zh-CN"/>
              </w:rPr>
            </w:pPr>
            <w:r>
              <w:rPr>
                <w:rFonts w:hint="eastAsia"/>
                <w:color w:val="auto"/>
              </w:rPr>
              <w:t>73.4Nm</w:t>
            </w:r>
            <w:r>
              <w:rPr>
                <w:rFonts w:hint="eastAsia"/>
                <w:color w:val="auto"/>
                <w:vertAlign w:val="superscript"/>
              </w:rPr>
              <w:t>3</w:t>
            </w:r>
            <w:r>
              <w:rPr>
                <w:rFonts w:hint="eastAsia"/>
                <w:color w:val="auto"/>
              </w:rPr>
              <w:t>/min</w:t>
            </w:r>
          </w:p>
        </w:tc>
        <w:tc>
          <w:tcPr>
            <w:tcW w:w="2040" w:type="dxa"/>
            <w:vAlign w:val="center"/>
          </w:tcPr>
          <w:p>
            <w:pPr>
              <w:jc w:val="center"/>
              <w:rPr>
                <w:rFonts w:hint="eastAsia" w:eastAsia="宋体"/>
                <w:color w:val="auto"/>
                <w:lang w:val="en-US" w:eastAsia="zh-CN"/>
              </w:rPr>
            </w:pPr>
            <w:r>
              <w:rPr>
                <w:rFonts w:hint="eastAsia"/>
                <w:color w:val="auto"/>
                <w:lang w:val="en-US" w:eastAsia="zh-CN"/>
              </w:rPr>
              <w:t>1</w:t>
            </w:r>
            <w:r>
              <w:rPr>
                <w:rFonts w:hint="eastAsia"/>
                <w:color w:val="auto"/>
              </w:rPr>
              <w:t>Nm</w:t>
            </w:r>
            <w:r>
              <w:rPr>
                <w:rFonts w:hint="eastAsia"/>
                <w:color w:val="auto"/>
                <w:vertAlign w:val="superscript"/>
              </w:rPr>
              <w:t>3</w:t>
            </w:r>
            <w:r>
              <w:rPr>
                <w:rFonts w:hint="eastAsia"/>
                <w:color w:val="auto"/>
              </w:rPr>
              <w:t>/min</w:t>
            </w:r>
          </w:p>
        </w:tc>
        <w:tc>
          <w:tcPr>
            <w:tcW w:w="3127" w:type="dxa"/>
            <w:vAlign w:val="center"/>
          </w:tcPr>
          <w:p>
            <w:pPr>
              <w:jc w:val="center"/>
              <w:rPr>
                <w:rFonts w:hint="eastAsia"/>
                <w:u w:val="single"/>
              </w:rPr>
            </w:pPr>
            <w:r>
              <w:rPr>
                <w:rFonts w:hint="eastAsia"/>
                <w:u w:val="single"/>
              </w:rPr>
              <w:t>可依托现有</w:t>
            </w:r>
            <w:r>
              <w:rPr>
                <w:rFonts w:hint="eastAsia"/>
                <w:u w:val="single"/>
                <w:lang w:eastAsia="zh-CN"/>
              </w:rPr>
              <w:t>供风</w:t>
            </w:r>
            <w:r>
              <w:rPr>
                <w:rFonts w:hint="eastAsia"/>
                <w:u w:val="single"/>
              </w:rPr>
              <w:t>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trPr>
        <w:tc>
          <w:tcPr>
            <w:tcW w:w="662" w:type="dxa"/>
            <w:vMerge w:val="restart"/>
            <w:vAlign w:val="center"/>
          </w:tcPr>
          <w:p>
            <w:pPr>
              <w:jc w:val="center"/>
              <w:rPr>
                <w:rFonts w:hint="eastAsia"/>
                <w:szCs w:val="21"/>
                <w:u w:val="single"/>
                <w:lang w:eastAsia="zh-CN"/>
              </w:rPr>
            </w:pPr>
            <w:r>
              <w:rPr>
                <w:rFonts w:hint="eastAsia"/>
                <w:szCs w:val="21"/>
                <w:u w:val="single"/>
                <w:lang w:eastAsia="zh-CN"/>
              </w:rPr>
              <w:t>排水</w:t>
            </w:r>
          </w:p>
        </w:tc>
        <w:tc>
          <w:tcPr>
            <w:tcW w:w="975" w:type="dxa"/>
            <w:vAlign w:val="center"/>
          </w:tcPr>
          <w:p>
            <w:pPr>
              <w:jc w:val="center"/>
              <w:rPr>
                <w:rFonts w:hint="eastAsia"/>
                <w:szCs w:val="21"/>
                <w:u w:val="single"/>
                <w:lang w:eastAsia="zh-CN"/>
              </w:rPr>
            </w:pPr>
            <w:r>
              <w:rPr>
                <w:rFonts w:hint="eastAsia"/>
                <w:szCs w:val="21"/>
                <w:u w:val="single"/>
                <w:lang w:eastAsia="zh-CN"/>
              </w:rPr>
              <w:t>地面冲洗水</w:t>
            </w:r>
          </w:p>
        </w:tc>
        <w:tc>
          <w:tcPr>
            <w:tcW w:w="1461" w:type="dxa"/>
            <w:vAlign w:val="center"/>
          </w:tcPr>
          <w:p>
            <w:pPr>
              <w:jc w:val="center"/>
              <w:rPr>
                <w:rFonts w:hint="eastAsia"/>
                <w:szCs w:val="21"/>
                <w:u w:val="single"/>
                <w:lang w:eastAsia="zh-CN"/>
              </w:rPr>
            </w:pPr>
            <w:r>
              <w:rPr>
                <w:rFonts w:hint="eastAsia"/>
                <w:szCs w:val="21"/>
                <w:u w:val="single"/>
                <w:lang w:val="en-US" w:eastAsia="zh-CN"/>
              </w:rPr>
              <w:t>600</w:t>
            </w:r>
            <w:r>
              <w:rPr>
                <w:rFonts w:hint="eastAsia"/>
                <w:szCs w:val="21"/>
                <w:u w:val="single"/>
                <w:lang w:eastAsia="zh-CN"/>
              </w:rPr>
              <w:t xml:space="preserve"> t/h</w:t>
            </w:r>
          </w:p>
        </w:tc>
        <w:tc>
          <w:tcPr>
            <w:tcW w:w="1500" w:type="dxa"/>
            <w:vAlign w:val="center"/>
          </w:tcPr>
          <w:p>
            <w:pPr>
              <w:jc w:val="center"/>
              <w:rPr>
                <w:rFonts w:hint="eastAsia"/>
                <w:szCs w:val="21"/>
                <w:u w:val="single"/>
                <w:lang w:eastAsia="zh-CN"/>
              </w:rPr>
            </w:pPr>
            <w:r>
              <w:rPr>
                <w:rFonts w:hint="eastAsia"/>
                <w:szCs w:val="21"/>
                <w:u w:val="single"/>
                <w:lang w:val="en-US" w:eastAsia="zh-CN"/>
              </w:rPr>
              <w:t>150</w:t>
            </w:r>
            <w:r>
              <w:rPr>
                <w:rFonts w:hint="eastAsia"/>
                <w:szCs w:val="21"/>
                <w:u w:val="single"/>
                <w:lang w:eastAsia="zh-CN"/>
              </w:rPr>
              <w:t>t/h</w:t>
            </w:r>
          </w:p>
        </w:tc>
        <w:tc>
          <w:tcPr>
            <w:tcW w:w="2040" w:type="dxa"/>
            <w:vAlign w:val="center"/>
          </w:tcPr>
          <w:p>
            <w:pPr>
              <w:jc w:val="center"/>
              <w:rPr>
                <w:rFonts w:hint="default"/>
                <w:szCs w:val="21"/>
                <w:u w:val="single"/>
                <w:lang w:val="en-US" w:eastAsia="zh-CN"/>
              </w:rPr>
            </w:pPr>
            <w:r>
              <w:rPr>
                <w:rFonts w:hint="eastAsia"/>
                <w:szCs w:val="21"/>
                <w:u w:val="single"/>
                <w:lang w:val="en-US" w:eastAsia="zh-CN"/>
              </w:rPr>
              <w:t>1</w:t>
            </w:r>
            <w:r>
              <w:rPr>
                <w:rFonts w:hint="eastAsia"/>
                <w:szCs w:val="21"/>
                <w:u w:val="single"/>
                <w:lang w:eastAsia="zh-CN"/>
              </w:rPr>
              <w:t>t/h</w:t>
            </w:r>
          </w:p>
        </w:tc>
        <w:tc>
          <w:tcPr>
            <w:tcW w:w="3127" w:type="dxa"/>
            <w:vAlign w:val="center"/>
          </w:tcPr>
          <w:p>
            <w:pPr>
              <w:jc w:val="center"/>
              <w:rPr>
                <w:rFonts w:hint="default"/>
                <w:szCs w:val="21"/>
                <w:u w:val="single"/>
                <w:lang w:val="en-US" w:eastAsia="zh-CN"/>
              </w:rPr>
            </w:pPr>
            <w:r>
              <w:rPr>
                <w:rFonts w:hint="eastAsia"/>
                <w:szCs w:val="21"/>
                <w:u w:val="single"/>
                <w:lang w:eastAsia="zh-CN"/>
              </w:rPr>
              <w:t>可依托现有的污水处理场含油污水处理设施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trPr>
        <w:tc>
          <w:tcPr>
            <w:tcW w:w="662" w:type="dxa"/>
            <w:vMerge w:val="continue"/>
            <w:vAlign w:val="center"/>
          </w:tcPr>
          <w:p>
            <w:pPr>
              <w:jc w:val="center"/>
              <w:rPr>
                <w:rFonts w:hint="eastAsia"/>
                <w:szCs w:val="21"/>
                <w:u w:val="single"/>
                <w:lang w:eastAsia="zh-CN"/>
              </w:rPr>
            </w:pPr>
          </w:p>
        </w:tc>
        <w:tc>
          <w:tcPr>
            <w:tcW w:w="975" w:type="dxa"/>
            <w:vAlign w:val="center"/>
          </w:tcPr>
          <w:p>
            <w:pPr>
              <w:jc w:val="center"/>
              <w:rPr>
                <w:rFonts w:hint="eastAsia" w:eastAsia="宋体"/>
                <w:szCs w:val="21"/>
                <w:u w:val="single"/>
                <w:lang w:eastAsia="zh-CN"/>
              </w:rPr>
            </w:pPr>
            <w:r>
              <w:rPr>
                <w:rFonts w:hint="eastAsia"/>
                <w:szCs w:val="21"/>
                <w:u w:val="single"/>
                <w:lang w:eastAsia="zh-CN"/>
              </w:rPr>
              <w:t>含氨废水</w:t>
            </w:r>
          </w:p>
        </w:tc>
        <w:tc>
          <w:tcPr>
            <w:tcW w:w="1461" w:type="dxa"/>
            <w:vAlign w:val="center"/>
          </w:tcPr>
          <w:p>
            <w:pPr>
              <w:jc w:val="center"/>
              <w:rPr>
                <w:rFonts w:hint="default" w:eastAsia="宋体"/>
                <w:u w:val="single"/>
                <w:lang w:val="en-US" w:eastAsia="zh-CN"/>
              </w:rPr>
            </w:pPr>
            <w:r>
              <w:rPr>
                <w:rFonts w:hint="eastAsia"/>
                <w:u w:val="single"/>
                <w:lang w:val="en-US" w:eastAsia="zh-CN"/>
              </w:rPr>
              <w:t>80</w:t>
            </w:r>
            <w:r>
              <w:rPr>
                <w:rFonts w:hint="eastAsia"/>
                <w:szCs w:val="21"/>
                <w:u w:val="single"/>
                <w:lang w:eastAsia="zh-CN"/>
              </w:rPr>
              <w:t>t/h</w:t>
            </w:r>
          </w:p>
        </w:tc>
        <w:tc>
          <w:tcPr>
            <w:tcW w:w="1500" w:type="dxa"/>
            <w:vAlign w:val="center"/>
          </w:tcPr>
          <w:p>
            <w:pPr>
              <w:jc w:val="center"/>
              <w:rPr>
                <w:rFonts w:hint="default" w:eastAsia="宋体"/>
                <w:u w:val="single"/>
                <w:lang w:val="en-US" w:eastAsia="zh-CN"/>
              </w:rPr>
            </w:pPr>
            <w:r>
              <w:rPr>
                <w:rFonts w:hint="eastAsia"/>
                <w:u w:val="single"/>
                <w:lang w:val="en-US" w:eastAsia="zh-CN"/>
              </w:rPr>
              <w:t>65</w:t>
            </w:r>
          </w:p>
        </w:tc>
        <w:tc>
          <w:tcPr>
            <w:tcW w:w="2040" w:type="dxa"/>
            <w:vAlign w:val="center"/>
          </w:tcPr>
          <w:p>
            <w:pPr>
              <w:jc w:val="center"/>
              <w:rPr>
                <w:rFonts w:hint="default" w:eastAsia="宋体"/>
                <w:u w:val="single"/>
                <w:lang w:val="en-US" w:eastAsia="zh-CN"/>
              </w:rPr>
            </w:pPr>
            <w:r>
              <w:rPr>
                <w:rFonts w:hint="eastAsia"/>
                <w:u w:val="single"/>
                <w:lang w:val="en-US" w:eastAsia="zh-CN"/>
              </w:rPr>
              <w:t>0.13</w:t>
            </w:r>
            <w:r>
              <w:rPr>
                <w:rFonts w:hint="eastAsia"/>
                <w:szCs w:val="21"/>
                <w:u w:val="single"/>
                <w:lang w:eastAsia="zh-CN"/>
              </w:rPr>
              <w:t>t/h</w:t>
            </w:r>
          </w:p>
        </w:tc>
        <w:tc>
          <w:tcPr>
            <w:tcW w:w="3127" w:type="dxa"/>
            <w:vAlign w:val="center"/>
          </w:tcPr>
          <w:p>
            <w:pPr>
              <w:jc w:val="center"/>
              <w:rPr>
                <w:rFonts w:hint="eastAsia" w:eastAsia="宋体"/>
                <w:u w:val="single"/>
                <w:lang w:eastAsia="zh-CN"/>
              </w:rPr>
            </w:pPr>
            <w:r>
              <w:rPr>
                <w:rFonts w:hint="eastAsia"/>
                <w:u w:val="single"/>
                <w:lang w:eastAsia="zh-CN"/>
              </w:rPr>
              <w:t>可依托炼油二部污水汽提装置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1637" w:type="dxa"/>
            <w:gridSpan w:val="2"/>
            <w:vAlign w:val="center"/>
          </w:tcPr>
          <w:p>
            <w:pPr>
              <w:jc w:val="both"/>
              <w:rPr>
                <w:rFonts w:hint="eastAsia" w:eastAsia="宋体"/>
                <w:szCs w:val="21"/>
                <w:u w:val="single"/>
                <w:lang w:eastAsia="zh-CN"/>
              </w:rPr>
            </w:pPr>
            <w:r>
              <w:rPr>
                <w:rFonts w:hint="eastAsia"/>
                <w:szCs w:val="21"/>
                <w:u w:val="single"/>
                <w:lang w:eastAsia="zh-CN"/>
              </w:rPr>
              <w:t>液化气站液氨装车设施</w:t>
            </w:r>
          </w:p>
        </w:tc>
        <w:tc>
          <w:tcPr>
            <w:tcW w:w="8128" w:type="dxa"/>
            <w:gridSpan w:val="4"/>
            <w:vAlign w:val="center"/>
          </w:tcPr>
          <w:p>
            <w:pPr>
              <w:jc w:val="center"/>
              <w:rPr>
                <w:rFonts w:hint="eastAsia" w:eastAsia="宋体"/>
                <w:u w:val="single"/>
                <w:lang w:eastAsia="zh-CN"/>
              </w:rPr>
            </w:pPr>
            <w:r>
              <w:rPr>
                <w:rFonts w:hint="eastAsia"/>
                <w:u w:val="single"/>
                <w:lang w:eastAsia="zh-CN"/>
              </w:rPr>
              <w:t>已取得环评及安评批复，可以依托液氨装车</w:t>
            </w:r>
          </w:p>
        </w:tc>
      </w:tr>
    </w:tbl>
    <w:p>
      <w:pPr>
        <w:pStyle w:val="6"/>
        <w:numPr>
          <w:ilvl w:val="0"/>
          <w:numId w:val="0"/>
        </w:numPr>
        <w:spacing w:before="120" w:beforeLines="0" w:after="120" w:afterLines="0"/>
        <w:rPr>
          <w:color w:val="auto"/>
        </w:rPr>
      </w:pPr>
      <w:bookmarkStart w:id="140" w:name="_Toc6371"/>
      <w:r>
        <w:rPr>
          <w:color w:val="auto"/>
        </w:rPr>
        <w:t>2.4 项目建设内容</w:t>
      </w:r>
      <w:bookmarkEnd w:id="140"/>
    </w:p>
    <w:p>
      <w:pPr>
        <w:pStyle w:val="7"/>
        <w:numPr>
          <w:ilvl w:val="2"/>
          <w:numId w:val="0"/>
        </w:numPr>
        <w:spacing w:before="120" w:beforeLines="0" w:after="120" w:afterLines="0"/>
        <w:ind w:left="142" w:leftChars="0"/>
        <w:rPr>
          <w:color w:val="auto"/>
        </w:rPr>
      </w:pPr>
      <w:bookmarkStart w:id="141" w:name="_Toc29374"/>
      <w:r>
        <w:rPr>
          <w:color w:val="auto"/>
        </w:rPr>
        <w:t>2.4.1 项目经济技术指标</w:t>
      </w:r>
      <w:bookmarkEnd w:id="141"/>
      <w:r>
        <w:rPr>
          <w:color w:val="auto"/>
        </w:rPr>
        <w:t xml:space="preserve"> </w:t>
      </w:r>
    </w:p>
    <w:p>
      <w:pPr>
        <w:pStyle w:val="18"/>
        <w:spacing w:line="520" w:lineRule="exact"/>
        <w:ind w:firstLine="480" w:firstLineChars="200"/>
        <w:jc w:val="both"/>
        <w:rPr>
          <w:rFonts w:hint="eastAsia" w:ascii="宋体" w:hAnsi="宋体" w:eastAsia="宋体" w:cs="宋体"/>
          <w:b w:val="0"/>
          <w:bCs/>
          <w:color w:val="auto"/>
        </w:rPr>
      </w:pPr>
      <w:r>
        <w:rPr>
          <w:rFonts w:hint="eastAsia" w:ascii="宋体" w:hAnsi="宋体" w:eastAsia="宋体" w:cs="宋体"/>
          <w:b w:val="0"/>
          <w:bCs/>
          <w:color w:val="auto"/>
        </w:rPr>
        <w:t>项目的主要经济技术指标见表 2.4-1。</w:t>
      </w:r>
    </w:p>
    <w:p/>
    <w:p>
      <w:pPr>
        <w:pStyle w:val="18"/>
        <w:spacing w:line="520" w:lineRule="exact"/>
        <w:rPr>
          <w:color w:val="auto"/>
        </w:rPr>
      </w:pPr>
      <w:r>
        <w:rPr>
          <w:color w:val="auto"/>
        </w:rPr>
        <w:t>表 2.4-</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项目主要经济技术指标一览表</w:t>
      </w:r>
    </w:p>
    <w:tbl>
      <w:tblPr>
        <w:tblStyle w:val="45"/>
        <w:tblW w:w="863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778"/>
        <w:gridCol w:w="1655"/>
        <w:gridCol w:w="1706"/>
        <w:gridCol w:w="1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tblHeader/>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序号</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项目名称</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单位</w:t>
            </w: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数量</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一</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液氨运输量</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t/a</w:t>
            </w: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4000</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厂区内管线输送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二</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年操作时间</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小时</w:t>
            </w: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700</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三</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公用工程消耗量</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1</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水</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t/a</w:t>
            </w: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700</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2</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电</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kW</w:t>
            </w:r>
          </w:p>
        </w:tc>
        <w:tc>
          <w:tcPr>
            <w:tcW w:w="1706"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5000</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四</w:t>
            </w:r>
          </w:p>
        </w:tc>
        <w:tc>
          <w:tcPr>
            <w:tcW w:w="2778"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定员</w:t>
            </w:r>
          </w:p>
        </w:tc>
        <w:tc>
          <w:tcPr>
            <w:tcW w:w="1655"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人</w:t>
            </w:r>
          </w:p>
        </w:tc>
        <w:tc>
          <w:tcPr>
            <w:tcW w:w="1706" w:type="dxa"/>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szCs w:val="24"/>
              </w:rPr>
              <w:t>8</w:t>
            </w:r>
          </w:p>
        </w:tc>
        <w:tc>
          <w:tcPr>
            <w:tcW w:w="1612" w:type="dxa"/>
            <w:vAlign w:val="center"/>
          </w:tcPr>
          <w:p>
            <w:pPr>
              <w:overflowPunct w:val="0"/>
              <w:snapToGrid w:val="0"/>
              <w:spacing w:line="240" w:lineRule="atLeast"/>
              <w:jc w:val="center"/>
              <w:textAlignment w:val="baseline"/>
              <w:rPr>
                <w:rFonts w:ascii="Times New Roman" w:hAnsi="Times New Roman" w:cs="Times New Roman"/>
                <w:color w:val="auto"/>
                <w:kern w:val="0"/>
                <w:szCs w:val="24"/>
              </w:rPr>
            </w:pPr>
            <w:r>
              <w:rPr>
                <w:rFonts w:ascii="Times New Roman" w:hAnsi="Times New Roman" w:cs="Times New Roman"/>
                <w:color w:val="auto"/>
                <w:kern w:val="0"/>
                <w:szCs w:val="24"/>
              </w:rPr>
              <w:t>现有人员，不另行安排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szCs w:val="21"/>
              </w:rPr>
              <w:t>五</w:t>
            </w:r>
          </w:p>
        </w:tc>
        <w:tc>
          <w:tcPr>
            <w:tcW w:w="2778"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szCs w:val="21"/>
              </w:rPr>
              <w:t>项目总投资</w:t>
            </w:r>
          </w:p>
        </w:tc>
        <w:tc>
          <w:tcPr>
            <w:tcW w:w="1655"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szCs w:val="21"/>
              </w:rPr>
              <w:t>万元</w:t>
            </w:r>
          </w:p>
        </w:tc>
        <w:tc>
          <w:tcPr>
            <w:tcW w:w="1706"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rPr>
              <w:t>237.66</w:t>
            </w:r>
          </w:p>
        </w:tc>
        <w:tc>
          <w:tcPr>
            <w:tcW w:w="1612"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exact"/>
          <w:jc w:val="center"/>
        </w:trPr>
        <w:tc>
          <w:tcPr>
            <w:tcW w:w="879"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六</w:t>
            </w:r>
          </w:p>
        </w:tc>
        <w:tc>
          <w:tcPr>
            <w:tcW w:w="2778" w:type="dxa"/>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预计投产日期</w:t>
            </w:r>
          </w:p>
        </w:tc>
        <w:tc>
          <w:tcPr>
            <w:tcW w:w="4973" w:type="dxa"/>
            <w:gridSpan w:val="3"/>
            <w:tcBorders>
              <w:top w:val="single" w:color="auto" w:sz="4" w:space="0"/>
              <w:left w:val="single" w:color="auto" w:sz="4" w:space="0"/>
              <w:bottom w:val="single" w:color="auto" w:sz="4" w:space="0"/>
              <w:right w:val="single" w:color="auto" w:sz="4" w:space="0"/>
            </w:tcBorders>
            <w:vAlign w:val="center"/>
          </w:tcPr>
          <w:p>
            <w:pPr>
              <w:snapToGrid w:val="0"/>
              <w:spacing w:line="240" w:lineRule="atLeast"/>
              <w:jc w:val="center"/>
              <w:rPr>
                <w:rFonts w:ascii="Times New Roman" w:hAnsi="Times New Roman" w:cs="Times New Roman"/>
                <w:color w:val="auto"/>
                <w:szCs w:val="24"/>
              </w:rPr>
            </w:pPr>
            <w:r>
              <w:rPr>
                <w:rFonts w:ascii="Times New Roman" w:hAnsi="Times New Roman" w:cs="Times New Roman"/>
                <w:color w:val="auto"/>
                <w:szCs w:val="24"/>
              </w:rPr>
              <w:t>2019年12月</w:t>
            </w:r>
          </w:p>
        </w:tc>
      </w:tr>
    </w:tbl>
    <w:p>
      <w:pPr>
        <w:pStyle w:val="5"/>
        <w:spacing w:line="480" w:lineRule="exact"/>
        <w:ind w:firstLine="480"/>
        <w:rPr>
          <w:color w:val="auto"/>
        </w:rPr>
      </w:pPr>
    </w:p>
    <w:p>
      <w:pPr>
        <w:pStyle w:val="5"/>
        <w:spacing w:line="480" w:lineRule="exact"/>
        <w:ind w:firstLine="480"/>
        <w:rPr>
          <w:color w:val="auto"/>
        </w:rPr>
      </w:pPr>
      <w:r>
        <w:rPr>
          <w:color w:val="auto"/>
        </w:rPr>
        <w:t>本项目建设内容见表2.4－2。</w:t>
      </w:r>
    </w:p>
    <w:p>
      <w:pPr>
        <w:pStyle w:val="5"/>
        <w:spacing w:line="480" w:lineRule="exact"/>
        <w:ind w:left="0" w:leftChars="0" w:firstLine="0" w:firstLineChars="0"/>
        <w:rPr>
          <w:rFonts w:hint="eastAsia"/>
          <w:color w:val="auto"/>
        </w:rPr>
      </w:pPr>
    </w:p>
    <w:p>
      <w:pPr>
        <w:pStyle w:val="5"/>
        <w:spacing w:line="480" w:lineRule="exact"/>
        <w:ind w:left="0" w:leftChars="0" w:firstLine="0" w:firstLineChars="0"/>
        <w:rPr>
          <w:rFonts w:hint="eastAsia"/>
          <w:color w:val="auto"/>
        </w:rPr>
      </w:pPr>
    </w:p>
    <w:p>
      <w:pPr>
        <w:pStyle w:val="18"/>
        <w:spacing w:line="480" w:lineRule="exact"/>
        <w:rPr>
          <w:color w:val="auto"/>
        </w:rPr>
      </w:pPr>
      <w:r>
        <w:rPr>
          <w:color w:val="auto"/>
        </w:rPr>
        <w:t>表 2.4-2 本项目建设内容一览表</w:t>
      </w:r>
    </w:p>
    <w:tbl>
      <w:tblPr>
        <w:tblStyle w:val="45"/>
        <w:tblW w:w="9287"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66"/>
        <w:gridCol w:w="1534"/>
        <w:gridCol w:w="5205"/>
        <w:gridCol w:w="138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blHeader/>
          <w:jc w:val="center"/>
        </w:trPr>
        <w:tc>
          <w:tcPr>
            <w:tcW w:w="1166" w:type="dxa"/>
            <w:vAlign w:val="center"/>
          </w:tcPr>
          <w:p>
            <w:pPr>
              <w:pStyle w:val="5"/>
              <w:spacing w:line="360" w:lineRule="exact"/>
              <w:ind w:firstLine="0" w:firstLineChars="0"/>
              <w:jc w:val="center"/>
              <w:rPr>
                <w:b/>
                <w:color w:val="auto"/>
                <w:sz w:val="21"/>
                <w:szCs w:val="21"/>
              </w:rPr>
            </w:pPr>
            <w:r>
              <w:rPr>
                <w:b/>
                <w:color w:val="auto"/>
                <w:sz w:val="21"/>
                <w:szCs w:val="21"/>
              </w:rPr>
              <w:t>类别</w:t>
            </w:r>
          </w:p>
        </w:tc>
        <w:tc>
          <w:tcPr>
            <w:tcW w:w="1534" w:type="dxa"/>
            <w:vAlign w:val="center"/>
          </w:tcPr>
          <w:p>
            <w:pPr>
              <w:pStyle w:val="5"/>
              <w:spacing w:line="360" w:lineRule="exact"/>
              <w:ind w:firstLine="0" w:firstLineChars="0"/>
              <w:jc w:val="center"/>
              <w:rPr>
                <w:b/>
                <w:color w:val="auto"/>
                <w:sz w:val="21"/>
                <w:szCs w:val="21"/>
              </w:rPr>
            </w:pPr>
            <w:r>
              <w:rPr>
                <w:b/>
                <w:color w:val="auto"/>
                <w:sz w:val="21"/>
                <w:szCs w:val="21"/>
              </w:rPr>
              <w:t>项目名称</w:t>
            </w:r>
          </w:p>
        </w:tc>
        <w:tc>
          <w:tcPr>
            <w:tcW w:w="5205" w:type="dxa"/>
            <w:vAlign w:val="center"/>
          </w:tcPr>
          <w:p>
            <w:pPr>
              <w:pStyle w:val="5"/>
              <w:spacing w:line="360" w:lineRule="exact"/>
              <w:ind w:firstLine="0" w:firstLineChars="0"/>
              <w:jc w:val="center"/>
              <w:rPr>
                <w:b/>
                <w:color w:val="auto"/>
                <w:sz w:val="21"/>
                <w:szCs w:val="21"/>
              </w:rPr>
            </w:pPr>
            <w:r>
              <w:rPr>
                <w:b/>
                <w:color w:val="auto"/>
                <w:sz w:val="21"/>
                <w:szCs w:val="21"/>
              </w:rPr>
              <w:t>具体内容及措施</w:t>
            </w:r>
          </w:p>
        </w:tc>
        <w:tc>
          <w:tcPr>
            <w:tcW w:w="1382" w:type="dxa"/>
            <w:vAlign w:val="center"/>
          </w:tcPr>
          <w:p>
            <w:pPr>
              <w:pStyle w:val="5"/>
              <w:spacing w:line="360" w:lineRule="exact"/>
              <w:ind w:firstLine="0" w:firstLineChars="0"/>
              <w:jc w:val="center"/>
              <w:rPr>
                <w:b/>
                <w:color w:val="auto"/>
                <w:sz w:val="21"/>
                <w:szCs w:val="21"/>
              </w:rPr>
            </w:pPr>
            <w:r>
              <w:rPr>
                <w:b/>
                <w:color w:val="auto"/>
                <w:sz w:val="21"/>
                <w:szCs w:val="21"/>
              </w:rPr>
              <w:t>性质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1440" w:hRule="atLeast"/>
          <w:jc w:val="center"/>
        </w:trPr>
        <w:tc>
          <w:tcPr>
            <w:tcW w:w="1166" w:type="dxa"/>
            <w:vAlign w:val="center"/>
          </w:tcPr>
          <w:p>
            <w:pPr>
              <w:pStyle w:val="5"/>
              <w:spacing w:line="240" w:lineRule="auto"/>
              <w:ind w:firstLine="0" w:firstLineChars="0"/>
              <w:jc w:val="center"/>
              <w:rPr>
                <w:color w:val="auto"/>
                <w:sz w:val="21"/>
                <w:szCs w:val="21"/>
              </w:rPr>
            </w:pPr>
            <w:r>
              <w:rPr>
                <w:color w:val="auto"/>
                <w:sz w:val="21"/>
                <w:szCs w:val="21"/>
              </w:rPr>
              <w:t xml:space="preserve">主体工程- </w:t>
            </w:r>
          </w:p>
        </w:tc>
        <w:tc>
          <w:tcPr>
            <w:tcW w:w="1534" w:type="dxa"/>
            <w:vAlign w:val="center"/>
          </w:tcPr>
          <w:p>
            <w:pPr>
              <w:pStyle w:val="5"/>
              <w:spacing w:line="360" w:lineRule="exact"/>
              <w:ind w:firstLine="0" w:firstLineChars="0"/>
              <w:jc w:val="center"/>
              <w:rPr>
                <w:color w:val="auto"/>
                <w:sz w:val="21"/>
                <w:szCs w:val="21"/>
              </w:rPr>
            </w:pPr>
            <w:r>
              <w:rPr>
                <w:color w:val="auto"/>
                <w:sz w:val="21"/>
                <w:szCs w:val="21"/>
              </w:rPr>
              <w:t>液氨输送</w:t>
            </w:r>
          </w:p>
        </w:tc>
        <w:tc>
          <w:tcPr>
            <w:tcW w:w="5205" w:type="dxa"/>
            <w:vAlign w:val="center"/>
          </w:tcPr>
          <w:p>
            <w:pPr>
              <w:pStyle w:val="5"/>
              <w:spacing w:line="360" w:lineRule="exact"/>
              <w:ind w:firstLine="0" w:firstLineChars="0"/>
              <w:jc w:val="left"/>
              <w:rPr>
                <w:rFonts w:hint="default" w:eastAsia="宋体"/>
                <w:color w:val="auto"/>
                <w:sz w:val="21"/>
                <w:szCs w:val="21"/>
                <w:lang w:val="en-US" w:eastAsia="zh-CN"/>
              </w:rPr>
            </w:pPr>
            <w:r>
              <w:rPr>
                <w:color w:val="auto"/>
                <w:sz w:val="21"/>
                <w:szCs w:val="21"/>
                <w:u w:val="single"/>
              </w:rPr>
              <w:t>炼油一部液氨罐区新增液氨装车泵至液化气站装车管道</w:t>
            </w:r>
            <w:r>
              <w:rPr>
                <w:rFonts w:hint="eastAsia"/>
                <w:color w:val="auto"/>
                <w:sz w:val="21"/>
                <w:szCs w:val="21"/>
                <w:u w:val="single"/>
                <w:lang w:val="en-US" w:eastAsia="zh-CN"/>
              </w:rPr>
              <w:t>1990米</w:t>
            </w:r>
            <w:r>
              <w:rPr>
                <w:color w:val="auto"/>
                <w:sz w:val="21"/>
                <w:szCs w:val="21"/>
                <w:u w:val="single"/>
              </w:rPr>
              <w:t>，以及液化气站至液氨储罐气相返回线</w:t>
            </w:r>
            <w:r>
              <w:rPr>
                <w:rFonts w:hint="eastAsia"/>
                <w:color w:val="auto"/>
                <w:sz w:val="21"/>
                <w:szCs w:val="21"/>
                <w:u w:val="single"/>
                <w:lang w:val="en-US" w:eastAsia="zh-CN"/>
              </w:rPr>
              <w:t>1950米</w:t>
            </w:r>
            <w:r>
              <w:rPr>
                <w:color w:val="auto"/>
                <w:sz w:val="21"/>
                <w:szCs w:val="21"/>
                <w:u w:val="single"/>
              </w:rPr>
              <w:t>。</w:t>
            </w:r>
            <w:r>
              <w:rPr>
                <w:rFonts w:hint="eastAsia"/>
                <w:color w:val="auto"/>
                <w:sz w:val="21"/>
                <w:szCs w:val="21"/>
                <w:u w:val="single"/>
                <w:lang w:eastAsia="zh-CN"/>
              </w:rPr>
              <w:t>液化气站至炼油二部污水汽提含氨废水掺炼管道</w:t>
            </w:r>
            <w:r>
              <w:rPr>
                <w:rFonts w:hint="eastAsia"/>
                <w:color w:val="auto"/>
                <w:sz w:val="21"/>
                <w:szCs w:val="21"/>
                <w:u w:val="single"/>
                <w:lang w:val="en-US" w:eastAsia="zh-CN"/>
              </w:rPr>
              <w:t>1280米。并新增两台装车泵。泵棚延长6米。</w:t>
            </w:r>
          </w:p>
        </w:tc>
        <w:tc>
          <w:tcPr>
            <w:tcW w:w="1382" w:type="dxa"/>
            <w:vAlign w:val="center"/>
          </w:tcPr>
          <w:p>
            <w:pPr>
              <w:pStyle w:val="5"/>
              <w:spacing w:line="360" w:lineRule="exact"/>
              <w:ind w:firstLine="0" w:firstLineChars="0"/>
              <w:jc w:val="center"/>
              <w:rPr>
                <w:rFonts w:hint="eastAsia" w:eastAsia="宋体"/>
                <w:color w:val="auto"/>
                <w:sz w:val="21"/>
                <w:szCs w:val="21"/>
                <w:lang w:eastAsia="zh-CN"/>
              </w:rPr>
            </w:pPr>
            <w:r>
              <w:rPr>
                <w:rFonts w:hint="eastAsia"/>
                <w:color w:val="auto"/>
                <w:sz w:val="21"/>
                <w:szCs w:val="21"/>
                <w:lang w:eastAsia="zh-CN"/>
              </w:rPr>
              <w:t>技改</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66" w:type="dxa"/>
            <w:vMerge w:val="restart"/>
            <w:vAlign w:val="center"/>
          </w:tcPr>
          <w:p>
            <w:pPr>
              <w:pStyle w:val="5"/>
              <w:spacing w:line="360" w:lineRule="exact"/>
              <w:ind w:firstLine="0" w:firstLineChars="0"/>
              <w:jc w:val="center"/>
              <w:rPr>
                <w:color w:val="auto"/>
                <w:sz w:val="21"/>
                <w:szCs w:val="21"/>
              </w:rPr>
            </w:pPr>
            <w:r>
              <w:rPr>
                <w:color w:val="auto"/>
                <w:sz w:val="21"/>
                <w:szCs w:val="21"/>
              </w:rPr>
              <w:t>公用/配套工程</w:t>
            </w:r>
          </w:p>
        </w:tc>
        <w:tc>
          <w:tcPr>
            <w:tcW w:w="1534" w:type="dxa"/>
            <w:vAlign w:val="center"/>
          </w:tcPr>
          <w:p>
            <w:pPr>
              <w:pStyle w:val="5"/>
              <w:spacing w:line="360" w:lineRule="exact"/>
              <w:ind w:firstLine="0" w:firstLineChars="0"/>
              <w:jc w:val="center"/>
              <w:rPr>
                <w:color w:val="auto"/>
                <w:sz w:val="21"/>
                <w:szCs w:val="21"/>
              </w:rPr>
            </w:pPr>
            <w:r>
              <w:rPr>
                <w:color w:val="auto"/>
                <w:sz w:val="21"/>
                <w:szCs w:val="21"/>
              </w:rPr>
              <w:t>供电</w:t>
            </w:r>
          </w:p>
        </w:tc>
        <w:tc>
          <w:tcPr>
            <w:tcW w:w="5205" w:type="dxa"/>
            <w:vAlign w:val="center"/>
          </w:tcPr>
          <w:p>
            <w:pPr>
              <w:pStyle w:val="5"/>
              <w:spacing w:line="360" w:lineRule="exact"/>
              <w:ind w:firstLine="0" w:firstLineChars="0"/>
              <w:jc w:val="center"/>
              <w:rPr>
                <w:color w:val="auto"/>
                <w:sz w:val="21"/>
                <w:szCs w:val="21"/>
              </w:rPr>
            </w:pPr>
            <w:r>
              <w:rPr>
                <w:color w:val="auto"/>
                <w:sz w:val="21"/>
                <w:szCs w:val="21"/>
              </w:rPr>
              <w:t>依托现有工程，从现有工程接入</w:t>
            </w:r>
          </w:p>
        </w:tc>
        <w:tc>
          <w:tcPr>
            <w:tcW w:w="1382" w:type="dxa"/>
            <w:vAlign w:val="center"/>
          </w:tcPr>
          <w:p>
            <w:pPr>
              <w:pStyle w:val="5"/>
              <w:spacing w:line="360" w:lineRule="exact"/>
              <w:ind w:firstLine="0" w:firstLineChars="0"/>
              <w:jc w:val="center"/>
              <w:rPr>
                <w:color w:val="auto"/>
                <w:sz w:val="21"/>
                <w:szCs w:val="21"/>
              </w:rPr>
            </w:pPr>
            <w:r>
              <w:rPr>
                <w:color w:val="auto"/>
                <w:sz w:val="21"/>
                <w:szCs w:val="21"/>
              </w:rPr>
              <w:t>依托现有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66" w:type="dxa"/>
            <w:vMerge w:val="continue"/>
            <w:vAlign w:val="center"/>
          </w:tcPr>
          <w:p>
            <w:pPr>
              <w:rPr>
                <w:rFonts w:ascii="Times New Roman" w:hAnsi="Times New Roman" w:cs="Times New Roman"/>
                <w:color w:val="auto"/>
              </w:rPr>
            </w:pPr>
          </w:p>
        </w:tc>
        <w:tc>
          <w:tcPr>
            <w:tcW w:w="1534" w:type="dxa"/>
            <w:vAlign w:val="center"/>
          </w:tcPr>
          <w:p>
            <w:pPr>
              <w:pStyle w:val="5"/>
              <w:spacing w:line="360" w:lineRule="exact"/>
              <w:ind w:firstLine="0" w:firstLineChars="0"/>
              <w:jc w:val="center"/>
              <w:rPr>
                <w:color w:val="auto"/>
                <w:sz w:val="21"/>
                <w:szCs w:val="21"/>
              </w:rPr>
            </w:pPr>
            <w:r>
              <w:rPr>
                <w:color w:val="auto"/>
                <w:sz w:val="21"/>
                <w:szCs w:val="21"/>
              </w:rPr>
              <w:t>给水</w:t>
            </w:r>
          </w:p>
        </w:tc>
        <w:tc>
          <w:tcPr>
            <w:tcW w:w="5205" w:type="dxa"/>
            <w:vAlign w:val="center"/>
          </w:tcPr>
          <w:p>
            <w:pPr>
              <w:pStyle w:val="5"/>
              <w:spacing w:line="360" w:lineRule="exact"/>
              <w:ind w:firstLine="0" w:firstLineChars="0"/>
              <w:jc w:val="center"/>
              <w:rPr>
                <w:color w:val="auto"/>
                <w:sz w:val="21"/>
                <w:szCs w:val="21"/>
              </w:rPr>
            </w:pPr>
            <w:r>
              <w:rPr>
                <w:color w:val="auto"/>
                <w:sz w:val="21"/>
                <w:szCs w:val="21"/>
              </w:rPr>
              <w:t>依托现有工程，从现有工程接入</w:t>
            </w:r>
          </w:p>
        </w:tc>
        <w:tc>
          <w:tcPr>
            <w:tcW w:w="1382" w:type="dxa"/>
            <w:vAlign w:val="center"/>
          </w:tcPr>
          <w:p>
            <w:pPr>
              <w:pStyle w:val="5"/>
              <w:spacing w:line="360" w:lineRule="exact"/>
              <w:ind w:firstLine="0" w:firstLineChars="0"/>
              <w:jc w:val="center"/>
              <w:rPr>
                <w:color w:val="auto"/>
                <w:sz w:val="21"/>
                <w:szCs w:val="21"/>
              </w:rPr>
            </w:pPr>
            <w:r>
              <w:rPr>
                <w:color w:val="auto"/>
                <w:sz w:val="21"/>
                <w:szCs w:val="21"/>
              </w:rPr>
              <w:t>依托现有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66" w:type="dxa"/>
            <w:vMerge w:val="continue"/>
            <w:vAlign w:val="center"/>
          </w:tcPr>
          <w:p>
            <w:pPr>
              <w:rPr>
                <w:rFonts w:ascii="Times New Roman" w:hAnsi="Times New Roman" w:cs="Times New Roman"/>
                <w:color w:val="auto"/>
              </w:rPr>
            </w:pPr>
          </w:p>
        </w:tc>
        <w:tc>
          <w:tcPr>
            <w:tcW w:w="1534" w:type="dxa"/>
            <w:vAlign w:val="center"/>
          </w:tcPr>
          <w:p>
            <w:pPr>
              <w:pStyle w:val="5"/>
              <w:spacing w:line="360" w:lineRule="exact"/>
              <w:ind w:firstLine="0" w:firstLineChars="0"/>
              <w:jc w:val="center"/>
              <w:rPr>
                <w:color w:val="auto"/>
                <w:sz w:val="21"/>
                <w:szCs w:val="21"/>
              </w:rPr>
            </w:pPr>
            <w:r>
              <w:rPr>
                <w:color w:val="auto"/>
                <w:sz w:val="21"/>
                <w:szCs w:val="21"/>
              </w:rPr>
              <w:t>排水</w:t>
            </w:r>
          </w:p>
        </w:tc>
        <w:tc>
          <w:tcPr>
            <w:tcW w:w="5205" w:type="dxa"/>
            <w:vAlign w:val="center"/>
          </w:tcPr>
          <w:p>
            <w:pPr>
              <w:pStyle w:val="5"/>
              <w:spacing w:line="360" w:lineRule="exact"/>
              <w:ind w:firstLine="0" w:firstLineChars="0"/>
              <w:jc w:val="center"/>
              <w:rPr>
                <w:color w:val="auto"/>
                <w:sz w:val="21"/>
                <w:szCs w:val="21"/>
              </w:rPr>
            </w:pPr>
            <w:r>
              <w:rPr>
                <w:color w:val="auto"/>
                <w:sz w:val="21"/>
                <w:szCs w:val="21"/>
              </w:rPr>
              <w:t>依托现有工程并扩建，实施雨污分流、污污分流排水系统</w:t>
            </w:r>
          </w:p>
        </w:tc>
        <w:tc>
          <w:tcPr>
            <w:tcW w:w="1382" w:type="dxa"/>
            <w:vAlign w:val="center"/>
          </w:tcPr>
          <w:p>
            <w:pPr>
              <w:pStyle w:val="5"/>
              <w:spacing w:line="360" w:lineRule="exact"/>
              <w:ind w:firstLine="0" w:firstLineChars="0"/>
              <w:jc w:val="center"/>
              <w:rPr>
                <w:color w:val="auto"/>
                <w:sz w:val="21"/>
                <w:szCs w:val="21"/>
              </w:rPr>
            </w:pPr>
            <w:r>
              <w:rPr>
                <w:color w:val="auto"/>
                <w:sz w:val="21"/>
                <w:szCs w:val="21"/>
              </w:rPr>
              <w:t>扩建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66" w:type="dxa"/>
            <w:vMerge w:val="restart"/>
            <w:vAlign w:val="center"/>
          </w:tcPr>
          <w:p>
            <w:pPr>
              <w:pStyle w:val="5"/>
              <w:spacing w:line="360" w:lineRule="exact"/>
              <w:ind w:firstLine="105" w:firstLineChars="50"/>
              <w:jc w:val="center"/>
              <w:rPr>
                <w:color w:val="auto"/>
                <w:sz w:val="21"/>
                <w:szCs w:val="21"/>
              </w:rPr>
            </w:pPr>
            <w:r>
              <w:rPr>
                <w:color w:val="auto"/>
                <w:sz w:val="21"/>
                <w:szCs w:val="21"/>
              </w:rPr>
              <w:t>环保工程</w:t>
            </w:r>
          </w:p>
        </w:tc>
        <w:tc>
          <w:tcPr>
            <w:tcW w:w="1534" w:type="dxa"/>
            <w:vAlign w:val="center"/>
          </w:tcPr>
          <w:p>
            <w:pPr>
              <w:pStyle w:val="5"/>
              <w:spacing w:line="360" w:lineRule="exact"/>
              <w:ind w:firstLine="0" w:firstLineChars="0"/>
              <w:jc w:val="center"/>
              <w:rPr>
                <w:color w:val="auto"/>
                <w:sz w:val="21"/>
                <w:szCs w:val="21"/>
              </w:rPr>
            </w:pPr>
            <w:r>
              <w:rPr>
                <w:color w:val="auto"/>
                <w:sz w:val="21"/>
                <w:szCs w:val="21"/>
              </w:rPr>
              <w:t>废水</w:t>
            </w:r>
          </w:p>
        </w:tc>
        <w:tc>
          <w:tcPr>
            <w:tcW w:w="5205" w:type="dxa"/>
            <w:vAlign w:val="center"/>
          </w:tcPr>
          <w:p>
            <w:pPr>
              <w:pStyle w:val="5"/>
              <w:spacing w:line="360" w:lineRule="exact"/>
              <w:ind w:firstLine="0" w:firstLineChars="0"/>
              <w:jc w:val="center"/>
              <w:rPr>
                <w:rFonts w:hint="eastAsia" w:eastAsia="宋体"/>
                <w:color w:val="auto"/>
                <w:sz w:val="21"/>
                <w:szCs w:val="21"/>
                <w:lang w:eastAsia="zh-CN"/>
              </w:rPr>
            </w:pPr>
            <w:r>
              <w:rPr>
                <w:color w:val="auto"/>
                <w:sz w:val="21"/>
                <w:szCs w:val="21"/>
              </w:rPr>
              <w:t>依托炼油二部非加氢污水汽提装置</w:t>
            </w:r>
            <w:r>
              <w:rPr>
                <w:rFonts w:hint="eastAsia"/>
                <w:color w:val="auto"/>
                <w:sz w:val="21"/>
                <w:szCs w:val="21"/>
                <w:lang w:eastAsia="zh-CN"/>
              </w:rPr>
              <w:t>、公司污水处理场</w:t>
            </w:r>
          </w:p>
        </w:tc>
        <w:tc>
          <w:tcPr>
            <w:tcW w:w="1382" w:type="dxa"/>
            <w:vAlign w:val="center"/>
          </w:tcPr>
          <w:p>
            <w:pPr>
              <w:pStyle w:val="5"/>
              <w:spacing w:line="360" w:lineRule="exact"/>
              <w:ind w:firstLine="0" w:firstLineChars="0"/>
              <w:jc w:val="center"/>
              <w:rPr>
                <w:color w:val="auto"/>
                <w:sz w:val="21"/>
                <w:szCs w:val="21"/>
              </w:rPr>
            </w:pPr>
            <w:r>
              <w:rPr>
                <w:color w:val="auto"/>
                <w:sz w:val="21"/>
                <w:szCs w:val="21"/>
              </w:rPr>
              <w:t>依托</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jc w:val="center"/>
        </w:trPr>
        <w:tc>
          <w:tcPr>
            <w:tcW w:w="1166" w:type="dxa"/>
            <w:vMerge w:val="continue"/>
            <w:vAlign w:val="center"/>
          </w:tcPr>
          <w:p>
            <w:pPr>
              <w:rPr>
                <w:rFonts w:ascii="Times New Roman" w:hAnsi="Times New Roman" w:cs="Times New Roman"/>
                <w:color w:val="auto"/>
              </w:rPr>
            </w:pPr>
          </w:p>
        </w:tc>
        <w:tc>
          <w:tcPr>
            <w:tcW w:w="1534" w:type="dxa"/>
            <w:vAlign w:val="center"/>
          </w:tcPr>
          <w:p>
            <w:pPr>
              <w:pStyle w:val="5"/>
              <w:spacing w:line="360" w:lineRule="exact"/>
              <w:ind w:firstLine="0" w:firstLineChars="0"/>
              <w:jc w:val="center"/>
              <w:rPr>
                <w:color w:val="auto"/>
                <w:sz w:val="21"/>
                <w:szCs w:val="21"/>
              </w:rPr>
            </w:pPr>
            <w:r>
              <w:rPr>
                <w:color w:val="auto"/>
                <w:sz w:val="21"/>
                <w:szCs w:val="21"/>
              </w:rPr>
              <w:t>固体废物</w:t>
            </w:r>
          </w:p>
        </w:tc>
        <w:tc>
          <w:tcPr>
            <w:tcW w:w="5205" w:type="dxa"/>
            <w:vAlign w:val="center"/>
          </w:tcPr>
          <w:p>
            <w:pPr>
              <w:pStyle w:val="5"/>
              <w:spacing w:line="360" w:lineRule="exact"/>
              <w:ind w:firstLine="0" w:firstLineChars="0"/>
              <w:jc w:val="center"/>
              <w:rPr>
                <w:color w:val="auto"/>
                <w:sz w:val="21"/>
                <w:szCs w:val="21"/>
              </w:rPr>
            </w:pPr>
            <w:r>
              <w:rPr>
                <w:color w:val="auto"/>
                <w:sz w:val="21"/>
                <w:szCs w:val="21"/>
              </w:rPr>
              <w:t>机泵废润滑油依托现有工程危废暂存间 。</w:t>
            </w:r>
          </w:p>
        </w:tc>
        <w:tc>
          <w:tcPr>
            <w:tcW w:w="1382" w:type="dxa"/>
            <w:vAlign w:val="center"/>
          </w:tcPr>
          <w:p>
            <w:pPr>
              <w:pStyle w:val="5"/>
              <w:spacing w:line="360" w:lineRule="exact"/>
              <w:ind w:firstLine="0" w:firstLineChars="0"/>
              <w:jc w:val="center"/>
              <w:rPr>
                <w:color w:val="auto"/>
                <w:sz w:val="21"/>
                <w:szCs w:val="21"/>
              </w:rPr>
            </w:pPr>
            <w:r>
              <w:rPr>
                <w:color w:val="auto"/>
                <w:sz w:val="21"/>
                <w:szCs w:val="21"/>
              </w:rPr>
              <w:t>依托</w:t>
            </w:r>
          </w:p>
        </w:tc>
      </w:tr>
    </w:tbl>
    <w:p>
      <w:pPr>
        <w:pStyle w:val="5"/>
        <w:ind w:firstLine="240" w:firstLineChars="100"/>
        <w:rPr>
          <w:color w:val="auto"/>
        </w:rPr>
      </w:pPr>
    </w:p>
    <w:p>
      <w:pPr>
        <w:pStyle w:val="7"/>
        <w:numPr>
          <w:ilvl w:val="0"/>
          <w:numId w:val="0"/>
        </w:numPr>
        <w:spacing w:before="120" w:beforeLines="0" w:after="120" w:afterLines="0"/>
        <w:ind w:left="862" w:hanging="720"/>
        <w:rPr>
          <w:color w:val="auto"/>
        </w:rPr>
      </w:pPr>
      <w:bookmarkStart w:id="142" w:name="_Toc23863"/>
      <w:r>
        <w:rPr>
          <w:color w:val="auto"/>
        </w:rPr>
        <w:t>2.4.2 输送产品液氨性质</w:t>
      </w:r>
      <w:bookmarkEnd w:id="142"/>
    </w:p>
    <w:p>
      <w:pPr>
        <w:pStyle w:val="5"/>
        <w:ind w:firstLine="679" w:firstLineChars="283"/>
        <w:rPr>
          <w:color w:val="auto"/>
        </w:rPr>
      </w:pPr>
      <w:r>
        <w:rPr>
          <w:color w:val="auto"/>
        </w:rPr>
        <w:t>氨的MSDS性质如下：</w:t>
      </w:r>
    </w:p>
    <w:p>
      <w:pPr>
        <w:pStyle w:val="5"/>
        <w:ind w:firstLine="240" w:firstLineChars="100"/>
        <w:jc w:val="center"/>
        <w:rPr>
          <w:color w:val="auto"/>
        </w:rPr>
      </w:pPr>
      <w:r>
        <w:rPr>
          <w:color w:val="auto"/>
        </w:rPr>
        <w:t>表2.4-3氨的MSDS物性参数</w:t>
      </w:r>
    </w:p>
    <w:tbl>
      <w:tblPr>
        <w:tblStyle w:val="46"/>
        <w:tblW w:w="889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6"/>
        <w:gridCol w:w="4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jc w:val="center"/>
              <w:rPr>
                <w:rFonts w:ascii="Times New Roman" w:hAnsi="Times New Roman" w:cs="Times New Roman"/>
                <w:color w:val="auto"/>
              </w:rPr>
            </w:pPr>
            <w:r>
              <w:rPr>
                <w:rFonts w:ascii="Times New Roman" w:hAnsi="Times New Roman" w:cs="Times New Roman"/>
                <w:color w:val="auto"/>
              </w:rPr>
              <w:t>项目</w:t>
            </w:r>
          </w:p>
        </w:tc>
        <w:tc>
          <w:tcPr>
            <w:tcW w:w="4446" w:type="dxa"/>
            <w:vAlign w:val="center"/>
          </w:tcPr>
          <w:p>
            <w:pPr>
              <w:jc w:val="center"/>
              <w:rPr>
                <w:rFonts w:ascii="Times New Roman" w:hAnsi="Times New Roman" w:cs="Times New Roman"/>
                <w:color w:val="auto"/>
              </w:rPr>
            </w:pPr>
            <w:r>
              <w:rPr>
                <w:rFonts w:ascii="Times New Roman" w:hAnsi="Times New Roman" w:cs="Times New Roman"/>
                <w:color w:val="auto"/>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jc w:val="center"/>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技术说明书编号</w:t>
            </w:r>
          </w:p>
        </w:tc>
        <w:tc>
          <w:tcPr>
            <w:tcW w:w="4446" w:type="dxa"/>
            <w:vAlign w:val="center"/>
          </w:tcPr>
          <w:p>
            <w:pPr>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CAS No.</w:t>
            </w:r>
          </w:p>
        </w:tc>
        <w:tc>
          <w:tcPr>
            <w:tcW w:w="4446" w:type="dxa"/>
            <w:vAlign w:val="center"/>
          </w:tcPr>
          <w:p>
            <w:pPr>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7664-41-7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color w:val="auto"/>
                <w:sz w:val="21"/>
                <w:szCs w:val="22"/>
              </w:rPr>
            </w:pPr>
            <w:r>
              <w:rPr>
                <w:color w:val="auto"/>
                <w:sz w:val="21"/>
                <w:szCs w:val="22"/>
              </w:rPr>
              <w:t>分子量</w:t>
            </w:r>
          </w:p>
        </w:tc>
        <w:tc>
          <w:tcPr>
            <w:tcW w:w="4446" w:type="dxa"/>
            <w:vAlign w:val="center"/>
          </w:tcPr>
          <w:p>
            <w:pPr>
              <w:pStyle w:val="5"/>
              <w:ind w:firstLine="0" w:firstLineChars="0"/>
              <w:jc w:val="center"/>
              <w:rPr>
                <w:color w:val="auto"/>
                <w:sz w:val="21"/>
                <w:szCs w:val="22"/>
              </w:rPr>
            </w:pPr>
            <w:r>
              <w:rPr>
                <w:rFonts w:hint="eastAsia"/>
                <w:color w:val="auto"/>
                <w:sz w:val="21"/>
                <w:szCs w:val="22"/>
              </w:rPr>
              <w:t>17.03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color w:val="auto"/>
                <w:sz w:val="21"/>
                <w:szCs w:val="22"/>
              </w:rPr>
            </w:pPr>
            <w:r>
              <w:rPr>
                <w:color w:val="auto"/>
                <w:sz w:val="21"/>
                <w:szCs w:val="22"/>
              </w:rPr>
              <w:t>沸点</w:t>
            </w:r>
          </w:p>
        </w:tc>
        <w:tc>
          <w:tcPr>
            <w:tcW w:w="4446" w:type="dxa"/>
            <w:vAlign w:val="center"/>
          </w:tcPr>
          <w:p>
            <w:pPr>
              <w:pStyle w:val="5"/>
              <w:ind w:firstLine="0" w:firstLineChars="0"/>
              <w:jc w:val="center"/>
              <w:rPr>
                <w:color w:val="auto"/>
                <w:sz w:val="21"/>
                <w:szCs w:val="22"/>
              </w:rPr>
            </w:pPr>
            <w:r>
              <w:rPr>
                <w:rFonts w:hint="eastAsia"/>
                <w:color w:val="auto"/>
                <w:sz w:val="21"/>
                <w:szCs w:val="22"/>
              </w:rPr>
              <w:t>-33.5</w:t>
            </w:r>
            <w:r>
              <w:rPr>
                <w:color w:val="auto"/>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color w:val="auto"/>
                <w:sz w:val="21"/>
                <w:szCs w:val="22"/>
              </w:rPr>
            </w:pPr>
            <w:r>
              <w:rPr>
                <w:color w:val="auto"/>
                <w:sz w:val="21"/>
                <w:szCs w:val="22"/>
              </w:rPr>
              <w:t>闪点</w:t>
            </w:r>
          </w:p>
        </w:tc>
        <w:tc>
          <w:tcPr>
            <w:tcW w:w="4446" w:type="dxa"/>
            <w:vAlign w:val="center"/>
          </w:tcPr>
          <w:p>
            <w:pPr>
              <w:pStyle w:val="5"/>
              <w:ind w:firstLine="0" w:firstLineChars="0"/>
              <w:jc w:val="center"/>
              <w:rPr>
                <w:color w:val="auto"/>
                <w:sz w:val="21"/>
                <w:szCs w:val="22"/>
              </w:rPr>
            </w:pPr>
            <w:r>
              <w:rPr>
                <w:rFonts w:hint="eastAsia"/>
                <w:color w:val="auto"/>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eastAsia="zh-CN"/>
              </w:rPr>
              <w:t>爆炸上限</w:t>
            </w:r>
          </w:p>
        </w:tc>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val="en-US" w:eastAsia="zh-CN"/>
              </w:rPr>
              <w:t>27.4%（V/V）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eastAsia="zh-CN"/>
              </w:rPr>
              <w:t>爆炸下限</w:t>
            </w:r>
          </w:p>
        </w:tc>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val="en-US" w:eastAsia="zh-CN"/>
              </w:rPr>
              <w:t>15.7%（V/V）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color w:val="auto"/>
                <w:sz w:val="21"/>
                <w:szCs w:val="22"/>
              </w:rPr>
            </w:pPr>
            <w:r>
              <w:rPr>
                <w:color w:val="auto"/>
                <w:sz w:val="21"/>
                <w:szCs w:val="22"/>
              </w:rPr>
              <w:t>密度（20℃）</w:t>
            </w:r>
          </w:p>
        </w:tc>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val="en-US" w:eastAsia="zh-CN"/>
              </w:rPr>
              <w:t>0.82（-79</w:t>
            </w:r>
            <w:r>
              <w:rPr>
                <w:color w:val="auto"/>
                <w:sz w:val="21"/>
                <w:szCs w:val="22"/>
              </w:rPr>
              <w:t>℃</w:t>
            </w:r>
            <w:r>
              <w:rPr>
                <w:rFonts w:hint="eastAsia"/>
                <w:color w:val="auto"/>
                <w:sz w:val="21"/>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rFonts w:hint="eastAsia" w:eastAsia="宋体"/>
                <w:color w:val="auto"/>
                <w:sz w:val="21"/>
                <w:szCs w:val="22"/>
                <w:lang w:eastAsia="zh-CN"/>
              </w:rPr>
            </w:pPr>
            <w:r>
              <w:rPr>
                <w:rFonts w:hint="eastAsia"/>
                <w:color w:val="auto"/>
                <w:sz w:val="21"/>
                <w:szCs w:val="22"/>
                <w:lang w:eastAsia="zh-CN"/>
              </w:rPr>
              <w:t>引燃温度</w:t>
            </w:r>
          </w:p>
        </w:tc>
        <w:tc>
          <w:tcPr>
            <w:tcW w:w="4446" w:type="dxa"/>
            <w:vAlign w:val="center"/>
          </w:tcPr>
          <w:p>
            <w:pPr>
              <w:pStyle w:val="5"/>
              <w:ind w:firstLine="0" w:firstLineChars="0"/>
              <w:jc w:val="center"/>
              <w:rPr>
                <w:rFonts w:hint="default" w:eastAsia="宋体"/>
                <w:color w:val="auto"/>
                <w:sz w:val="21"/>
                <w:szCs w:val="22"/>
                <w:lang w:val="en-US" w:eastAsia="zh-CN"/>
              </w:rPr>
            </w:pPr>
            <w:r>
              <w:rPr>
                <w:rFonts w:hint="eastAsia"/>
                <w:color w:val="auto"/>
                <w:sz w:val="21"/>
                <w:szCs w:val="22"/>
                <w:lang w:val="en-US" w:eastAsia="zh-CN"/>
              </w:rPr>
              <w:t>651</w:t>
            </w:r>
            <w:r>
              <w:rPr>
                <w:color w:val="auto"/>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rFonts w:hint="eastAsia" w:eastAsia="宋体"/>
                <w:color w:val="auto"/>
                <w:sz w:val="21"/>
                <w:szCs w:val="22"/>
                <w:lang w:eastAsia="zh-CN"/>
              </w:rPr>
            </w:pPr>
            <w:r>
              <w:rPr>
                <w:rFonts w:hint="eastAsia"/>
                <w:color w:val="auto"/>
                <w:sz w:val="21"/>
                <w:szCs w:val="22"/>
              </w:rPr>
              <w:t>溶解</w:t>
            </w:r>
            <w:r>
              <w:rPr>
                <w:rFonts w:hint="eastAsia"/>
                <w:color w:val="auto"/>
                <w:sz w:val="21"/>
                <w:szCs w:val="22"/>
                <w:lang w:eastAsia="zh-CN"/>
              </w:rPr>
              <w:t>性</w:t>
            </w:r>
          </w:p>
        </w:tc>
        <w:tc>
          <w:tcPr>
            <w:tcW w:w="4446" w:type="dxa"/>
            <w:vAlign w:val="center"/>
          </w:tcPr>
          <w:p>
            <w:pPr>
              <w:pStyle w:val="5"/>
              <w:ind w:firstLine="0" w:firstLineChars="0"/>
              <w:jc w:val="center"/>
              <w:rPr>
                <w:rFonts w:hint="eastAsia" w:eastAsia="宋体"/>
                <w:color w:val="auto"/>
                <w:sz w:val="21"/>
                <w:szCs w:val="22"/>
                <w:lang w:eastAsia="zh-CN"/>
              </w:rPr>
            </w:pPr>
            <w:r>
              <w:rPr>
                <w:rFonts w:hint="eastAsia"/>
                <w:color w:val="auto"/>
                <w:sz w:val="21"/>
                <w:szCs w:val="22"/>
                <w:lang w:eastAsia="zh-CN"/>
              </w:rPr>
              <w:t>可溶于水、乙醇、乙醚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4446" w:type="dxa"/>
            <w:vAlign w:val="center"/>
          </w:tcPr>
          <w:p>
            <w:pPr>
              <w:pStyle w:val="5"/>
              <w:ind w:firstLine="0" w:firstLineChars="0"/>
              <w:jc w:val="center"/>
              <w:rPr>
                <w:color w:val="auto"/>
                <w:sz w:val="21"/>
                <w:szCs w:val="22"/>
              </w:rPr>
            </w:pPr>
            <w:r>
              <w:rPr>
                <w:rFonts w:hint="eastAsia"/>
                <w:color w:val="auto"/>
                <w:sz w:val="21"/>
                <w:szCs w:val="22"/>
              </w:rPr>
              <w:t>腐蚀性、毒性</w:t>
            </w:r>
          </w:p>
        </w:tc>
        <w:tc>
          <w:tcPr>
            <w:tcW w:w="4446" w:type="dxa"/>
            <w:vAlign w:val="center"/>
          </w:tcPr>
          <w:p>
            <w:pPr>
              <w:pStyle w:val="5"/>
              <w:ind w:firstLine="0" w:firstLineChars="0"/>
              <w:jc w:val="center"/>
              <w:rPr>
                <w:rFonts w:hint="eastAsia" w:eastAsia="宋体"/>
                <w:color w:val="auto"/>
                <w:sz w:val="21"/>
                <w:szCs w:val="22"/>
                <w:lang w:val="en-US" w:eastAsia="zh-CN"/>
              </w:rPr>
            </w:pPr>
            <w:r>
              <w:rPr>
                <w:rFonts w:hint="eastAsia"/>
                <w:color w:val="auto"/>
                <w:sz w:val="21"/>
                <w:szCs w:val="22"/>
                <w:lang w:val="en-US" w:eastAsia="zh-CN"/>
              </w:rPr>
              <w:t>低浓度氨对粘膜有刺激作用，高浓度可造成组织溶解坏死</w:t>
            </w:r>
          </w:p>
        </w:tc>
      </w:tr>
    </w:tbl>
    <w:p>
      <w:pPr>
        <w:pStyle w:val="5"/>
        <w:ind w:firstLine="0" w:firstLineChars="0"/>
        <w:rPr>
          <w:color w:val="auto"/>
        </w:rPr>
      </w:pPr>
    </w:p>
    <w:p>
      <w:pPr>
        <w:pStyle w:val="7"/>
        <w:numPr>
          <w:ilvl w:val="0"/>
          <w:numId w:val="0"/>
        </w:numPr>
        <w:spacing w:before="120" w:beforeLines="0" w:after="120" w:afterLines="0"/>
        <w:ind w:left="862" w:hanging="720"/>
        <w:rPr>
          <w:color w:val="auto"/>
        </w:rPr>
      </w:pPr>
      <w:bookmarkStart w:id="143" w:name="_Toc304810292"/>
      <w:bookmarkStart w:id="144" w:name="_Toc306034542"/>
      <w:bookmarkStart w:id="145" w:name="_Toc2121"/>
      <w:bookmarkStart w:id="146" w:name="_Toc27378"/>
      <w:bookmarkStart w:id="147" w:name="_Toc25954"/>
      <w:r>
        <w:rPr>
          <w:color w:val="auto"/>
        </w:rPr>
        <w:t>2.4.3主要</w:t>
      </w:r>
      <w:bookmarkEnd w:id="143"/>
      <w:bookmarkEnd w:id="144"/>
      <w:r>
        <w:rPr>
          <w:color w:val="auto"/>
        </w:rPr>
        <w:t>能源消耗</w:t>
      </w:r>
      <w:bookmarkEnd w:id="145"/>
      <w:bookmarkEnd w:id="146"/>
      <w:bookmarkEnd w:id="147"/>
    </w:p>
    <w:p>
      <w:pPr>
        <w:widowControl/>
        <w:spacing w:line="360" w:lineRule="auto"/>
        <w:ind w:firstLine="480" w:firstLineChars="200"/>
        <w:rPr>
          <w:color w:val="auto"/>
        </w:rPr>
      </w:pPr>
      <w:r>
        <w:rPr>
          <w:rFonts w:ascii="Times New Roman" w:hAnsi="Times New Roman" w:cs="Times New Roman"/>
          <w:color w:val="auto"/>
          <w:sz w:val="24"/>
          <w:szCs w:val="24"/>
        </w:rPr>
        <w:t>本项目主要能源消耗一览表见表2.4-4。</w:t>
      </w:r>
    </w:p>
    <w:p>
      <w:pPr>
        <w:pStyle w:val="18"/>
        <w:rPr>
          <w:color w:val="auto"/>
          <w:szCs w:val="21"/>
        </w:rPr>
      </w:pPr>
      <w:r>
        <w:rPr>
          <w:bCs/>
          <w:color w:val="auto"/>
          <w:szCs w:val="24"/>
        </w:rPr>
        <w:t xml:space="preserve"> </w:t>
      </w:r>
      <w:r>
        <w:rPr>
          <w:bCs/>
          <w:color w:val="auto"/>
          <w:szCs w:val="21"/>
        </w:rPr>
        <w:t xml:space="preserve"> </w:t>
      </w:r>
      <w:r>
        <w:rPr>
          <w:color w:val="auto"/>
          <w:sz w:val="22"/>
        </w:rPr>
        <w:t>表 2</w:t>
      </w:r>
      <w:r>
        <w:rPr>
          <w:rFonts w:hint="eastAsia"/>
          <w:color w:val="auto"/>
          <w:sz w:val="22"/>
        </w:rPr>
        <w:t>.4</w:t>
      </w:r>
      <w:r>
        <w:rPr>
          <w:color w:val="auto"/>
          <w:szCs w:val="24"/>
        </w:rPr>
        <w:t>-</w:t>
      </w:r>
      <w:r>
        <w:rPr>
          <w:rFonts w:hint="eastAsia"/>
          <w:color w:val="auto"/>
          <w:sz w:val="22"/>
        </w:rPr>
        <w:t>4</w:t>
      </w:r>
      <w:r>
        <w:rPr>
          <w:color w:val="auto"/>
          <w:sz w:val="22"/>
          <w:szCs w:val="21"/>
        </w:rPr>
        <w:t xml:space="preserve">  主要能源消耗情况一览表</w:t>
      </w:r>
    </w:p>
    <w:tbl>
      <w:tblPr>
        <w:tblStyle w:val="45"/>
        <w:tblpPr w:leftFromText="180" w:rightFromText="180" w:vertAnchor="text" w:tblpXSpec="center" w:tblpY="1"/>
        <w:tblOverlap w:val="never"/>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1417"/>
        <w:gridCol w:w="1416"/>
        <w:gridCol w:w="1417"/>
        <w:gridCol w:w="1417"/>
        <w:gridCol w:w="2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0" w:hRule="atLeast"/>
        </w:trPr>
        <w:tc>
          <w:tcPr>
            <w:tcW w:w="141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4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项目</w:t>
            </w:r>
          </w:p>
        </w:tc>
        <w:tc>
          <w:tcPr>
            <w:tcW w:w="141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单位</w:t>
            </w:r>
          </w:p>
        </w:tc>
        <w:tc>
          <w:tcPr>
            <w:tcW w:w="14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小时消耗</w:t>
            </w:r>
          </w:p>
        </w:tc>
        <w:tc>
          <w:tcPr>
            <w:tcW w:w="14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年耗量</w:t>
            </w:r>
          </w:p>
        </w:tc>
        <w:tc>
          <w:tcPr>
            <w:tcW w:w="2675" w:type="dxa"/>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5" w:hRule="atLeast"/>
        </w:trPr>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新鲜水</w:t>
            </w:r>
          </w:p>
        </w:tc>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m</w:t>
            </w:r>
            <w:r>
              <w:rPr>
                <w:rFonts w:ascii="Times New Roman" w:hAnsi="Times New Roman" w:cs="Times New Roman"/>
                <w:color w:val="auto"/>
                <w:szCs w:val="21"/>
                <w:vertAlign w:val="superscript"/>
              </w:rPr>
              <w:t>3</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700</w:t>
            </w:r>
          </w:p>
        </w:tc>
        <w:tc>
          <w:tcPr>
            <w:tcW w:w="2675" w:type="dxa"/>
            <w:vMerge w:val="restart"/>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本项目液氨装车间断进行，年运行时间约700小时。其中氮气仅用于开停工吹扫置换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仪表风</w:t>
            </w:r>
          </w:p>
        </w:tc>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m</w:t>
            </w:r>
            <w:r>
              <w:rPr>
                <w:rFonts w:ascii="Times New Roman" w:hAnsi="Times New Roman" w:cs="Times New Roman"/>
                <w:color w:val="auto"/>
                <w:szCs w:val="21"/>
                <w:vertAlign w:val="superscript"/>
              </w:rPr>
              <w:t>3</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700</w:t>
            </w:r>
          </w:p>
        </w:tc>
        <w:tc>
          <w:tcPr>
            <w:tcW w:w="2675" w:type="dxa"/>
            <w:vMerge w:val="continue"/>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电</w:t>
            </w:r>
          </w:p>
        </w:tc>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KWh</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5000</w:t>
            </w:r>
          </w:p>
        </w:tc>
        <w:tc>
          <w:tcPr>
            <w:tcW w:w="2675" w:type="dxa"/>
            <w:vMerge w:val="continue"/>
          </w:tcPr>
          <w:p>
            <w:pPr>
              <w:spacing w:line="360" w:lineRule="exact"/>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氮气</w:t>
            </w:r>
          </w:p>
        </w:tc>
        <w:tc>
          <w:tcPr>
            <w:tcW w:w="14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Nm</w:t>
            </w:r>
            <w:r>
              <w:rPr>
                <w:rFonts w:ascii="Times New Roman" w:hAnsi="Times New Roman" w:cs="Times New Roman"/>
                <w:color w:val="auto"/>
                <w:szCs w:val="21"/>
                <w:vertAlign w:val="superscript"/>
              </w:rPr>
              <w:t>3</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14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1000</w:t>
            </w:r>
          </w:p>
        </w:tc>
        <w:tc>
          <w:tcPr>
            <w:tcW w:w="2675" w:type="dxa"/>
            <w:vMerge w:val="continue"/>
          </w:tcPr>
          <w:p>
            <w:pPr>
              <w:spacing w:line="360" w:lineRule="exact"/>
              <w:jc w:val="center"/>
              <w:rPr>
                <w:rFonts w:ascii="Times New Roman" w:hAnsi="Times New Roman" w:cs="Times New Roman"/>
                <w:color w:val="auto"/>
                <w:szCs w:val="21"/>
              </w:rPr>
            </w:pPr>
          </w:p>
        </w:tc>
      </w:tr>
    </w:tbl>
    <w:p>
      <w:pPr>
        <w:pStyle w:val="7"/>
        <w:numPr>
          <w:ilvl w:val="0"/>
          <w:numId w:val="0"/>
        </w:numPr>
        <w:spacing w:before="120" w:beforeLines="0" w:after="0" w:afterLines="0"/>
        <w:rPr>
          <w:color w:val="auto"/>
        </w:rPr>
      </w:pPr>
      <w:bookmarkStart w:id="148" w:name="_Toc306034544"/>
      <w:bookmarkStart w:id="149" w:name="_Toc304810294"/>
      <w:bookmarkStart w:id="150" w:name="_Toc14300"/>
      <w:bookmarkStart w:id="151" w:name="_Toc9996"/>
      <w:bookmarkStart w:id="152" w:name="_Toc3077"/>
      <w:bookmarkStart w:id="153" w:name="_Ref255397048"/>
      <w:r>
        <w:rPr>
          <w:color w:val="auto"/>
        </w:rPr>
        <w:t>2.4.4主要生产设备</w:t>
      </w:r>
      <w:bookmarkEnd w:id="148"/>
      <w:bookmarkEnd w:id="149"/>
      <w:bookmarkEnd w:id="150"/>
      <w:bookmarkEnd w:id="151"/>
      <w:bookmarkEnd w:id="152"/>
    </w:p>
    <w:p>
      <w:pPr>
        <w:pStyle w:val="5"/>
        <w:ind w:firstLine="480"/>
        <w:rPr>
          <w:color w:val="auto"/>
        </w:rPr>
      </w:pPr>
      <w:r>
        <w:rPr>
          <w:color w:val="auto"/>
        </w:rPr>
        <w:t>根据《产业结构调整指导目录》（2011年本）（2013修正）和《部分工业行业淘汰落后生产工艺装备和产品指导目录（2010年本）》可知，项目所选设备不属于国家淘汰和限制的产业类型，可满足正常生产的需要。</w:t>
      </w:r>
    </w:p>
    <w:p>
      <w:pPr>
        <w:pStyle w:val="5"/>
        <w:ind w:firstLine="480"/>
        <w:rPr>
          <w:rFonts w:hint="eastAsia"/>
          <w:b/>
          <w:color w:val="auto"/>
          <w:sz w:val="22"/>
        </w:rPr>
      </w:pPr>
      <w:r>
        <w:rPr>
          <w:color w:val="auto"/>
        </w:rPr>
        <w:t>拟建工程生产所需主要生产设备见下表：</w:t>
      </w:r>
    </w:p>
    <w:p>
      <w:pPr>
        <w:pStyle w:val="5"/>
        <w:spacing w:line="240" w:lineRule="atLeast"/>
        <w:ind w:firstLine="442"/>
        <w:jc w:val="center"/>
        <w:rPr>
          <w:b/>
          <w:color w:val="auto"/>
          <w:sz w:val="22"/>
        </w:rPr>
      </w:pPr>
      <w:r>
        <w:rPr>
          <w:b/>
          <w:color w:val="auto"/>
          <w:sz w:val="22"/>
        </w:rPr>
        <w:t>表2.4-5  项目主要设备表</w:t>
      </w:r>
    </w:p>
    <w:p>
      <w:pPr>
        <w:pStyle w:val="5"/>
        <w:spacing w:line="240" w:lineRule="atLeast"/>
        <w:ind w:firstLine="482"/>
        <w:jc w:val="center"/>
        <w:rPr>
          <w:b/>
          <w:color w:val="auto"/>
        </w:rPr>
      </w:pPr>
    </w:p>
    <w:tbl>
      <w:tblPr>
        <w:tblStyle w:val="45"/>
        <w:tblW w:w="868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762"/>
        <w:gridCol w:w="862"/>
        <w:gridCol w:w="709"/>
        <w:gridCol w:w="992"/>
        <w:gridCol w:w="920"/>
        <w:gridCol w:w="850"/>
        <w:gridCol w:w="992"/>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09"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序号</w:t>
            </w:r>
          </w:p>
        </w:tc>
        <w:tc>
          <w:tcPr>
            <w:tcW w:w="1762"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名  称</w:t>
            </w:r>
          </w:p>
        </w:tc>
        <w:tc>
          <w:tcPr>
            <w:tcW w:w="862"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介  质</w:t>
            </w:r>
          </w:p>
        </w:tc>
        <w:tc>
          <w:tcPr>
            <w:tcW w:w="1701" w:type="dxa"/>
            <w:gridSpan w:val="2"/>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压力（MPa）</w:t>
            </w:r>
          </w:p>
        </w:tc>
        <w:tc>
          <w:tcPr>
            <w:tcW w:w="920"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温度（℃）</w:t>
            </w:r>
          </w:p>
        </w:tc>
        <w:tc>
          <w:tcPr>
            <w:tcW w:w="850" w:type="dxa"/>
            <w:vMerge w:val="restart"/>
            <w:vAlign w:val="center"/>
          </w:tcPr>
          <w:p>
            <w:pPr>
              <w:snapToGrid w:val="0"/>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数量</w:t>
            </w:r>
          </w:p>
          <w:p>
            <w:pPr>
              <w:pStyle w:val="2"/>
              <w:snapToGrid w:val="0"/>
              <w:spacing w:after="0" w:line="240" w:lineRule="atLeast"/>
              <w:ind w:left="0" w:leftChars="0" w:firstLine="0" w:firstLineChars="0"/>
              <w:jc w:val="center"/>
              <w:rPr>
                <w:color w:val="auto"/>
                <w:szCs w:val="21"/>
              </w:rPr>
            </w:pPr>
            <w:r>
              <w:rPr>
                <w:color w:val="auto"/>
                <w:szCs w:val="21"/>
              </w:rPr>
              <w:t>（台）</w:t>
            </w:r>
          </w:p>
        </w:tc>
        <w:tc>
          <w:tcPr>
            <w:tcW w:w="992"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材质</w:t>
            </w:r>
          </w:p>
        </w:tc>
        <w:tc>
          <w:tcPr>
            <w:tcW w:w="889" w:type="dxa"/>
            <w:vMerge w:val="restart"/>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功率</w:t>
            </w:r>
          </w:p>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09" w:type="dxa"/>
            <w:vMerge w:val="continue"/>
            <w:vAlign w:val="center"/>
          </w:tcPr>
          <w:p>
            <w:pPr>
              <w:rPr>
                <w:rFonts w:ascii="Times New Roman" w:hAnsi="Times New Roman" w:cs="Times New Roman"/>
                <w:color w:val="auto"/>
              </w:rPr>
            </w:pPr>
          </w:p>
        </w:tc>
        <w:tc>
          <w:tcPr>
            <w:tcW w:w="1762" w:type="dxa"/>
            <w:vMerge w:val="continue"/>
            <w:vAlign w:val="center"/>
          </w:tcPr>
          <w:p>
            <w:pPr>
              <w:rPr>
                <w:rFonts w:ascii="Times New Roman" w:hAnsi="Times New Roman" w:cs="Times New Roman"/>
                <w:color w:val="auto"/>
              </w:rPr>
            </w:pPr>
          </w:p>
        </w:tc>
        <w:tc>
          <w:tcPr>
            <w:tcW w:w="862" w:type="dxa"/>
            <w:vMerge w:val="continue"/>
            <w:vAlign w:val="center"/>
          </w:tcPr>
          <w:p>
            <w:pPr>
              <w:rPr>
                <w:rFonts w:ascii="Times New Roman" w:hAnsi="Times New Roman" w:cs="Times New Roman"/>
                <w:color w:val="auto"/>
              </w:rPr>
            </w:pPr>
          </w:p>
        </w:tc>
        <w:tc>
          <w:tcPr>
            <w:tcW w:w="709"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进口</w:t>
            </w:r>
          </w:p>
        </w:tc>
        <w:tc>
          <w:tcPr>
            <w:tcW w:w="99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出口</w:t>
            </w:r>
          </w:p>
        </w:tc>
        <w:tc>
          <w:tcPr>
            <w:tcW w:w="920" w:type="dxa"/>
            <w:vMerge w:val="continue"/>
            <w:vAlign w:val="center"/>
          </w:tcPr>
          <w:p>
            <w:pPr>
              <w:rPr>
                <w:rFonts w:ascii="Times New Roman" w:hAnsi="Times New Roman" w:cs="Times New Roman"/>
                <w:color w:val="auto"/>
              </w:rPr>
            </w:pPr>
          </w:p>
        </w:tc>
        <w:tc>
          <w:tcPr>
            <w:tcW w:w="850" w:type="dxa"/>
            <w:vMerge w:val="continue"/>
            <w:vAlign w:val="center"/>
          </w:tcPr>
          <w:p>
            <w:pPr>
              <w:rPr>
                <w:rFonts w:ascii="Times New Roman" w:hAnsi="Times New Roman" w:cs="Times New Roman"/>
                <w:color w:val="auto"/>
              </w:rPr>
            </w:pPr>
          </w:p>
        </w:tc>
        <w:tc>
          <w:tcPr>
            <w:tcW w:w="992" w:type="dxa"/>
            <w:vMerge w:val="continue"/>
            <w:vAlign w:val="center"/>
          </w:tcPr>
          <w:p>
            <w:pPr>
              <w:rPr>
                <w:rFonts w:ascii="Times New Roman" w:hAnsi="Times New Roman" w:cs="Times New Roman"/>
                <w:color w:val="auto"/>
              </w:rPr>
            </w:pPr>
          </w:p>
        </w:tc>
        <w:tc>
          <w:tcPr>
            <w:tcW w:w="889" w:type="dxa"/>
            <w:vMerge w:val="continue"/>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09"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1</w:t>
            </w:r>
          </w:p>
        </w:tc>
        <w:tc>
          <w:tcPr>
            <w:tcW w:w="176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液氨装车泵</w:t>
            </w:r>
          </w:p>
        </w:tc>
        <w:tc>
          <w:tcPr>
            <w:tcW w:w="86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液氨</w:t>
            </w:r>
          </w:p>
        </w:tc>
        <w:tc>
          <w:tcPr>
            <w:tcW w:w="709" w:type="dxa"/>
            <w:vAlign w:val="center"/>
          </w:tcPr>
          <w:p>
            <w:pPr>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1.0</w:t>
            </w:r>
          </w:p>
        </w:tc>
        <w:tc>
          <w:tcPr>
            <w:tcW w:w="992" w:type="dxa"/>
            <w:vAlign w:val="center"/>
          </w:tcPr>
          <w:p>
            <w:pPr>
              <w:spacing w:line="240" w:lineRule="atLeast"/>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2</w:t>
            </w:r>
            <w:r>
              <w:rPr>
                <w:rFonts w:ascii="Times New Roman" w:hAnsi="Times New Roman" w:cs="Times New Roman"/>
                <w:color w:val="auto"/>
                <w:szCs w:val="21"/>
              </w:rPr>
              <w:t>.4</w:t>
            </w:r>
          </w:p>
        </w:tc>
        <w:tc>
          <w:tcPr>
            <w:tcW w:w="920"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25</w:t>
            </w:r>
          </w:p>
        </w:tc>
        <w:tc>
          <w:tcPr>
            <w:tcW w:w="850"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2</w:t>
            </w:r>
          </w:p>
        </w:tc>
        <w:tc>
          <w:tcPr>
            <w:tcW w:w="99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20＃碳钢</w:t>
            </w:r>
          </w:p>
        </w:tc>
        <w:tc>
          <w:tcPr>
            <w:tcW w:w="889"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709"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2</w:t>
            </w:r>
          </w:p>
        </w:tc>
        <w:tc>
          <w:tcPr>
            <w:tcW w:w="176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液氨泄漏报警器</w:t>
            </w:r>
          </w:p>
        </w:tc>
        <w:tc>
          <w:tcPr>
            <w:tcW w:w="862" w:type="dxa"/>
            <w:vAlign w:val="center"/>
          </w:tcPr>
          <w:p>
            <w:pPr>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709" w:type="dxa"/>
            <w:vAlign w:val="center"/>
          </w:tcPr>
          <w:p>
            <w:pPr>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992" w:type="dxa"/>
            <w:vAlign w:val="center"/>
          </w:tcPr>
          <w:p>
            <w:pPr>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920" w:type="dxa"/>
            <w:vAlign w:val="center"/>
          </w:tcPr>
          <w:p>
            <w:pPr>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w:t>
            </w:r>
          </w:p>
        </w:tc>
        <w:tc>
          <w:tcPr>
            <w:tcW w:w="850"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2</w:t>
            </w:r>
          </w:p>
        </w:tc>
        <w:tc>
          <w:tcPr>
            <w:tcW w:w="992"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304</w:t>
            </w:r>
          </w:p>
        </w:tc>
        <w:tc>
          <w:tcPr>
            <w:tcW w:w="889" w:type="dxa"/>
            <w:vAlign w:val="center"/>
          </w:tcPr>
          <w:p>
            <w:pPr>
              <w:spacing w:line="240" w:lineRule="atLeast"/>
              <w:jc w:val="center"/>
              <w:rPr>
                <w:rFonts w:ascii="Times New Roman" w:hAnsi="Times New Roman" w:cs="Times New Roman"/>
                <w:color w:val="auto"/>
                <w:szCs w:val="21"/>
              </w:rPr>
            </w:pPr>
            <w:r>
              <w:rPr>
                <w:rFonts w:ascii="Times New Roman" w:hAnsi="Times New Roman" w:cs="Times New Roman"/>
                <w:color w:val="auto"/>
                <w:szCs w:val="21"/>
              </w:rPr>
              <w:t>1.5</w:t>
            </w:r>
          </w:p>
        </w:tc>
      </w:tr>
    </w:tbl>
    <w:p>
      <w:pPr>
        <w:pStyle w:val="7"/>
        <w:numPr>
          <w:ilvl w:val="0"/>
          <w:numId w:val="0"/>
        </w:numPr>
        <w:spacing w:before="120" w:beforeLines="0" w:after="120" w:afterLines="0"/>
        <w:rPr>
          <w:color w:val="auto"/>
        </w:rPr>
      </w:pPr>
      <w:bookmarkStart w:id="154" w:name="_Toc21736"/>
      <w:bookmarkStart w:id="155" w:name="_Toc3756"/>
      <w:bookmarkStart w:id="156" w:name="_Toc193"/>
      <w:r>
        <w:rPr>
          <w:color w:val="auto"/>
        </w:rPr>
        <w:t>2.4.5公用、辅助工程</w:t>
      </w:r>
      <w:bookmarkEnd w:id="154"/>
      <w:bookmarkEnd w:id="155"/>
      <w:r>
        <w:rPr>
          <w:color w:val="auto"/>
        </w:rPr>
        <w:t>情况</w:t>
      </w:r>
      <w:bookmarkEnd w:id="156"/>
    </w:p>
    <w:p>
      <w:pPr>
        <w:pStyle w:val="5"/>
        <w:ind w:firstLine="48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（1）供水：</w:t>
      </w:r>
    </w:p>
    <w:p>
      <w:pPr>
        <w:pStyle w:val="5"/>
        <w:ind w:firstLine="480"/>
        <w:rPr>
          <w:rFonts w:hint="eastAsia" w:ascii="宋体" w:hAnsi="宋体" w:eastAsia="宋体" w:cs="宋体"/>
          <w:color w:val="auto"/>
          <w:sz w:val="24"/>
          <w:szCs w:val="24"/>
        </w:rPr>
      </w:pPr>
      <w:r>
        <w:rPr>
          <w:rFonts w:hint="eastAsia" w:ascii="宋体" w:hAnsi="宋体" w:eastAsia="宋体" w:cs="宋体"/>
          <w:color w:val="auto"/>
          <w:sz w:val="24"/>
          <w:szCs w:val="24"/>
        </w:rPr>
        <w:t>本工程用水，主要是</w:t>
      </w:r>
      <w:r>
        <w:rPr>
          <w:rFonts w:hint="eastAsia" w:ascii="宋体" w:hAnsi="宋体" w:eastAsia="宋体" w:cs="宋体"/>
          <w:color w:val="auto"/>
          <w:sz w:val="24"/>
          <w:szCs w:val="24"/>
          <w:lang w:eastAsia="zh-CN"/>
        </w:rPr>
        <w:t>地面冲洗水</w:t>
      </w:r>
      <w:r>
        <w:rPr>
          <w:rFonts w:hint="eastAsia" w:ascii="宋体" w:hAnsi="宋体" w:eastAsia="宋体" w:cs="宋体"/>
          <w:color w:val="auto"/>
          <w:sz w:val="24"/>
          <w:szCs w:val="24"/>
        </w:rPr>
        <w:t>日用水量约1m</w:t>
      </w:r>
      <w:r>
        <w:rPr>
          <w:rFonts w:hint="eastAsia" w:ascii="宋体" w:hAnsi="宋体" w:eastAsia="宋体" w:cs="宋体"/>
          <w:color w:val="auto"/>
          <w:sz w:val="24"/>
          <w:szCs w:val="24"/>
          <w:vertAlign w:val="superscript"/>
        </w:rPr>
        <w:t>3</w:t>
      </w:r>
      <w:r>
        <w:rPr>
          <w:rFonts w:hint="eastAsia" w:ascii="宋体" w:hAnsi="宋体" w:eastAsia="宋体" w:cs="宋体"/>
          <w:color w:val="auto"/>
          <w:sz w:val="24"/>
          <w:szCs w:val="24"/>
        </w:rPr>
        <w:t>/h，由公司现有工程供水管网接入。用水量与</w:t>
      </w:r>
      <w:r>
        <w:rPr>
          <w:rFonts w:hint="eastAsia" w:ascii="宋体" w:hAnsi="宋体" w:eastAsia="宋体" w:cs="宋体"/>
          <w:color w:val="auto"/>
          <w:sz w:val="24"/>
          <w:szCs w:val="24"/>
          <w:lang w:eastAsia="zh-CN"/>
        </w:rPr>
        <w:t>技改</w:t>
      </w:r>
      <w:r>
        <w:rPr>
          <w:rFonts w:hint="eastAsia" w:ascii="宋体" w:hAnsi="宋体" w:eastAsia="宋体" w:cs="宋体"/>
          <w:color w:val="auto"/>
          <w:sz w:val="24"/>
          <w:szCs w:val="24"/>
        </w:rPr>
        <w:t>前相似，不须新增供水能力。</w:t>
      </w:r>
    </w:p>
    <w:p>
      <w:pPr>
        <w:pStyle w:val="5"/>
        <w:ind w:firstLine="480"/>
        <w:rPr>
          <w:rFonts w:hint="eastAsia" w:ascii="宋体" w:hAnsi="宋体" w:eastAsia="宋体" w:cs="宋体"/>
          <w:color w:val="auto"/>
          <w:sz w:val="24"/>
          <w:szCs w:val="24"/>
        </w:rPr>
      </w:pPr>
      <w:r>
        <w:rPr>
          <w:rFonts w:hint="eastAsia" w:ascii="宋体" w:hAnsi="宋体" w:eastAsia="宋体" w:cs="宋体"/>
          <w:color w:val="auto"/>
          <w:sz w:val="24"/>
          <w:szCs w:val="24"/>
        </w:rPr>
        <w:t>（2）排水：</w:t>
      </w:r>
    </w:p>
    <w:p>
      <w:pPr>
        <w:pStyle w:val="5"/>
        <w:ind w:firstLine="480"/>
        <w:rPr>
          <w:rFonts w:hint="eastAsia" w:ascii="宋体" w:hAnsi="宋体" w:eastAsia="宋体" w:cs="宋体"/>
          <w:color w:val="auto"/>
          <w:sz w:val="24"/>
          <w:szCs w:val="24"/>
        </w:rPr>
      </w:pPr>
      <w:r>
        <w:rPr>
          <w:rFonts w:hint="eastAsia" w:ascii="宋体" w:hAnsi="宋体" w:eastAsia="宋体" w:cs="宋体"/>
          <w:color w:val="auto"/>
          <w:sz w:val="24"/>
          <w:szCs w:val="24"/>
        </w:rPr>
        <w:t>本工程按照 “雨污分流”原则建设排水系统。</w:t>
      </w:r>
      <w:r>
        <w:rPr>
          <w:rFonts w:hint="eastAsia" w:ascii="宋体" w:hAnsi="宋体" w:eastAsia="宋体" w:cs="宋体"/>
          <w:color w:val="auto"/>
          <w:sz w:val="24"/>
          <w:szCs w:val="24"/>
          <w:lang w:eastAsia="zh-CN"/>
        </w:rPr>
        <w:t>初</w:t>
      </w:r>
      <w:r>
        <w:rPr>
          <w:rFonts w:hint="eastAsia" w:ascii="宋体" w:hAnsi="宋体" w:eastAsia="宋体" w:cs="宋体"/>
          <w:color w:val="auto"/>
          <w:sz w:val="24"/>
          <w:szCs w:val="24"/>
        </w:rPr>
        <w:t>期雨水收集进入污水管网，再送入公司污水处理装置处理。后期雨水进入公司现有雨水排放管网大排洪沟，排入项目地北侧的小河沟。冷却水、地面冲洗水进入污水管网，与初期雨水一起排入公司现有污水处理装置处理。排水量与隐患整治前相似，不须新增污水处理负荷。</w:t>
      </w:r>
    </w:p>
    <w:p>
      <w:pPr>
        <w:tabs>
          <w:tab w:val="left" w:pos="0"/>
        </w:tabs>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kern w:val="0"/>
          <w:sz w:val="24"/>
          <w:szCs w:val="24"/>
        </w:rPr>
        <w:t>（3）供电：</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本工程用电量7 kw</w:t>
      </w:r>
      <w:r>
        <w:rPr>
          <w:rFonts w:hint="eastAsia" w:ascii="宋体" w:hAnsi="宋体" w:eastAsia="宋体" w:cs="宋体"/>
          <w:color w:val="auto"/>
          <w:sz w:val="24"/>
          <w:szCs w:val="24"/>
        </w:rPr>
        <w:t>/h，</w:t>
      </w:r>
      <w:r>
        <w:rPr>
          <w:rFonts w:hint="eastAsia" w:ascii="宋体" w:hAnsi="宋体" w:eastAsia="宋体" w:cs="宋体"/>
          <w:color w:val="auto"/>
          <w:kern w:val="0"/>
          <w:sz w:val="24"/>
          <w:szCs w:val="24"/>
        </w:rPr>
        <w:t>新增用电量3.5kw/h，从公司现有工程配电系统接入。</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（4）供风</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本工程新增供风需求量1</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N</w:t>
      </w:r>
      <w:r>
        <w:rPr>
          <w:rFonts w:hint="eastAsia" w:ascii="宋体" w:hAnsi="宋体" w:eastAsia="宋体" w:cs="宋体"/>
          <w:color w:val="auto"/>
          <w:sz w:val="24"/>
          <w:szCs w:val="24"/>
        </w:rPr>
        <w:t>m</w:t>
      </w:r>
      <w:r>
        <w:rPr>
          <w:rFonts w:hint="eastAsia" w:ascii="宋体" w:hAnsi="宋体" w:eastAsia="宋体" w:cs="宋体"/>
          <w:color w:val="auto"/>
          <w:sz w:val="24"/>
          <w:szCs w:val="24"/>
          <w:vertAlign w:val="superscript"/>
        </w:rPr>
        <w:t>3</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min</w:t>
      </w:r>
      <w:r>
        <w:rPr>
          <w:rFonts w:hint="eastAsia" w:ascii="宋体" w:hAnsi="宋体" w:eastAsia="宋体" w:cs="宋体"/>
          <w:color w:val="auto"/>
          <w:sz w:val="24"/>
          <w:szCs w:val="24"/>
        </w:rPr>
        <w:t>，</w:t>
      </w:r>
      <w:r>
        <w:rPr>
          <w:rFonts w:hint="eastAsia" w:ascii="宋体" w:hAnsi="宋体" w:eastAsia="宋体" w:cs="宋体"/>
          <w:color w:val="auto"/>
          <w:kern w:val="0"/>
          <w:sz w:val="24"/>
          <w:szCs w:val="24"/>
        </w:rPr>
        <w:t>从公司现有工程供风系统接入。</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（5）消防</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本工程范围内平面布局按《石油化工企业设计规范GB50160》进行设计建设，保证各设施和装置间距。新增管线置于公司已有管廊架上，用地范围内按相关规定建设报警系统，配备相应的消防器材。消防设施可依托现有工程的消防力量。</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（6）供氮</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ascii="Times New Roman" w:hAnsi="Times New Roman" w:cs="Times New Roman"/>
          <w:b/>
          <w:bCs/>
          <w:color w:val="auto"/>
          <w:kern w:val="0"/>
          <w:sz w:val="24"/>
          <w:szCs w:val="24"/>
        </w:rPr>
      </w:pPr>
      <w:r>
        <w:rPr>
          <w:rFonts w:hint="eastAsia" w:ascii="宋体" w:hAnsi="宋体" w:eastAsia="宋体" w:cs="宋体"/>
          <w:color w:val="auto"/>
          <w:kern w:val="0"/>
          <w:sz w:val="24"/>
          <w:szCs w:val="24"/>
        </w:rPr>
        <w:t>本工程用氮气仅用于停工吹扫，氮气需求量为10</w:t>
      </w:r>
      <w:r>
        <w:rPr>
          <w:rFonts w:hint="eastAsia" w:ascii="宋体" w:hAnsi="宋体" w:eastAsia="宋体" w:cs="宋体"/>
          <w:color w:val="auto"/>
          <w:sz w:val="24"/>
          <w:szCs w:val="24"/>
        </w:rPr>
        <w:t xml:space="preserve"> m</w:t>
      </w:r>
      <w:r>
        <w:rPr>
          <w:rFonts w:hint="eastAsia" w:ascii="宋体" w:hAnsi="宋体" w:eastAsia="宋体" w:cs="宋体"/>
          <w:color w:val="auto"/>
          <w:sz w:val="24"/>
          <w:szCs w:val="24"/>
          <w:vertAlign w:val="superscript"/>
        </w:rPr>
        <w:t>3</w:t>
      </w:r>
      <w:r>
        <w:rPr>
          <w:rFonts w:hint="eastAsia" w:ascii="宋体" w:hAnsi="宋体" w:eastAsia="宋体" w:cs="宋体"/>
          <w:color w:val="auto"/>
          <w:sz w:val="24"/>
          <w:szCs w:val="24"/>
        </w:rPr>
        <w:t>/h</w:t>
      </w:r>
      <w:r>
        <w:rPr>
          <w:rFonts w:hint="eastAsia" w:ascii="宋体" w:hAnsi="宋体" w:eastAsia="宋体" w:cs="宋体"/>
          <w:color w:val="auto"/>
          <w:kern w:val="0"/>
          <w:sz w:val="24"/>
          <w:szCs w:val="24"/>
        </w:rPr>
        <w:t>，从公司现有工程供氮系统接入。</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b/>
          <w:bCs/>
          <w:color w:val="auto"/>
          <w:kern w:val="0"/>
          <w:sz w:val="24"/>
          <w:szCs w:val="24"/>
        </w:rPr>
      </w:pPr>
      <w:r>
        <w:rPr>
          <w:rFonts w:ascii="Times New Roman" w:hAnsi="Times New Roman" w:cs="Times New Roman"/>
          <w:b/>
          <w:bCs/>
          <w:color w:val="auto"/>
          <w:kern w:val="0"/>
          <w:sz w:val="24"/>
          <w:szCs w:val="24"/>
        </w:rPr>
        <w:t xml:space="preserve">2.4.6 总平面布置图 </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80" w:firstLineChars="200"/>
        <w:rPr>
          <w:rFonts w:hint="eastAsia" w:eastAsia="宋体"/>
          <w:color w:val="auto"/>
          <w:lang w:eastAsia="zh-CN"/>
        </w:rPr>
      </w:pPr>
      <w:r>
        <w:rPr>
          <w:rFonts w:hint="eastAsia" w:ascii="宋体" w:hAnsi="宋体" w:eastAsia="宋体" w:cs="宋体"/>
          <w:color w:val="auto"/>
          <w:kern w:val="0"/>
          <w:sz w:val="24"/>
          <w:szCs w:val="24"/>
          <w:u w:val="single"/>
        </w:rPr>
        <w:t>本项目</w:t>
      </w:r>
      <w:r>
        <w:rPr>
          <w:rFonts w:hint="eastAsia" w:ascii="宋体" w:hAnsi="宋体" w:cs="宋体"/>
          <w:color w:val="auto"/>
          <w:kern w:val="0"/>
          <w:sz w:val="24"/>
          <w:szCs w:val="24"/>
          <w:u w:val="single"/>
          <w:lang w:eastAsia="zh-CN"/>
        </w:rPr>
        <w:t>装车泵</w:t>
      </w:r>
      <w:r>
        <w:rPr>
          <w:rFonts w:hint="eastAsia" w:ascii="宋体" w:hAnsi="宋体" w:eastAsia="宋体" w:cs="宋体"/>
          <w:color w:val="auto"/>
          <w:kern w:val="0"/>
          <w:sz w:val="24"/>
          <w:szCs w:val="24"/>
          <w:u w:val="single"/>
        </w:rPr>
        <w:t>位于岳阳市云溪区中国石油化工股份有限公司长岭分公司厂内的炼油一部污水汽提装置</w:t>
      </w:r>
      <w:r>
        <w:rPr>
          <w:rFonts w:hint="eastAsia" w:ascii="宋体" w:hAnsi="宋体" w:cs="宋体"/>
          <w:color w:val="auto"/>
          <w:kern w:val="0"/>
          <w:sz w:val="24"/>
          <w:szCs w:val="24"/>
          <w:u w:val="single"/>
          <w:lang w:eastAsia="zh-CN"/>
        </w:rPr>
        <w:t>的</w:t>
      </w:r>
      <w:r>
        <w:rPr>
          <w:rFonts w:hint="eastAsia" w:ascii="宋体" w:hAnsi="宋体" w:eastAsia="宋体" w:cs="宋体"/>
          <w:color w:val="auto"/>
          <w:kern w:val="0"/>
          <w:sz w:val="24"/>
          <w:szCs w:val="24"/>
          <w:u w:val="single"/>
        </w:rPr>
        <w:t>东北</w:t>
      </w:r>
      <w:r>
        <w:rPr>
          <w:rFonts w:hint="eastAsia" w:ascii="宋体" w:hAnsi="宋体" w:cs="宋体"/>
          <w:color w:val="auto"/>
          <w:kern w:val="0"/>
          <w:sz w:val="24"/>
          <w:szCs w:val="24"/>
          <w:u w:val="single"/>
          <w:lang w:eastAsia="zh-CN"/>
        </w:rPr>
        <w:t>角，液氨输送线、氨气返回线以及含氨废水管线均利用公司现有架空</w:t>
      </w:r>
      <w:r>
        <w:rPr>
          <w:rFonts w:hint="eastAsia" w:ascii="宋体" w:hAnsi="宋体" w:eastAsia="宋体" w:cs="宋体"/>
          <w:color w:val="auto"/>
          <w:kern w:val="0"/>
          <w:sz w:val="24"/>
          <w:szCs w:val="24"/>
          <w:u w:val="single"/>
        </w:rPr>
        <w:t>管廊，</w:t>
      </w:r>
      <w:r>
        <w:rPr>
          <w:rFonts w:hint="eastAsia" w:ascii="宋体" w:hAnsi="宋体" w:cs="宋体"/>
          <w:color w:val="auto"/>
          <w:kern w:val="0"/>
          <w:sz w:val="24"/>
          <w:szCs w:val="24"/>
          <w:u w:val="single"/>
          <w:lang w:eastAsia="zh-CN"/>
        </w:rPr>
        <w:t>事故水池位于以上西北角，事故水能通过排洪沟顺流至事故池。</w:t>
      </w:r>
      <w:r>
        <w:rPr>
          <w:rFonts w:hint="eastAsia" w:ascii="宋体" w:hAnsi="宋体" w:eastAsia="宋体" w:cs="宋体"/>
          <w:color w:val="auto"/>
          <w:kern w:val="0"/>
          <w:sz w:val="24"/>
          <w:szCs w:val="24"/>
          <w:u w:val="single"/>
        </w:rPr>
        <w:t>平面布置图详见附图 6。</w:t>
      </w:r>
    </w:p>
    <w:bookmarkEnd w:id="153"/>
    <w:p>
      <w:pPr>
        <w:pStyle w:val="6"/>
        <w:numPr>
          <w:ilvl w:val="0"/>
          <w:numId w:val="0"/>
        </w:numPr>
        <w:spacing w:before="120" w:beforeLines="0" w:after="120" w:afterLines="0"/>
        <w:rPr>
          <w:color w:val="auto"/>
          <w:u w:val="single"/>
        </w:rPr>
      </w:pPr>
      <w:bookmarkStart w:id="157" w:name="_Toc20471"/>
      <w:bookmarkStart w:id="158" w:name="_Toc2745"/>
      <w:bookmarkStart w:id="159" w:name="_Toc14950"/>
      <w:bookmarkStart w:id="160" w:name="_Toc25073"/>
      <w:r>
        <w:rPr>
          <w:color w:val="auto"/>
          <w:u w:val="single"/>
        </w:rPr>
        <w:t>2.5 施工期工程分析及污染源分析</w:t>
      </w:r>
      <w:bookmarkEnd w:id="157"/>
    </w:p>
    <w:p>
      <w:pPr>
        <w:pStyle w:val="7"/>
        <w:numPr>
          <w:ilvl w:val="0"/>
          <w:numId w:val="0"/>
        </w:numPr>
        <w:spacing w:before="120" w:beforeLines="0" w:after="120" w:afterLines="0"/>
        <w:ind w:left="142"/>
        <w:rPr>
          <w:color w:val="auto"/>
          <w:u w:val="single"/>
        </w:rPr>
      </w:pPr>
      <w:bookmarkStart w:id="161" w:name="_Toc25604"/>
      <w:r>
        <w:rPr>
          <w:color w:val="auto"/>
          <w:u w:val="single"/>
        </w:rPr>
        <w:t>2.5.1 施工内容及施工工艺</w:t>
      </w:r>
      <w:bookmarkEnd w:id="161"/>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240" w:firstLineChars="100"/>
        <w:rPr>
          <w:rFonts w:ascii="Times New Roman" w:hAnsi="Times New Roman" w:cs="Times New Roman"/>
          <w:color w:val="auto"/>
          <w:kern w:val="0"/>
          <w:sz w:val="24"/>
          <w:szCs w:val="24"/>
          <w:u w:val="single"/>
        </w:rPr>
      </w:pPr>
      <w:r>
        <w:rPr>
          <w:rFonts w:ascii="Times New Roman" w:hAnsi="Times New Roman" w:cs="Times New Roman"/>
          <w:color w:val="auto"/>
          <w:kern w:val="0"/>
          <w:sz w:val="24"/>
          <w:szCs w:val="24"/>
          <w:u w:val="single"/>
        </w:rPr>
        <w:t>本项目施工期主要为液氨装泵及输送管道的安装，工程量小，施工期短，因此，</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b/>
          <w:bCs/>
          <w:color w:val="auto"/>
          <w:sz w:val="30"/>
          <w:szCs w:val="32"/>
          <w:u w:val="single"/>
        </w:rPr>
      </w:pPr>
      <w:r>
        <w:rPr>
          <w:rFonts w:ascii="Times New Roman" w:hAnsi="Times New Roman" w:cs="Times New Roman"/>
          <w:color w:val="auto"/>
          <w:kern w:val="0"/>
          <w:sz w:val="24"/>
          <w:szCs w:val="24"/>
          <w:u w:val="single"/>
        </w:rPr>
        <w:t>项目施工期产生的污染较少，主要为施工噪声、施工人员生活垃圾和生活污水</w:t>
      </w:r>
      <w:r>
        <w:rPr>
          <w:rFonts w:ascii="Times New Roman" w:hAnsi="Times New Roman" w:cs="Times New Roman"/>
          <w:b/>
          <w:bCs/>
          <w:color w:val="auto"/>
          <w:sz w:val="30"/>
          <w:szCs w:val="32"/>
          <w:u w:val="single"/>
        </w:rPr>
        <w:t>。</w:t>
      </w:r>
    </w:p>
    <w:p>
      <w:pPr>
        <w:pStyle w:val="7"/>
        <w:numPr>
          <w:ilvl w:val="0"/>
          <w:numId w:val="0"/>
        </w:numPr>
        <w:spacing w:before="120" w:beforeLines="0" w:after="120" w:afterLines="0"/>
        <w:ind w:left="142"/>
        <w:rPr>
          <w:color w:val="auto"/>
          <w:u w:val="single"/>
        </w:rPr>
      </w:pPr>
      <w:bookmarkStart w:id="162" w:name="_Toc7874"/>
      <w:r>
        <w:rPr>
          <w:color w:val="auto"/>
          <w:u w:val="single"/>
        </w:rPr>
        <w:t>2.5.2 施工期污染源分析</w:t>
      </w:r>
      <w:bookmarkEnd w:id="162"/>
      <w:r>
        <w:rPr>
          <w:color w:val="auto"/>
          <w:u w:val="single"/>
        </w:rPr>
        <w:t xml:space="preserve"> </w:t>
      </w:r>
    </w:p>
    <w:p>
      <w:pPr>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（1）废水 施工期排放的废水主要为施工人员生活污水。项目施工人员最大按 10 人计，按照 人均日用水量约100L，按80%的排放率，人均日排水量约80L，本项目施工期产生的 生活污水量为 0.8m</w:t>
      </w:r>
      <w:r>
        <w:rPr>
          <w:rFonts w:ascii="Times New Roman" w:hAnsi="Times New Roman" w:cs="Times New Roman"/>
          <w:color w:val="auto"/>
          <w:sz w:val="24"/>
          <w:szCs w:val="24"/>
          <w:u w:val="single"/>
          <w:vertAlign w:val="superscript"/>
        </w:rPr>
        <w:t>3</w:t>
      </w:r>
      <w:r>
        <w:rPr>
          <w:rFonts w:ascii="Times New Roman" w:hAnsi="Times New Roman" w:cs="Times New Roman"/>
          <w:color w:val="auto"/>
          <w:sz w:val="24"/>
          <w:szCs w:val="24"/>
          <w:u w:val="single"/>
        </w:rPr>
        <w:t>/d。参考同类工程生活污水的排放浓度，生活污水中主要污染物COD为300mg/L，氨氮为 50mg/L。对施工期的生活废水必须进行收集后处理，可通过污水管网排入厂区污水处理厂处理后外排。</w:t>
      </w:r>
    </w:p>
    <w:p>
      <w:pPr>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（2）噪声</w:t>
      </w:r>
    </w:p>
    <w:p>
      <w:pPr>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项目施工过程产生的噪声主要来自施工机械和运输车辆，施工机械和运输车辆的单体声级一般均在80dB(A)以上，施工机械和运输车辆的噪声将影响施工场地周围区域声环境质量，但本项目周围200m范围内没有环境敏感点，项目施工产生的噪声在可接受范围内。</w:t>
      </w:r>
    </w:p>
    <w:p>
      <w:pPr>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（3）固废</w:t>
      </w:r>
    </w:p>
    <w:p>
      <w:pPr>
        <w:adjustRightInd w:val="0"/>
        <w:snapToGrid w:val="0"/>
        <w:spacing w:line="360" w:lineRule="auto"/>
        <w:ind w:firstLine="480" w:firstLineChars="200"/>
        <w:rPr>
          <w:rFonts w:hint="eastAsia"/>
          <w:color w:val="auto"/>
        </w:rPr>
      </w:pPr>
      <w:r>
        <w:rPr>
          <w:rFonts w:ascii="Times New Roman" w:hAnsi="Times New Roman" w:cs="Times New Roman"/>
          <w:color w:val="auto"/>
          <w:sz w:val="24"/>
          <w:szCs w:val="24"/>
          <w:u w:val="single"/>
        </w:rPr>
        <w:t>施工期间固体废物主要为施工人员的生活垃圾。项目施工人员最大按</w:t>
      </w:r>
      <w:r>
        <w:rPr>
          <w:rFonts w:hint="eastAsia" w:ascii="Times New Roman" w:hAnsi="Times New Roman" w:cs="Times New Roman"/>
          <w:color w:val="auto"/>
          <w:sz w:val="24"/>
          <w:szCs w:val="24"/>
          <w:u w:val="single"/>
        </w:rPr>
        <w:t>10</w:t>
      </w:r>
      <w:r>
        <w:rPr>
          <w:rFonts w:ascii="Times New Roman" w:hAnsi="Times New Roman" w:cs="Times New Roman"/>
          <w:color w:val="auto"/>
          <w:sz w:val="24"/>
          <w:szCs w:val="24"/>
          <w:u w:val="single"/>
        </w:rPr>
        <w:t>人计，施工现场不设施工营地和食堂，每天的垃圾垃圾产生量按 0.5kg/人</w:t>
      </w:r>
      <w:r>
        <w:rPr>
          <w:rFonts w:hint="eastAsia" w:ascii="Times New Roman" w:hAnsi="Times New Roman" w:cs="Times New Roman"/>
          <w:color w:val="auto"/>
          <w:sz w:val="24"/>
          <w:szCs w:val="24"/>
          <w:u w:val="single"/>
        </w:rPr>
        <w:t>d</w:t>
      </w:r>
      <w:r>
        <w:rPr>
          <w:rFonts w:ascii="Times New Roman" w:hAnsi="Times New Roman" w:cs="Times New Roman"/>
          <w:color w:val="auto"/>
          <w:sz w:val="24"/>
          <w:szCs w:val="24"/>
          <w:u w:val="single"/>
        </w:rPr>
        <w:t>计算，项目施工期预估为3个月，整个施工期生活垃圾产生量为 0.45t，本项目施工期生活垃圾进行集中收集交环卫部门处理。</w:t>
      </w:r>
    </w:p>
    <w:p>
      <w:pPr>
        <w:pStyle w:val="6"/>
        <w:numPr>
          <w:ilvl w:val="0"/>
          <w:numId w:val="0"/>
        </w:numPr>
        <w:spacing w:before="120" w:beforeLines="0" w:after="120" w:afterLines="0"/>
        <w:ind w:left="575" w:hanging="575"/>
        <w:rPr>
          <w:color w:val="auto"/>
        </w:rPr>
      </w:pPr>
      <w:bookmarkStart w:id="163" w:name="_Toc22023"/>
      <w:r>
        <w:rPr>
          <w:color w:val="auto"/>
        </w:rPr>
        <w:t>2.6 运营期工程分析及污染源分析</w:t>
      </w:r>
      <w:bookmarkEnd w:id="163"/>
    </w:p>
    <w:p>
      <w:pPr>
        <w:pStyle w:val="7"/>
        <w:numPr>
          <w:ilvl w:val="0"/>
          <w:numId w:val="0"/>
        </w:numPr>
        <w:spacing w:before="120" w:beforeLines="0" w:after="120" w:afterLines="0"/>
        <w:ind w:left="142"/>
        <w:rPr>
          <w:color w:val="auto"/>
          <w:u w:val="single"/>
        </w:rPr>
      </w:pPr>
      <w:bookmarkStart w:id="164" w:name="_Toc21799"/>
      <w:r>
        <w:rPr>
          <w:color w:val="auto"/>
          <w:u w:val="single"/>
        </w:rPr>
        <w:t>2.6.1 工艺流程简介</w:t>
      </w:r>
      <w:bookmarkEnd w:id="164"/>
    </w:p>
    <w:p>
      <w:pPr>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原液氨装车设施由两个100</w:t>
      </w:r>
      <w:r>
        <w:rPr>
          <w:rFonts w:ascii="Times New Roman" w:hAnsi="Times New Roman" w:cs="Times New Roman"/>
          <w:color w:val="auto"/>
          <w:szCs w:val="24"/>
          <w:u w:val="single"/>
        </w:rPr>
        <w:t xml:space="preserve"> m</w:t>
      </w:r>
      <w:r>
        <w:rPr>
          <w:rFonts w:ascii="Times New Roman" w:hAnsi="Times New Roman" w:cs="Times New Roman"/>
          <w:color w:val="auto"/>
          <w:szCs w:val="24"/>
          <w:u w:val="single"/>
          <w:vertAlign w:val="superscript"/>
        </w:rPr>
        <w:t>3</w:t>
      </w:r>
      <w:r>
        <w:rPr>
          <w:rFonts w:ascii="Times New Roman" w:hAnsi="Times New Roman" w:cs="Times New Roman"/>
          <w:color w:val="auto"/>
          <w:sz w:val="24"/>
          <w:szCs w:val="24"/>
          <w:u w:val="single"/>
        </w:rPr>
        <w:t>的液氨贮罐、一个30</w:t>
      </w:r>
      <w:r>
        <w:rPr>
          <w:rFonts w:ascii="Times New Roman" w:hAnsi="Times New Roman" w:cs="Times New Roman"/>
          <w:color w:val="auto"/>
          <w:szCs w:val="24"/>
          <w:u w:val="single"/>
        </w:rPr>
        <w:t xml:space="preserve"> m</w:t>
      </w:r>
      <w:r>
        <w:rPr>
          <w:rFonts w:ascii="Times New Roman" w:hAnsi="Times New Roman" w:cs="Times New Roman"/>
          <w:color w:val="auto"/>
          <w:szCs w:val="24"/>
          <w:u w:val="single"/>
          <w:vertAlign w:val="superscript"/>
        </w:rPr>
        <w:t>3</w:t>
      </w:r>
      <w:r>
        <w:rPr>
          <w:rFonts w:ascii="Times New Roman" w:hAnsi="Times New Roman" w:cs="Times New Roman"/>
          <w:color w:val="auto"/>
          <w:sz w:val="24"/>
          <w:szCs w:val="24"/>
          <w:u w:val="single"/>
        </w:rPr>
        <w:t>的氨吸收罐、两台装车泵及一个装车鹤管组成。氨吸收罐已装15</w:t>
      </w:r>
      <w:r>
        <w:rPr>
          <w:rFonts w:ascii="Times New Roman" w:hAnsi="Times New Roman" w:cs="Times New Roman"/>
          <w:color w:val="auto"/>
          <w:szCs w:val="24"/>
          <w:u w:val="single"/>
        </w:rPr>
        <w:t xml:space="preserve"> m</w:t>
      </w:r>
      <w:r>
        <w:rPr>
          <w:rFonts w:ascii="Times New Roman" w:hAnsi="Times New Roman" w:cs="Times New Roman"/>
          <w:color w:val="auto"/>
          <w:szCs w:val="24"/>
          <w:u w:val="single"/>
          <w:vertAlign w:val="superscript"/>
        </w:rPr>
        <w:t>3</w:t>
      </w:r>
      <w:r>
        <w:rPr>
          <w:rFonts w:ascii="Times New Roman" w:hAnsi="Times New Roman" w:cs="Times New Roman"/>
          <w:color w:val="auto"/>
          <w:szCs w:val="24"/>
          <w:u w:val="single"/>
        </w:rPr>
        <w:t>水</w:t>
      </w:r>
      <w:r>
        <w:rPr>
          <w:rFonts w:ascii="Times New Roman" w:hAnsi="Times New Roman" w:cs="Times New Roman"/>
          <w:color w:val="auto"/>
          <w:sz w:val="24"/>
          <w:szCs w:val="24"/>
          <w:u w:val="single"/>
        </w:rPr>
        <w:t>，并与液氨贮罐安全阀后管线及装车鹤管相连，主要用于安全阀起跳后氨吸收及装车鹤管装完车后的卸压时卸出的微量氨气吸收，正常生产时每年产生含氨废水约90</w:t>
      </w:r>
      <w:r>
        <w:rPr>
          <w:rFonts w:ascii="Times New Roman" w:hAnsi="Times New Roman" w:cs="Times New Roman"/>
          <w:color w:val="auto"/>
          <w:szCs w:val="24"/>
          <w:u w:val="single"/>
        </w:rPr>
        <w:t xml:space="preserve"> m</w:t>
      </w:r>
      <w:r>
        <w:rPr>
          <w:rFonts w:ascii="Times New Roman" w:hAnsi="Times New Roman" w:cs="Times New Roman"/>
          <w:color w:val="auto"/>
          <w:szCs w:val="24"/>
          <w:u w:val="single"/>
          <w:vertAlign w:val="superscript"/>
        </w:rPr>
        <w:t>3</w:t>
      </w:r>
      <w:r>
        <w:rPr>
          <w:rFonts w:ascii="Times New Roman" w:hAnsi="Times New Roman" w:cs="Times New Roman"/>
          <w:color w:val="auto"/>
          <w:szCs w:val="24"/>
          <w:u w:val="single"/>
        </w:rPr>
        <w:t>，</w:t>
      </w:r>
      <w:r>
        <w:rPr>
          <w:rFonts w:ascii="Times New Roman" w:hAnsi="Times New Roman" w:cs="Times New Roman"/>
          <w:color w:val="auto"/>
          <w:sz w:val="24"/>
          <w:szCs w:val="24"/>
          <w:u w:val="single"/>
        </w:rPr>
        <w:t>送炼油一部污水汽提装置处理。本项目拟将装车鹤管移至兴长集团公司油气分公司的液化气站院内，因此新建</w:t>
      </w:r>
      <w:r>
        <w:rPr>
          <w:rFonts w:hint="eastAsia" w:ascii="Times New Roman" w:hAnsi="Times New Roman" w:cs="Times New Roman"/>
          <w:color w:val="auto"/>
          <w:sz w:val="24"/>
          <w:szCs w:val="24"/>
          <w:u w:val="single"/>
          <w:lang w:eastAsia="zh-CN"/>
        </w:rPr>
        <w:t>自本项目泵区至液化气站装车台一条</w:t>
      </w:r>
      <w:r>
        <w:rPr>
          <w:rFonts w:ascii="Times New Roman" w:hAnsi="Times New Roman" w:cs="Times New Roman"/>
          <w:color w:val="auto"/>
          <w:sz w:val="24"/>
          <w:szCs w:val="24"/>
          <w:u w:val="single"/>
        </w:rPr>
        <w:t>DN80的液氨输送管道1990m，并新建</w:t>
      </w:r>
      <w:r>
        <w:rPr>
          <w:rFonts w:hint="eastAsia" w:ascii="Times New Roman" w:hAnsi="Times New Roman" w:cs="Times New Roman"/>
          <w:color w:val="auto"/>
          <w:sz w:val="24"/>
          <w:szCs w:val="24"/>
          <w:u w:val="single"/>
          <w:lang w:eastAsia="zh-CN"/>
        </w:rPr>
        <w:t>自液化气站液氨装车至本项目储罐的一条</w:t>
      </w:r>
      <w:r>
        <w:rPr>
          <w:rFonts w:ascii="Times New Roman" w:hAnsi="Times New Roman" w:cs="Times New Roman"/>
          <w:color w:val="auto"/>
          <w:sz w:val="24"/>
          <w:szCs w:val="24"/>
          <w:u w:val="single"/>
        </w:rPr>
        <w:t>气相返回线DN50管道长度1950m（用于装车时液氨槽车顶部气相氨返回液氨贮罐），停用两台小扬程旧泵及旧的装车鹤管，新建两台大扬程（140 m）机泵，采用远程装车方式，装车鹤管设在液化气站装车棚内，装车鹤位处设停泵按钮，新敷控制光缆长2200m，装车泵进出口管道上设现场压力表，装车泵棚设液氨泄漏报警。液氨装车时，启动泵，将液氨输送到</w:t>
      </w:r>
      <w:r>
        <w:rPr>
          <w:rFonts w:hint="eastAsia" w:ascii="Times New Roman" w:hAnsi="Times New Roman" w:cs="Times New Roman"/>
          <w:color w:val="auto"/>
          <w:sz w:val="24"/>
          <w:szCs w:val="24"/>
          <w:u w:val="single"/>
          <w:lang w:eastAsia="zh-CN"/>
        </w:rPr>
        <w:t>液化气站液氨</w:t>
      </w:r>
      <w:r>
        <w:rPr>
          <w:rFonts w:ascii="Times New Roman" w:hAnsi="Times New Roman" w:cs="Times New Roman"/>
          <w:color w:val="auto"/>
          <w:sz w:val="24"/>
          <w:szCs w:val="24"/>
          <w:u w:val="single"/>
        </w:rPr>
        <w:t>装车鹤管装车，停止装车时，按停泵按钮即可停止装车。兴长集团公司油气分公司的液化气站院设一台30</w:t>
      </w:r>
      <w:r>
        <w:rPr>
          <w:rFonts w:ascii="Times New Roman" w:hAnsi="Times New Roman" w:cs="Times New Roman"/>
          <w:color w:val="auto"/>
          <w:szCs w:val="24"/>
          <w:u w:val="single"/>
        </w:rPr>
        <w:t xml:space="preserve"> m</w:t>
      </w:r>
      <w:r>
        <w:rPr>
          <w:rFonts w:ascii="Times New Roman" w:hAnsi="Times New Roman" w:cs="Times New Roman"/>
          <w:color w:val="auto"/>
          <w:szCs w:val="24"/>
          <w:u w:val="single"/>
          <w:vertAlign w:val="superscript"/>
        </w:rPr>
        <w:t>3</w:t>
      </w:r>
      <w:r>
        <w:rPr>
          <w:rFonts w:ascii="Times New Roman" w:hAnsi="Times New Roman" w:cs="Times New Roman"/>
          <w:color w:val="auto"/>
          <w:sz w:val="24"/>
          <w:szCs w:val="24"/>
          <w:u w:val="single"/>
        </w:rPr>
        <w:t>氨吸收罐用于装车鹤管装完车后的卸压时卸出的微量氨气吸收</w:t>
      </w:r>
      <w:r>
        <w:rPr>
          <w:rFonts w:hint="eastAsia" w:ascii="Times New Roman" w:hAnsi="Times New Roman" w:cs="Times New Roman"/>
          <w:color w:val="auto"/>
          <w:sz w:val="24"/>
          <w:szCs w:val="24"/>
          <w:u w:val="single"/>
          <w:lang w:eastAsia="zh-CN"/>
        </w:rPr>
        <w:t>及装车设施</w:t>
      </w:r>
      <w:r>
        <w:rPr>
          <w:rFonts w:ascii="Times New Roman" w:hAnsi="Times New Roman" w:cs="Times New Roman"/>
          <w:color w:val="auto"/>
          <w:sz w:val="24"/>
          <w:szCs w:val="24"/>
          <w:u w:val="single"/>
        </w:rPr>
        <w:t>安全阀起跳后氨吸收，吸收后的含氨废水</w:t>
      </w:r>
      <w:r>
        <w:rPr>
          <w:rFonts w:hint="eastAsia" w:ascii="Times New Roman" w:hAnsi="Times New Roman" w:cs="Times New Roman"/>
          <w:color w:val="auto"/>
          <w:sz w:val="24"/>
          <w:szCs w:val="24"/>
          <w:u w:val="single"/>
          <w:lang w:eastAsia="zh-CN"/>
        </w:rPr>
        <w:t>通过一条</w:t>
      </w:r>
      <w:r>
        <w:rPr>
          <w:rFonts w:ascii="Times New Roman" w:hAnsi="Times New Roman" w:cs="Times New Roman"/>
          <w:color w:val="auto"/>
          <w:sz w:val="24"/>
          <w:szCs w:val="24"/>
          <w:u w:val="single"/>
        </w:rPr>
        <w:t>DN50管道长度1</w:t>
      </w:r>
      <w:r>
        <w:rPr>
          <w:rFonts w:hint="eastAsia" w:ascii="Times New Roman" w:hAnsi="Times New Roman" w:cs="Times New Roman"/>
          <w:color w:val="auto"/>
          <w:sz w:val="24"/>
          <w:szCs w:val="24"/>
          <w:u w:val="single"/>
          <w:lang w:val="en-US" w:eastAsia="zh-CN"/>
        </w:rPr>
        <w:t>28</w:t>
      </w:r>
      <w:r>
        <w:rPr>
          <w:rFonts w:ascii="Times New Roman" w:hAnsi="Times New Roman" w:cs="Times New Roman"/>
          <w:color w:val="auto"/>
          <w:sz w:val="24"/>
          <w:szCs w:val="24"/>
          <w:u w:val="single"/>
        </w:rPr>
        <w:t>0m</w:t>
      </w:r>
      <w:r>
        <w:rPr>
          <w:rFonts w:hint="eastAsia" w:ascii="Times New Roman" w:hAnsi="Times New Roman" w:cs="Times New Roman"/>
          <w:color w:val="auto"/>
          <w:sz w:val="24"/>
          <w:szCs w:val="24"/>
          <w:u w:val="single"/>
          <w:lang w:eastAsia="zh-CN"/>
        </w:rPr>
        <w:t>，</w:t>
      </w:r>
      <w:r>
        <w:rPr>
          <w:rFonts w:ascii="Times New Roman" w:hAnsi="Times New Roman" w:cs="Times New Roman"/>
          <w:color w:val="auto"/>
          <w:sz w:val="24"/>
          <w:szCs w:val="24"/>
          <w:u w:val="single"/>
        </w:rPr>
        <w:t>就近送公司炼油二部非加氢污水汽提装置处理。本项目仅包含液化气站院外管线及装车泵等设备设施。</w:t>
      </w:r>
    </w:p>
    <w:p>
      <w:pPr>
        <w:spacing w:line="360" w:lineRule="auto"/>
        <w:ind w:firstLine="480" w:firstLineChars="200"/>
        <w:rPr>
          <w:rFonts w:hint="eastAsia" w:ascii="Times New Roman" w:hAnsi="Times New Roman" w:cs="Times New Roman"/>
          <w:color w:val="auto"/>
          <w:sz w:val="24"/>
          <w:szCs w:val="24"/>
        </w:rPr>
      </w:pPr>
      <w:r>
        <w:rPr>
          <w:rFonts w:ascii="Times New Roman" w:hAnsi="Times New Roman" w:cs="Times New Roman"/>
          <w:color w:val="auto"/>
          <w:sz w:val="24"/>
          <w:szCs w:val="24"/>
          <w:u w:val="single"/>
        </w:rPr>
        <w:t>本项目主要生产工艺和产污环节如下图：</w:t>
      </w:r>
      <w:r>
        <w:rPr>
          <w:rFonts w:ascii="Times New Roman" w:hAnsi="Times New Roman" w:cs="Times New Roman"/>
          <w:color w:val="auto"/>
          <w:sz w:val="24"/>
          <w:szCs w:val="24"/>
        </w:rPr>
        <mc:AlternateContent>
          <mc:Choice Requires="wps">
            <w:drawing>
              <wp:anchor distT="0" distB="0" distL="114300" distR="114300" simplePos="0" relativeHeight="251642880" behindDoc="0" locked="0" layoutInCell="1" allowOverlap="1">
                <wp:simplePos x="0" y="0"/>
                <wp:positionH relativeFrom="column">
                  <wp:posOffset>2330450</wp:posOffset>
                </wp:positionH>
                <wp:positionV relativeFrom="paragraph">
                  <wp:posOffset>1370330</wp:posOffset>
                </wp:positionV>
                <wp:extent cx="3810" cy="394970"/>
                <wp:effectExtent l="34925" t="0" r="37465" b="5080"/>
                <wp:wrapNone/>
                <wp:docPr id="106" name="直接箭头连接符 106"/>
                <wp:cNvGraphicFramePr/>
                <a:graphic xmlns:a="http://schemas.openxmlformats.org/drawingml/2006/main">
                  <a:graphicData uri="http://schemas.microsoft.com/office/word/2010/wordprocessingShape">
                    <wps:wsp>
                      <wps:cNvCnPr/>
                      <wps:spPr>
                        <a:xfrm>
                          <a:off x="0" y="0"/>
                          <a:ext cx="3810" cy="3949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83.5pt;margin-top:107.9pt;height:31.1pt;width:0.3pt;z-index:251642880;mso-width-relative:page;mso-height-relative:page;" filled="f" stroked="t" coordsize="21600,21600" o:gfxdata="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4P59oAAAALAQAADwAAAAAAAAABACAAAAAiAAAAZHJz&#10;L2Rvd25yZXYueG1sUEsBAhQAFAAAAAgAh07iQClQN/8CAgAAuwMAAA4AAAAAAAAAAQAgAAAAKQEA&#10;AGRycy9lMm9Eb2MueG1sUEsFBgAAAAAGAAYAWQEAAJ0FAAAAAA==&#10;">
                <v:fill on="f" focussize="0,0"/>
                <v:stroke color="#4A7EBB [3204]"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45720" distB="45720" distL="114300" distR="114300" simplePos="0" relativeHeight="251636736" behindDoc="0" locked="0" layoutInCell="1" allowOverlap="1">
                <wp:simplePos x="0" y="0"/>
                <wp:positionH relativeFrom="column">
                  <wp:posOffset>3267710</wp:posOffset>
                </wp:positionH>
                <wp:positionV relativeFrom="paragraph">
                  <wp:posOffset>1038860</wp:posOffset>
                </wp:positionV>
                <wp:extent cx="1371600" cy="1404620"/>
                <wp:effectExtent l="0" t="0" r="19050" b="12700"/>
                <wp:wrapSquare wrapText="bothSides"/>
                <wp:docPr id="9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71600" cy="1404620"/>
                        </a:xfrm>
                        <a:prstGeom prst="rect">
                          <a:avLst/>
                        </a:prstGeom>
                        <a:solidFill>
                          <a:srgbClr val="FFFFFF"/>
                        </a:solidFill>
                        <a:ln w="9525">
                          <a:solidFill>
                            <a:srgbClr val="000000"/>
                          </a:solidFill>
                          <a:miter lim="800000"/>
                        </a:ln>
                      </wps:spPr>
                      <wps:txbx>
                        <w:txbxContent>
                          <w:p>
                            <w:pPr>
                              <w:jc w:val="center"/>
                              <w:rPr>
                                <w:rFonts w:hint="eastAsia" w:eastAsia="宋体"/>
                                <w:lang w:eastAsia="zh-CN"/>
                              </w:rPr>
                            </w:pPr>
                            <w:r>
                              <w:rPr>
                                <w:rFonts w:hint="eastAsia"/>
                                <w:u w:val="single"/>
                              </w:rPr>
                              <w:t>液化气站</w:t>
                            </w:r>
                            <w:r>
                              <w:rPr>
                                <w:rFonts w:hint="eastAsia"/>
                                <w:u w:val="single"/>
                                <w:lang w:eastAsia="zh-CN"/>
                              </w:rPr>
                              <w:t>装车设施</w:t>
                            </w:r>
                            <w:r>
                              <w:rPr>
                                <w:rFonts w:hint="eastAsia"/>
                                <w:lang w:eastAsia="zh-CN"/>
                              </w:rPr>
                              <w:t>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57.3pt;margin-top:81.8pt;height:110.6pt;width:108pt;mso-wrap-distance-bottom:3.6pt;mso-wrap-distance-left:9pt;mso-wrap-distance-right:9pt;mso-wrap-distance-top:3.6pt;z-index:251636736;mso-width-relative:page;mso-height-relative:margin;mso-height-percent:200;" fillcolor="#FFFFFF" filled="t" stroked="t" coordsize="21600,21600" o:gfxdata="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P1i+x1wAA&#10;AAsBAAAPAAAAAAAAAAEAIAAAACIAAABkcnMvZG93bnJldi54bWxQSwECFAAUAAAACACHTuJA6xTw&#10;WB8CAAAvBAAADgAAAAAAAAABACAAAAAmAQAAZHJzL2Uyb0RvYy54bWxQSwUGAAAAAAYABgBZAQAA&#10;twUAAAAA&#10;">
                <v:fill on="t" focussize="0,0"/>
                <v:stroke color="#000000" miterlimit="8" joinstyle="miter"/>
                <v:imagedata o:title=""/>
                <o:lock v:ext="edit" aspectratio="f"/>
                <v:textbox style="mso-fit-shape-to-text:t;">
                  <w:txbxContent>
                    <w:p>
                      <w:pPr>
                        <w:jc w:val="center"/>
                        <w:rPr>
                          <w:rFonts w:hint="eastAsia" w:eastAsia="宋体"/>
                          <w:lang w:eastAsia="zh-CN"/>
                        </w:rPr>
                      </w:pPr>
                      <w:r>
                        <w:rPr>
                          <w:rFonts w:hint="eastAsia"/>
                          <w:u w:val="single"/>
                        </w:rPr>
                        <w:t>液化气站</w:t>
                      </w:r>
                      <w:r>
                        <w:rPr>
                          <w:rFonts w:hint="eastAsia"/>
                          <w:u w:val="single"/>
                          <w:lang w:eastAsia="zh-CN"/>
                        </w:rPr>
                        <w:t>装车设施</w:t>
                      </w:r>
                      <w:r>
                        <w:rPr>
                          <w:rFonts w:hint="eastAsia"/>
                          <w:lang w:eastAsia="zh-CN"/>
                        </w:rPr>
                        <w:t>　</w:t>
                      </w:r>
                    </w:p>
                  </w:txbxContent>
                </v:textbox>
                <w10:wrap type="square"/>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40832" behindDoc="0" locked="0" layoutInCell="1" allowOverlap="1">
                <wp:simplePos x="0" y="0"/>
                <wp:positionH relativeFrom="column">
                  <wp:posOffset>537210</wp:posOffset>
                </wp:positionH>
                <wp:positionV relativeFrom="paragraph">
                  <wp:posOffset>676275</wp:posOffset>
                </wp:positionV>
                <wp:extent cx="3082925" cy="5080"/>
                <wp:effectExtent l="0" t="38100" r="3175" b="33020"/>
                <wp:wrapNone/>
                <wp:docPr id="104" name="直接箭头连接符 104"/>
                <wp:cNvGraphicFramePr/>
                <a:graphic xmlns:a="http://schemas.openxmlformats.org/drawingml/2006/main">
                  <a:graphicData uri="http://schemas.microsoft.com/office/word/2010/wordprocessingShape">
                    <wps:wsp>
                      <wps:cNvCnPr/>
                      <wps:spPr>
                        <a:xfrm flipH="1" flipV="1">
                          <a:off x="0" y="0"/>
                          <a:ext cx="3082925" cy="5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2.3pt;margin-top:53.25pt;height:0.4pt;width:242.75pt;z-index:251640832;mso-width-relative:page;mso-height-relative:page;" filled="f" stroked="t" coordsize="21600,21600" o:gfxdata="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g11kU2AAAAAoBAAAPAAAAAAAAAAEAIAAA&#10;ACIAAABkcnMvZG93bnJldi54bWxQSwECFAAUAAAACACHTuJAnfUknwwCAADQAwAADgAAAAAAAAAB&#10;ACAAAAAnAQAAZHJzL2Uyb0RvYy54bWxQSwUGAAAAAAYABgBZAQAApQUAAAAA&#10;">
                <v:fill on="f" focussize="0,0"/>
                <v:stroke color="#4A7EBB [3204]"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45720" distB="45720" distL="114300" distR="114300" simplePos="0" relativeHeight="251637760" behindDoc="0" locked="0" layoutInCell="1" allowOverlap="1">
                <wp:simplePos x="0" y="0"/>
                <wp:positionH relativeFrom="column">
                  <wp:posOffset>1731010</wp:posOffset>
                </wp:positionH>
                <wp:positionV relativeFrom="paragraph">
                  <wp:posOffset>1794510</wp:posOffset>
                </wp:positionV>
                <wp:extent cx="1270000" cy="1404620"/>
                <wp:effectExtent l="0" t="0" r="25400" b="22860"/>
                <wp:wrapSquare wrapText="bothSides"/>
                <wp:docPr id="10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70000" cy="1404620"/>
                        </a:xfrm>
                        <a:prstGeom prst="rect">
                          <a:avLst/>
                        </a:prstGeom>
                        <a:solidFill>
                          <a:srgbClr val="FFFFFF"/>
                        </a:solidFill>
                        <a:ln w="9525">
                          <a:solidFill>
                            <a:srgbClr val="000000"/>
                          </a:solidFill>
                          <a:miter lim="800000"/>
                        </a:ln>
                      </wps:spPr>
                      <wps:txbx>
                        <w:txbxContent>
                          <w:p>
                            <w:r>
                              <w:rPr>
                                <w:rFonts w:hint="eastAsia"/>
                              </w:rPr>
                              <w:t>冷却水排污水场</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6.3pt;margin-top:141.3pt;height:110.6pt;width:100pt;mso-wrap-distance-bottom:3.6pt;mso-wrap-distance-left:9pt;mso-wrap-distance-right:9pt;mso-wrap-distance-top:3.6pt;z-index:251637760;mso-width-relative:page;mso-height-relative:margin;mso-height-percent:200;" fillcolor="#FFFFFF" filled="t" stroked="t" coordsize="21600,21600" o:gfxdata="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S5fN2tcA&#10;AAALAQAADwAAAAAAAAABACAAAAAiAAAAZHJzL2Rvd25yZXYueG1sUEsBAhQAFAAAAAgAh07iQIHI&#10;tWggAgAAMAQAAA4AAAAAAAAAAQAgAAAAJgEAAGRycy9lMm9Eb2MueG1sUEsFBgAAAAAGAAYAWQEA&#10;ALgFAAAAAA==&#10;">
                <v:fill on="t" focussize="0,0"/>
                <v:stroke color="#000000" miterlimit="8" joinstyle="miter"/>
                <v:imagedata o:title=""/>
                <o:lock v:ext="edit" aspectratio="f"/>
                <v:textbox style="mso-fit-shape-to-text:t;">
                  <w:txbxContent>
                    <w:p>
                      <w:r>
                        <w:rPr>
                          <w:rFonts w:hint="eastAsia"/>
                        </w:rPr>
                        <w:t>冷却水排污水场</w:t>
                      </w:r>
                    </w:p>
                  </w:txbxContent>
                </v:textbox>
                <w10:wrap type="square"/>
              </v:shape>
            </w:pict>
          </mc:Fallback>
        </mc:AlternateContent>
      </w:r>
    </w:p>
    <w:p>
      <w:pPr>
        <w:spacing w:line="360" w:lineRule="auto"/>
        <w:rPr>
          <w:rFonts w:hint="eastAsia" w:ascii="Times New Roman" w:hAnsi="Times New Roman" w:cs="Times New Roman"/>
          <w:color w:val="auto"/>
          <w:sz w:val="24"/>
          <w:szCs w:val="24"/>
        </w:rPr>
      </w:pPr>
      <w:r>
        <w:rPr>
          <w:rFonts w:ascii="Times New Roman" w:hAnsi="Times New Roman" w:cs="Times New Roman"/>
          <w:color w:val="auto"/>
          <w:sz w:val="24"/>
          <w:szCs w:val="24"/>
        </w:rPr>
        <mc:AlternateContent>
          <mc:Choice Requires="wps">
            <w:drawing>
              <wp:anchor distT="45720" distB="45720" distL="114300" distR="114300" simplePos="0" relativeHeight="251630592" behindDoc="0" locked="0" layoutInCell="1" allowOverlap="1">
                <wp:simplePos x="0" y="0"/>
                <wp:positionH relativeFrom="column">
                  <wp:posOffset>80010</wp:posOffset>
                </wp:positionH>
                <wp:positionV relativeFrom="paragraph">
                  <wp:posOffset>78105</wp:posOffset>
                </wp:positionV>
                <wp:extent cx="5556250" cy="1731010"/>
                <wp:effectExtent l="0" t="0" r="6350" b="254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556250" cy="173101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6.3pt;margin-top:6.15pt;height:136.3pt;width:437.5pt;mso-wrap-distance-bottom:3.6pt;mso-wrap-distance-left:9pt;mso-wrap-distance-right:9pt;mso-wrap-distance-top:3.6pt;z-index:251630592;mso-width-relative:page;mso-height-relative:page;" fillcolor="#FFFFFF [3201]" filled="t" stroked="f" coordsize="21600,21600" o:gfxdata="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EiiU52QAAAAkBAAAPAAAAAAAAAAEAIAAAACIAAABkcnMvZG93bnJldi54bWxQ&#10;SwECFAAUAAAACACHTuJAr9T59S8CAAArBAAADgAAAAAAAAABACAAAAAoAQAAZHJzL2Uyb0RvYy54&#10;bWxQSwUGAAAAAAYABgBZAQAAyQUAAAAA&#10;">
                <v:fill on="t" focussize="0,0"/>
                <v:stroke on="f" weight="2pt"/>
                <v:imagedata o:title=""/>
                <o:lock v:ext="edit" aspectratio="f"/>
                <v:textbox>
                  <w:txbxContent>
                    <w:p/>
                    <w:p/>
                    <w:p/>
                  </w:txbxContent>
                </v:textbox>
                <w10:wrap type="square"/>
              </v:shape>
            </w:pict>
          </mc:Fallback>
        </mc:AlternateContent>
      </w:r>
    </w:p>
    <w:p>
      <w:pPr>
        <w:spacing w:before="120" w:beforeLines="50" w:line="360" w:lineRule="auto"/>
        <w:jc w:val="center"/>
        <w:rPr>
          <w:rFonts w:ascii="Times New Roman" w:hAnsi="Times New Roman" w:cs="Times New Roman"/>
          <w:b/>
          <w:color w:val="auto"/>
          <w:sz w:val="22"/>
          <w:szCs w:val="24"/>
        </w:rPr>
      </w:pPr>
      <w:r>
        <w:rPr>
          <w:rFonts w:ascii="Times New Roman" w:hAnsi="Times New Roman" w:cs="Times New Roman"/>
          <w:color w:val="auto"/>
          <w:sz w:val="24"/>
          <w:szCs w:val="24"/>
        </w:rPr>
        <mc:AlternateContent>
          <mc:Choice Requires="wps">
            <w:drawing>
              <wp:anchor distT="0" distB="0" distL="114300" distR="114300" simplePos="0" relativeHeight="251712512" behindDoc="0" locked="0" layoutInCell="1" allowOverlap="1">
                <wp:simplePos x="0" y="0"/>
                <wp:positionH relativeFrom="column">
                  <wp:posOffset>-5221605</wp:posOffset>
                </wp:positionH>
                <wp:positionV relativeFrom="paragraph">
                  <wp:posOffset>136525</wp:posOffset>
                </wp:positionV>
                <wp:extent cx="0" cy="314960"/>
                <wp:effectExtent l="38100" t="0" r="38100" b="8890"/>
                <wp:wrapNone/>
                <wp:docPr id="121" name="直接箭头连接符 121"/>
                <wp:cNvGraphicFramePr/>
                <a:graphic xmlns:a="http://schemas.openxmlformats.org/drawingml/2006/main">
                  <a:graphicData uri="http://schemas.microsoft.com/office/word/2010/wordprocessingShape">
                    <wps:wsp>
                      <wps:cNvCnPr/>
                      <wps:spPr>
                        <a:xfrm>
                          <a:off x="0" y="0"/>
                          <a:ext cx="0" cy="3149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1.15pt;margin-top:10.75pt;height:24.8pt;width:0pt;z-index:251712512;mso-width-relative:page;mso-height-relative:page;" filled="f" stroked="t" coordsize="21600,21600" o:gfxdata="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VRE4v2AAAAAsBAAAPAAAAAAAAAAEAIAAAACIAAABkcnMvZG93bnJl&#10;di54bWxQSwECFAAUAAAACACHTuJAS8i+nf0BAAC4AwAADgAAAAAAAAABACAAAAAnAQAAZHJzL2Uy&#10;b0RvYy54bWxQSwUGAAAAAAYABgBZAQAAlgUAAAAA&#10;">
                <v:fill on="f" focussize="0,0"/>
                <v:stroke color="#4A7EBB [3204]"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39808" behindDoc="0" locked="0" layoutInCell="1" allowOverlap="1">
                <wp:simplePos x="0" y="0"/>
                <wp:positionH relativeFrom="column">
                  <wp:posOffset>-2134870</wp:posOffset>
                </wp:positionH>
                <wp:positionV relativeFrom="paragraph">
                  <wp:posOffset>116840</wp:posOffset>
                </wp:positionV>
                <wp:extent cx="5715" cy="363855"/>
                <wp:effectExtent l="4445" t="0" r="8890" b="17145"/>
                <wp:wrapNone/>
                <wp:docPr id="103" name="直接连接符 103"/>
                <wp:cNvGraphicFramePr/>
                <a:graphic xmlns:a="http://schemas.openxmlformats.org/drawingml/2006/main">
                  <a:graphicData uri="http://schemas.microsoft.com/office/word/2010/wordprocessingShape">
                    <wps:wsp>
                      <wps:cNvCnPr/>
                      <wps:spPr>
                        <a:xfrm>
                          <a:off x="0" y="0"/>
                          <a:ext cx="5715" cy="3638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8.1pt;margin-top:9.2pt;height:28.65pt;width:0.45pt;z-index:251639808;mso-width-relative:page;mso-height-relative:page;" filled="f" stroked="t" coordsize="21600,21600" o:gfxdata="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K+jXtsAAAALAQAA&#10;DwAAAAAAAAABACAAAAAiAAAAZHJzL2Rvd25yZXYueG1sUEsBAhQAFAAAAAgAh07iQCmiRVrdAQAA&#10;iwMAAA4AAAAAAAAAAQAgAAAAKgEAAGRycy9lMm9Eb2MueG1sUEsFBgAAAAAGAAYAWQEAAHkFAAAA&#10;AA==&#10;">
                <v:fill on="f" focussize="0,0"/>
                <v:stroke color="#4A7EBB [3204]" joinstyle="round"/>
                <v:imagedata o:title=""/>
                <o:lock v:ext="edit" aspectratio="f"/>
              </v:line>
            </w:pict>
          </mc:Fallback>
        </mc:AlternateContent>
      </w:r>
    </w:p>
    <w:p>
      <w:pPr>
        <w:spacing w:before="120" w:beforeLines="50" w:line="360" w:lineRule="auto"/>
        <w:jc w:val="center"/>
        <w:rPr>
          <w:rFonts w:ascii="Times New Roman" w:hAnsi="Times New Roman" w:cs="Times New Roman"/>
          <w:b/>
          <w:color w:val="auto"/>
          <w:sz w:val="22"/>
          <w:szCs w:val="24"/>
        </w:rPr>
      </w:pPr>
      <w:r>
        <w:rPr>
          <w:rFonts w:ascii="Times New Roman" w:hAnsi="Times New Roman" w:cs="Times New Roman"/>
          <w:color w:val="auto"/>
          <w:sz w:val="24"/>
          <w:szCs w:val="24"/>
        </w:rPr>
        <mc:AlternateContent>
          <mc:Choice Requires="wps">
            <w:drawing>
              <wp:anchor distT="0" distB="0" distL="114300" distR="114300" simplePos="0" relativeHeight="251689984" behindDoc="0" locked="0" layoutInCell="1" allowOverlap="1">
                <wp:simplePos x="0" y="0"/>
                <wp:positionH relativeFrom="column">
                  <wp:posOffset>-3022600</wp:posOffset>
                </wp:positionH>
                <wp:positionV relativeFrom="paragraph">
                  <wp:posOffset>300990</wp:posOffset>
                </wp:positionV>
                <wp:extent cx="534035" cy="635"/>
                <wp:effectExtent l="0" t="37465" r="18415" b="38100"/>
                <wp:wrapNone/>
                <wp:docPr id="123" name="直接箭头连接符 123"/>
                <wp:cNvGraphicFramePr/>
                <a:graphic xmlns:a="http://schemas.openxmlformats.org/drawingml/2006/main">
                  <a:graphicData uri="http://schemas.microsoft.com/office/word/2010/wordprocessingShape">
                    <wps:wsp>
                      <wps:cNvCnPr/>
                      <wps:spPr>
                        <a:xfrm>
                          <a:off x="0" y="0"/>
                          <a:ext cx="534035" cy="6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8pt;margin-top:23.7pt;height:0.05pt;width:42.05pt;z-index:251689984;mso-width-relative:page;mso-height-relative:page;" filled="f" stroked="t" coordsize="21600,21600" o:gfxdata="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5uly+NwAAAALAQAADwAAAAAAAAABACAAAAAiAAAAZHJz&#10;L2Rvd25yZXYueG1sUEsBAhQAFAAAAAgAh07iQD8eErwAAgAAugMAAA4AAAAAAAAAAQAgAAAAKwEA&#10;AGRycy9lMm9Eb2MueG1sUEsFBgAAAAAGAAYAWQEAAJ0FAAAAAA==&#10;">
                <v:fill on="f" focussize="0,0"/>
                <v:stroke color="#4A7EBB [3204]"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33664" behindDoc="0" locked="0" layoutInCell="1" allowOverlap="1">
                <wp:simplePos x="0" y="0"/>
                <wp:positionH relativeFrom="column">
                  <wp:posOffset>-3760470</wp:posOffset>
                </wp:positionH>
                <wp:positionV relativeFrom="paragraph">
                  <wp:posOffset>137160</wp:posOffset>
                </wp:positionV>
                <wp:extent cx="742950" cy="298450"/>
                <wp:effectExtent l="0" t="0" r="19050" b="25400"/>
                <wp:wrapNone/>
                <wp:docPr id="9" name="文本框 9"/>
                <wp:cNvGraphicFramePr/>
                <a:graphic xmlns:a="http://schemas.openxmlformats.org/drawingml/2006/main">
                  <a:graphicData uri="http://schemas.microsoft.com/office/word/2010/wordprocessingShape">
                    <wps:wsp>
                      <wps:cNvSpPr txBox="1"/>
                      <wps:spPr>
                        <a:xfrm>
                          <a:off x="0" y="0"/>
                          <a:ext cx="742950" cy="298450"/>
                        </a:xfrm>
                        <a:prstGeom prst="rect">
                          <a:avLst/>
                        </a:prstGeom>
                        <a:solidFill>
                          <a:schemeClr val="lt1"/>
                        </a:solidFill>
                        <a:ln w="6350">
                          <a:solidFill>
                            <a:prstClr val="black"/>
                          </a:solidFill>
                        </a:ln>
                      </wps:spPr>
                      <wps:txbx>
                        <w:txbxContent>
                          <w:p>
                            <w:r>
                              <w:rPr>
                                <w:rFonts w:hint="eastAsia"/>
                              </w:rPr>
                              <w:t>装车泵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1pt;margin-top:10.8pt;height:23.5pt;width:58.5pt;z-index:251633664;mso-width-relative:page;mso-height-relative:page;" fillcolor="#FFFFFF [3201]" filled="t" stroked="t" coordsize="21600,21600" o:gfxdata="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cZtjTYAAAACwEAAA8AAAAAAAAAAQAgAAAAIgAAAGRycy9kb3du&#10;cmV2LnhtbFBLAQIUABQAAAAIAIdO4kDuyepaOAIAAGgEAAAOAAAAAAAAAAEAIAAAACcBAABkcnMv&#10;ZTJvRG9jLnhtbFBLBQYAAAAABgAGAFkBAADRBQAAAAA=&#10;">
                <v:fill on="t" focussize="0,0"/>
                <v:stroke weight="0.5pt" color="#000000" joinstyle="round"/>
                <v:imagedata o:title=""/>
                <o:lock v:ext="edit" aspectratio="f"/>
                <v:textbox>
                  <w:txbxContent>
                    <w:p>
                      <w:r>
                        <w:rPr>
                          <w:rFonts w:hint="eastAsia"/>
                        </w:rPr>
                        <w:t>装车泵</w:t>
                      </w:r>
                    </w:p>
                  </w:txbxContent>
                </v:textbox>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34688" behindDoc="0" locked="0" layoutInCell="1" allowOverlap="1">
                <wp:simplePos x="0" y="0"/>
                <wp:positionH relativeFrom="column">
                  <wp:posOffset>-4443730</wp:posOffset>
                </wp:positionH>
                <wp:positionV relativeFrom="paragraph">
                  <wp:posOffset>279400</wp:posOffset>
                </wp:positionV>
                <wp:extent cx="687705" cy="0"/>
                <wp:effectExtent l="0" t="38100" r="17145" b="38100"/>
                <wp:wrapNone/>
                <wp:docPr id="40" name="直接箭头连接符 40"/>
                <wp:cNvGraphicFramePr/>
                <a:graphic xmlns:a="http://schemas.openxmlformats.org/drawingml/2006/main">
                  <a:graphicData uri="http://schemas.microsoft.com/office/word/2010/wordprocessingShape">
                    <wps:wsp>
                      <wps:cNvCnPr/>
                      <wps:spPr>
                        <a:xfrm>
                          <a:off x="0" y="0"/>
                          <a:ext cx="6877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49.9pt;margin-top:22pt;height:0pt;width:54.15pt;z-index:251634688;mso-width-relative:page;mso-height-relative:page;" filled="f" stroked="t" coordsize="21600,21600" o:gfxdata="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X4AutoAAAALAQAADwAAAAAAAAABACAAAAAiAAAAZHJzL2Rvd25y&#10;ZXYueG1sUEsBAhQAFAAAAAgAh07iQBPaivP8AQAAtgMAAA4AAAAAAAAAAQAgAAAAKQEAAGRycy9l&#10;Mm9Eb2MueG1sUEsFBgAAAAAGAAYAWQEAAJcFAAAAAA==&#10;">
                <v:fill on="f" focussize="0,0"/>
                <v:stroke color="#4A7EBB [3204]"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32640" behindDoc="0" locked="0" layoutInCell="1" allowOverlap="1">
                <wp:simplePos x="0" y="0"/>
                <wp:positionH relativeFrom="column">
                  <wp:posOffset>-5701030</wp:posOffset>
                </wp:positionH>
                <wp:positionV relativeFrom="paragraph">
                  <wp:posOffset>103505</wp:posOffset>
                </wp:positionV>
                <wp:extent cx="1257300" cy="304800"/>
                <wp:effectExtent l="0" t="0" r="19050" b="19050"/>
                <wp:wrapNone/>
                <wp:docPr id="5" name="文本框 5"/>
                <wp:cNvGraphicFramePr/>
                <a:graphic xmlns:a="http://schemas.openxmlformats.org/drawingml/2006/main">
                  <a:graphicData uri="http://schemas.microsoft.com/office/word/2010/wordprocessingShape">
                    <wps:wsp>
                      <wps:cNvSpPr txBox="1"/>
                      <wps:spPr>
                        <a:xfrm>
                          <a:off x="0" y="0"/>
                          <a:ext cx="1257300" cy="304800"/>
                        </a:xfrm>
                        <a:prstGeom prst="rect">
                          <a:avLst/>
                        </a:prstGeom>
                        <a:solidFill>
                          <a:schemeClr val="lt1"/>
                        </a:solidFill>
                        <a:ln w="6350">
                          <a:solidFill>
                            <a:prstClr val="black"/>
                          </a:solidFill>
                        </a:ln>
                      </wps:spPr>
                      <wps:txbx>
                        <w:txbxContent>
                          <w:p>
                            <w:r>
                              <w:rPr>
                                <w:rFonts w:hint="eastAsia"/>
                              </w:rPr>
                              <w:t>液氨自储罐来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9pt;margin-top:8.15pt;height:24pt;width:99pt;z-index:251632640;mso-width-relative:page;mso-height-relative:page;" fillcolor="#FFFFFF [3201]" filled="t" stroked="t" coordsize="21600,21600" o:gfxdata="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PtWYfXAAAACwEAAA8AAAAAAAAAAQAgAAAAIgAAAGRycy9k&#10;b3ducmV2LnhtbFBLAQIUABQAAAAIAIdO4kAJk1/yPAIAAGkEAAAOAAAAAAAAAAEAIAAAACYBAABk&#10;cnMvZTJvRG9jLnhtbFBLBQYAAAAABgAGAFkBAADUBQAAAAA=&#10;">
                <v:fill on="t" focussize="0,0"/>
                <v:stroke weight="0.5pt" color="#000000" joinstyle="round"/>
                <v:imagedata o:title=""/>
                <o:lock v:ext="edit" aspectratio="f"/>
                <v:textbox>
                  <w:txbxContent>
                    <w:p>
                      <w:r>
                        <w:rPr>
                          <w:rFonts w:hint="eastAsia"/>
                        </w:rPr>
                        <w:t>液氨自储罐来</w:t>
                      </w:r>
                    </w:p>
                  </w:txbxContent>
                </v:textbox>
              </v:shape>
            </w:pict>
          </mc:Fallback>
        </mc:AlternateContent>
      </w:r>
    </w:p>
    <w:p>
      <w:pPr>
        <w:spacing w:before="120" w:beforeLines="50" w:line="360" w:lineRule="auto"/>
        <w:jc w:val="center"/>
        <w:rPr>
          <w:rFonts w:ascii="Times New Roman" w:hAnsi="Times New Roman" w:cs="Times New Roman"/>
          <w:b/>
          <w:color w:val="auto"/>
          <w:sz w:val="22"/>
          <w:szCs w:val="24"/>
        </w:rPr>
      </w:pPr>
      <w:r>
        <w:rPr>
          <w:rFonts w:ascii="Times New Roman" w:hAnsi="Times New Roman" w:cs="Times New Roman"/>
          <w:color w:val="auto"/>
          <w:sz w:val="24"/>
          <w:szCs w:val="24"/>
        </w:rPr>
        <mc:AlternateContent>
          <mc:Choice Requires="wps">
            <w:drawing>
              <wp:anchor distT="45720" distB="45720" distL="114300" distR="114300" simplePos="0" relativeHeight="251644928" behindDoc="0" locked="0" layoutInCell="1" allowOverlap="1">
                <wp:simplePos x="0" y="0"/>
                <wp:positionH relativeFrom="column">
                  <wp:posOffset>-3366135</wp:posOffset>
                </wp:positionH>
                <wp:positionV relativeFrom="paragraph">
                  <wp:posOffset>226060</wp:posOffset>
                </wp:positionV>
                <wp:extent cx="393700" cy="1404620"/>
                <wp:effectExtent l="0" t="0" r="6350" b="3810"/>
                <wp:wrapSquare wrapText="bothSides"/>
                <wp:docPr id="1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3700" cy="1404620"/>
                        </a:xfrm>
                        <a:prstGeom prst="rect">
                          <a:avLst/>
                        </a:prstGeom>
                        <a:solidFill>
                          <a:srgbClr val="FFFFFF"/>
                        </a:solidFill>
                        <a:ln w="9525">
                          <a:noFill/>
                          <a:miter lim="800000"/>
                        </a:ln>
                      </wps:spPr>
                      <wps:txbx>
                        <w:txbxContent>
                          <w:p>
                            <w:r>
                              <w:rPr>
                                <w:rFonts w:hint="eastAsia"/>
                              </w:rPr>
                              <w:t>W</w:t>
                            </w:r>
                            <w:r>
                              <w:t>1</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65.05pt;margin-top:17.8pt;height:110.6pt;width:31pt;mso-wrap-distance-bottom:3.6pt;mso-wrap-distance-left:9pt;mso-wrap-distance-right:9pt;mso-wrap-distance-top:3.6pt;z-index:251644928;mso-width-relative:page;mso-height-relative:margin;mso-height-percent:200;" fillcolor="#FFFFFF" filled="t" stroked="f" coordsize="21600,21600" o:gfxdata="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Uk4G2doA&#10;AAAMAQAADwAAAAAAAAABACAAAAAiAAAAZHJzL2Rvd25yZXYueG1sUEsBAhQAFAAAAAgAh07iQP+J&#10;UgMdAgAABgQAAA4AAAAAAAAAAQAgAAAAKQEAAGRycy9lMm9Eb2MueG1sUEsFBgAAAAAGAAYAWQEA&#10;ALgFAAAAAA==&#10;">
                <v:fill on="t" focussize="0,0"/>
                <v:stroke on="f" miterlimit="8" joinstyle="miter"/>
                <v:imagedata o:title=""/>
                <o:lock v:ext="edit" aspectratio="f"/>
                <v:textbox style="mso-fit-shape-to-text:t;">
                  <w:txbxContent>
                    <w:p>
                      <w:r>
                        <w:rPr>
                          <w:rFonts w:hint="eastAsia"/>
                        </w:rPr>
                        <w:t>W</w:t>
                      </w:r>
                      <w:r>
                        <w:t>1</w:t>
                      </w:r>
                    </w:p>
                  </w:txbxContent>
                </v:textbox>
                <w10:wrap type="square"/>
              </v:shape>
            </w:pict>
          </mc:Fallback>
        </mc:AlternateContent>
      </w:r>
      <w:r>
        <w:rPr>
          <w:rFonts w:ascii="Times New Roman" w:hAnsi="Times New Roman" w:cs="Times New Roman"/>
          <w:color w:val="auto"/>
          <w:sz w:val="24"/>
          <w:szCs w:val="24"/>
        </w:rPr>
        <mc:AlternateContent>
          <mc:Choice Requires="wps">
            <w:drawing>
              <wp:anchor distT="45720" distB="45720" distL="114300" distR="114300" simplePos="0" relativeHeight="251645952" behindDoc="0" locked="0" layoutInCell="1" allowOverlap="1">
                <wp:simplePos x="0" y="0"/>
                <wp:positionH relativeFrom="column">
                  <wp:posOffset>-1734185</wp:posOffset>
                </wp:positionH>
                <wp:positionV relativeFrom="paragraph">
                  <wp:posOffset>255270</wp:posOffset>
                </wp:positionV>
                <wp:extent cx="393700" cy="1404620"/>
                <wp:effectExtent l="0" t="0" r="6350" b="3810"/>
                <wp:wrapSquare wrapText="bothSides"/>
                <wp:docPr id="11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93700" cy="1404620"/>
                        </a:xfrm>
                        <a:prstGeom prst="rect">
                          <a:avLst/>
                        </a:prstGeom>
                        <a:solidFill>
                          <a:srgbClr val="FFFFFF"/>
                        </a:solidFill>
                        <a:ln w="9525">
                          <a:noFill/>
                          <a:miter lim="800000"/>
                        </a:ln>
                      </wps:spPr>
                      <wps:txbx>
                        <w:txbxContent>
                          <w:p>
                            <w:r>
                              <w:rPr>
                                <w:rFonts w:hint="eastAsia"/>
                              </w:rPr>
                              <w:t>W</w:t>
                            </w:r>
                            <w:r>
                              <w:t>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6.55pt;margin-top:20.1pt;height:110.6pt;width:31pt;mso-wrap-distance-bottom:3.6pt;mso-wrap-distance-left:9pt;mso-wrap-distance-right:9pt;mso-wrap-distance-top:3.6pt;z-index:251645952;mso-width-relative:page;mso-height-relative:margin;mso-height-percent:200;" fillcolor="#FFFFFF" filled="t" stroked="f" coordsize="21600,21600" o:gfxdata="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f9LpNkA&#10;AAAMAQAADwAAAAAAAAABACAAAAAiAAAAZHJzL2Rvd25yZXYueG1sUEsBAhQAFAAAAAgAh07iQCmm&#10;ftEeAgAABgQAAA4AAAAAAAAAAQAgAAAAKAEAAGRycy9lMm9Eb2MueG1sUEsFBgAAAAAGAAYAWQEA&#10;ALgFAAAAAA==&#10;">
                <v:fill on="t" focussize="0,0"/>
                <v:stroke on="f" miterlimit="8" joinstyle="miter"/>
                <v:imagedata o:title=""/>
                <o:lock v:ext="edit" aspectratio="f"/>
                <v:textbox style="mso-fit-shape-to-text:t;">
                  <w:txbxContent>
                    <w:p>
                      <w:r>
                        <w:rPr>
                          <w:rFonts w:hint="eastAsia"/>
                        </w:rPr>
                        <w:t>W</w:t>
                      </w:r>
                      <w:r>
                        <w:t>2</w:t>
                      </w:r>
                    </w:p>
                  </w:txbxContent>
                </v:textbox>
                <w10:wrap type="square"/>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77696" behindDoc="0" locked="0" layoutInCell="1" allowOverlap="1">
                <wp:simplePos x="0" y="0"/>
                <wp:positionH relativeFrom="column">
                  <wp:posOffset>-1807210</wp:posOffset>
                </wp:positionH>
                <wp:positionV relativeFrom="paragraph">
                  <wp:posOffset>153035</wp:posOffset>
                </wp:positionV>
                <wp:extent cx="3810" cy="394970"/>
                <wp:effectExtent l="34925" t="0" r="37465" b="5080"/>
                <wp:wrapNone/>
                <wp:docPr id="118" name="直接箭头连接符 118"/>
                <wp:cNvGraphicFramePr/>
                <a:graphic xmlns:a="http://schemas.openxmlformats.org/drawingml/2006/main">
                  <a:graphicData uri="http://schemas.microsoft.com/office/word/2010/wordprocessingShape">
                    <wps:wsp>
                      <wps:cNvCnPr/>
                      <wps:spPr>
                        <a:xfrm>
                          <a:off x="0" y="0"/>
                          <a:ext cx="3810" cy="3949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2.3pt;margin-top:12.05pt;height:31.1pt;width:0.3pt;z-index:251677696;mso-width-relative:page;mso-height-relative:page;" filled="f" stroked="t" coordsize="21600,21600" o:gfxdata="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JVQKdsAAAALAQAADwAAAAAAAAABACAAAAAiAAAAZHJz&#10;L2Rvd25yZXYueG1sUEsBAhQAFAAAAAgAh07iQGsHcn4BAgAAuwMAAA4AAAAAAAAAAQAgAAAAKgEA&#10;AGRycy9lMm9Eb2MueG1sUEsFBgAAAAAGAAYAWQEAAJ0FAAAAAA==&#10;">
                <v:fill on="f" focussize="0,0"/>
                <v:stroke color="#4A7EBB [3204]" joinstyle="round" endarrow="block"/>
                <v:imagedata o:title=""/>
                <o:lock v:ext="edit" aspectratio="f"/>
              </v:shape>
            </w:pict>
          </mc:Fallback>
        </mc:AlternateContent>
      </w:r>
    </w:p>
    <w:p>
      <w:pPr>
        <w:spacing w:before="120" w:beforeLines="50" w:line="360" w:lineRule="auto"/>
        <w:jc w:val="center"/>
        <w:rPr>
          <w:rFonts w:ascii="Times New Roman" w:hAnsi="Times New Roman" w:cs="Times New Roman"/>
          <w:b/>
          <w:color w:val="auto"/>
          <w:sz w:val="22"/>
          <w:szCs w:val="24"/>
        </w:rPr>
      </w:pPr>
      <w:r>
        <w:rPr>
          <w:rFonts w:ascii="Times New Roman" w:hAnsi="Times New Roman" w:cs="Times New Roman"/>
          <w:color w:val="auto"/>
          <w:sz w:val="24"/>
          <w:szCs w:val="24"/>
        </w:rPr>
        <mc:AlternateContent>
          <mc:Choice Requires="wps">
            <w:drawing>
              <wp:anchor distT="45720" distB="45720" distL="114300" distR="114300" simplePos="0" relativeHeight="251638784" behindDoc="0" locked="0" layoutInCell="1" allowOverlap="1">
                <wp:simplePos x="0" y="0"/>
                <wp:positionH relativeFrom="column">
                  <wp:posOffset>-2357755</wp:posOffset>
                </wp:positionH>
                <wp:positionV relativeFrom="paragraph">
                  <wp:posOffset>234315</wp:posOffset>
                </wp:positionV>
                <wp:extent cx="1517650" cy="1404620"/>
                <wp:effectExtent l="0" t="0" r="25400" b="22860"/>
                <wp:wrapSquare wrapText="bothSides"/>
                <wp:docPr id="10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17650" cy="1404620"/>
                        </a:xfrm>
                        <a:prstGeom prst="rect">
                          <a:avLst/>
                        </a:prstGeom>
                        <a:solidFill>
                          <a:srgbClr val="FFFFFF"/>
                        </a:solidFill>
                        <a:ln w="9525">
                          <a:solidFill>
                            <a:srgbClr val="000000"/>
                          </a:solidFill>
                          <a:miter lim="800000"/>
                        </a:ln>
                      </wps:spPr>
                      <wps:txbx>
                        <w:txbxContent>
                          <w:p>
                            <w:r>
                              <w:rPr>
                                <w:rFonts w:hint="eastAsia"/>
                              </w:rPr>
                              <w:t>含氨废水排炼油二部污水汽提装置</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85.65pt;margin-top:18.45pt;height:110.6pt;width:119.5pt;mso-wrap-distance-bottom:3.6pt;mso-wrap-distance-left:9pt;mso-wrap-distance-right:9pt;mso-wrap-distance-top:3.6pt;z-index:251638784;mso-width-relative:page;mso-height-relative:margin;mso-height-percent:200;" fillcolor="#FFFFFF" filled="t" stroked="t" coordsize="21600,21600" o:gfxdata="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4QZYh&#10;2gAAAAwBAAAPAAAAAAAAAAEAIAAAACIAAABkcnMvZG93bnJldi54bWxQSwECFAAUAAAACACHTuJA&#10;xSLAvx8CAAAwBAAADgAAAAAAAAABACAAAAApAQAAZHJzL2Uyb0RvYy54bWxQSwUGAAAAAAYABgBZ&#10;AQAAugUAAAAA&#10;">
                <v:fill on="t" focussize="0,0"/>
                <v:stroke color="#000000" miterlimit="8" joinstyle="miter"/>
                <v:imagedata o:title=""/>
                <o:lock v:ext="edit" aspectratio="f"/>
                <v:textbox style="mso-fit-shape-to-text:t;">
                  <w:txbxContent>
                    <w:p>
                      <w:r>
                        <w:rPr>
                          <w:rFonts w:hint="eastAsia"/>
                        </w:rPr>
                        <w:t>含氨废水排炼油二部污水汽提装置</w:t>
                      </w:r>
                    </w:p>
                  </w:txbxContent>
                </v:textbox>
                <w10:wrap type="square"/>
              </v:shape>
            </w:pict>
          </mc:Fallback>
        </mc:AlternateContent>
      </w:r>
    </w:p>
    <w:p>
      <w:pPr>
        <w:spacing w:before="120" w:beforeLines="50" w:line="360" w:lineRule="auto"/>
        <w:jc w:val="both"/>
        <w:rPr>
          <w:rFonts w:hint="eastAsia" w:asciiTheme="majorEastAsia" w:hAnsiTheme="majorEastAsia" w:eastAsiaTheme="majorEastAsia" w:cstheme="majorEastAsia"/>
          <w:b/>
          <w:color w:val="auto"/>
          <w:sz w:val="24"/>
          <w:szCs w:val="24"/>
        </w:rPr>
      </w:pPr>
    </w:p>
    <w:p>
      <w:pPr>
        <w:spacing w:before="120" w:beforeLines="50" w:line="360" w:lineRule="auto"/>
        <w:ind w:left="479" w:leftChars="228" w:firstLine="241" w:firstLineChars="100"/>
        <w:jc w:val="left"/>
        <w:rPr>
          <w:rFonts w:hint="eastAsia" w:asciiTheme="majorEastAsia" w:hAnsiTheme="majorEastAsia" w:eastAsiaTheme="majorEastAsia" w:cstheme="majorEastAsia"/>
          <w:b/>
          <w:color w:val="auto"/>
          <w:sz w:val="24"/>
          <w:szCs w:val="24"/>
          <w:lang w:val="en-US" w:eastAsia="zh-CN"/>
        </w:rPr>
      </w:pPr>
      <w:r>
        <w:rPr>
          <w:rFonts w:hint="eastAsia" w:asciiTheme="majorEastAsia" w:hAnsiTheme="majorEastAsia" w:eastAsiaTheme="majorEastAsia" w:cstheme="majorEastAsia"/>
          <w:b/>
          <w:color w:val="auto"/>
          <w:sz w:val="24"/>
          <w:szCs w:val="24"/>
          <w:lang w:val="en-US" w:eastAsia="zh-CN"/>
        </w:rPr>
        <w:t xml:space="preserve"> </w:t>
      </w:r>
    </w:p>
    <w:p>
      <w:pPr>
        <w:spacing w:before="120" w:beforeLines="50" w:line="360" w:lineRule="auto"/>
        <w:ind w:left="479" w:leftChars="228" w:firstLine="241" w:firstLineChars="100"/>
        <w:jc w:val="left"/>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图2.6-1液氨装车安全隐患治理项目工艺流程和产污节点图</w:t>
      </w:r>
    </w:p>
    <w:p>
      <w:pPr>
        <w:pStyle w:val="22"/>
        <w:rPr>
          <w:color w:val="auto"/>
        </w:rPr>
      </w:pPr>
    </w:p>
    <w:p>
      <w:pPr>
        <w:pStyle w:val="7"/>
        <w:numPr>
          <w:ilvl w:val="0"/>
          <w:numId w:val="0"/>
        </w:numPr>
        <w:spacing w:before="120" w:beforeLines="0" w:after="120" w:afterLines="0"/>
        <w:ind w:left="142"/>
        <w:rPr>
          <w:color w:val="auto"/>
        </w:rPr>
      </w:pPr>
      <w:bookmarkStart w:id="165" w:name="_Toc5801"/>
    </w:p>
    <w:p>
      <w:pPr>
        <w:pStyle w:val="7"/>
        <w:numPr>
          <w:ilvl w:val="0"/>
          <w:numId w:val="0"/>
        </w:numPr>
        <w:spacing w:before="120" w:beforeLines="0" w:after="120" w:afterLines="0"/>
        <w:ind w:left="142"/>
        <w:rPr>
          <w:color w:val="auto"/>
        </w:rPr>
      </w:pPr>
      <w:r>
        <w:rPr>
          <w:color w:val="auto"/>
        </w:rPr>
        <w:t>2.6.2 主要产污环节和污染源分析：</w:t>
      </w:r>
      <w:bookmarkEnd w:id="165"/>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根据液氨装车安全隐患治理项目工艺流程，可以看出其生产中有一定的废水、废气污染物产生，同时还有设备噪声产生，以及机泵废润滑油产生。</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（1）废水</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泵区冲洗水</w:t>
      </w:r>
      <w:r>
        <w:rPr>
          <w:rFonts w:hint="eastAsia" w:ascii="Times New Roman" w:hAnsi="Times New Roman" w:cs="Times New Roman"/>
          <w:color w:val="auto"/>
          <w:sz w:val="24"/>
          <w:szCs w:val="24"/>
          <w:u w:val="single"/>
          <w:lang w:eastAsia="zh-CN"/>
        </w:rPr>
        <w:t>及初期雨水</w:t>
      </w:r>
      <w:r>
        <w:rPr>
          <w:rFonts w:ascii="Times New Roman" w:hAnsi="Times New Roman" w:cs="Times New Roman"/>
          <w:color w:val="auto"/>
          <w:sz w:val="24"/>
          <w:szCs w:val="24"/>
          <w:u w:val="single"/>
        </w:rPr>
        <w:t>：年产生废水约700m</w:t>
      </w:r>
      <w:r>
        <w:rPr>
          <w:rFonts w:ascii="Times New Roman" w:hAnsi="Times New Roman" w:cs="Times New Roman"/>
          <w:color w:val="auto"/>
          <w:sz w:val="24"/>
          <w:szCs w:val="24"/>
          <w:u w:val="single"/>
          <w:vertAlign w:val="superscript"/>
        </w:rPr>
        <w:t>3</w:t>
      </w:r>
      <w:r>
        <w:rPr>
          <w:rFonts w:ascii="Times New Roman" w:hAnsi="Times New Roman" w:cs="Times New Roman"/>
          <w:color w:val="auto"/>
          <w:sz w:val="24"/>
          <w:szCs w:val="24"/>
          <w:u w:val="single"/>
        </w:rPr>
        <w:t>。</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液化气站吸收罐含氨废水：液化气站装车鹤管装完车后，卸压时卸出的微量氨气经水吸收，正常生产时每年产生含氨废水约90 m</w:t>
      </w:r>
      <w:r>
        <w:rPr>
          <w:rFonts w:ascii="Times New Roman" w:hAnsi="Times New Roman" w:cs="Times New Roman"/>
          <w:color w:val="auto"/>
          <w:sz w:val="24"/>
          <w:szCs w:val="24"/>
          <w:u w:val="single"/>
          <w:vertAlign w:val="superscript"/>
        </w:rPr>
        <w:t>3</w:t>
      </w:r>
      <w:r>
        <w:rPr>
          <w:rFonts w:ascii="Times New Roman" w:hAnsi="Times New Roman" w:cs="Times New Roman"/>
          <w:color w:val="auto"/>
          <w:sz w:val="24"/>
          <w:szCs w:val="24"/>
          <w:u w:val="single"/>
        </w:rPr>
        <w:t>，就近送炼油二部污水汽提装置处理。</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其它废水：本项目不新增人员，故无生活废水产生。</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（2）无组织废气</w:t>
      </w:r>
    </w:p>
    <w:p>
      <w:pPr>
        <w:spacing w:line="360" w:lineRule="auto"/>
        <w:ind w:firstLine="480" w:firstLineChars="200"/>
        <w:rPr>
          <w:rFonts w:hint="default" w:ascii="Times New Roman" w:hAnsi="Times New Roman" w:eastAsia="宋体" w:cs="Times New Roman"/>
          <w:color w:val="auto"/>
          <w:sz w:val="24"/>
          <w:szCs w:val="24"/>
          <w:u w:val="single"/>
          <w:lang w:val="en-US" w:eastAsia="zh-CN"/>
        </w:rPr>
      </w:pPr>
      <w:r>
        <w:rPr>
          <w:rFonts w:ascii="Times New Roman" w:hAnsi="Times New Roman" w:cs="Times New Roman"/>
          <w:color w:val="auto"/>
          <w:sz w:val="24"/>
          <w:szCs w:val="24"/>
          <w:u w:val="single"/>
        </w:rPr>
        <w:t>项目生产流程为相对密闭的体系，主要可能在管道法兰等处发生泄漏，会有少量的氨排放到外环境，</w:t>
      </w:r>
      <w:r>
        <w:rPr>
          <w:rFonts w:hint="eastAsia" w:ascii="Times New Roman" w:hAnsi="Times New Roman" w:cs="Times New Roman"/>
          <w:color w:val="auto"/>
          <w:sz w:val="24"/>
          <w:szCs w:val="24"/>
          <w:u w:val="single"/>
          <w:lang w:eastAsia="zh-CN"/>
        </w:rPr>
        <w:t>经计算</w:t>
      </w:r>
      <w:r>
        <w:rPr>
          <w:rFonts w:ascii="Times New Roman" w:hAnsi="Times New Roman" w:cs="Times New Roman"/>
          <w:color w:val="auto"/>
          <w:sz w:val="24"/>
          <w:szCs w:val="24"/>
          <w:u w:val="single"/>
        </w:rPr>
        <w:t>，无组织氨产生量0.</w:t>
      </w:r>
      <w:r>
        <w:rPr>
          <w:rFonts w:hint="eastAsia" w:ascii="Times New Roman" w:hAnsi="Times New Roman" w:cs="Times New Roman"/>
          <w:color w:val="auto"/>
          <w:sz w:val="24"/>
          <w:szCs w:val="24"/>
          <w:u w:val="single"/>
          <w:lang w:val="en-US" w:eastAsia="zh-CN"/>
        </w:rPr>
        <w:t>0012</w:t>
      </w:r>
      <w:r>
        <w:rPr>
          <w:rFonts w:ascii="Times New Roman" w:hAnsi="Times New Roman" w:cs="Times New Roman"/>
          <w:color w:val="auto"/>
          <w:sz w:val="24"/>
          <w:szCs w:val="24"/>
          <w:u w:val="single"/>
        </w:rPr>
        <w:t>t/a</w:t>
      </w:r>
      <w:r>
        <w:rPr>
          <w:rFonts w:hint="eastAsia" w:ascii="Times New Roman" w:hAnsi="Times New Roman" w:cs="Times New Roman"/>
          <w:color w:val="auto"/>
          <w:sz w:val="24"/>
          <w:szCs w:val="24"/>
          <w:u w:val="single"/>
          <w:lang w:eastAsia="zh-CN"/>
        </w:rPr>
        <w:t>。</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（3）噪声</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主要噪声源为机泵产生的机械噪声。</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（4）固体废物</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本项目生产中主要固体废物为少量机泵废润滑油。由于未新增操作人员，故无生活垃圾产生。</w:t>
      </w:r>
    </w:p>
    <w:p>
      <w:pPr>
        <w:pStyle w:val="6"/>
        <w:numPr>
          <w:ilvl w:val="0"/>
          <w:numId w:val="0"/>
        </w:numPr>
        <w:spacing w:before="120" w:beforeLines="0" w:after="120" w:afterLines="0"/>
        <w:ind w:left="575" w:hanging="575"/>
        <w:rPr>
          <w:color w:val="auto"/>
        </w:rPr>
      </w:pPr>
      <w:bookmarkStart w:id="166" w:name="_Toc19570"/>
      <w:r>
        <w:rPr>
          <w:color w:val="auto"/>
        </w:rPr>
        <w:t>2.7拟建工程污染源核算</w:t>
      </w:r>
      <w:bookmarkEnd w:id="166"/>
    </w:p>
    <w:bookmarkEnd w:id="158"/>
    <w:bookmarkEnd w:id="159"/>
    <w:bookmarkEnd w:id="160"/>
    <w:p>
      <w:pPr>
        <w:pStyle w:val="7"/>
        <w:numPr>
          <w:ilvl w:val="0"/>
          <w:numId w:val="0"/>
        </w:numPr>
        <w:spacing w:before="120" w:beforeLines="0" w:after="120" w:afterLines="0"/>
        <w:rPr>
          <w:color w:val="auto"/>
        </w:rPr>
      </w:pPr>
      <w:bookmarkStart w:id="167" w:name="_Toc13925"/>
      <w:bookmarkStart w:id="168" w:name="_Toc22367"/>
      <w:bookmarkStart w:id="169" w:name="_Toc26918"/>
      <w:r>
        <w:rPr>
          <w:color w:val="auto"/>
        </w:rPr>
        <w:t>2.7.1废气</w:t>
      </w:r>
      <w:bookmarkEnd w:id="167"/>
      <w:bookmarkEnd w:id="168"/>
      <w:bookmarkEnd w:id="169"/>
    </w:p>
    <w:p>
      <w:pPr>
        <w:spacing w:line="360" w:lineRule="auto"/>
        <w:ind w:firstLine="480" w:firstLineChars="200"/>
        <w:rPr>
          <w:rFonts w:ascii="Times New Roman" w:hAnsi="Times New Roman" w:cs="Times New Roman"/>
          <w:color w:val="auto"/>
          <w:sz w:val="24"/>
          <w:szCs w:val="24"/>
          <w:u w:val="single"/>
        </w:rPr>
      </w:pPr>
      <w:r>
        <w:rPr>
          <w:rFonts w:hint="eastAsia" w:ascii="Times New Roman" w:hAnsi="Times New Roman"/>
          <w:color w:val="auto"/>
          <w:sz w:val="24"/>
          <w:szCs w:val="24"/>
          <w:u w:val="single"/>
        </w:rPr>
        <w:t>项目生产流程为相对密闭的体系，主要可能在装置管道和法兰等处发生泄漏，会有少量的氨排放到外环境，</w:t>
      </w:r>
      <w:r>
        <w:rPr>
          <w:rFonts w:hint="eastAsia" w:ascii="Times New Roman" w:hAnsi="Times New Roman"/>
          <w:color w:val="auto"/>
          <w:sz w:val="24"/>
          <w:szCs w:val="24"/>
          <w:u w:val="single"/>
          <w:lang w:eastAsia="zh-CN"/>
        </w:rPr>
        <w:t>经计算，</w:t>
      </w:r>
      <w:r>
        <w:rPr>
          <w:rFonts w:hint="eastAsia" w:ascii="Times New Roman" w:hAnsi="Times New Roman"/>
          <w:color w:val="auto"/>
          <w:sz w:val="24"/>
          <w:szCs w:val="24"/>
          <w:u w:val="single"/>
        </w:rPr>
        <w:t>无组织氨产生量</w:t>
      </w:r>
      <w:r>
        <w:rPr>
          <w:rFonts w:ascii="Times New Roman" w:hAnsi="Times New Roman"/>
          <w:color w:val="auto"/>
          <w:sz w:val="24"/>
          <w:szCs w:val="24"/>
          <w:u w:val="single"/>
        </w:rPr>
        <w:t>0</w:t>
      </w:r>
      <w:r>
        <w:rPr>
          <w:rFonts w:hint="eastAsia" w:ascii="Times New Roman" w:hAnsi="Times New Roman"/>
          <w:color w:val="auto"/>
          <w:sz w:val="24"/>
          <w:szCs w:val="24"/>
          <w:u w:val="single"/>
        </w:rPr>
        <w:t>.0012t/a。</w:t>
      </w:r>
    </w:p>
    <w:p>
      <w:pPr>
        <w:pStyle w:val="7"/>
        <w:numPr>
          <w:ilvl w:val="0"/>
          <w:numId w:val="0"/>
        </w:numPr>
        <w:spacing w:before="120" w:beforeLines="0" w:after="120" w:afterLines="0"/>
        <w:rPr>
          <w:color w:val="auto"/>
        </w:rPr>
      </w:pPr>
      <w:bookmarkStart w:id="170" w:name="_Toc6178"/>
      <w:bookmarkStart w:id="171" w:name="_Toc8238"/>
      <w:bookmarkStart w:id="172" w:name="_Toc24709"/>
      <w:r>
        <w:rPr>
          <w:color w:val="auto"/>
        </w:rPr>
        <w:t>2.7</w:t>
      </w:r>
      <w:r>
        <w:rPr>
          <w:rFonts w:hint="eastAsia"/>
          <w:color w:val="auto"/>
        </w:rPr>
        <w:t>.</w:t>
      </w:r>
      <w:r>
        <w:rPr>
          <w:color w:val="auto"/>
        </w:rPr>
        <w:t>2废水</w:t>
      </w:r>
      <w:bookmarkEnd w:id="170"/>
      <w:bookmarkEnd w:id="171"/>
      <w:bookmarkEnd w:id="172"/>
    </w:p>
    <w:p>
      <w:pPr>
        <w:pStyle w:val="5"/>
        <w:ind w:firstLine="480"/>
        <w:rPr>
          <w:color w:val="auto"/>
          <w:u w:val="single"/>
        </w:rPr>
      </w:pPr>
      <w:r>
        <w:rPr>
          <w:color w:val="auto"/>
          <w:u w:val="single"/>
        </w:rPr>
        <w:t xml:space="preserve">根据工艺分析，本项目无新增生活废水产生，其产生的废水主要为地面冲洗水和初期雨水。 </w:t>
      </w:r>
    </w:p>
    <w:p>
      <w:pPr>
        <w:pStyle w:val="5"/>
        <w:ind w:firstLine="480"/>
        <w:rPr>
          <w:rFonts w:hint="eastAsia" w:eastAsia="宋体"/>
          <w:color w:val="auto"/>
          <w:u w:val="single"/>
          <w:lang w:eastAsia="zh-CN"/>
        </w:rPr>
      </w:pPr>
      <w:r>
        <w:rPr>
          <w:color w:val="auto"/>
        </w:rPr>
        <w:t>（</w:t>
      </w:r>
      <w:r>
        <w:rPr>
          <w:color w:val="auto"/>
          <w:u w:val="single"/>
        </w:rPr>
        <w:t>1）地面冲洗废水</w:t>
      </w:r>
      <w:r>
        <w:rPr>
          <w:rFonts w:hint="eastAsia"/>
          <w:color w:val="auto"/>
          <w:u w:val="single"/>
          <w:lang w:eastAsia="zh-CN"/>
        </w:rPr>
        <w:t>及初期雨水</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u w:val="single"/>
        </w:rPr>
        <w:t>地面冲洗废水</w:t>
      </w:r>
      <w:r>
        <w:rPr>
          <w:rFonts w:hint="eastAsia" w:ascii="Times New Roman" w:hAnsi="Times New Roman" w:cs="Times New Roman"/>
          <w:color w:val="auto"/>
          <w:sz w:val="24"/>
          <w:u w:val="single"/>
          <w:lang w:eastAsia="zh-CN"/>
        </w:rPr>
        <w:t>及初期雨水</w:t>
      </w:r>
      <w:r>
        <w:rPr>
          <w:rFonts w:ascii="Times New Roman" w:hAnsi="Times New Roman" w:cs="Times New Roman"/>
          <w:color w:val="auto"/>
          <w:sz w:val="24"/>
          <w:u w:val="single"/>
        </w:rPr>
        <w:t>，年产生量约700t/a，参</w:t>
      </w:r>
      <w:r>
        <w:rPr>
          <w:rFonts w:ascii="Times New Roman" w:hAnsi="Times New Roman" w:cs="Times New Roman"/>
          <w:color w:val="auto"/>
          <w:sz w:val="24"/>
        </w:rPr>
        <w:t>考原项目液氨装车机泵废水水质情况，废水中主要污染物为COD：400mg/l、氨氮：35 mg/l 、SS：200mg/l，石油类：25mg/l。</w:t>
      </w:r>
    </w:p>
    <w:p>
      <w:pPr>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rPr>
        <w:t>（2）液化气站吸收罐含氨废水：液化气站装车鹤管装完车后，卸压时卸出的微量氨气经水吸收，正常生产时每年产生含氨废水约90 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u w:val="single"/>
        </w:rPr>
        <w:t>，参考原项目液氨装车氨吸收罐废水中含氨量约</w:t>
      </w:r>
      <w:r>
        <w:rPr>
          <w:rFonts w:hint="eastAsia" w:ascii="Times New Roman" w:hAnsi="Times New Roman" w:cs="Times New Roman"/>
          <w:color w:val="auto"/>
          <w:sz w:val="24"/>
          <w:szCs w:val="24"/>
          <w:u w:val="single"/>
          <w:lang w:val="en-US" w:eastAsia="zh-CN"/>
        </w:rPr>
        <w:t>5</w:t>
      </w:r>
      <w:r>
        <w:rPr>
          <w:rFonts w:ascii="Times New Roman" w:hAnsi="Times New Roman" w:cs="Times New Roman"/>
          <w:color w:val="auto"/>
          <w:sz w:val="24"/>
          <w:szCs w:val="24"/>
          <w:u w:val="single"/>
        </w:rPr>
        <w:t>%，就近送炼油二部污水汽提装置处理。</w:t>
      </w:r>
    </w:p>
    <w:p>
      <w:pPr>
        <w:pStyle w:val="7"/>
        <w:numPr>
          <w:ilvl w:val="2"/>
          <w:numId w:val="0"/>
        </w:numPr>
        <w:spacing w:before="120" w:beforeLines="0" w:after="120" w:afterLines="0"/>
        <w:rPr>
          <w:color w:val="auto"/>
          <w:u w:val="single"/>
        </w:rPr>
      </w:pPr>
      <w:bookmarkStart w:id="173" w:name="_Toc31583"/>
      <w:bookmarkStart w:id="174" w:name="_Toc32176"/>
      <w:bookmarkStart w:id="175" w:name="_Toc31876"/>
      <w:r>
        <w:rPr>
          <w:rFonts w:hint="eastAsia"/>
          <w:color w:val="auto"/>
          <w:u w:val="single"/>
        </w:rPr>
        <w:t>2.7.</w:t>
      </w:r>
      <w:r>
        <w:rPr>
          <w:color w:val="auto"/>
          <w:u w:val="single"/>
        </w:rPr>
        <w:t>3噪声源</w:t>
      </w:r>
      <w:bookmarkEnd w:id="173"/>
      <w:bookmarkEnd w:id="174"/>
      <w:bookmarkEnd w:id="175"/>
    </w:p>
    <w:p>
      <w:pPr>
        <w:spacing w:line="360" w:lineRule="auto"/>
        <w:ind w:firstLine="480" w:firstLineChars="200"/>
        <w:rPr>
          <w:rFonts w:ascii="Times New Roman" w:hAnsi="Times New Roman" w:cs="Times New Roman"/>
          <w:color w:val="auto"/>
          <w:sz w:val="24"/>
          <w:u w:val="single"/>
        </w:rPr>
      </w:pPr>
      <w:r>
        <w:rPr>
          <w:rFonts w:ascii="Times New Roman" w:hAnsi="Times New Roman" w:cs="Times New Roman"/>
          <w:color w:val="auto"/>
          <w:sz w:val="24"/>
          <w:u w:val="single"/>
        </w:rPr>
        <w:t>本工程主要噪声源主要为机泵噪声。为减少噪声污染，尽量选用低噪声设备，同时采用以下措施：采用减振底座；泵进出口加装避振喉，基础增加橡胶减振垫。类比调查同类设备噪声源强，具体情况见下表。</w:t>
      </w:r>
    </w:p>
    <w:p>
      <w:pPr>
        <w:spacing w:line="360" w:lineRule="auto"/>
        <w:rPr>
          <w:rFonts w:hint="eastAsia" w:ascii="Times New Roman" w:hAnsi="Times New Roman" w:cs="Times New Roman"/>
          <w:color w:val="auto"/>
          <w:sz w:val="24"/>
          <w:u w:val="single"/>
        </w:rPr>
      </w:pPr>
    </w:p>
    <w:p>
      <w:pPr>
        <w:pStyle w:val="18"/>
        <w:topLinePunct/>
        <w:rPr>
          <w:color w:val="auto"/>
          <w:szCs w:val="21"/>
          <w:u w:val="single"/>
        </w:rPr>
      </w:pPr>
      <w:r>
        <w:rPr>
          <w:color w:val="auto"/>
          <w:u w:val="single"/>
        </w:rPr>
        <w:t>表2. 7-4</w:t>
      </w:r>
      <w:r>
        <w:rPr>
          <w:color w:val="auto"/>
          <w:szCs w:val="21"/>
          <w:u w:val="single"/>
        </w:rPr>
        <w:t xml:space="preserve"> 项目主要噪声源强一览表</w:t>
      </w:r>
    </w:p>
    <w:tbl>
      <w:tblPr>
        <w:tblStyle w:val="45"/>
        <w:tblW w:w="925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769"/>
        <w:gridCol w:w="1626"/>
        <w:gridCol w:w="786"/>
        <w:gridCol w:w="2796"/>
        <w:gridCol w:w="1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tblHeader/>
          <w:jc w:val="center"/>
        </w:trPr>
        <w:tc>
          <w:tcPr>
            <w:tcW w:w="954" w:type="dxa"/>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序号</w:t>
            </w:r>
          </w:p>
        </w:tc>
        <w:tc>
          <w:tcPr>
            <w:tcW w:w="1769" w:type="dxa"/>
            <w:vAlign w:val="center"/>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噪声源</w:t>
            </w:r>
          </w:p>
        </w:tc>
        <w:tc>
          <w:tcPr>
            <w:tcW w:w="1626" w:type="dxa"/>
            <w:vAlign w:val="center"/>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噪声产生声级</w:t>
            </w:r>
          </w:p>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dB(A)</w:t>
            </w:r>
          </w:p>
        </w:tc>
        <w:tc>
          <w:tcPr>
            <w:tcW w:w="786" w:type="dxa"/>
            <w:vAlign w:val="center"/>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工况</w:t>
            </w:r>
          </w:p>
        </w:tc>
        <w:tc>
          <w:tcPr>
            <w:tcW w:w="2796" w:type="dxa"/>
            <w:vAlign w:val="center"/>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降噪措施</w:t>
            </w:r>
          </w:p>
        </w:tc>
        <w:tc>
          <w:tcPr>
            <w:tcW w:w="1319" w:type="dxa"/>
            <w:vAlign w:val="center"/>
          </w:tcPr>
          <w:p>
            <w:pPr>
              <w:jc w:val="center"/>
              <w:rPr>
                <w:rFonts w:ascii="Times New Roman" w:hAnsi="Times New Roman" w:cs="Times New Roman"/>
                <w:b/>
                <w:color w:val="auto"/>
                <w:szCs w:val="21"/>
                <w:u w:val="single"/>
              </w:rPr>
            </w:pPr>
            <w:r>
              <w:rPr>
                <w:rFonts w:ascii="Times New Roman" w:hAnsi="Times New Roman" w:cs="Times New Roman"/>
                <w:b/>
                <w:color w:val="auto"/>
                <w:szCs w:val="21"/>
                <w:u w:val="single"/>
              </w:rPr>
              <w:t>治理效果dB(A)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tblHeader/>
          <w:jc w:val="center"/>
        </w:trPr>
        <w:tc>
          <w:tcPr>
            <w:tcW w:w="954" w:type="dxa"/>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1</w:t>
            </w:r>
          </w:p>
        </w:tc>
        <w:tc>
          <w:tcPr>
            <w:tcW w:w="1769" w:type="dxa"/>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装车泵</w:t>
            </w:r>
          </w:p>
        </w:tc>
        <w:tc>
          <w:tcPr>
            <w:tcW w:w="1626" w:type="dxa"/>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70~80</w:t>
            </w:r>
          </w:p>
        </w:tc>
        <w:tc>
          <w:tcPr>
            <w:tcW w:w="786" w:type="dxa"/>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间歇</w:t>
            </w:r>
          </w:p>
        </w:tc>
        <w:tc>
          <w:tcPr>
            <w:tcW w:w="2796" w:type="dxa"/>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基础减振、隔声</w:t>
            </w:r>
          </w:p>
        </w:tc>
        <w:tc>
          <w:tcPr>
            <w:tcW w:w="1319" w:type="dxa"/>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65</w:t>
            </w:r>
          </w:p>
        </w:tc>
      </w:tr>
    </w:tbl>
    <w:p>
      <w:pPr>
        <w:pStyle w:val="7"/>
        <w:numPr>
          <w:ilvl w:val="0"/>
          <w:numId w:val="0"/>
        </w:numPr>
        <w:spacing w:before="240" w:beforeLines="100" w:after="0" w:afterLines="0"/>
        <w:rPr>
          <w:color w:val="auto"/>
          <w:u w:val="single"/>
        </w:rPr>
      </w:pPr>
      <w:bookmarkStart w:id="176" w:name="_Toc8012"/>
      <w:bookmarkStart w:id="177" w:name="_Toc9550"/>
      <w:bookmarkStart w:id="178" w:name="_Toc25356"/>
      <w:r>
        <w:rPr>
          <w:color w:val="auto"/>
          <w:u w:val="single"/>
        </w:rPr>
        <w:t>2.7.4固体废物</w:t>
      </w:r>
      <w:bookmarkEnd w:id="176"/>
      <w:bookmarkEnd w:id="177"/>
      <w:bookmarkEnd w:id="178"/>
    </w:p>
    <w:p>
      <w:pPr>
        <w:spacing w:line="360" w:lineRule="auto"/>
        <w:ind w:firstLine="480" w:firstLineChars="200"/>
      </w:pPr>
      <w:r>
        <w:rPr>
          <w:rFonts w:ascii="Times New Roman" w:hAnsi="Times New Roman" w:cs="Times New Roman"/>
          <w:color w:val="auto"/>
          <w:sz w:val="24"/>
          <w:szCs w:val="24"/>
          <w:u w:val="single"/>
        </w:rPr>
        <w:t>本项目运营期间产生的固体废物主要为机泵废润滑油，年产生量0.006t/a。属于危险废物。由于未新增操作人员，故无生活垃圾产生。</w:t>
      </w:r>
    </w:p>
    <w:p>
      <w:pPr>
        <w:pStyle w:val="7"/>
        <w:numPr>
          <w:ilvl w:val="0"/>
          <w:numId w:val="0"/>
        </w:numPr>
        <w:spacing w:before="240" w:beforeLines="100" w:after="0" w:afterLines="0"/>
        <w:rPr>
          <w:color w:val="auto"/>
          <w:u w:val="single"/>
        </w:rPr>
      </w:pPr>
      <w:bookmarkStart w:id="179" w:name="_Toc9797"/>
      <w:bookmarkStart w:id="180" w:name="_Toc9595"/>
      <w:bookmarkStart w:id="181" w:name="_Toc32091"/>
      <w:bookmarkStart w:id="182" w:name="_Toc504468684"/>
      <w:r>
        <w:rPr>
          <w:color w:val="auto"/>
          <w:u w:val="single"/>
        </w:rPr>
        <w:t>2.7.5</w:t>
      </w:r>
      <w:r>
        <w:rPr>
          <w:rFonts w:hint="eastAsia"/>
          <w:color w:val="auto"/>
          <w:u w:val="single"/>
          <w:lang w:eastAsia="zh-CN"/>
        </w:rPr>
        <w:t>　技改</w:t>
      </w:r>
      <w:r>
        <w:rPr>
          <w:color w:val="auto"/>
          <w:u w:val="single"/>
        </w:rPr>
        <w:t>工程污染物排放统计与汇总</w:t>
      </w:r>
      <w:bookmarkEnd w:id="179"/>
      <w:bookmarkEnd w:id="180"/>
      <w:bookmarkEnd w:id="181"/>
    </w:p>
    <w:p>
      <w:pPr>
        <w:autoSpaceDE w:val="0"/>
        <w:autoSpaceDN w:val="0"/>
        <w:spacing w:line="360" w:lineRule="auto"/>
        <w:ind w:firstLine="480" w:firstLineChars="200"/>
      </w:pPr>
      <w:r>
        <w:rPr>
          <w:rFonts w:ascii="Times New Roman" w:hAnsi="Times New Roman" w:cs="Times New Roman"/>
          <w:color w:val="auto"/>
          <w:sz w:val="24"/>
          <w:u w:val="single"/>
        </w:rPr>
        <w:t>本项目运营期污染源排放汇总详见表2.7-</w:t>
      </w:r>
      <w:r>
        <w:rPr>
          <w:rFonts w:hint="eastAsia" w:ascii="Times New Roman" w:hAnsi="Times New Roman" w:cs="Times New Roman"/>
          <w:color w:val="auto"/>
          <w:sz w:val="24"/>
          <w:u w:val="single"/>
          <w:lang w:val="en-US" w:eastAsia="zh-CN"/>
        </w:rPr>
        <w:t>7</w:t>
      </w:r>
      <w:r>
        <w:rPr>
          <w:rFonts w:ascii="Times New Roman" w:hAnsi="Times New Roman" w:cs="Times New Roman"/>
          <w:color w:val="auto"/>
          <w:sz w:val="24"/>
          <w:u w:val="single"/>
        </w:rPr>
        <w:t>。</w:t>
      </w:r>
    </w:p>
    <w:p>
      <w:pPr>
        <w:pStyle w:val="18"/>
        <w:autoSpaceDE w:val="0"/>
        <w:autoSpaceDN w:val="0"/>
        <w:rPr>
          <w:bCs/>
          <w:color w:val="auto"/>
          <w:sz w:val="21"/>
          <w:szCs w:val="21"/>
          <w:u w:val="single"/>
        </w:rPr>
      </w:pPr>
      <w:r>
        <w:rPr>
          <w:color w:val="auto"/>
          <w:u w:val="single"/>
        </w:rPr>
        <w:t>表 2.7-</w:t>
      </w:r>
      <w:r>
        <w:rPr>
          <w:rFonts w:hint="eastAsia"/>
          <w:color w:val="auto"/>
          <w:u w:val="single"/>
          <w:lang w:val="en-US" w:eastAsia="zh-CN"/>
        </w:rPr>
        <w:t>7</w:t>
      </w:r>
      <w:r>
        <w:rPr>
          <w:bCs/>
          <w:color w:val="auto"/>
          <w:sz w:val="21"/>
          <w:szCs w:val="21"/>
          <w:u w:val="single"/>
        </w:rPr>
        <w:t xml:space="preserve"> 项目污染物排放情况汇总表</w:t>
      </w:r>
    </w:p>
    <w:tbl>
      <w:tblPr>
        <w:tblStyle w:val="45"/>
        <w:tblW w:w="9101" w:type="dxa"/>
        <w:tblInd w:w="0" w:type="dxa"/>
        <w:tblLayout w:type="fixed"/>
        <w:tblCellMar>
          <w:top w:w="15" w:type="dxa"/>
          <w:left w:w="15" w:type="dxa"/>
          <w:bottom w:w="15" w:type="dxa"/>
          <w:right w:w="15" w:type="dxa"/>
        </w:tblCellMar>
      </w:tblPr>
      <w:tblGrid>
        <w:gridCol w:w="1231"/>
        <w:gridCol w:w="1052"/>
        <w:gridCol w:w="1134"/>
        <w:gridCol w:w="993"/>
        <w:gridCol w:w="850"/>
        <w:gridCol w:w="1418"/>
        <w:gridCol w:w="2423"/>
      </w:tblGrid>
      <w:tr>
        <w:tblPrEx>
          <w:tblLayout w:type="fixed"/>
          <w:tblCellMar>
            <w:top w:w="15" w:type="dxa"/>
            <w:left w:w="15" w:type="dxa"/>
            <w:bottom w:w="15" w:type="dxa"/>
            <w:right w:w="15" w:type="dxa"/>
          </w:tblCellMar>
        </w:tblPrEx>
        <w:trPr>
          <w:trHeight w:val="233" w:hRule="atLeast"/>
          <w:tblHeader/>
        </w:trPr>
        <w:tc>
          <w:tcPr>
            <w:tcW w:w="1231"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种</w:t>
            </w:r>
            <w:bookmarkEnd w:id="182"/>
            <w:r>
              <w:rPr>
                <w:rFonts w:ascii="Times New Roman" w:hAnsi="Times New Roman" w:cs="Times New Roman"/>
                <w:b/>
                <w:bCs/>
                <w:color w:val="auto"/>
                <w:kern w:val="0"/>
                <w:szCs w:val="21"/>
                <w:u w:val="single"/>
              </w:rPr>
              <w:t>类</w:t>
            </w:r>
          </w:p>
        </w:tc>
        <w:tc>
          <w:tcPr>
            <w:tcW w:w="105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污染物</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名称</w:t>
            </w:r>
          </w:p>
        </w:tc>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产生量</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（t/a）</w:t>
            </w:r>
          </w:p>
        </w:tc>
        <w:tc>
          <w:tcPr>
            <w:tcW w:w="99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kern w:val="0"/>
                <w:szCs w:val="21"/>
                <w:u w:val="single"/>
              </w:rPr>
            </w:pPr>
            <w:r>
              <w:rPr>
                <w:rFonts w:ascii="Times New Roman" w:hAnsi="Times New Roman" w:cs="Times New Roman"/>
                <w:b/>
                <w:bCs/>
                <w:color w:val="auto"/>
                <w:kern w:val="0"/>
                <w:szCs w:val="21"/>
                <w:u w:val="single"/>
              </w:rPr>
              <w:t>削减量</w:t>
            </w:r>
          </w:p>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（t/a）</w:t>
            </w:r>
          </w:p>
        </w:tc>
        <w:tc>
          <w:tcPr>
            <w:tcW w:w="85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排放量（t/a）</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szCs w:val="21"/>
                <w:u w:val="single"/>
              </w:rPr>
              <w:t>排放浓度</w:t>
            </w:r>
          </w:p>
        </w:tc>
        <w:tc>
          <w:tcPr>
            <w:tcW w:w="24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b/>
                <w:bCs/>
                <w:color w:val="auto"/>
                <w:szCs w:val="21"/>
                <w:u w:val="single"/>
              </w:rPr>
            </w:pPr>
            <w:r>
              <w:rPr>
                <w:rFonts w:ascii="Times New Roman" w:hAnsi="Times New Roman" w:cs="Times New Roman"/>
                <w:b/>
                <w:bCs/>
                <w:color w:val="auto"/>
                <w:kern w:val="0"/>
                <w:szCs w:val="21"/>
                <w:u w:val="single"/>
              </w:rPr>
              <w:t>去向</w:t>
            </w:r>
          </w:p>
        </w:tc>
      </w:tr>
      <w:tr>
        <w:tblPrEx>
          <w:tblLayout w:type="fixed"/>
          <w:tblCellMar>
            <w:top w:w="15" w:type="dxa"/>
            <w:left w:w="15" w:type="dxa"/>
            <w:bottom w:w="15" w:type="dxa"/>
            <w:right w:w="15" w:type="dxa"/>
          </w:tblCellMar>
        </w:tblPrEx>
        <w:trPr>
          <w:trHeight w:val="435" w:hRule="atLeast"/>
        </w:trPr>
        <w:tc>
          <w:tcPr>
            <w:tcW w:w="1231" w:type="dxa"/>
            <w:tcBorders>
              <w:top w:val="single" w:color="auto" w:sz="4" w:space="0"/>
              <w:left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无组织废气</w:t>
            </w:r>
          </w:p>
        </w:tc>
        <w:tc>
          <w:tcPr>
            <w:tcW w:w="105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氨</w:t>
            </w:r>
          </w:p>
        </w:tc>
        <w:tc>
          <w:tcPr>
            <w:tcW w:w="113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0.0012</w:t>
            </w: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w:t>
            </w:r>
          </w:p>
        </w:tc>
        <w:tc>
          <w:tcPr>
            <w:tcW w:w="85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0.0012</w:t>
            </w:r>
          </w:p>
        </w:tc>
        <w:tc>
          <w:tcPr>
            <w:tcW w:w="14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2423" w:type="dxa"/>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90" w:hRule="atLeast"/>
        </w:trPr>
        <w:tc>
          <w:tcPr>
            <w:tcW w:w="1231" w:type="dxa"/>
            <w:vMerge w:val="restart"/>
            <w:tcBorders>
              <w:top w:val="single" w:color="auto" w:sz="4" w:space="0"/>
              <w:left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废水</w:t>
            </w:r>
          </w:p>
        </w:tc>
        <w:tc>
          <w:tcPr>
            <w:tcW w:w="105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Times New Roman" w:hAnsi="Times New Roman" w:cs="Times New Roman"/>
                <w:color w:val="auto"/>
                <w:kern w:val="0"/>
                <w:szCs w:val="21"/>
                <w:u w:val="single"/>
                <w:lang w:eastAsia="zh-CN"/>
              </w:rPr>
            </w:pPr>
            <w:r>
              <w:rPr>
                <w:rFonts w:hint="eastAsia" w:ascii="Times New Roman" w:hAnsi="Times New Roman" w:cs="Times New Roman"/>
                <w:color w:val="auto"/>
                <w:kern w:val="0"/>
                <w:szCs w:val="21"/>
                <w:u w:val="single"/>
                <w:lang w:eastAsia="zh-CN"/>
              </w:rPr>
              <w:t>含氨废水</w:t>
            </w:r>
          </w:p>
        </w:tc>
        <w:tc>
          <w:tcPr>
            <w:tcW w:w="1134"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90</w:t>
            </w:r>
          </w:p>
        </w:tc>
        <w:tc>
          <w:tcPr>
            <w:tcW w:w="993" w:type="dxa"/>
            <w:tcBorders>
              <w:top w:val="single" w:color="auto" w:sz="4" w:space="0"/>
              <w:left w:val="single" w:color="000000" w:sz="4" w:space="0"/>
              <w:bottom w:val="single" w:color="000000" w:sz="4" w:space="0"/>
              <w:right w:val="single" w:color="auto" w:sz="4" w:space="0"/>
            </w:tcBorders>
            <w:vAlign w:val="center"/>
          </w:tcPr>
          <w:p>
            <w:pPr>
              <w:widowControl/>
              <w:jc w:val="center"/>
              <w:textAlignment w:val="center"/>
              <w:rPr>
                <w:rFonts w:hint="eastAsia"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0</w:t>
            </w:r>
          </w:p>
        </w:tc>
        <w:tc>
          <w:tcPr>
            <w:tcW w:w="850" w:type="dxa"/>
            <w:tcBorders>
              <w:top w:val="single" w:color="auto" w:sz="4" w:space="0"/>
              <w:left w:val="single" w:color="auto"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val="en-US" w:eastAsia="zh-CN"/>
              </w:rPr>
              <w:t>90</w:t>
            </w:r>
          </w:p>
        </w:tc>
        <w:tc>
          <w:tcPr>
            <w:tcW w:w="141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color w:val="auto"/>
                <w:szCs w:val="21"/>
                <w:u w:val="single"/>
                <w:lang w:val="en-US" w:eastAsia="zh-CN"/>
              </w:rPr>
            </w:pPr>
            <w:r>
              <w:rPr>
                <w:rFonts w:hint="eastAsia" w:ascii="Times New Roman" w:hAnsi="Times New Roman" w:cs="Times New Roman"/>
                <w:color w:val="auto"/>
                <w:szCs w:val="21"/>
                <w:u w:val="single"/>
                <w:lang w:eastAsia="zh-CN"/>
              </w:rPr>
              <w:t>含氨</w:t>
            </w:r>
            <w:r>
              <w:rPr>
                <w:rFonts w:hint="eastAsia" w:ascii="Times New Roman" w:hAnsi="Times New Roman" w:cs="Times New Roman"/>
                <w:color w:val="auto"/>
                <w:szCs w:val="21"/>
                <w:u w:val="single"/>
                <w:lang w:val="en-US" w:eastAsia="zh-CN"/>
              </w:rPr>
              <w:t>5%</w:t>
            </w:r>
          </w:p>
        </w:tc>
        <w:tc>
          <w:tcPr>
            <w:tcW w:w="2423" w:type="dxa"/>
            <w:tcBorders>
              <w:top w:val="single" w:color="auto" w:sz="4" w:space="0"/>
              <w:left w:val="single" w:color="000000" w:sz="4" w:space="0"/>
              <w:right w:val="single" w:color="000000" w:sz="4" w:space="0"/>
            </w:tcBorders>
            <w:vAlign w:val="center"/>
          </w:tcPr>
          <w:p>
            <w:pPr>
              <w:spacing w:line="276" w:lineRule="auto"/>
              <w:jc w:val="both"/>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eastAsia="zh-CN"/>
              </w:rPr>
              <w:t>炼油二部污水汽提装置处理。</w:t>
            </w:r>
          </w:p>
        </w:tc>
      </w:tr>
      <w:tr>
        <w:tblPrEx>
          <w:tblLayout w:type="fixed"/>
          <w:tblCellMar>
            <w:top w:w="15" w:type="dxa"/>
            <w:left w:w="15" w:type="dxa"/>
            <w:bottom w:w="15" w:type="dxa"/>
            <w:right w:w="15" w:type="dxa"/>
          </w:tblCellMar>
        </w:tblPrEx>
        <w:trPr>
          <w:trHeight w:val="332" w:hRule="atLeast"/>
        </w:trPr>
        <w:tc>
          <w:tcPr>
            <w:tcW w:w="1231" w:type="dxa"/>
            <w:vMerge w:val="continue"/>
            <w:tcBorders>
              <w:left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p>
        </w:tc>
        <w:tc>
          <w:tcPr>
            <w:tcW w:w="1052"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hint="eastAsia" w:ascii="Times New Roman" w:hAnsi="Times New Roman" w:cs="Times New Roman"/>
                <w:color w:val="auto"/>
                <w:kern w:val="0"/>
                <w:szCs w:val="21"/>
                <w:u w:val="single"/>
                <w:lang w:eastAsia="zh-CN"/>
              </w:rPr>
              <w:t>地面冲洗及初期雨水</w:t>
            </w:r>
          </w:p>
        </w:tc>
        <w:tc>
          <w:tcPr>
            <w:tcW w:w="1134"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700</w:t>
            </w:r>
          </w:p>
        </w:tc>
        <w:tc>
          <w:tcPr>
            <w:tcW w:w="993" w:type="dxa"/>
            <w:tcBorders>
              <w:top w:val="single" w:color="auto" w:sz="4" w:space="0"/>
              <w:left w:val="single" w:color="000000" w:sz="4" w:space="0"/>
              <w:bottom w:val="single" w:color="000000" w:sz="4" w:space="0"/>
              <w:right w:val="single" w:color="auto" w:sz="4" w:space="0"/>
            </w:tcBorders>
            <w:vAlign w:val="center"/>
          </w:tcPr>
          <w:p>
            <w:pPr>
              <w:widowControl/>
              <w:jc w:val="center"/>
              <w:textAlignment w:val="center"/>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val="en-US" w:eastAsia="zh-CN"/>
              </w:rPr>
              <w:t>0</w:t>
            </w:r>
          </w:p>
        </w:tc>
        <w:tc>
          <w:tcPr>
            <w:tcW w:w="850" w:type="dxa"/>
            <w:tcBorders>
              <w:top w:val="single" w:color="auto" w:sz="4" w:space="0"/>
              <w:left w:val="single" w:color="auto"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700</w:t>
            </w:r>
          </w:p>
        </w:tc>
        <w:tc>
          <w:tcPr>
            <w:tcW w:w="141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Times New Roman" w:hAnsi="Times New Roman" w:eastAsia="宋体" w:cs="Times New Roman"/>
                <w:color w:val="auto"/>
                <w:szCs w:val="21"/>
                <w:u w:val="single"/>
                <w:lang w:eastAsia="zh-CN"/>
              </w:rPr>
            </w:pPr>
            <w:r>
              <w:rPr>
                <w:rFonts w:hint="eastAsia" w:ascii="Times New Roman" w:hAnsi="Times New Roman" w:cs="Times New Roman"/>
                <w:color w:val="auto"/>
                <w:szCs w:val="21"/>
                <w:u w:val="single"/>
                <w:lang w:eastAsia="zh-CN"/>
              </w:rPr>
              <w:t>见下面。</w:t>
            </w:r>
          </w:p>
        </w:tc>
        <w:tc>
          <w:tcPr>
            <w:tcW w:w="2423" w:type="dxa"/>
            <w:vMerge w:val="restart"/>
            <w:tcBorders>
              <w:top w:val="single" w:color="auto" w:sz="4" w:space="0"/>
              <w:left w:val="single" w:color="000000" w:sz="4" w:space="0"/>
              <w:right w:val="single" w:color="000000" w:sz="4" w:space="0"/>
            </w:tcBorders>
            <w:vAlign w:val="center"/>
          </w:tcPr>
          <w:p>
            <w:pPr>
              <w:spacing w:line="276" w:lineRule="auto"/>
              <w:jc w:val="center"/>
              <w:rPr>
                <w:rFonts w:ascii="Times New Roman" w:hAnsi="Times New Roman" w:cs="Times New Roman"/>
                <w:color w:val="auto"/>
                <w:szCs w:val="21"/>
                <w:u w:val="single"/>
              </w:rPr>
            </w:pPr>
            <w:r>
              <w:rPr>
                <w:rFonts w:ascii="Times New Roman" w:hAnsi="Times New Roman" w:cs="Times New Roman"/>
                <w:color w:val="auto"/>
                <w:szCs w:val="21"/>
                <w:u w:val="single"/>
              </w:rPr>
              <w:t>废水均进入公司污水处理系统进行处理后达标</w:t>
            </w:r>
          </w:p>
          <w:p>
            <w:pPr>
              <w:spacing w:line="276" w:lineRule="auto"/>
              <w:jc w:val="center"/>
              <w:rPr>
                <w:rFonts w:ascii="Times New Roman" w:hAnsi="Times New Roman" w:cs="Times New Roman"/>
                <w:color w:val="auto"/>
                <w:szCs w:val="21"/>
                <w:u w:val="single"/>
              </w:rPr>
            </w:pPr>
            <w:r>
              <w:rPr>
                <w:rFonts w:ascii="Times New Roman" w:hAnsi="Times New Roman" w:cs="Times New Roman"/>
                <w:color w:val="auto"/>
                <w:szCs w:val="21"/>
                <w:u w:val="single"/>
              </w:rPr>
              <w:t>排放。</w:t>
            </w:r>
          </w:p>
        </w:tc>
      </w:tr>
      <w:tr>
        <w:tblPrEx>
          <w:tblLayout w:type="fixed"/>
          <w:tblCellMar>
            <w:top w:w="15" w:type="dxa"/>
            <w:left w:w="15" w:type="dxa"/>
            <w:bottom w:w="15" w:type="dxa"/>
            <w:right w:w="15" w:type="dxa"/>
          </w:tblCellMar>
        </w:tblPrEx>
        <w:trPr>
          <w:trHeight w:val="396" w:hRule="atLeast"/>
        </w:trPr>
        <w:tc>
          <w:tcPr>
            <w:tcW w:w="1231" w:type="dxa"/>
            <w:vMerge w:val="continue"/>
            <w:tcBorders>
              <w:left w:val="single" w:color="auto" w:sz="4" w:space="0"/>
              <w:right w:val="single" w:color="000000" w:sz="4" w:space="0"/>
            </w:tcBorders>
            <w:vAlign w:val="center"/>
          </w:tcPr>
          <w:p>
            <w:pPr>
              <w:rPr>
                <w:rFonts w:ascii="Times New Roman" w:hAnsi="Times New Roman" w:cs="Times New Roman"/>
                <w:color w:val="auto"/>
                <w:u w:val="single"/>
              </w:rPr>
            </w:pPr>
          </w:p>
        </w:tc>
        <w:tc>
          <w:tcPr>
            <w:tcW w:w="10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COD</w:t>
            </w:r>
          </w:p>
        </w:tc>
        <w:tc>
          <w:tcPr>
            <w:tcW w:w="1134"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0.28</w:t>
            </w:r>
          </w:p>
        </w:tc>
        <w:tc>
          <w:tcPr>
            <w:tcW w:w="993"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0.245</w:t>
            </w:r>
          </w:p>
        </w:tc>
        <w:tc>
          <w:tcPr>
            <w:tcW w:w="85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0.035</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50mg/L</w:t>
            </w:r>
          </w:p>
        </w:tc>
        <w:tc>
          <w:tcPr>
            <w:tcW w:w="2423" w:type="dxa"/>
            <w:vMerge w:val="continue"/>
            <w:tcBorders>
              <w:left w:val="single" w:color="000000" w:sz="4" w:space="0"/>
              <w:right w:val="single" w:color="000000"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394" w:hRule="atLeast"/>
        </w:trPr>
        <w:tc>
          <w:tcPr>
            <w:tcW w:w="1231" w:type="dxa"/>
            <w:vMerge w:val="continue"/>
            <w:tcBorders>
              <w:left w:val="single" w:color="auto" w:sz="4" w:space="0"/>
              <w:right w:val="single" w:color="000000" w:sz="4" w:space="0"/>
            </w:tcBorders>
            <w:vAlign w:val="center"/>
          </w:tcPr>
          <w:p>
            <w:pPr>
              <w:rPr>
                <w:rFonts w:ascii="Times New Roman" w:hAnsi="Times New Roman" w:cs="Times New Roman"/>
                <w:color w:val="auto"/>
                <w:u w:val="single"/>
              </w:rPr>
            </w:pPr>
          </w:p>
        </w:tc>
        <w:tc>
          <w:tcPr>
            <w:tcW w:w="10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SS</w:t>
            </w:r>
          </w:p>
        </w:tc>
        <w:tc>
          <w:tcPr>
            <w:tcW w:w="11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0.14</w:t>
            </w:r>
          </w:p>
        </w:tc>
        <w:tc>
          <w:tcPr>
            <w:tcW w:w="993"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0.091</w:t>
            </w:r>
          </w:p>
        </w:tc>
        <w:tc>
          <w:tcPr>
            <w:tcW w:w="85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0.049</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70mg/L</w:t>
            </w:r>
          </w:p>
        </w:tc>
        <w:tc>
          <w:tcPr>
            <w:tcW w:w="2423" w:type="dxa"/>
            <w:vMerge w:val="continue"/>
            <w:tcBorders>
              <w:left w:val="single" w:color="000000" w:sz="4" w:space="0"/>
              <w:right w:val="single" w:color="000000"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386" w:hRule="atLeast"/>
        </w:trPr>
        <w:tc>
          <w:tcPr>
            <w:tcW w:w="1231" w:type="dxa"/>
            <w:vMerge w:val="continue"/>
            <w:tcBorders>
              <w:left w:val="single" w:color="auto" w:sz="4" w:space="0"/>
              <w:right w:val="single" w:color="000000" w:sz="4" w:space="0"/>
            </w:tcBorders>
            <w:vAlign w:val="center"/>
          </w:tcPr>
          <w:p>
            <w:pPr>
              <w:rPr>
                <w:rFonts w:ascii="Times New Roman" w:hAnsi="Times New Roman" w:cs="Times New Roman"/>
                <w:color w:val="auto"/>
                <w:u w:val="single"/>
              </w:rPr>
            </w:pPr>
          </w:p>
        </w:tc>
        <w:tc>
          <w:tcPr>
            <w:tcW w:w="105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氨氮</w:t>
            </w:r>
          </w:p>
        </w:tc>
        <w:tc>
          <w:tcPr>
            <w:tcW w:w="113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0.025</w:t>
            </w:r>
          </w:p>
        </w:tc>
        <w:tc>
          <w:tcPr>
            <w:tcW w:w="993"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0.020</w:t>
            </w:r>
          </w:p>
        </w:tc>
        <w:tc>
          <w:tcPr>
            <w:tcW w:w="850" w:type="dxa"/>
            <w:tcBorders>
              <w:top w:val="single" w:color="000000" w:sz="4" w:space="0"/>
              <w:left w:val="single" w:color="auto"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0.005</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5mg/L</w:t>
            </w:r>
          </w:p>
        </w:tc>
        <w:tc>
          <w:tcPr>
            <w:tcW w:w="2423" w:type="dxa"/>
            <w:vMerge w:val="continue"/>
            <w:tcBorders>
              <w:left w:val="single" w:color="000000" w:sz="4" w:space="0"/>
              <w:right w:val="single" w:color="000000"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489" w:hRule="atLeast"/>
        </w:trPr>
        <w:tc>
          <w:tcPr>
            <w:tcW w:w="1231" w:type="dxa"/>
            <w:vMerge w:val="continue"/>
            <w:tcBorders>
              <w:left w:val="single" w:color="auto" w:sz="4" w:space="0"/>
              <w:bottom w:val="single" w:color="auto" w:sz="4" w:space="0"/>
              <w:right w:val="single" w:color="000000" w:sz="4" w:space="0"/>
            </w:tcBorders>
            <w:vAlign w:val="center"/>
          </w:tcPr>
          <w:p>
            <w:pPr>
              <w:rPr>
                <w:rFonts w:ascii="Times New Roman" w:hAnsi="Times New Roman" w:cs="Times New Roman"/>
                <w:color w:val="auto"/>
                <w:u w:val="single"/>
              </w:rPr>
            </w:pPr>
          </w:p>
        </w:tc>
        <w:tc>
          <w:tcPr>
            <w:tcW w:w="1052"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石油类</w:t>
            </w:r>
          </w:p>
        </w:tc>
        <w:tc>
          <w:tcPr>
            <w:tcW w:w="1134"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0.018</w:t>
            </w:r>
          </w:p>
        </w:tc>
        <w:tc>
          <w:tcPr>
            <w:tcW w:w="993" w:type="dxa"/>
            <w:tcBorders>
              <w:top w:val="single" w:color="000000" w:sz="4" w:space="0"/>
              <w:left w:val="single" w:color="000000" w:sz="4" w:space="0"/>
              <w:bottom w:val="single" w:color="auto" w:sz="4" w:space="0"/>
              <w:right w:val="single" w:color="auto"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0.014</w:t>
            </w:r>
          </w:p>
        </w:tc>
        <w:tc>
          <w:tcPr>
            <w:tcW w:w="850" w:type="dxa"/>
            <w:tcBorders>
              <w:top w:val="single" w:color="000000" w:sz="4" w:space="0"/>
              <w:left w:val="single" w:color="auto"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0.004</w:t>
            </w:r>
          </w:p>
        </w:tc>
        <w:tc>
          <w:tcPr>
            <w:tcW w:w="1418"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5 mg/L</w:t>
            </w:r>
          </w:p>
        </w:tc>
        <w:tc>
          <w:tcPr>
            <w:tcW w:w="2423" w:type="dxa"/>
            <w:vMerge w:val="continue"/>
            <w:tcBorders>
              <w:left w:val="single" w:color="000000" w:sz="4" w:space="0"/>
              <w:bottom w:val="single" w:color="auto" w:sz="4" w:space="0"/>
              <w:right w:val="single" w:color="000000" w:sz="4" w:space="0"/>
            </w:tcBorders>
            <w:vAlign w:val="center"/>
          </w:tcPr>
          <w:p>
            <w:pPr>
              <w:rPr>
                <w:rFonts w:ascii="Times New Roman" w:hAnsi="Times New Roman" w:cs="Times New Roman"/>
                <w:color w:val="auto"/>
                <w:u w:val="single"/>
              </w:rPr>
            </w:pPr>
          </w:p>
        </w:tc>
      </w:tr>
      <w:tr>
        <w:tblPrEx>
          <w:tblLayout w:type="fixed"/>
          <w:tblCellMar>
            <w:top w:w="15" w:type="dxa"/>
            <w:left w:w="15" w:type="dxa"/>
            <w:bottom w:w="15" w:type="dxa"/>
            <w:right w:w="15" w:type="dxa"/>
          </w:tblCellMar>
        </w:tblPrEx>
        <w:trPr>
          <w:trHeight w:val="285" w:hRule="atLeast"/>
        </w:trPr>
        <w:tc>
          <w:tcPr>
            <w:tcW w:w="1231" w:type="dxa"/>
            <w:tcBorders>
              <w:top w:val="single" w:color="auto" w:sz="4" w:space="0"/>
              <w:left w:val="single" w:color="auto"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危险废物</w:t>
            </w:r>
          </w:p>
        </w:tc>
        <w:tc>
          <w:tcPr>
            <w:tcW w:w="1052" w:type="dxa"/>
            <w:tcBorders>
              <w:top w:val="single" w:color="auto" w:sz="4" w:space="0"/>
              <w:left w:val="single" w:color="000000" w:sz="4" w:space="0"/>
              <w:bottom w:val="single" w:color="auto" w:sz="4" w:space="0"/>
              <w:right w:val="single" w:color="000000" w:sz="4" w:space="0"/>
            </w:tcBorders>
            <w:vAlign w:val="center"/>
          </w:tcPr>
          <w:p>
            <w:pPr>
              <w:pStyle w:val="27"/>
              <w:tabs>
                <w:tab w:val="left" w:pos="15"/>
              </w:tabs>
              <w:jc w:val="center"/>
              <w:rPr>
                <w:rFonts w:ascii="Times New Roman" w:hAnsi="Times New Roman"/>
                <w:color w:val="auto"/>
                <w:sz w:val="21"/>
                <w:szCs w:val="21"/>
                <w:u w:val="single"/>
              </w:rPr>
            </w:pPr>
            <w:r>
              <w:rPr>
                <w:rFonts w:ascii="Times New Roman" w:hAnsi="Times New Roman"/>
                <w:color w:val="auto"/>
                <w:sz w:val="21"/>
                <w:szCs w:val="21"/>
                <w:u w:val="single"/>
              </w:rPr>
              <w:t>废物润滑油</w:t>
            </w:r>
          </w:p>
        </w:tc>
        <w:tc>
          <w:tcPr>
            <w:tcW w:w="1134" w:type="dxa"/>
            <w:tcBorders>
              <w:top w:val="single" w:color="auto" w:sz="4" w:space="0"/>
              <w:left w:val="single" w:color="000000" w:sz="4" w:space="0"/>
              <w:bottom w:val="single" w:color="auto" w:sz="4" w:space="0"/>
              <w:right w:val="single" w:color="000000" w:sz="4" w:space="0"/>
            </w:tcBorders>
            <w:vAlign w:val="center"/>
          </w:tcPr>
          <w:p>
            <w:pPr>
              <w:pStyle w:val="246"/>
              <w:widowControl/>
              <w:ind w:left="360" w:firstLine="0" w:firstLineChars="0"/>
              <w:textAlignment w:val="center"/>
              <w:rPr>
                <w:rFonts w:ascii="Times New Roman" w:hAnsi="Times New Roman" w:cs="Times New Roman"/>
                <w:color w:val="auto"/>
                <w:szCs w:val="21"/>
                <w:u w:val="single"/>
              </w:rPr>
            </w:pPr>
            <w:r>
              <w:rPr>
                <w:rFonts w:ascii="Times New Roman" w:hAnsi="Times New Roman" w:cs="Times New Roman"/>
                <w:color w:val="auto"/>
                <w:kern w:val="0"/>
                <w:szCs w:val="21"/>
                <w:u w:val="single"/>
              </w:rPr>
              <w:t>0.006</w:t>
            </w:r>
          </w:p>
        </w:tc>
        <w:tc>
          <w:tcPr>
            <w:tcW w:w="993" w:type="dxa"/>
            <w:tcBorders>
              <w:top w:val="single" w:color="auto" w:sz="4" w:space="0"/>
              <w:left w:val="single" w:color="000000"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850" w:type="dxa"/>
            <w:tcBorders>
              <w:top w:val="single" w:color="auto" w:sz="4" w:space="0"/>
              <w:left w:val="single" w:color="auto" w:sz="4" w:space="0"/>
              <w:bottom w:val="single" w:color="auto" w:sz="4" w:space="0"/>
              <w:right w:val="single" w:color="000000" w:sz="4" w:space="0"/>
            </w:tcBorders>
            <w:vAlign w:val="center"/>
          </w:tcPr>
          <w:p>
            <w:pPr>
              <w:jc w:val="center"/>
              <w:rPr>
                <w:rFonts w:ascii="Times New Roman" w:hAnsi="Times New Roman" w:cs="Times New Roman"/>
                <w:color w:val="auto"/>
                <w:szCs w:val="21"/>
                <w:u w:val="single"/>
              </w:rPr>
            </w:pPr>
          </w:p>
        </w:tc>
        <w:tc>
          <w:tcPr>
            <w:tcW w:w="1418" w:type="dxa"/>
            <w:tcBorders>
              <w:top w:val="single" w:color="auto" w:sz="4" w:space="0"/>
              <w:left w:val="single" w:color="000000" w:sz="4" w:space="0"/>
              <w:bottom w:val="single" w:color="auto" w:sz="4" w:space="0"/>
              <w:right w:val="single" w:color="000000" w:sz="4" w:space="0"/>
            </w:tcBorders>
            <w:vAlign w:val="center"/>
          </w:tcPr>
          <w:p>
            <w:pPr>
              <w:widowControl/>
              <w:jc w:val="center"/>
              <w:textAlignment w:val="center"/>
              <w:rPr>
                <w:rFonts w:ascii="Times New Roman" w:hAnsi="Times New Roman" w:cs="Times New Roman"/>
                <w:color w:val="auto"/>
                <w:szCs w:val="21"/>
                <w:u w:val="single"/>
              </w:rPr>
            </w:pPr>
            <w:r>
              <w:rPr>
                <w:rFonts w:ascii="Times New Roman" w:hAnsi="Times New Roman" w:cs="Times New Roman"/>
                <w:color w:val="auto"/>
                <w:szCs w:val="21"/>
                <w:u w:val="single"/>
              </w:rPr>
              <w:t>/</w:t>
            </w:r>
          </w:p>
        </w:tc>
        <w:tc>
          <w:tcPr>
            <w:tcW w:w="2423" w:type="dxa"/>
            <w:tcBorders>
              <w:top w:val="single" w:color="auto" w:sz="4" w:space="0"/>
              <w:left w:val="single" w:color="000000" w:sz="4" w:space="0"/>
              <w:bottom w:val="single" w:color="auto" w:sz="4" w:space="0"/>
              <w:right w:val="single" w:color="auto" w:sz="4" w:space="0"/>
            </w:tcBorders>
            <w:vAlign w:val="center"/>
          </w:tcPr>
          <w:p>
            <w:pPr>
              <w:jc w:val="center"/>
              <w:rPr>
                <w:rFonts w:ascii="Times New Roman" w:hAnsi="Times New Roman" w:cs="Times New Roman"/>
                <w:color w:val="auto"/>
                <w:szCs w:val="21"/>
                <w:u w:val="single"/>
              </w:rPr>
            </w:pPr>
            <w:r>
              <w:rPr>
                <w:rFonts w:ascii="Times New Roman" w:hAnsi="Times New Roman" w:cs="Times New Roman"/>
                <w:color w:val="auto"/>
                <w:szCs w:val="21"/>
                <w:u w:val="single"/>
              </w:rPr>
              <w:t>委托有资质单位处置</w:t>
            </w:r>
          </w:p>
        </w:tc>
      </w:tr>
    </w:tbl>
    <w:p>
      <w:pPr>
        <w:pStyle w:val="18"/>
        <w:autoSpaceDE w:val="0"/>
        <w:autoSpaceDN w:val="0"/>
        <w:ind w:firstLine="481"/>
        <w:jc w:val="left"/>
        <w:rPr>
          <w:rFonts w:hint="eastAsia"/>
          <w:b w:val="0"/>
          <w:bCs/>
          <w:color w:val="auto"/>
          <w:u w:val="single"/>
        </w:rPr>
      </w:pPr>
      <w:bookmarkStart w:id="183" w:name="_Toc8885"/>
      <w:bookmarkStart w:id="184" w:name="_Toc8076"/>
      <w:bookmarkStart w:id="185" w:name="_Toc27113"/>
      <w:bookmarkStart w:id="186" w:name="_Toc16224"/>
    </w:p>
    <w:p>
      <w:pPr>
        <w:pStyle w:val="18"/>
        <w:autoSpaceDE w:val="0"/>
        <w:autoSpaceDN w:val="0"/>
        <w:ind w:firstLine="481"/>
        <w:jc w:val="left"/>
        <w:rPr>
          <w:rFonts w:hint="eastAsia"/>
          <w:b w:val="0"/>
          <w:bCs/>
          <w:color w:val="auto"/>
          <w:u w:val="single"/>
        </w:rPr>
      </w:pPr>
    </w:p>
    <w:p>
      <w:pPr>
        <w:pStyle w:val="18"/>
        <w:autoSpaceDE w:val="0"/>
        <w:autoSpaceDN w:val="0"/>
        <w:ind w:firstLine="481"/>
        <w:jc w:val="left"/>
        <w:rPr>
          <w:rFonts w:hint="eastAsia"/>
          <w:b w:val="0"/>
          <w:bCs/>
          <w:color w:val="auto"/>
          <w:u w:val="single"/>
          <w:lang w:val="en-US" w:eastAsia="zh-CN"/>
        </w:rPr>
      </w:pPr>
      <w:r>
        <w:rPr>
          <w:rFonts w:hint="eastAsia"/>
          <w:b w:val="0"/>
          <w:bCs/>
          <w:color w:val="auto"/>
          <w:u w:val="single"/>
        </w:rPr>
        <w:t>本项目</w:t>
      </w:r>
      <w:r>
        <w:rPr>
          <w:rFonts w:hint="eastAsia"/>
          <w:b w:val="0"/>
          <w:bCs/>
          <w:color w:val="auto"/>
          <w:u w:val="single"/>
          <w:lang w:eastAsia="zh-CN"/>
        </w:rPr>
        <w:t>技改</w:t>
      </w:r>
      <w:r>
        <w:rPr>
          <w:rFonts w:hint="eastAsia"/>
          <w:b w:val="0"/>
          <w:bCs/>
          <w:color w:val="auto"/>
          <w:u w:val="single"/>
        </w:rPr>
        <w:t>前后“三废”污染源</w:t>
      </w:r>
      <w:r>
        <w:rPr>
          <w:rFonts w:hint="eastAsia"/>
          <w:b w:val="0"/>
          <w:bCs/>
          <w:color w:val="auto"/>
          <w:u w:val="single"/>
          <w:lang w:eastAsia="zh-CN"/>
        </w:rPr>
        <w:t>排放变化情况见表</w:t>
      </w:r>
      <w:r>
        <w:rPr>
          <w:rFonts w:hint="eastAsia"/>
          <w:b w:val="0"/>
          <w:bCs/>
          <w:color w:val="auto"/>
          <w:u w:val="single"/>
          <w:lang w:val="en-US" w:eastAsia="zh-CN"/>
        </w:rPr>
        <w:t>2.7-6。</w:t>
      </w:r>
    </w:p>
    <w:p>
      <w:pPr>
        <w:ind w:firstLine="481"/>
        <w:rPr>
          <w:rFonts w:hint="default"/>
          <w:lang w:val="en-US" w:eastAsia="zh-CN"/>
        </w:rPr>
      </w:pPr>
    </w:p>
    <w:p>
      <w:pPr>
        <w:pStyle w:val="18"/>
        <w:autoSpaceDE w:val="0"/>
        <w:autoSpaceDN w:val="0"/>
        <w:rPr>
          <w:color w:val="auto"/>
          <w:u w:val="single"/>
        </w:rPr>
      </w:pPr>
      <w:r>
        <w:rPr>
          <w:rFonts w:hint="eastAsia"/>
          <w:color w:val="auto"/>
          <w:u w:val="single"/>
          <w:lang w:val="en-US" w:eastAsia="zh-CN"/>
        </w:rPr>
        <w:t>2.7</w:t>
      </w:r>
      <w:r>
        <w:rPr>
          <w:rFonts w:hint="eastAsia"/>
          <w:color w:val="auto"/>
          <w:u w:val="single"/>
        </w:rPr>
        <w:t>-</w:t>
      </w:r>
      <w:r>
        <w:rPr>
          <w:rFonts w:hint="eastAsia"/>
          <w:color w:val="auto"/>
          <w:u w:val="single"/>
          <w:lang w:val="en-US" w:eastAsia="zh-CN"/>
        </w:rPr>
        <w:t>6</w:t>
      </w:r>
      <w:r>
        <w:rPr>
          <w:rFonts w:hint="eastAsia"/>
          <w:color w:val="auto"/>
          <w:u w:val="single"/>
        </w:rPr>
        <w:t xml:space="preserve">  本项目</w:t>
      </w:r>
      <w:r>
        <w:rPr>
          <w:rFonts w:hint="eastAsia"/>
          <w:color w:val="auto"/>
          <w:u w:val="single"/>
          <w:lang w:eastAsia="zh-CN"/>
        </w:rPr>
        <w:t>技改</w:t>
      </w:r>
      <w:r>
        <w:rPr>
          <w:rFonts w:hint="eastAsia"/>
          <w:color w:val="auto"/>
          <w:u w:val="single"/>
        </w:rPr>
        <w:t>前后“三废”污染源</w:t>
      </w:r>
      <w:r>
        <w:rPr>
          <w:rFonts w:hint="eastAsia"/>
          <w:color w:val="auto"/>
          <w:u w:val="single"/>
          <w:lang w:eastAsia="zh-CN"/>
        </w:rPr>
        <w:t>变化情况</w:t>
      </w:r>
      <w:r>
        <w:rPr>
          <w:rFonts w:hint="eastAsia"/>
          <w:color w:val="auto"/>
          <w:u w:val="single"/>
        </w:rPr>
        <w:t>汇总表</w:t>
      </w:r>
    </w:p>
    <w:tbl>
      <w:tblPr>
        <w:tblStyle w:val="46"/>
        <w:tblW w:w="88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375"/>
        <w:gridCol w:w="1679"/>
        <w:gridCol w:w="720"/>
        <w:gridCol w:w="1320"/>
        <w:gridCol w:w="1155"/>
        <w:gridCol w:w="1305"/>
        <w:gridCol w:w="1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90" w:type="dxa"/>
            <w:gridSpan w:val="2"/>
          </w:tcPr>
          <w:p>
            <w:pPr>
              <w:jc w:val="center"/>
              <w:rPr>
                <w:b/>
                <w:bCs/>
                <w:color w:val="auto"/>
                <w:u w:val="single"/>
              </w:rPr>
            </w:pPr>
            <w:r>
              <w:rPr>
                <w:rFonts w:hint="eastAsia"/>
                <w:b/>
                <w:bCs/>
                <w:color w:val="auto"/>
                <w:u w:val="single"/>
              </w:rPr>
              <w:t>项目</w:t>
            </w:r>
          </w:p>
        </w:tc>
        <w:tc>
          <w:tcPr>
            <w:tcW w:w="1679" w:type="dxa"/>
          </w:tcPr>
          <w:p>
            <w:pPr>
              <w:jc w:val="center"/>
              <w:rPr>
                <w:b/>
                <w:bCs/>
                <w:color w:val="auto"/>
                <w:u w:val="single"/>
              </w:rPr>
            </w:pPr>
            <w:r>
              <w:rPr>
                <w:rFonts w:hint="eastAsia"/>
                <w:b/>
                <w:bCs/>
                <w:color w:val="auto"/>
                <w:u w:val="single"/>
              </w:rPr>
              <w:t>污染物</w:t>
            </w:r>
          </w:p>
        </w:tc>
        <w:tc>
          <w:tcPr>
            <w:tcW w:w="720" w:type="dxa"/>
          </w:tcPr>
          <w:p>
            <w:pPr>
              <w:jc w:val="center"/>
              <w:rPr>
                <w:b/>
                <w:bCs/>
                <w:color w:val="auto"/>
                <w:u w:val="single"/>
              </w:rPr>
            </w:pPr>
            <w:r>
              <w:rPr>
                <w:rFonts w:hint="eastAsia"/>
                <w:b/>
                <w:bCs/>
                <w:color w:val="auto"/>
                <w:u w:val="single"/>
              </w:rPr>
              <w:t>单位</w:t>
            </w:r>
          </w:p>
        </w:tc>
        <w:tc>
          <w:tcPr>
            <w:tcW w:w="1320" w:type="dxa"/>
          </w:tcPr>
          <w:p>
            <w:pPr>
              <w:jc w:val="center"/>
              <w:rPr>
                <w:b/>
                <w:bCs/>
                <w:color w:val="auto"/>
                <w:u w:val="single"/>
              </w:rPr>
            </w:pPr>
            <w:r>
              <w:rPr>
                <w:rFonts w:hint="eastAsia"/>
                <w:b/>
                <w:bCs/>
                <w:color w:val="auto"/>
                <w:u w:val="single"/>
              </w:rPr>
              <w:t>现有工程排污量</w:t>
            </w:r>
          </w:p>
        </w:tc>
        <w:tc>
          <w:tcPr>
            <w:tcW w:w="1155" w:type="dxa"/>
          </w:tcPr>
          <w:p>
            <w:pPr>
              <w:jc w:val="center"/>
              <w:rPr>
                <w:b/>
                <w:bCs/>
                <w:color w:val="auto"/>
                <w:u w:val="single"/>
              </w:rPr>
            </w:pPr>
            <w:r>
              <w:rPr>
                <w:rFonts w:hint="eastAsia"/>
                <w:b/>
                <w:bCs/>
                <w:color w:val="auto"/>
                <w:u w:val="single"/>
                <w:lang w:eastAsia="zh-CN"/>
              </w:rPr>
              <w:t>本项目技改后排污</w:t>
            </w:r>
            <w:r>
              <w:rPr>
                <w:rFonts w:hint="eastAsia"/>
                <w:b/>
                <w:bCs/>
                <w:color w:val="auto"/>
                <w:u w:val="single"/>
              </w:rPr>
              <w:t>量</w:t>
            </w:r>
          </w:p>
        </w:tc>
        <w:tc>
          <w:tcPr>
            <w:tcW w:w="1305" w:type="dxa"/>
          </w:tcPr>
          <w:p>
            <w:pPr>
              <w:jc w:val="center"/>
              <w:rPr>
                <w:b/>
                <w:bCs/>
                <w:color w:val="auto"/>
                <w:u w:val="single"/>
              </w:rPr>
            </w:pPr>
            <w:r>
              <w:rPr>
                <w:rFonts w:hint="eastAsia"/>
                <w:b/>
                <w:bCs/>
                <w:color w:val="auto"/>
                <w:u w:val="single"/>
              </w:rPr>
              <w:t>“以新带老”削减量</w:t>
            </w:r>
          </w:p>
        </w:tc>
        <w:tc>
          <w:tcPr>
            <w:tcW w:w="1861" w:type="dxa"/>
          </w:tcPr>
          <w:p>
            <w:pPr>
              <w:jc w:val="center"/>
              <w:rPr>
                <w:b/>
                <w:bCs/>
                <w:color w:val="auto"/>
                <w:u w:val="single"/>
              </w:rPr>
            </w:pPr>
            <w:r>
              <w:rPr>
                <w:rFonts w:hint="eastAsia"/>
                <w:b/>
                <w:bCs/>
                <w:color w:val="auto"/>
                <w:u w:val="single"/>
                <w:lang w:eastAsia="zh-CN"/>
              </w:rPr>
              <w:t>技改完</w:t>
            </w:r>
            <w:r>
              <w:rPr>
                <w:rFonts w:hint="eastAsia"/>
                <w:b/>
                <w:bCs/>
                <w:color w:val="auto"/>
                <w:u w:val="single"/>
              </w:rPr>
              <w:t>成后污染物的削减量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15" w:type="dxa"/>
          </w:tcPr>
          <w:p>
            <w:pPr>
              <w:jc w:val="center"/>
              <w:rPr>
                <w:color w:val="auto"/>
                <w:u w:val="single"/>
              </w:rPr>
            </w:pPr>
            <w:r>
              <w:rPr>
                <w:rFonts w:hint="eastAsia"/>
                <w:color w:val="auto"/>
                <w:u w:val="single"/>
              </w:rPr>
              <w:t>废</w:t>
            </w:r>
          </w:p>
          <w:p>
            <w:pPr>
              <w:jc w:val="center"/>
              <w:rPr>
                <w:color w:val="auto"/>
                <w:u w:val="single"/>
              </w:rPr>
            </w:pPr>
            <w:r>
              <w:rPr>
                <w:rFonts w:hint="eastAsia"/>
                <w:color w:val="auto"/>
                <w:u w:val="single"/>
              </w:rPr>
              <w:t>气</w:t>
            </w:r>
          </w:p>
        </w:tc>
        <w:tc>
          <w:tcPr>
            <w:tcW w:w="375" w:type="dxa"/>
          </w:tcPr>
          <w:p>
            <w:pPr>
              <w:jc w:val="center"/>
              <w:rPr>
                <w:color w:val="auto"/>
                <w:u w:val="single"/>
              </w:rPr>
            </w:pPr>
            <w:r>
              <w:rPr>
                <w:rFonts w:hint="eastAsia"/>
                <w:color w:val="auto"/>
                <w:u w:val="single"/>
              </w:rPr>
              <w:t>有</w:t>
            </w:r>
          </w:p>
          <w:p>
            <w:pPr>
              <w:jc w:val="center"/>
              <w:rPr>
                <w:color w:val="auto"/>
                <w:u w:val="single"/>
              </w:rPr>
            </w:pPr>
            <w:r>
              <w:rPr>
                <w:rFonts w:hint="eastAsia"/>
                <w:color w:val="auto"/>
                <w:u w:val="single"/>
              </w:rPr>
              <w:t>组</w:t>
            </w:r>
          </w:p>
          <w:p>
            <w:pPr>
              <w:jc w:val="center"/>
              <w:rPr>
                <w:color w:val="auto"/>
                <w:u w:val="single"/>
              </w:rPr>
            </w:pPr>
            <w:r>
              <w:rPr>
                <w:rFonts w:hint="eastAsia"/>
                <w:color w:val="auto"/>
                <w:u w:val="single"/>
              </w:rPr>
              <w:t>织</w:t>
            </w:r>
          </w:p>
        </w:tc>
        <w:tc>
          <w:tcPr>
            <w:tcW w:w="1679" w:type="dxa"/>
          </w:tcPr>
          <w:p>
            <w:pPr>
              <w:jc w:val="center"/>
              <w:rPr>
                <w:rFonts w:hint="eastAsia" w:eastAsia="宋体"/>
                <w:color w:val="auto"/>
                <w:u w:val="single"/>
                <w:vertAlign w:val="subscript"/>
                <w:lang w:eastAsia="zh-CN"/>
              </w:rPr>
            </w:pPr>
            <w:r>
              <w:rPr>
                <w:rFonts w:hint="eastAsia"/>
                <w:color w:val="auto"/>
                <w:u w:val="single"/>
              </w:rPr>
              <w:t>/</w:t>
            </w:r>
          </w:p>
        </w:tc>
        <w:tc>
          <w:tcPr>
            <w:tcW w:w="720" w:type="dxa"/>
          </w:tcPr>
          <w:p>
            <w:pPr>
              <w:jc w:val="center"/>
              <w:rPr>
                <w:color w:val="auto"/>
                <w:u w:val="single"/>
              </w:rPr>
            </w:pPr>
            <w:r>
              <w:rPr>
                <w:rFonts w:hint="eastAsia"/>
                <w:color w:val="auto"/>
                <w:u w:val="single"/>
              </w:rPr>
              <w:t>t/a</w:t>
            </w:r>
          </w:p>
        </w:tc>
        <w:tc>
          <w:tcPr>
            <w:tcW w:w="1320" w:type="dxa"/>
          </w:tcPr>
          <w:p>
            <w:pPr>
              <w:jc w:val="center"/>
              <w:rPr>
                <w:color w:val="auto"/>
                <w:u w:val="single"/>
              </w:rPr>
            </w:pPr>
            <w:r>
              <w:rPr>
                <w:rFonts w:hint="eastAsia"/>
                <w:color w:val="auto"/>
                <w:u w:val="single"/>
              </w:rPr>
              <w:t>/</w:t>
            </w:r>
          </w:p>
        </w:tc>
        <w:tc>
          <w:tcPr>
            <w:tcW w:w="1155" w:type="dxa"/>
          </w:tcPr>
          <w:p>
            <w:pPr>
              <w:jc w:val="center"/>
              <w:rPr>
                <w:color w:val="auto"/>
                <w:u w:val="single"/>
              </w:rPr>
            </w:pPr>
            <w:r>
              <w:rPr>
                <w:rFonts w:hint="eastAsia"/>
                <w:color w:val="auto"/>
                <w:u w:val="single"/>
              </w:rPr>
              <w:t>/</w:t>
            </w:r>
          </w:p>
        </w:tc>
        <w:tc>
          <w:tcPr>
            <w:tcW w:w="1305" w:type="dxa"/>
          </w:tcPr>
          <w:p>
            <w:pPr>
              <w:jc w:val="center"/>
              <w:rPr>
                <w:color w:val="auto"/>
                <w:u w:val="single"/>
              </w:rPr>
            </w:pPr>
            <w:r>
              <w:rPr>
                <w:rFonts w:hint="eastAsia"/>
                <w:color w:val="auto"/>
                <w:u w:val="single"/>
              </w:rPr>
              <w:t>/</w:t>
            </w:r>
          </w:p>
        </w:tc>
        <w:tc>
          <w:tcPr>
            <w:tcW w:w="1861" w:type="dxa"/>
          </w:tcPr>
          <w:p>
            <w:pPr>
              <w:jc w:val="center"/>
              <w:rPr>
                <w:color w:val="auto"/>
                <w:u w:val="single"/>
              </w:rPr>
            </w:pPr>
            <w:r>
              <w:rPr>
                <w:rFonts w:hint="eastAsia"/>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0" w:hRule="atLeast"/>
        </w:trPr>
        <w:tc>
          <w:tcPr>
            <w:tcW w:w="790" w:type="dxa"/>
            <w:gridSpan w:val="2"/>
            <w:vMerge w:val="restart"/>
          </w:tcPr>
          <w:p>
            <w:pPr>
              <w:jc w:val="center"/>
              <w:rPr>
                <w:color w:val="auto"/>
                <w:u w:val="single"/>
              </w:rPr>
            </w:pPr>
            <w:r>
              <w:rPr>
                <w:rFonts w:hint="eastAsia"/>
                <w:color w:val="auto"/>
                <w:u w:val="single"/>
              </w:rPr>
              <w:t>废水</w:t>
            </w:r>
          </w:p>
        </w:tc>
        <w:tc>
          <w:tcPr>
            <w:tcW w:w="1679" w:type="dxa"/>
          </w:tcPr>
          <w:p>
            <w:pPr>
              <w:jc w:val="center"/>
              <w:rPr>
                <w:color w:val="auto"/>
                <w:u w:val="single"/>
              </w:rPr>
            </w:pPr>
            <w:r>
              <w:rPr>
                <w:rFonts w:hint="eastAsia"/>
                <w:color w:val="auto"/>
                <w:u w:val="single"/>
              </w:rPr>
              <w:t>废水量</w:t>
            </w:r>
          </w:p>
        </w:tc>
        <w:tc>
          <w:tcPr>
            <w:tcW w:w="720" w:type="dxa"/>
          </w:tcPr>
          <w:p>
            <w:pPr>
              <w:jc w:val="center"/>
              <w:rPr>
                <w:color w:val="auto"/>
                <w:u w:val="single"/>
              </w:rPr>
            </w:pPr>
            <w:r>
              <w:rPr>
                <w:rFonts w:hint="eastAsia"/>
                <w:color w:val="auto"/>
                <w:u w:val="single"/>
              </w:rPr>
              <w:t xml:space="preserve"> t/a</w:t>
            </w:r>
          </w:p>
        </w:tc>
        <w:tc>
          <w:tcPr>
            <w:tcW w:w="1320" w:type="dxa"/>
          </w:tcPr>
          <w:p>
            <w:pPr>
              <w:jc w:val="center"/>
              <w:rPr>
                <w:rFonts w:hint="default" w:eastAsia="宋体"/>
                <w:color w:val="auto"/>
                <w:u w:val="single"/>
                <w:lang w:val="en-US" w:eastAsia="zh-CN"/>
              </w:rPr>
            </w:pPr>
            <w:r>
              <w:rPr>
                <w:rFonts w:hint="eastAsia"/>
                <w:color w:val="auto"/>
                <w:u w:val="single"/>
                <w:lang w:val="en-US" w:eastAsia="zh-CN"/>
              </w:rPr>
              <w:t>790</w:t>
            </w:r>
          </w:p>
        </w:tc>
        <w:tc>
          <w:tcPr>
            <w:tcW w:w="1155" w:type="dxa"/>
          </w:tcPr>
          <w:p>
            <w:pPr>
              <w:jc w:val="center"/>
              <w:rPr>
                <w:rFonts w:hint="default" w:eastAsia="宋体"/>
                <w:color w:val="auto"/>
                <w:u w:val="single"/>
                <w:lang w:val="en-US" w:eastAsia="zh-CN"/>
              </w:rPr>
            </w:pPr>
            <w:r>
              <w:rPr>
                <w:rFonts w:hint="eastAsia"/>
                <w:color w:val="auto"/>
                <w:u w:val="single"/>
                <w:lang w:val="en-US" w:eastAsia="zh-CN"/>
              </w:rPr>
              <w:t>790</w:t>
            </w:r>
          </w:p>
        </w:tc>
        <w:tc>
          <w:tcPr>
            <w:tcW w:w="1305" w:type="dxa"/>
          </w:tcPr>
          <w:p>
            <w:pPr>
              <w:jc w:val="center"/>
              <w:rPr>
                <w:color w:val="auto"/>
                <w:u w:val="single"/>
              </w:rPr>
            </w:pPr>
            <w:r>
              <w:rPr>
                <w:rFonts w:hint="eastAsia"/>
                <w:color w:val="auto"/>
                <w:u w:val="single"/>
              </w:rPr>
              <w:t>0</w:t>
            </w:r>
          </w:p>
        </w:tc>
        <w:tc>
          <w:tcPr>
            <w:tcW w:w="1861" w:type="dxa"/>
          </w:tcPr>
          <w:p>
            <w:pPr>
              <w:jc w:val="center"/>
              <w:rPr>
                <w:color w:val="auto"/>
                <w:u w:val="single"/>
              </w:rPr>
            </w:pPr>
            <w:r>
              <w:rPr>
                <w:rFonts w:hint="eastAsia"/>
                <w:color w:val="auto"/>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1" w:hRule="atLeast"/>
        </w:trPr>
        <w:tc>
          <w:tcPr>
            <w:tcW w:w="790" w:type="dxa"/>
            <w:gridSpan w:val="2"/>
            <w:vMerge w:val="continue"/>
          </w:tcPr>
          <w:p>
            <w:pPr>
              <w:jc w:val="center"/>
              <w:rPr>
                <w:color w:val="auto"/>
                <w:u w:val="single"/>
              </w:rPr>
            </w:pPr>
          </w:p>
        </w:tc>
        <w:tc>
          <w:tcPr>
            <w:tcW w:w="1679" w:type="dxa"/>
          </w:tcPr>
          <w:p>
            <w:pPr>
              <w:jc w:val="center"/>
              <w:rPr>
                <w:color w:val="auto"/>
                <w:u w:val="single"/>
              </w:rPr>
            </w:pPr>
            <w:r>
              <w:rPr>
                <w:rFonts w:hint="eastAsia"/>
                <w:color w:val="auto"/>
                <w:u w:val="single"/>
              </w:rPr>
              <w:t>COD</w:t>
            </w:r>
            <w:r>
              <w:rPr>
                <w:rFonts w:hint="eastAsia"/>
                <w:color w:val="auto"/>
                <w:u w:val="single"/>
                <w:vertAlign w:val="subscript"/>
              </w:rPr>
              <w:t xml:space="preserve"> Cr</w:t>
            </w:r>
          </w:p>
        </w:tc>
        <w:tc>
          <w:tcPr>
            <w:tcW w:w="720" w:type="dxa"/>
          </w:tcPr>
          <w:p>
            <w:pPr>
              <w:jc w:val="center"/>
              <w:rPr>
                <w:color w:val="auto"/>
                <w:u w:val="single"/>
              </w:rPr>
            </w:pPr>
            <w:r>
              <w:rPr>
                <w:rFonts w:hint="eastAsia"/>
                <w:color w:val="auto"/>
                <w:u w:val="single"/>
              </w:rPr>
              <w:t>t/a</w:t>
            </w:r>
          </w:p>
        </w:tc>
        <w:tc>
          <w:tcPr>
            <w:tcW w:w="1320" w:type="dxa"/>
          </w:tcPr>
          <w:p>
            <w:pPr>
              <w:jc w:val="center"/>
              <w:rPr>
                <w:rFonts w:hint="default" w:eastAsia="宋体"/>
                <w:color w:val="auto"/>
                <w:u w:val="single"/>
                <w:lang w:val="en-US" w:eastAsia="zh-CN"/>
              </w:rPr>
            </w:pPr>
            <w:r>
              <w:rPr>
                <w:rFonts w:hint="eastAsia"/>
                <w:color w:val="auto"/>
                <w:u w:val="single"/>
              </w:rPr>
              <w:t>0.</w:t>
            </w:r>
            <w:r>
              <w:rPr>
                <w:rFonts w:hint="eastAsia"/>
                <w:color w:val="auto"/>
                <w:u w:val="single"/>
                <w:lang w:val="en-US" w:eastAsia="zh-CN"/>
              </w:rPr>
              <w:t>28</w:t>
            </w:r>
          </w:p>
        </w:tc>
        <w:tc>
          <w:tcPr>
            <w:tcW w:w="1155" w:type="dxa"/>
          </w:tcPr>
          <w:p>
            <w:pPr>
              <w:jc w:val="center"/>
              <w:rPr>
                <w:rFonts w:hint="default" w:eastAsia="宋体"/>
                <w:color w:val="auto"/>
                <w:u w:val="single"/>
                <w:lang w:val="en-US" w:eastAsia="zh-CN"/>
              </w:rPr>
            </w:pPr>
            <w:r>
              <w:rPr>
                <w:rFonts w:hint="eastAsia"/>
                <w:color w:val="auto"/>
                <w:u w:val="single"/>
              </w:rPr>
              <w:t>0.</w:t>
            </w:r>
            <w:r>
              <w:rPr>
                <w:rFonts w:hint="eastAsia"/>
                <w:color w:val="auto"/>
                <w:u w:val="single"/>
                <w:lang w:val="en-US" w:eastAsia="zh-CN"/>
              </w:rPr>
              <w:t>28</w:t>
            </w:r>
          </w:p>
        </w:tc>
        <w:tc>
          <w:tcPr>
            <w:tcW w:w="1305" w:type="dxa"/>
          </w:tcPr>
          <w:p>
            <w:pPr>
              <w:jc w:val="center"/>
              <w:rPr>
                <w:rFonts w:hint="eastAsia" w:eastAsia="宋体"/>
                <w:color w:val="auto"/>
                <w:u w:val="single"/>
                <w:lang w:eastAsia="zh-CN"/>
              </w:rPr>
            </w:pPr>
            <w:r>
              <w:rPr>
                <w:rFonts w:hint="eastAsia"/>
                <w:color w:val="auto"/>
                <w:u w:val="single"/>
              </w:rPr>
              <w:t>0</w:t>
            </w:r>
          </w:p>
        </w:tc>
        <w:tc>
          <w:tcPr>
            <w:tcW w:w="1861" w:type="dxa"/>
          </w:tcPr>
          <w:p>
            <w:pPr>
              <w:jc w:val="center"/>
              <w:rPr>
                <w:color w:val="auto"/>
                <w:u w:val="single"/>
              </w:rPr>
            </w:pPr>
            <w:r>
              <w:rPr>
                <w:rFonts w:hint="eastAsia"/>
                <w:color w:val="auto"/>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90" w:type="dxa"/>
            <w:gridSpan w:val="2"/>
            <w:vMerge w:val="continue"/>
          </w:tcPr>
          <w:p>
            <w:pPr>
              <w:jc w:val="center"/>
              <w:rPr>
                <w:color w:val="auto"/>
                <w:u w:val="single"/>
              </w:rPr>
            </w:pPr>
          </w:p>
        </w:tc>
        <w:tc>
          <w:tcPr>
            <w:tcW w:w="1679" w:type="dxa"/>
          </w:tcPr>
          <w:p>
            <w:pPr>
              <w:jc w:val="center"/>
              <w:rPr>
                <w:color w:val="auto"/>
                <w:u w:val="single"/>
              </w:rPr>
            </w:pPr>
            <w:r>
              <w:rPr>
                <w:rFonts w:hint="eastAsia"/>
                <w:color w:val="auto"/>
                <w:u w:val="single"/>
              </w:rPr>
              <w:t>氨氮</w:t>
            </w:r>
          </w:p>
        </w:tc>
        <w:tc>
          <w:tcPr>
            <w:tcW w:w="720" w:type="dxa"/>
          </w:tcPr>
          <w:p>
            <w:pPr>
              <w:jc w:val="center"/>
              <w:rPr>
                <w:color w:val="auto"/>
                <w:u w:val="single"/>
              </w:rPr>
            </w:pPr>
            <w:r>
              <w:rPr>
                <w:rFonts w:hint="eastAsia"/>
                <w:color w:val="auto"/>
                <w:u w:val="single"/>
              </w:rPr>
              <w:t>t/a</w:t>
            </w:r>
          </w:p>
        </w:tc>
        <w:tc>
          <w:tcPr>
            <w:tcW w:w="1320" w:type="dxa"/>
          </w:tcPr>
          <w:p>
            <w:pPr>
              <w:jc w:val="center"/>
              <w:rPr>
                <w:rFonts w:hint="default" w:eastAsia="宋体"/>
                <w:color w:val="auto"/>
                <w:u w:val="single"/>
                <w:lang w:val="en-US" w:eastAsia="zh-CN"/>
              </w:rPr>
            </w:pPr>
            <w:r>
              <w:rPr>
                <w:rFonts w:hint="eastAsia"/>
                <w:color w:val="auto"/>
                <w:u w:val="single"/>
                <w:lang w:val="en-US" w:eastAsia="zh-CN"/>
              </w:rPr>
              <w:t>0.025</w:t>
            </w:r>
          </w:p>
        </w:tc>
        <w:tc>
          <w:tcPr>
            <w:tcW w:w="1155" w:type="dxa"/>
          </w:tcPr>
          <w:p>
            <w:pPr>
              <w:jc w:val="center"/>
              <w:rPr>
                <w:rFonts w:hint="default" w:eastAsia="宋体"/>
                <w:color w:val="auto"/>
                <w:u w:val="single"/>
                <w:lang w:val="en-US" w:eastAsia="zh-CN"/>
              </w:rPr>
            </w:pPr>
            <w:r>
              <w:rPr>
                <w:rFonts w:hint="eastAsia"/>
                <w:color w:val="auto"/>
                <w:u w:val="single"/>
                <w:lang w:val="en-US" w:eastAsia="zh-CN"/>
              </w:rPr>
              <w:t>0.025</w:t>
            </w:r>
          </w:p>
        </w:tc>
        <w:tc>
          <w:tcPr>
            <w:tcW w:w="1305" w:type="dxa"/>
          </w:tcPr>
          <w:p>
            <w:pPr>
              <w:jc w:val="center"/>
              <w:rPr>
                <w:color w:val="auto"/>
                <w:u w:val="single"/>
              </w:rPr>
            </w:pPr>
            <w:r>
              <w:rPr>
                <w:rFonts w:hint="eastAsia"/>
                <w:color w:val="auto"/>
                <w:u w:val="single"/>
              </w:rPr>
              <w:t>0</w:t>
            </w:r>
          </w:p>
        </w:tc>
        <w:tc>
          <w:tcPr>
            <w:tcW w:w="1861" w:type="dxa"/>
          </w:tcPr>
          <w:p>
            <w:pPr>
              <w:jc w:val="center"/>
              <w:rPr>
                <w:color w:val="auto"/>
                <w:u w:val="single"/>
              </w:rPr>
            </w:pPr>
            <w:r>
              <w:rPr>
                <w:rFonts w:hint="eastAsia"/>
                <w:color w:val="auto"/>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90" w:type="dxa"/>
            <w:gridSpan w:val="2"/>
          </w:tcPr>
          <w:p>
            <w:pPr>
              <w:jc w:val="center"/>
              <w:rPr>
                <w:color w:val="auto"/>
                <w:u w:val="single"/>
              </w:rPr>
            </w:pPr>
            <w:r>
              <w:rPr>
                <w:rFonts w:hint="eastAsia"/>
                <w:color w:val="auto"/>
                <w:u w:val="single"/>
              </w:rPr>
              <w:t>固废</w:t>
            </w:r>
          </w:p>
        </w:tc>
        <w:tc>
          <w:tcPr>
            <w:tcW w:w="1679" w:type="dxa"/>
            <w:vAlign w:val="top"/>
          </w:tcPr>
          <w:p>
            <w:pPr>
              <w:jc w:val="center"/>
              <w:rPr>
                <w:color w:val="auto"/>
                <w:u w:val="single"/>
              </w:rPr>
            </w:pPr>
            <w:r>
              <w:rPr>
                <w:rFonts w:hint="eastAsia"/>
                <w:color w:val="auto"/>
                <w:u w:val="single"/>
              </w:rPr>
              <w:t>废机油</w:t>
            </w:r>
          </w:p>
        </w:tc>
        <w:tc>
          <w:tcPr>
            <w:tcW w:w="720" w:type="dxa"/>
            <w:vAlign w:val="top"/>
          </w:tcPr>
          <w:p>
            <w:pPr>
              <w:jc w:val="center"/>
              <w:rPr>
                <w:color w:val="auto"/>
                <w:u w:val="single"/>
              </w:rPr>
            </w:pPr>
            <w:r>
              <w:rPr>
                <w:rFonts w:hint="eastAsia"/>
                <w:color w:val="auto"/>
                <w:u w:val="single"/>
              </w:rPr>
              <w:t>t/a</w:t>
            </w:r>
          </w:p>
        </w:tc>
        <w:tc>
          <w:tcPr>
            <w:tcW w:w="1320" w:type="dxa"/>
            <w:vAlign w:val="top"/>
          </w:tcPr>
          <w:p>
            <w:pPr>
              <w:jc w:val="center"/>
              <w:rPr>
                <w:rFonts w:hint="default" w:eastAsia="宋体"/>
                <w:color w:val="auto"/>
                <w:u w:val="single"/>
                <w:lang w:val="en-US" w:eastAsia="zh-CN"/>
              </w:rPr>
            </w:pPr>
            <w:r>
              <w:rPr>
                <w:rFonts w:hint="eastAsia"/>
                <w:color w:val="auto"/>
                <w:u w:val="single"/>
              </w:rPr>
              <w:t>0.</w:t>
            </w:r>
            <w:r>
              <w:rPr>
                <w:rFonts w:hint="eastAsia"/>
                <w:color w:val="auto"/>
                <w:u w:val="single"/>
                <w:lang w:val="en-US" w:eastAsia="zh-CN"/>
              </w:rPr>
              <w:t>006</w:t>
            </w:r>
          </w:p>
        </w:tc>
        <w:tc>
          <w:tcPr>
            <w:tcW w:w="1155" w:type="dxa"/>
            <w:vAlign w:val="top"/>
          </w:tcPr>
          <w:p>
            <w:pPr>
              <w:jc w:val="center"/>
              <w:rPr>
                <w:rFonts w:hint="default" w:eastAsia="宋体"/>
                <w:color w:val="auto"/>
                <w:u w:val="single"/>
                <w:lang w:val="en-US" w:eastAsia="zh-CN"/>
              </w:rPr>
            </w:pPr>
            <w:r>
              <w:rPr>
                <w:rFonts w:hint="eastAsia"/>
                <w:color w:val="auto"/>
                <w:u w:val="single"/>
              </w:rPr>
              <w:t>0.</w:t>
            </w:r>
            <w:r>
              <w:rPr>
                <w:rFonts w:hint="eastAsia"/>
                <w:color w:val="auto"/>
                <w:u w:val="single"/>
                <w:lang w:val="en-US" w:eastAsia="zh-CN"/>
              </w:rPr>
              <w:t>006</w:t>
            </w:r>
          </w:p>
        </w:tc>
        <w:tc>
          <w:tcPr>
            <w:tcW w:w="1305" w:type="dxa"/>
            <w:vAlign w:val="top"/>
          </w:tcPr>
          <w:p>
            <w:pPr>
              <w:jc w:val="center"/>
              <w:rPr>
                <w:color w:val="auto"/>
                <w:u w:val="single"/>
              </w:rPr>
            </w:pPr>
            <w:r>
              <w:rPr>
                <w:rFonts w:hint="eastAsia"/>
                <w:color w:val="auto"/>
                <w:u w:val="single"/>
              </w:rPr>
              <w:t>0</w:t>
            </w:r>
          </w:p>
        </w:tc>
        <w:tc>
          <w:tcPr>
            <w:tcW w:w="1861" w:type="dxa"/>
            <w:vAlign w:val="top"/>
          </w:tcPr>
          <w:p>
            <w:pPr>
              <w:jc w:val="center"/>
              <w:rPr>
                <w:color w:val="auto"/>
                <w:u w:val="single"/>
              </w:rPr>
            </w:pPr>
            <w:r>
              <w:rPr>
                <w:rFonts w:hint="eastAsia"/>
                <w:color w:val="auto"/>
                <w:u w:val="single"/>
              </w:rPr>
              <w:t>0</w:t>
            </w:r>
          </w:p>
        </w:tc>
      </w:tr>
    </w:tbl>
    <w:p>
      <w:pPr>
        <w:pStyle w:val="6"/>
        <w:numPr>
          <w:ilvl w:val="0"/>
          <w:numId w:val="0"/>
        </w:numPr>
        <w:spacing w:before="240" w:beforeLines="100" w:after="120" w:afterLines="0"/>
        <w:rPr>
          <w:color w:val="auto"/>
          <w:u w:val="single"/>
        </w:rPr>
      </w:pPr>
    </w:p>
    <w:p>
      <w:pPr>
        <w:pStyle w:val="6"/>
        <w:numPr>
          <w:ilvl w:val="0"/>
          <w:numId w:val="0"/>
        </w:numPr>
        <w:spacing w:before="240" w:beforeLines="100" w:after="120" w:afterLines="0"/>
        <w:rPr>
          <w:color w:val="auto"/>
          <w:sz w:val="24"/>
          <w:u w:val="single"/>
        </w:rPr>
      </w:pPr>
      <w:r>
        <w:rPr>
          <w:color w:val="auto"/>
          <w:u w:val="single"/>
        </w:rPr>
        <w:t>2</w:t>
      </w:r>
      <w:r>
        <w:rPr>
          <w:rFonts w:hint="eastAsia"/>
          <w:color w:val="auto"/>
          <w:u w:val="single"/>
        </w:rPr>
        <w:t>.8工程</w:t>
      </w:r>
      <w:bookmarkEnd w:id="183"/>
      <w:bookmarkEnd w:id="184"/>
      <w:bookmarkEnd w:id="185"/>
      <w:r>
        <w:rPr>
          <w:rFonts w:hint="eastAsia"/>
          <w:color w:val="auto"/>
          <w:u w:val="single"/>
        </w:rPr>
        <w:t>以新带老分析</w:t>
      </w:r>
      <w:bookmarkEnd w:id="186"/>
    </w:p>
    <w:p>
      <w:pPr>
        <w:autoSpaceDE w:val="0"/>
        <w:autoSpaceDN w:val="0"/>
        <w:spacing w:line="360" w:lineRule="auto"/>
        <w:ind w:firstLine="480" w:firstLineChars="200"/>
        <w:rPr>
          <w:color w:val="auto"/>
        </w:rPr>
      </w:pPr>
      <w:r>
        <w:rPr>
          <w:rFonts w:hint="eastAsia" w:ascii="Times New Roman" w:hAnsi="Times New Roman"/>
          <w:color w:val="auto"/>
          <w:sz w:val="24"/>
          <w:u w:val="single"/>
        </w:rPr>
        <w:t>本工程建成后，</w:t>
      </w:r>
      <w:r>
        <w:rPr>
          <w:rFonts w:hint="eastAsia" w:ascii="Times New Roman" w:hAnsi="Times New Roman"/>
          <w:color w:val="auto"/>
          <w:sz w:val="24"/>
          <w:u w:val="single"/>
          <w:lang w:eastAsia="zh-CN"/>
        </w:rPr>
        <w:t>与</w:t>
      </w:r>
      <w:r>
        <w:rPr>
          <w:rFonts w:hint="eastAsia" w:ascii="Times New Roman" w:hAnsi="Times New Roman"/>
          <w:color w:val="auto"/>
          <w:sz w:val="24"/>
          <w:u w:val="single"/>
        </w:rPr>
        <w:t>现有工程</w:t>
      </w:r>
      <w:r>
        <w:rPr>
          <w:rFonts w:hint="eastAsia" w:ascii="Times New Roman" w:hAnsi="Times New Roman"/>
          <w:color w:val="auto"/>
          <w:sz w:val="24"/>
          <w:u w:val="single"/>
          <w:lang w:eastAsia="zh-CN"/>
        </w:rPr>
        <w:t>相比，污染物不会产生大的变化，如生产</w:t>
      </w:r>
      <w:r>
        <w:rPr>
          <w:rFonts w:hint="eastAsia" w:ascii="Times New Roman" w:hAnsi="Times New Roman"/>
          <w:color w:val="auto"/>
          <w:sz w:val="24"/>
          <w:u w:val="single"/>
        </w:rPr>
        <w:t>废水排放均</w:t>
      </w:r>
      <w:r>
        <w:rPr>
          <w:rFonts w:hint="eastAsia" w:ascii="Times New Roman" w:hAnsi="Times New Roman"/>
          <w:color w:val="auto"/>
          <w:sz w:val="24"/>
          <w:u w:val="single"/>
          <w:lang w:eastAsia="zh-CN"/>
        </w:rPr>
        <w:t>主要为地面冲洗水及初期雨水</w:t>
      </w:r>
      <w:r>
        <w:rPr>
          <w:rFonts w:hint="eastAsia" w:ascii="Times New Roman" w:hAnsi="Times New Roman"/>
          <w:color w:val="auto"/>
          <w:sz w:val="24"/>
          <w:u w:val="single"/>
        </w:rPr>
        <w:t>，</w:t>
      </w:r>
      <w:r>
        <w:rPr>
          <w:rFonts w:hint="eastAsia" w:ascii="Times New Roman" w:hAnsi="Times New Roman"/>
          <w:color w:val="auto"/>
          <w:sz w:val="24"/>
          <w:u w:val="single"/>
          <w:lang w:eastAsia="zh-CN"/>
        </w:rPr>
        <w:t>因液氨装车量不变同，故含氨废水量及浓度不会发生改变；</w:t>
      </w:r>
      <w:r>
        <w:rPr>
          <w:rFonts w:hint="eastAsia" w:ascii="Times New Roman" w:hAnsi="Times New Roman"/>
          <w:color w:val="auto"/>
          <w:sz w:val="24"/>
          <w:u w:val="single"/>
        </w:rPr>
        <w:t>固</w:t>
      </w:r>
      <w:r>
        <w:rPr>
          <w:rFonts w:hint="eastAsia" w:ascii="Times New Roman" w:hAnsi="Times New Roman"/>
          <w:color w:val="auto"/>
          <w:sz w:val="24"/>
          <w:u w:val="single"/>
          <w:lang w:eastAsia="zh-CN"/>
        </w:rPr>
        <w:t>废</w:t>
      </w:r>
      <w:r>
        <w:rPr>
          <w:rFonts w:hint="eastAsia" w:ascii="Times New Roman" w:hAnsi="Times New Roman"/>
          <w:color w:val="auto"/>
          <w:sz w:val="24"/>
          <w:u w:val="single"/>
        </w:rPr>
        <w:t>均主要为两台泵所产生的废润滑油</w:t>
      </w:r>
      <w:r>
        <w:rPr>
          <w:rFonts w:hint="eastAsia" w:ascii="Times New Roman" w:hAnsi="Times New Roman"/>
          <w:color w:val="auto"/>
          <w:sz w:val="24"/>
          <w:u w:val="single"/>
          <w:lang w:eastAsia="zh-CN"/>
        </w:rPr>
        <w:t>，未发生改变</w:t>
      </w:r>
      <w:r>
        <w:rPr>
          <w:rFonts w:hint="eastAsia" w:ascii="Times New Roman" w:hAnsi="Times New Roman"/>
          <w:color w:val="auto"/>
          <w:sz w:val="24"/>
          <w:u w:val="single"/>
        </w:rPr>
        <w:t>。本项目属于安全隐患整</w:t>
      </w:r>
      <w:r>
        <w:rPr>
          <w:rFonts w:hint="eastAsia" w:ascii="Times New Roman" w:hAnsi="Times New Roman"/>
          <w:color w:val="auto"/>
          <w:sz w:val="24"/>
          <w:u w:val="single"/>
          <w:lang w:eastAsia="zh-CN"/>
        </w:rPr>
        <w:t>治</w:t>
      </w:r>
      <w:r>
        <w:rPr>
          <w:rFonts w:hint="eastAsia" w:ascii="Times New Roman" w:hAnsi="Times New Roman"/>
          <w:color w:val="auto"/>
          <w:sz w:val="24"/>
          <w:u w:val="single"/>
        </w:rPr>
        <w:t>项目，</w:t>
      </w:r>
      <w:r>
        <w:rPr>
          <w:rFonts w:hint="eastAsia" w:ascii="Times New Roman" w:hAnsi="Times New Roman"/>
          <w:color w:val="auto"/>
          <w:sz w:val="24"/>
          <w:u w:val="single"/>
          <w:lang w:eastAsia="zh-CN"/>
        </w:rPr>
        <w:t>通过些次技术改造，可避免液氨罐车在公司装置穿行，大大降低了安全隐患</w:t>
      </w:r>
      <w:r>
        <w:rPr>
          <w:rFonts w:hint="eastAsia" w:ascii="Times New Roman" w:hAnsi="Times New Roman"/>
          <w:color w:val="auto"/>
          <w:sz w:val="24"/>
          <w:u w:val="single"/>
        </w:rPr>
        <w:t>。</w:t>
      </w:r>
    </w:p>
    <w:p>
      <w:pPr>
        <w:pStyle w:val="4"/>
        <w:numPr>
          <w:ilvl w:val="0"/>
          <w:numId w:val="0"/>
        </w:numPr>
        <w:tabs>
          <w:tab w:val="clear" w:pos="0"/>
        </w:tabs>
        <w:ind w:leftChars="0"/>
        <w:jc w:val="both"/>
        <w:rPr>
          <w:color w:val="auto"/>
        </w:rPr>
      </w:pPr>
      <w:bookmarkStart w:id="187" w:name="_Toc17879"/>
      <w:bookmarkStart w:id="188" w:name="_Toc2739"/>
      <w:bookmarkStart w:id="189" w:name="_Toc21931"/>
      <w:bookmarkStart w:id="190" w:name="_Toc16963"/>
      <w:r>
        <w:rPr>
          <w:rFonts w:hint="eastAsia"/>
          <w:color w:val="auto"/>
          <w:lang w:val="en-US" w:eastAsia="zh-CN"/>
        </w:rPr>
        <w:t xml:space="preserve">3. </w:t>
      </w:r>
      <w:r>
        <w:rPr>
          <w:color w:val="auto"/>
        </w:rPr>
        <w:t>环境现状调查与评价</w:t>
      </w:r>
      <w:bookmarkEnd w:id="187"/>
      <w:bookmarkEnd w:id="188"/>
      <w:bookmarkEnd w:id="189"/>
      <w:bookmarkEnd w:id="190"/>
    </w:p>
    <w:p>
      <w:pPr>
        <w:pStyle w:val="6"/>
        <w:numPr>
          <w:ilvl w:val="1"/>
          <w:numId w:val="0"/>
        </w:numPr>
        <w:tabs>
          <w:tab w:val="clear" w:pos="0"/>
        </w:tabs>
        <w:spacing w:before="120" w:beforeLines="0" w:after="120" w:afterLines="0"/>
        <w:ind w:leftChars="0"/>
        <w:rPr>
          <w:color w:val="auto"/>
        </w:rPr>
      </w:pPr>
      <w:bookmarkStart w:id="191" w:name="_Toc304810279"/>
      <w:bookmarkStart w:id="192" w:name="_Toc306034529"/>
      <w:bookmarkStart w:id="193" w:name="_Toc280188820"/>
      <w:bookmarkStart w:id="194" w:name="_Toc219258502"/>
      <w:bookmarkStart w:id="195" w:name="_Toc220122780"/>
      <w:bookmarkStart w:id="196" w:name="_Toc27369"/>
      <w:r>
        <w:rPr>
          <w:rFonts w:hint="eastAsia"/>
          <w:color w:val="auto"/>
          <w:lang w:val="en-US" w:eastAsia="zh-CN"/>
        </w:rPr>
        <w:t>3.1.</w:t>
      </w:r>
      <w:r>
        <w:rPr>
          <w:color w:val="auto"/>
        </w:rPr>
        <w:t xml:space="preserve"> </w:t>
      </w:r>
      <w:bookmarkStart w:id="197" w:name="_Toc307"/>
      <w:bookmarkStart w:id="198" w:name="_Toc11737"/>
      <w:bookmarkStart w:id="199" w:name="_Toc26855"/>
      <w:r>
        <w:rPr>
          <w:color w:val="auto"/>
        </w:rPr>
        <w:t>自然环境</w:t>
      </w:r>
      <w:bookmarkEnd w:id="191"/>
      <w:bookmarkEnd w:id="192"/>
      <w:bookmarkEnd w:id="193"/>
      <w:bookmarkEnd w:id="194"/>
      <w:bookmarkEnd w:id="195"/>
      <w:r>
        <w:rPr>
          <w:color w:val="auto"/>
        </w:rPr>
        <w:t>现状调查与评价</w:t>
      </w:r>
      <w:bookmarkEnd w:id="196"/>
      <w:bookmarkEnd w:id="197"/>
      <w:bookmarkEnd w:id="198"/>
      <w:bookmarkEnd w:id="199"/>
    </w:p>
    <w:p>
      <w:pPr>
        <w:pStyle w:val="7"/>
        <w:numPr>
          <w:ilvl w:val="2"/>
          <w:numId w:val="0"/>
        </w:numPr>
        <w:spacing w:before="120" w:beforeLines="0" w:after="120" w:afterLines="0"/>
        <w:ind w:left="142" w:leftChars="0"/>
        <w:rPr>
          <w:color w:val="auto"/>
        </w:rPr>
      </w:pPr>
      <w:bookmarkStart w:id="200" w:name="_Toc11313"/>
      <w:bookmarkStart w:id="201" w:name="_Toc219258503"/>
      <w:bookmarkStart w:id="202" w:name="_Toc24858"/>
      <w:bookmarkStart w:id="203" w:name="_Toc220122781"/>
      <w:bookmarkStart w:id="204" w:name="_Toc27646"/>
      <w:r>
        <w:rPr>
          <w:rFonts w:hint="eastAsia"/>
          <w:color w:val="auto"/>
          <w:lang w:val="en-US" w:eastAsia="zh-CN"/>
        </w:rPr>
        <w:t xml:space="preserve">3.1.1. </w:t>
      </w:r>
      <w:r>
        <w:rPr>
          <w:color w:val="auto"/>
        </w:rPr>
        <w:t>地理位置</w:t>
      </w:r>
      <w:bookmarkEnd w:id="200"/>
      <w:bookmarkEnd w:id="201"/>
      <w:bookmarkEnd w:id="202"/>
      <w:bookmarkEnd w:id="203"/>
      <w:bookmarkEnd w:id="204"/>
    </w:p>
    <w:p>
      <w:pPr>
        <w:spacing w:line="360" w:lineRule="auto"/>
        <w:ind w:firstLine="480" w:firstLineChars="200"/>
        <w:jc w:val="left"/>
        <w:rPr>
          <w:rFonts w:ascii="Times New Roman" w:hAnsi="Times New Roman" w:cs="Times New Roman"/>
          <w:color w:val="auto"/>
          <w:sz w:val="24"/>
          <w:szCs w:val="20"/>
        </w:rPr>
      </w:pPr>
      <w:r>
        <w:rPr>
          <w:rFonts w:hint="eastAsia" w:ascii="Times New Roman" w:hAnsi="Times New Roman" w:cs="Times New Roman"/>
          <w:color w:val="auto"/>
          <w:sz w:val="24"/>
          <w:szCs w:val="20"/>
        </w:rPr>
        <w:t>中国石油化工股份有限公司长岭分公司位于岳阳市云溪区，自然地貌为丘陵地区，西近长江、南靠京广铁路，与107 国道和京珠高速公路相邻，水陆交通便利，地处北纬29º32´，东经113º22´，本项目位于厂内的老山洞库区，项目地理位置详见附图1。</w:t>
      </w:r>
    </w:p>
    <w:p>
      <w:pPr>
        <w:pStyle w:val="7"/>
        <w:numPr>
          <w:ilvl w:val="2"/>
          <w:numId w:val="0"/>
        </w:numPr>
        <w:spacing w:before="120" w:beforeLines="0" w:after="120" w:afterLines="0"/>
        <w:ind w:left="142" w:leftChars="0"/>
        <w:rPr>
          <w:color w:val="auto"/>
        </w:rPr>
      </w:pPr>
      <w:bookmarkStart w:id="205" w:name="_Toc10622"/>
      <w:bookmarkStart w:id="206" w:name="_Toc2756"/>
      <w:bookmarkStart w:id="207" w:name="_Toc10060"/>
      <w:r>
        <w:rPr>
          <w:rFonts w:hint="eastAsia"/>
          <w:color w:val="auto"/>
          <w:lang w:val="en-US" w:eastAsia="zh-CN"/>
        </w:rPr>
        <w:t xml:space="preserve">3.1.2. </w:t>
      </w:r>
      <w:r>
        <w:rPr>
          <w:color w:val="auto"/>
        </w:rPr>
        <w:t>地</w:t>
      </w:r>
      <w:r>
        <w:rPr>
          <w:rFonts w:hint="eastAsia"/>
          <w:color w:val="auto"/>
        </w:rPr>
        <w:t>形</w:t>
      </w:r>
      <w:r>
        <w:rPr>
          <w:color w:val="auto"/>
        </w:rPr>
        <w:t>地貌</w:t>
      </w:r>
      <w:bookmarkEnd w:id="205"/>
      <w:bookmarkEnd w:id="206"/>
      <w:bookmarkEnd w:id="207"/>
    </w:p>
    <w:p>
      <w:pPr>
        <w:spacing w:line="360" w:lineRule="auto"/>
        <w:ind w:firstLine="480" w:firstLineChars="200"/>
        <w:jc w:val="left"/>
        <w:rPr>
          <w:rFonts w:ascii="Times New Roman" w:hAnsi="Times New Roman" w:cs="Times New Roman"/>
          <w:color w:val="auto"/>
          <w:sz w:val="24"/>
          <w:szCs w:val="20"/>
        </w:rPr>
      </w:pPr>
      <w:r>
        <w:rPr>
          <w:rFonts w:hint="eastAsia" w:ascii="Times New Roman" w:hAnsi="Times New Roman" w:cs="Times New Roman"/>
          <w:color w:val="auto"/>
          <w:sz w:val="24"/>
          <w:szCs w:val="20"/>
        </w:rPr>
        <w:t>岳阳市市境地貌是经过多次地壳运动和长期侵蚀堆积而成的，由于地质构造和岩性组合复杂以及气候的深刻影响，从而发育、演变成了多种多样的地貌。丘岗与盆地相穿插、平原与湖泊犬牙交错。山地、丘陵、岗地、平原、水面的比例大致为15∶24∶17∶27∶17。地势东高西低，呈阶梯状向洞庭湖盆倾斜。最高点为平江县连云山主峰，最低地面高程为黄盖湖，黄海21 米。全境地貌可划分为三个分布区，分别为东部山丘区，中部丘岗区，西部平原区。本项目位于西部平原区。</w:t>
      </w:r>
    </w:p>
    <w:p>
      <w:pPr>
        <w:spacing w:line="360" w:lineRule="auto"/>
        <w:ind w:firstLine="480" w:firstLineChars="200"/>
        <w:jc w:val="left"/>
        <w:rPr>
          <w:rFonts w:ascii="Times New Roman" w:hAnsi="Times New Roman" w:cs="Times New Roman"/>
          <w:color w:val="auto"/>
        </w:rPr>
      </w:pPr>
      <w:r>
        <w:rPr>
          <w:rFonts w:hint="eastAsia" w:ascii="Times New Roman" w:hAnsi="Times New Roman" w:cs="Times New Roman"/>
          <w:color w:val="auto"/>
          <w:sz w:val="24"/>
          <w:szCs w:val="20"/>
        </w:rPr>
        <w:t>公司所处地貌为由冷家溪群变质岩组成的低山丘陵区，属洞庭湖盆地边缘。南北为低矮山岗，东西呈横向带状阶梯式变化。本地山地为新构造时期以来，地壳运动相对上升、经长期侵蚀剥蚀所至；现公司所在地地势相对平缓开阔，地势由东南向西北倾斜</w:t>
      </w:r>
      <w:r>
        <w:rPr>
          <w:rFonts w:hint="eastAsia" w:ascii="宋体" w:hAnsi="宋体"/>
          <w:color w:val="auto"/>
          <w:sz w:val="24"/>
        </w:rPr>
        <w:t>。</w:t>
      </w:r>
    </w:p>
    <w:p>
      <w:pPr>
        <w:pStyle w:val="7"/>
        <w:numPr>
          <w:ilvl w:val="2"/>
          <w:numId w:val="0"/>
        </w:numPr>
        <w:spacing w:before="120" w:beforeLines="0" w:after="120" w:afterLines="0"/>
        <w:ind w:left="142" w:leftChars="0"/>
        <w:rPr>
          <w:color w:val="auto"/>
        </w:rPr>
      </w:pPr>
      <w:bookmarkStart w:id="208" w:name="_Toc23315"/>
      <w:r>
        <w:rPr>
          <w:rFonts w:hint="eastAsia"/>
          <w:color w:val="auto"/>
          <w:lang w:val="en-US" w:eastAsia="zh-CN"/>
        </w:rPr>
        <w:t xml:space="preserve">3.1.3. </w:t>
      </w:r>
      <w:r>
        <w:rPr>
          <w:rFonts w:hint="eastAsia"/>
          <w:color w:val="auto"/>
        </w:rPr>
        <w:t>地质</w:t>
      </w:r>
      <w:bookmarkEnd w:id="208"/>
    </w:p>
    <w:p>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调查区位于江南地轴与扬子准地台的交汇处，是新华夏系第二沉降带的东缘地带。区内的构造形迹经过不同地应力场的不同频率、不同规模的多次迭加、改造、迁就和破坏作用，使区内构造形迹更加复杂化。调查区为长江中游重要的地震带之一。据《中国地震动参数区划图》(GB18306-2001)，本区地震基本烈度为Ⅵ度，地震加速度值为0.05g，地震特征周期值为0.35s。</w:t>
      </w:r>
    </w:p>
    <w:p>
      <w:pPr>
        <w:pStyle w:val="7"/>
        <w:numPr>
          <w:ilvl w:val="2"/>
          <w:numId w:val="0"/>
        </w:numPr>
        <w:spacing w:before="120" w:beforeLines="0" w:after="120" w:afterLines="0"/>
        <w:ind w:left="142" w:leftChars="0"/>
        <w:rPr>
          <w:color w:val="auto"/>
        </w:rPr>
      </w:pPr>
      <w:bookmarkStart w:id="209" w:name="_Toc27697"/>
      <w:bookmarkStart w:id="210" w:name="_Toc13556"/>
      <w:bookmarkStart w:id="211" w:name="_Toc16529"/>
      <w:r>
        <w:rPr>
          <w:rFonts w:hint="eastAsia"/>
          <w:color w:val="auto"/>
          <w:lang w:val="en-US" w:eastAsia="zh-CN"/>
        </w:rPr>
        <w:t xml:space="preserve">3.1.4. </w:t>
      </w:r>
      <w:r>
        <w:rPr>
          <w:color w:val="auto"/>
        </w:rPr>
        <w:t>气候气象</w:t>
      </w:r>
      <w:bookmarkEnd w:id="209"/>
    </w:p>
    <w:p>
      <w:pPr>
        <w:spacing w:line="360" w:lineRule="auto"/>
        <w:rPr>
          <w:rFonts w:hint="eastAsia"/>
          <w:sz w:val="24"/>
        </w:rPr>
      </w:pPr>
      <w:r>
        <w:rPr>
          <w:rFonts w:hint="eastAsia"/>
          <w:sz w:val="24"/>
          <w:lang w:eastAsia="zh-CN"/>
        </w:rPr>
        <w:t>　　</w:t>
      </w:r>
      <w:r>
        <w:rPr>
          <w:rFonts w:hint="eastAsia"/>
          <w:sz w:val="24"/>
        </w:rPr>
        <w:t>岳阳市云溪</w:t>
      </w:r>
      <w:r>
        <w:rPr>
          <w:rFonts w:hint="eastAsia"/>
          <w:sz w:val="24"/>
          <w:lang w:eastAsia="zh-CN"/>
        </w:rPr>
        <w:t>区属</w:t>
      </w:r>
      <w:r>
        <w:rPr>
          <w:rFonts w:hint="eastAsia"/>
          <w:sz w:val="24"/>
        </w:rPr>
        <w:t>亚热带季风气候，气候温和，四季分明，热量充足，雨水集中，无霜期长。年日照 1722~1816h，年太阳辐射总量为 113.7kcal/cm 2 ；年平均气温 16.6~16.8℃，无霜期 258~278d；年降雨日 141~157d，降雨量 1469mm，年平均风速 2.6m/s(最大风速 29m/s)。常年主导风向为 NE，夏季主导风为 S，冬季主导风向为 NE。</w:t>
      </w:r>
    </w:p>
    <w:p>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项目区全年风向玫瑰如下。</w:t>
      </w:r>
    </w:p>
    <w:p>
      <w:pPr>
        <w:spacing w:line="360" w:lineRule="auto"/>
        <w:ind w:firstLine="420" w:firstLineChars="200"/>
        <w:jc w:val="center"/>
        <w:rPr>
          <w:color w:val="auto"/>
        </w:rPr>
      </w:pPr>
      <w:r>
        <w:rPr>
          <w:color w:val="auto"/>
        </w:rPr>
        <w:drawing>
          <wp:inline distT="0" distB="0" distL="114300" distR="114300">
            <wp:extent cx="2609850" cy="2087245"/>
            <wp:effectExtent l="0" t="0" r="0" b="825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9"/>
                    <a:srcRect r="7229"/>
                    <a:stretch>
                      <a:fillRect/>
                    </a:stretch>
                  </pic:blipFill>
                  <pic:spPr>
                    <a:xfrm>
                      <a:off x="0" y="0"/>
                      <a:ext cx="2609850" cy="2087245"/>
                    </a:xfrm>
                    <a:prstGeom prst="rect">
                      <a:avLst/>
                    </a:prstGeom>
                    <a:noFill/>
                    <a:ln>
                      <a:noFill/>
                    </a:ln>
                  </pic:spPr>
                </pic:pic>
              </a:graphicData>
            </a:graphic>
          </wp:inline>
        </w:drawing>
      </w:r>
    </w:p>
    <w:p>
      <w:pPr>
        <w:spacing w:line="360" w:lineRule="auto"/>
        <w:ind w:firstLine="420" w:firstLineChars="200"/>
        <w:jc w:val="center"/>
        <w:rPr>
          <w:color w:val="auto"/>
        </w:rPr>
      </w:pPr>
      <w:r>
        <w:rPr>
          <w:rFonts w:hint="eastAsia" w:ascii="黑体" w:hAnsi="黑体" w:eastAsia="黑体"/>
          <w:color w:val="auto"/>
        </w:rPr>
        <w:t>图</w:t>
      </w:r>
      <w:r>
        <w:rPr>
          <w:rFonts w:hint="eastAsia" w:ascii="TimesNewRomanPSMT" w:hAnsi="TimesNewRomanPSMT" w:eastAsia="TimesNewRomanPSMT"/>
          <w:color w:val="auto"/>
        </w:rPr>
        <w:t xml:space="preserve">3.1-1 </w:t>
      </w:r>
      <w:r>
        <w:rPr>
          <w:rFonts w:hint="eastAsia" w:ascii="黑体" w:hAnsi="黑体" w:eastAsia="黑体"/>
          <w:color w:val="auto"/>
        </w:rPr>
        <w:t>全年风向玫瑰图（</w:t>
      </w:r>
      <w:r>
        <w:rPr>
          <w:rFonts w:hint="eastAsia" w:ascii="TimesNewRomanPSMT" w:hAnsi="TimesNewRomanPSMT" w:eastAsia="TimesNewRomanPSMT"/>
          <w:color w:val="auto"/>
        </w:rPr>
        <w:t>C=27%</w:t>
      </w:r>
      <w:r>
        <w:rPr>
          <w:rFonts w:hint="eastAsia" w:ascii="黑体" w:hAnsi="黑体" w:eastAsia="黑体"/>
          <w:color w:val="auto"/>
        </w:rPr>
        <w:t>）</w:t>
      </w:r>
    </w:p>
    <w:p>
      <w:pPr>
        <w:pStyle w:val="7"/>
        <w:numPr>
          <w:ilvl w:val="2"/>
          <w:numId w:val="0"/>
        </w:numPr>
        <w:spacing w:before="120" w:beforeLines="0" w:after="120" w:afterLines="0"/>
        <w:ind w:left="142" w:leftChars="0"/>
        <w:rPr>
          <w:color w:val="auto"/>
        </w:rPr>
      </w:pPr>
      <w:bookmarkStart w:id="212" w:name="_Toc23268"/>
      <w:r>
        <w:rPr>
          <w:rFonts w:hint="eastAsia"/>
          <w:color w:val="auto"/>
          <w:lang w:val="en-US" w:eastAsia="zh-CN"/>
        </w:rPr>
        <w:t xml:space="preserve">3.1.5. </w:t>
      </w:r>
      <w:r>
        <w:rPr>
          <w:color w:val="auto"/>
        </w:rPr>
        <w:t>河流、水文状况</w:t>
      </w:r>
      <w:bookmarkEnd w:id="210"/>
      <w:bookmarkEnd w:id="211"/>
      <w:bookmarkEnd w:id="212"/>
    </w:p>
    <w:p>
      <w:pPr>
        <w:spacing w:line="360" w:lineRule="auto"/>
        <w:jc w:val="left"/>
        <w:rPr>
          <w:rFonts w:ascii="宋体" w:hAnsi="宋体"/>
          <w:color w:val="auto"/>
          <w:sz w:val="24"/>
        </w:rPr>
      </w:pPr>
      <w:r>
        <w:rPr>
          <w:rFonts w:hint="eastAsia" w:ascii="宋体" w:hAnsi="宋体"/>
          <w:color w:val="auto"/>
          <w:sz w:val="24"/>
          <w:lang w:eastAsia="zh-CN"/>
        </w:rPr>
        <w:t>　　</w:t>
      </w:r>
      <w:r>
        <w:rPr>
          <w:rFonts w:hint="eastAsia" w:ascii="宋体" w:hAnsi="宋体"/>
          <w:color w:val="auto"/>
          <w:sz w:val="24"/>
        </w:rPr>
        <w:t>长岭分公司污水处理场处理达标后废水去向为长江，根据长江螺山水文站水文数</w:t>
      </w:r>
    </w:p>
    <w:p>
      <w:pPr>
        <w:spacing w:line="360" w:lineRule="auto"/>
        <w:jc w:val="left"/>
        <w:rPr>
          <w:rFonts w:ascii="宋体" w:hAnsi="宋体"/>
          <w:color w:val="auto"/>
          <w:sz w:val="24"/>
        </w:rPr>
      </w:pPr>
      <w:r>
        <w:rPr>
          <w:rFonts w:hint="eastAsia" w:ascii="宋体" w:hAnsi="宋体"/>
          <w:color w:val="auto"/>
          <w:sz w:val="24"/>
        </w:rPr>
        <w:t>据，长江岳阳段主要水文参数如下：</w:t>
      </w:r>
    </w:p>
    <w:p>
      <w:pPr>
        <w:spacing w:line="360" w:lineRule="auto"/>
        <w:jc w:val="left"/>
        <w:rPr>
          <w:rFonts w:ascii="宋体" w:hAnsi="宋体"/>
          <w:color w:val="auto"/>
          <w:sz w:val="24"/>
        </w:rPr>
      </w:pPr>
      <w:r>
        <w:rPr>
          <w:rFonts w:hint="eastAsia" w:ascii="宋体" w:hAnsi="宋体"/>
          <w:color w:val="auto"/>
          <w:sz w:val="24"/>
        </w:rPr>
        <w:t>流量：多年平均流量</w:t>
      </w:r>
      <w:r>
        <w:rPr>
          <w:rFonts w:hint="eastAsia" w:ascii="TimesNewRomanPSMT" w:hAnsi="TimesNewRomanPSMT" w:eastAsia="TimesNewRomanPSMT"/>
          <w:color w:val="auto"/>
          <w:sz w:val="24"/>
        </w:rPr>
        <w:t xml:space="preserve">20300 </w:t>
      </w:r>
      <w:r>
        <w:rPr>
          <w:rFonts w:ascii="Times New Roman" w:hAnsi="Times New Roman" w:cs="Times New Roman"/>
          <w:color w:val="auto"/>
        </w:rPr>
        <w:t>m</w:t>
      </w:r>
      <w:r>
        <w:rPr>
          <w:rFonts w:ascii="Times New Roman" w:hAnsi="Times New Roman" w:cs="Times New Roman"/>
          <w:color w:val="auto"/>
          <w:vertAlign w:val="superscript"/>
        </w:rPr>
        <w:t>3</w:t>
      </w:r>
      <w:r>
        <w:rPr>
          <w:rFonts w:hint="eastAsia" w:ascii="TimesNewRomanPSMT" w:hAnsi="TimesNewRomanPSMT" w:eastAsia="TimesNewRomanPSMT"/>
          <w:color w:val="auto"/>
          <w:sz w:val="24"/>
        </w:rPr>
        <w:t>/s</w:t>
      </w:r>
      <w:r>
        <w:rPr>
          <w:rFonts w:hint="eastAsia" w:ascii="宋体" w:hAnsi="宋体"/>
          <w:color w:val="auto"/>
          <w:sz w:val="24"/>
        </w:rPr>
        <w:t>；</w:t>
      </w:r>
    </w:p>
    <w:p>
      <w:pPr>
        <w:spacing w:line="360" w:lineRule="auto"/>
        <w:ind w:firstLine="720" w:firstLineChars="300"/>
        <w:jc w:val="left"/>
        <w:rPr>
          <w:rFonts w:ascii="宋体" w:hAnsi="宋体"/>
          <w:color w:val="auto"/>
          <w:sz w:val="24"/>
        </w:rPr>
      </w:pPr>
      <w:r>
        <w:rPr>
          <w:rFonts w:hint="eastAsia" w:ascii="宋体" w:hAnsi="宋体"/>
          <w:color w:val="auto"/>
          <w:sz w:val="24"/>
        </w:rPr>
        <w:t>历年最大流量</w:t>
      </w:r>
      <w:r>
        <w:rPr>
          <w:rFonts w:hint="eastAsia" w:ascii="TimesNewRomanPSMT" w:hAnsi="TimesNewRomanPSMT" w:eastAsia="TimesNewRomanPSMT"/>
          <w:color w:val="auto"/>
          <w:sz w:val="24"/>
        </w:rPr>
        <w:t>61200</w:t>
      </w:r>
      <w:r>
        <w:rPr>
          <w:rFonts w:ascii="Times New Roman" w:hAnsi="Times New Roman" w:cs="Times New Roman"/>
          <w:color w:val="auto"/>
        </w:rPr>
        <w:t>m</w:t>
      </w:r>
      <w:r>
        <w:rPr>
          <w:rFonts w:ascii="Times New Roman" w:hAnsi="Times New Roman" w:cs="Times New Roman"/>
          <w:color w:val="auto"/>
          <w:vertAlign w:val="superscript"/>
        </w:rPr>
        <w:t>3</w:t>
      </w:r>
      <w:r>
        <w:rPr>
          <w:rFonts w:hint="eastAsia" w:ascii="TimesNewRomanPSMT" w:hAnsi="TimesNewRomanPSMT" w:eastAsia="TimesNewRomanPSMT"/>
          <w:color w:val="auto"/>
          <w:sz w:val="24"/>
        </w:rPr>
        <w:t>/s</w:t>
      </w:r>
      <w:r>
        <w:rPr>
          <w:rFonts w:hint="eastAsia" w:ascii="宋体" w:hAnsi="宋体"/>
          <w:color w:val="auto"/>
          <w:sz w:val="24"/>
        </w:rPr>
        <w:t>；</w:t>
      </w:r>
    </w:p>
    <w:p>
      <w:pPr>
        <w:spacing w:line="360" w:lineRule="auto"/>
        <w:ind w:firstLine="720" w:firstLineChars="300"/>
        <w:jc w:val="left"/>
        <w:rPr>
          <w:rFonts w:ascii="宋体" w:hAnsi="宋体"/>
          <w:color w:val="auto"/>
          <w:sz w:val="24"/>
        </w:rPr>
      </w:pPr>
      <w:r>
        <w:rPr>
          <w:rFonts w:hint="eastAsia" w:ascii="宋体" w:hAnsi="宋体"/>
          <w:color w:val="auto"/>
          <w:sz w:val="24"/>
        </w:rPr>
        <w:t>历年最小流量</w:t>
      </w:r>
      <w:r>
        <w:rPr>
          <w:rFonts w:hint="eastAsia" w:ascii="TimesNewRomanPSMT" w:hAnsi="TimesNewRomanPSMT" w:eastAsia="TimesNewRomanPSMT"/>
          <w:color w:val="auto"/>
          <w:sz w:val="24"/>
        </w:rPr>
        <w:t>4190</w:t>
      </w:r>
      <w:r>
        <w:rPr>
          <w:rFonts w:ascii="Times New Roman" w:hAnsi="Times New Roman" w:cs="Times New Roman"/>
          <w:color w:val="auto"/>
        </w:rPr>
        <w:t>m</w:t>
      </w:r>
      <w:r>
        <w:rPr>
          <w:rFonts w:ascii="Times New Roman" w:hAnsi="Times New Roman" w:cs="Times New Roman"/>
          <w:color w:val="auto"/>
          <w:vertAlign w:val="superscript"/>
        </w:rPr>
        <w:t>3</w:t>
      </w:r>
      <w:r>
        <w:rPr>
          <w:rFonts w:hint="eastAsia" w:ascii="TimesNewRomanPSMT" w:hAnsi="TimesNewRomanPSMT" w:eastAsia="TimesNewRomanPSMT"/>
          <w:color w:val="auto"/>
          <w:sz w:val="24"/>
        </w:rPr>
        <w:t>/s</w:t>
      </w:r>
      <w:r>
        <w:rPr>
          <w:rFonts w:hint="eastAsia" w:ascii="宋体" w:hAnsi="宋体"/>
          <w:color w:val="auto"/>
          <w:sz w:val="24"/>
        </w:rPr>
        <w:t>；</w:t>
      </w:r>
    </w:p>
    <w:p>
      <w:pPr>
        <w:spacing w:line="360" w:lineRule="auto"/>
        <w:jc w:val="left"/>
        <w:rPr>
          <w:rFonts w:ascii="宋体" w:hAnsi="宋体"/>
          <w:color w:val="auto"/>
          <w:sz w:val="24"/>
        </w:rPr>
      </w:pPr>
      <w:r>
        <w:rPr>
          <w:rFonts w:hint="eastAsia" w:ascii="宋体" w:hAnsi="宋体"/>
          <w:color w:val="auto"/>
          <w:sz w:val="24"/>
        </w:rPr>
        <w:t>流速：多年平均流速</w:t>
      </w:r>
      <w:r>
        <w:rPr>
          <w:rFonts w:hint="eastAsia" w:ascii="TimesNewRomanPSMT" w:hAnsi="TimesNewRomanPSMT" w:eastAsia="TimesNewRomanPSMT"/>
          <w:color w:val="auto"/>
          <w:sz w:val="24"/>
        </w:rPr>
        <w:t>1.45 m/s</w:t>
      </w:r>
      <w:r>
        <w:rPr>
          <w:rFonts w:hint="eastAsia" w:ascii="宋体" w:hAnsi="宋体"/>
          <w:color w:val="auto"/>
          <w:sz w:val="24"/>
        </w:rPr>
        <w:t>；</w:t>
      </w:r>
    </w:p>
    <w:p>
      <w:pPr>
        <w:spacing w:line="360" w:lineRule="auto"/>
        <w:ind w:firstLine="720" w:firstLineChars="300"/>
        <w:jc w:val="left"/>
        <w:rPr>
          <w:rFonts w:ascii="宋体" w:hAnsi="宋体"/>
          <w:color w:val="auto"/>
          <w:sz w:val="24"/>
        </w:rPr>
      </w:pPr>
      <w:r>
        <w:rPr>
          <w:rFonts w:hint="eastAsia" w:ascii="宋体" w:hAnsi="宋体"/>
          <w:color w:val="auto"/>
          <w:sz w:val="24"/>
        </w:rPr>
        <w:t>历年最大流速</w:t>
      </w:r>
      <w:r>
        <w:rPr>
          <w:rFonts w:hint="eastAsia" w:ascii="TimesNewRomanPSMT" w:hAnsi="TimesNewRomanPSMT" w:eastAsia="TimesNewRomanPSMT"/>
          <w:color w:val="auto"/>
          <w:sz w:val="24"/>
        </w:rPr>
        <w:t>2.00 m/s</w:t>
      </w:r>
      <w:r>
        <w:rPr>
          <w:rFonts w:hint="eastAsia" w:ascii="宋体" w:hAnsi="宋体"/>
          <w:color w:val="auto"/>
          <w:sz w:val="24"/>
        </w:rPr>
        <w:t>；</w:t>
      </w:r>
    </w:p>
    <w:p>
      <w:pPr>
        <w:spacing w:line="360" w:lineRule="auto"/>
        <w:ind w:firstLine="720" w:firstLineChars="300"/>
        <w:jc w:val="left"/>
        <w:rPr>
          <w:rFonts w:ascii="宋体" w:hAnsi="宋体"/>
          <w:color w:val="auto"/>
          <w:sz w:val="24"/>
        </w:rPr>
      </w:pPr>
      <w:r>
        <w:rPr>
          <w:rFonts w:hint="eastAsia" w:ascii="宋体" w:hAnsi="宋体"/>
          <w:color w:val="auto"/>
          <w:sz w:val="24"/>
        </w:rPr>
        <w:t>历年最小流速</w:t>
      </w:r>
      <w:r>
        <w:rPr>
          <w:rFonts w:hint="eastAsia" w:ascii="TimesNewRomanPSMT" w:hAnsi="TimesNewRomanPSMT" w:eastAsia="TimesNewRomanPSMT"/>
          <w:color w:val="auto"/>
          <w:sz w:val="24"/>
        </w:rPr>
        <w:t>0.98 m/s</w:t>
      </w:r>
      <w:r>
        <w:rPr>
          <w:rFonts w:hint="eastAsia" w:ascii="宋体" w:hAnsi="宋体"/>
          <w:color w:val="auto"/>
          <w:sz w:val="24"/>
        </w:rPr>
        <w:t>；</w:t>
      </w:r>
    </w:p>
    <w:p>
      <w:pPr>
        <w:spacing w:line="360" w:lineRule="auto"/>
        <w:jc w:val="left"/>
        <w:rPr>
          <w:rFonts w:ascii="宋体" w:hAnsi="宋体"/>
          <w:color w:val="auto"/>
          <w:sz w:val="24"/>
        </w:rPr>
      </w:pPr>
      <w:r>
        <w:rPr>
          <w:rFonts w:hint="eastAsia" w:ascii="宋体" w:hAnsi="宋体"/>
          <w:color w:val="auto"/>
          <w:sz w:val="24"/>
        </w:rPr>
        <w:t>水位：多年平均水位</w:t>
      </w:r>
      <w:r>
        <w:rPr>
          <w:rFonts w:hint="eastAsia" w:ascii="TimesNewRomanPSMT" w:hAnsi="TimesNewRomanPSMT" w:eastAsia="TimesNewRomanPSMT"/>
          <w:color w:val="auto"/>
          <w:sz w:val="24"/>
        </w:rPr>
        <w:t>23.19m</w:t>
      </w:r>
      <w:r>
        <w:rPr>
          <w:rFonts w:hint="eastAsia" w:ascii="宋体" w:hAnsi="宋体"/>
          <w:color w:val="auto"/>
          <w:sz w:val="24"/>
        </w:rPr>
        <w:t>（吴淞高程）；</w:t>
      </w:r>
    </w:p>
    <w:p>
      <w:pPr>
        <w:pStyle w:val="5"/>
        <w:ind w:firstLine="720" w:firstLineChars="300"/>
        <w:rPr>
          <w:rFonts w:ascii="宋体" w:hAnsi="宋体"/>
          <w:color w:val="auto"/>
        </w:rPr>
      </w:pPr>
      <w:r>
        <w:rPr>
          <w:rFonts w:hint="eastAsia" w:ascii="宋体" w:hAnsi="宋体"/>
          <w:color w:val="auto"/>
        </w:rPr>
        <w:t>历年最高水位</w:t>
      </w:r>
      <w:r>
        <w:rPr>
          <w:rFonts w:hint="eastAsia" w:ascii="TimesNewRomanPSMT" w:hAnsi="TimesNewRomanPSMT" w:eastAsia="TimesNewRomanPSMT"/>
          <w:color w:val="auto"/>
        </w:rPr>
        <w:t>33.14m</w:t>
      </w:r>
      <w:r>
        <w:rPr>
          <w:rFonts w:hint="eastAsia" w:ascii="宋体" w:hAnsi="宋体"/>
          <w:color w:val="auto"/>
        </w:rPr>
        <w:t>；</w:t>
      </w:r>
    </w:p>
    <w:p>
      <w:pPr>
        <w:pStyle w:val="5"/>
        <w:ind w:firstLine="720" w:firstLineChars="300"/>
        <w:rPr>
          <w:rFonts w:ascii="宋体" w:hAnsi="宋体"/>
          <w:color w:val="auto"/>
        </w:rPr>
      </w:pPr>
      <w:r>
        <w:rPr>
          <w:color w:val="auto"/>
        </w:rPr>
        <w:t>历年最低水位15.99m。</w:t>
      </w:r>
    </w:p>
    <w:p>
      <w:pPr>
        <w:pStyle w:val="7"/>
        <w:numPr>
          <w:ilvl w:val="2"/>
          <w:numId w:val="0"/>
        </w:numPr>
        <w:spacing w:before="120" w:beforeLines="0" w:after="120" w:afterLines="0"/>
        <w:ind w:left="142" w:leftChars="0"/>
        <w:rPr>
          <w:color w:val="auto"/>
        </w:rPr>
      </w:pPr>
      <w:bookmarkStart w:id="213" w:name="_Toc31559"/>
      <w:bookmarkStart w:id="214" w:name="_Toc27032"/>
      <w:bookmarkStart w:id="215" w:name="_Toc28698"/>
      <w:r>
        <w:rPr>
          <w:rFonts w:hint="eastAsia"/>
          <w:color w:val="auto"/>
          <w:lang w:val="en-US" w:eastAsia="zh-CN"/>
        </w:rPr>
        <w:t xml:space="preserve">3.1.6. </w:t>
      </w:r>
      <w:r>
        <w:rPr>
          <w:color w:val="auto"/>
        </w:rPr>
        <w:t>地下水</w:t>
      </w:r>
      <w:bookmarkEnd w:id="213"/>
      <w:bookmarkEnd w:id="214"/>
      <w:r>
        <w:rPr>
          <w:rFonts w:hint="eastAsia"/>
          <w:color w:val="auto"/>
        </w:rPr>
        <w:t>及水文地质</w:t>
      </w:r>
      <w:bookmarkEnd w:id="215"/>
    </w:p>
    <w:p>
      <w:pPr>
        <w:spacing w:line="360" w:lineRule="auto"/>
        <w:ind w:firstLine="480" w:firstLineChars="200"/>
        <w:jc w:val="left"/>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根据《中国石化股份有限公司长岭炼化厂厂区及其周边水文地质专题勘查评价报告》（湖南省勘测设计院，2010 年12 月）可知，区域内为一向斜谷地，地貌轮廓明显，地表分水岭清楚，水文地质条件较复杂，岩溶裂隙发育，且不均匀。根据调查区含水层的特点和地下水的类型，划分为松散岩类孔隙水、基岩裂隙水和碳酸盐岩类裂隙溶洞水三种类型。各类型地下水的富水性及含水岩组的渗透性见下表。</w:t>
      </w:r>
    </w:p>
    <w:p>
      <w:pPr>
        <w:pStyle w:val="22"/>
        <w:rPr>
          <w:color w:val="auto"/>
        </w:rPr>
      </w:pPr>
    </w:p>
    <w:p>
      <w:pPr>
        <w:pStyle w:val="18"/>
        <w:spacing w:line="360" w:lineRule="auto"/>
        <w:rPr>
          <w:bCs/>
          <w:color w:val="auto"/>
        </w:rPr>
      </w:pPr>
      <w:r>
        <w:rPr>
          <w:bCs/>
          <w:color w:val="auto"/>
        </w:rPr>
        <w:t xml:space="preserve">表 </w:t>
      </w:r>
      <w:r>
        <w:rPr>
          <w:bCs/>
          <w:color w:val="auto"/>
        </w:rPr>
        <w:fldChar w:fldCharType="begin"/>
      </w:r>
      <w:r>
        <w:rPr>
          <w:bCs/>
          <w:color w:val="auto"/>
        </w:rPr>
        <w:instrText xml:space="preserve"> STYLEREF 1 \s </w:instrText>
      </w:r>
      <w:r>
        <w:rPr>
          <w:bCs/>
          <w:color w:val="auto"/>
        </w:rPr>
        <w:fldChar w:fldCharType="separate"/>
      </w:r>
      <w:r>
        <w:rPr>
          <w:bCs/>
          <w:color w:val="auto"/>
        </w:rPr>
        <w:t>3</w:t>
      </w:r>
      <w:r>
        <w:rPr>
          <w:bCs/>
          <w:color w:val="auto"/>
        </w:rPr>
        <w:fldChar w:fldCharType="end"/>
      </w:r>
      <w:r>
        <w:rPr>
          <w:bCs/>
          <w:color w:val="auto"/>
        </w:rPr>
        <w:t>-</w:t>
      </w:r>
      <w:r>
        <w:rPr>
          <w:bCs/>
          <w:color w:val="auto"/>
        </w:rPr>
        <w:fldChar w:fldCharType="begin"/>
      </w:r>
      <w:r>
        <w:rPr>
          <w:bCs/>
          <w:color w:val="auto"/>
        </w:rPr>
        <w:instrText xml:space="preserve"> SEQ 表 \* ARABIC \s 1 </w:instrText>
      </w:r>
      <w:r>
        <w:rPr>
          <w:bCs/>
          <w:color w:val="auto"/>
        </w:rPr>
        <w:fldChar w:fldCharType="separate"/>
      </w:r>
      <w:r>
        <w:rPr>
          <w:bCs/>
          <w:color w:val="auto"/>
        </w:rPr>
        <w:t>1</w:t>
      </w:r>
      <w:r>
        <w:rPr>
          <w:bCs/>
          <w:color w:val="auto"/>
        </w:rPr>
        <w:fldChar w:fldCharType="end"/>
      </w:r>
      <w:r>
        <w:rPr>
          <w:bCs/>
          <w:color w:val="auto"/>
        </w:rPr>
        <w:tab/>
      </w:r>
      <w:r>
        <w:rPr>
          <w:rFonts w:hint="eastAsia"/>
          <w:bCs/>
          <w:color w:val="auto"/>
        </w:rPr>
        <w:t>厂区地下水类型、富水性及含水岩组渗透性特征一览表</w:t>
      </w:r>
    </w:p>
    <w:tbl>
      <w:tblPr>
        <w:tblStyle w:val="45"/>
        <w:tblW w:w="9090"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2"/>
        <w:gridCol w:w="1032"/>
        <w:gridCol w:w="1222"/>
        <w:gridCol w:w="1572"/>
        <w:gridCol w:w="976"/>
        <w:gridCol w:w="1420"/>
        <w:gridCol w:w="200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287" w:hRule="atLeast"/>
          <w:tblHeader/>
          <w:jc w:val="center"/>
        </w:trPr>
        <w:tc>
          <w:tcPr>
            <w:tcW w:w="862"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地下水</w:t>
            </w:r>
          </w:p>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类型</w:t>
            </w:r>
          </w:p>
        </w:tc>
        <w:tc>
          <w:tcPr>
            <w:tcW w:w="1032"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富水性</w:t>
            </w:r>
          </w:p>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等级</w:t>
            </w:r>
          </w:p>
        </w:tc>
        <w:tc>
          <w:tcPr>
            <w:tcW w:w="1222"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单孔涌</w:t>
            </w:r>
          </w:p>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水量等级</w:t>
            </w:r>
          </w:p>
        </w:tc>
        <w:tc>
          <w:tcPr>
            <w:tcW w:w="1572"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含水岩组</w:t>
            </w:r>
          </w:p>
        </w:tc>
        <w:tc>
          <w:tcPr>
            <w:tcW w:w="976"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含水层厚</w:t>
            </w:r>
          </w:p>
        </w:tc>
        <w:tc>
          <w:tcPr>
            <w:tcW w:w="1420"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分布位置</w:t>
            </w:r>
          </w:p>
        </w:tc>
        <w:tc>
          <w:tcPr>
            <w:tcW w:w="2006" w:type="dxa"/>
            <w:vAlign w:val="center"/>
          </w:tcPr>
          <w:p>
            <w:pPr>
              <w:widowControl/>
              <w:spacing w:before="31" w:after="31"/>
              <w:jc w:val="center"/>
              <w:rPr>
                <w:rFonts w:ascii="Times New Roman" w:hAnsi="Times New Roman" w:cs="Times New Roman"/>
                <w:b/>
                <w:color w:val="auto"/>
                <w:spacing w:val="-6"/>
                <w:kern w:val="0"/>
                <w:szCs w:val="21"/>
              </w:rPr>
            </w:pPr>
            <w:r>
              <w:rPr>
                <w:rFonts w:ascii="Times New Roman" w:hAnsi="Times New Roman" w:cs="Times New Roman"/>
                <w:b/>
                <w:color w:val="auto"/>
                <w:spacing w:val="-6"/>
                <w:kern w:val="0"/>
                <w:szCs w:val="21"/>
              </w:rPr>
              <w:t>含水岩组渗透性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287" w:hRule="atLeast"/>
          <w:tblHeader/>
          <w:jc w:val="center"/>
        </w:trPr>
        <w:tc>
          <w:tcPr>
            <w:tcW w:w="86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松散岩类孔隙水</w:t>
            </w:r>
          </w:p>
        </w:tc>
        <w:tc>
          <w:tcPr>
            <w:tcW w:w="103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水量贫乏</w:t>
            </w:r>
          </w:p>
        </w:tc>
        <w:tc>
          <w:tcPr>
            <w:tcW w:w="122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&lt;10(m</w:t>
            </w:r>
            <w:r>
              <w:rPr>
                <w:rFonts w:ascii="Times New Roman" w:hAnsi="Times New Roman" w:cs="Times New Roman"/>
                <w:color w:val="auto"/>
                <w:spacing w:val="-6"/>
                <w:kern w:val="0"/>
                <w:szCs w:val="21"/>
                <w:vertAlign w:val="superscript"/>
              </w:rPr>
              <w:t>3</w:t>
            </w:r>
            <w:r>
              <w:rPr>
                <w:rFonts w:ascii="Times New Roman" w:hAnsi="Times New Roman" w:cs="Times New Roman"/>
                <w:color w:val="auto"/>
                <w:spacing w:val="-6"/>
                <w:kern w:val="0"/>
                <w:szCs w:val="21"/>
              </w:rPr>
              <w:t>/d)</w:t>
            </w:r>
          </w:p>
        </w:tc>
        <w:tc>
          <w:tcPr>
            <w:tcW w:w="157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全更新统（包括坡、残积层）粉砂砾石等</w:t>
            </w:r>
          </w:p>
        </w:tc>
        <w:tc>
          <w:tcPr>
            <w:tcW w:w="97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厚3-5m，</w:t>
            </w:r>
          </w:p>
        </w:tc>
        <w:tc>
          <w:tcPr>
            <w:tcW w:w="1420"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场地的东侧</w:t>
            </w:r>
          </w:p>
        </w:tc>
        <w:tc>
          <w:tcPr>
            <w:tcW w:w="200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渗透系数一般在2~9m/d，属强透水层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287" w:hRule="atLeast"/>
          <w:tblHeader/>
          <w:jc w:val="center"/>
        </w:trPr>
        <w:tc>
          <w:tcPr>
            <w:tcW w:w="862" w:type="dxa"/>
            <w:vMerge w:val="restart"/>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基岩裂隙水</w:t>
            </w:r>
          </w:p>
        </w:tc>
        <w:tc>
          <w:tcPr>
            <w:tcW w:w="103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水量贫乏裂隙潜水</w:t>
            </w:r>
          </w:p>
        </w:tc>
        <w:tc>
          <w:tcPr>
            <w:tcW w:w="122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&lt;10(m</w:t>
            </w:r>
            <w:r>
              <w:rPr>
                <w:rFonts w:ascii="Times New Roman" w:hAnsi="Times New Roman" w:cs="Times New Roman"/>
                <w:color w:val="auto"/>
                <w:spacing w:val="-6"/>
                <w:kern w:val="0"/>
                <w:szCs w:val="21"/>
                <w:vertAlign w:val="superscript"/>
              </w:rPr>
              <w:t>3</w:t>
            </w:r>
            <w:r>
              <w:rPr>
                <w:rFonts w:ascii="Times New Roman" w:hAnsi="Times New Roman" w:cs="Times New Roman"/>
                <w:color w:val="auto"/>
                <w:spacing w:val="-6"/>
                <w:kern w:val="0"/>
                <w:szCs w:val="21"/>
              </w:rPr>
              <w:t>/d)</w:t>
            </w:r>
          </w:p>
        </w:tc>
        <w:tc>
          <w:tcPr>
            <w:tcW w:w="157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冷家溪群板岩、震旦系下统莲沱组页岩、寒武系下统羊楼阁洞组灰质页岩</w:t>
            </w:r>
          </w:p>
        </w:tc>
        <w:tc>
          <w:tcPr>
            <w:tcW w:w="97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厚10-30m</w:t>
            </w:r>
          </w:p>
        </w:tc>
        <w:tc>
          <w:tcPr>
            <w:tcW w:w="1420"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厂区及东部大部分地区，呈带状分布</w:t>
            </w:r>
          </w:p>
        </w:tc>
        <w:tc>
          <w:tcPr>
            <w:tcW w:w="200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渗透系数2~5m/d，属强透水层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287" w:hRule="atLeast"/>
          <w:tblHeader/>
          <w:jc w:val="center"/>
        </w:trPr>
        <w:tc>
          <w:tcPr>
            <w:tcW w:w="862" w:type="dxa"/>
            <w:vMerge w:val="continue"/>
            <w:vAlign w:val="center"/>
          </w:tcPr>
          <w:p>
            <w:pPr>
              <w:rPr>
                <w:rFonts w:ascii="Times New Roman" w:hAnsi="Times New Roman" w:cs="Times New Roman"/>
                <w:color w:val="auto"/>
              </w:rPr>
            </w:pPr>
          </w:p>
        </w:tc>
        <w:tc>
          <w:tcPr>
            <w:tcW w:w="103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水量中等构造裂隙承压水</w:t>
            </w:r>
          </w:p>
        </w:tc>
        <w:tc>
          <w:tcPr>
            <w:tcW w:w="122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&lt;100(m</w:t>
            </w:r>
            <w:r>
              <w:rPr>
                <w:rFonts w:ascii="Times New Roman" w:hAnsi="Times New Roman" w:cs="Times New Roman"/>
                <w:color w:val="auto"/>
                <w:spacing w:val="-6"/>
                <w:kern w:val="0"/>
                <w:szCs w:val="21"/>
                <w:vertAlign w:val="superscript"/>
              </w:rPr>
              <w:t>3</w:t>
            </w:r>
            <w:r>
              <w:rPr>
                <w:rFonts w:ascii="Times New Roman" w:hAnsi="Times New Roman" w:cs="Times New Roman"/>
                <w:color w:val="auto"/>
                <w:spacing w:val="-6"/>
                <w:kern w:val="0"/>
                <w:szCs w:val="21"/>
              </w:rPr>
              <w:t>/d)</w:t>
            </w:r>
          </w:p>
        </w:tc>
        <w:tc>
          <w:tcPr>
            <w:tcW w:w="157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震旦系灯影组硅质岩</w:t>
            </w:r>
          </w:p>
        </w:tc>
        <w:tc>
          <w:tcPr>
            <w:tcW w:w="97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厚约47-70m</w:t>
            </w:r>
          </w:p>
        </w:tc>
        <w:tc>
          <w:tcPr>
            <w:tcW w:w="1420"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拟建厂址的西部大都有分布</w:t>
            </w:r>
          </w:p>
        </w:tc>
        <w:tc>
          <w:tcPr>
            <w:tcW w:w="200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岩石坚硬破碎、节理裂隙发育、透水性好</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287" w:hRule="atLeast"/>
          <w:tblHeader/>
          <w:jc w:val="center"/>
        </w:trPr>
        <w:tc>
          <w:tcPr>
            <w:tcW w:w="86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碳酸盐岩裂隙岩溶水</w:t>
            </w:r>
          </w:p>
        </w:tc>
        <w:tc>
          <w:tcPr>
            <w:tcW w:w="103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丰富</w:t>
            </w:r>
          </w:p>
        </w:tc>
        <w:tc>
          <w:tcPr>
            <w:tcW w:w="122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＞100(m</w:t>
            </w:r>
            <w:r>
              <w:rPr>
                <w:rFonts w:ascii="Times New Roman" w:hAnsi="Times New Roman" w:cs="Times New Roman"/>
                <w:color w:val="auto"/>
                <w:spacing w:val="-6"/>
                <w:kern w:val="0"/>
                <w:szCs w:val="21"/>
                <w:vertAlign w:val="superscript"/>
              </w:rPr>
              <w:t>3</w:t>
            </w:r>
            <w:r>
              <w:rPr>
                <w:rFonts w:ascii="Times New Roman" w:hAnsi="Times New Roman" w:cs="Times New Roman"/>
                <w:color w:val="auto"/>
                <w:spacing w:val="-6"/>
                <w:kern w:val="0"/>
                <w:szCs w:val="21"/>
              </w:rPr>
              <w:t>/d)</w:t>
            </w:r>
          </w:p>
        </w:tc>
        <w:tc>
          <w:tcPr>
            <w:tcW w:w="1572"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奥陶系瘤状灰岩</w:t>
            </w:r>
          </w:p>
        </w:tc>
        <w:tc>
          <w:tcPr>
            <w:tcW w:w="97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厚度约200m</w:t>
            </w:r>
          </w:p>
        </w:tc>
        <w:tc>
          <w:tcPr>
            <w:tcW w:w="1420"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拟建场地的西南部局部出露</w:t>
            </w:r>
          </w:p>
        </w:tc>
        <w:tc>
          <w:tcPr>
            <w:tcW w:w="2006" w:type="dxa"/>
            <w:vAlign w:val="center"/>
          </w:tcPr>
          <w:p>
            <w:pPr>
              <w:widowControl/>
              <w:spacing w:before="31" w:after="31"/>
              <w:jc w:val="center"/>
              <w:rPr>
                <w:rFonts w:ascii="Times New Roman" w:hAnsi="Times New Roman" w:cs="Times New Roman"/>
                <w:color w:val="auto"/>
                <w:spacing w:val="-6"/>
                <w:kern w:val="0"/>
                <w:szCs w:val="21"/>
              </w:rPr>
            </w:pPr>
            <w:r>
              <w:rPr>
                <w:rFonts w:ascii="Times New Roman" w:hAnsi="Times New Roman" w:cs="Times New Roman"/>
                <w:color w:val="auto"/>
                <w:spacing w:val="-6"/>
                <w:kern w:val="0"/>
                <w:szCs w:val="21"/>
              </w:rPr>
              <w:t>透水性取决于岩溶的发育及其充填程度</w:t>
            </w:r>
          </w:p>
        </w:tc>
      </w:tr>
    </w:tbl>
    <w:p>
      <w:pPr>
        <w:spacing w:line="360" w:lineRule="auto"/>
        <w:ind w:firstLine="480" w:firstLineChars="200"/>
        <w:jc w:val="left"/>
        <w:rPr>
          <w:rFonts w:ascii="宋体" w:hAnsi="宋体"/>
          <w:color w:val="auto"/>
          <w:sz w:val="24"/>
        </w:rPr>
      </w:pPr>
      <w:bookmarkStart w:id="216" w:name="_Toc20888"/>
      <w:bookmarkStart w:id="217" w:name="_Toc18769"/>
      <w:r>
        <w:rPr>
          <w:rFonts w:hint="eastAsia" w:ascii="宋体" w:hAnsi="宋体"/>
          <w:color w:val="auto"/>
          <w:sz w:val="24"/>
        </w:rPr>
        <w:t>区域地下水总体流向为：以公司厂区西南侧一带为分水岭，地下水主要靠大气降水补给、径流方式由两侧向谷地运移，再由东向西运移，在谷底低洼处以上升泉的形式排泄于地表或继续向东运移，最终排入长江。其动态变化与大气降水密切相关。</w:t>
      </w:r>
    </w:p>
    <w:p>
      <w:pPr>
        <w:spacing w:line="360" w:lineRule="auto"/>
        <w:ind w:firstLine="480" w:firstLineChars="200"/>
        <w:jc w:val="left"/>
        <w:rPr>
          <w:rFonts w:ascii="宋体" w:hAnsi="宋体"/>
          <w:color w:val="auto"/>
          <w:sz w:val="24"/>
        </w:rPr>
      </w:pPr>
      <w:r>
        <w:rPr>
          <w:rFonts w:hint="eastAsia" w:ascii="宋体" w:hAnsi="宋体"/>
          <w:color w:val="auto"/>
          <w:sz w:val="24"/>
        </w:rPr>
        <w:t>场地内地下水总体贫乏，岩层透水性弱，地下水主要接受大气降水补给，径流方式有两侧向谷地运移，再由东向西运移，在谷底低洼处以上升泉的形式排泄于地表或直接排入长江。</w:t>
      </w:r>
      <w:bookmarkEnd w:id="216"/>
      <w:bookmarkEnd w:id="217"/>
    </w:p>
    <w:p>
      <w:pPr>
        <w:pStyle w:val="6"/>
        <w:numPr>
          <w:ilvl w:val="1"/>
          <w:numId w:val="0"/>
        </w:numPr>
        <w:tabs>
          <w:tab w:val="clear" w:pos="0"/>
        </w:tabs>
        <w:spacing w:before="120" w:beforeLines="0" w:after="120" w:afterLines="0"/>
        <w:ind w:leftChars="0"/>
        <w:rPr>
          <w:color w:val="auto"/>
        </w:rPr>
      </w:pPr>
      <w:bookmarkStart w:id="218" w:name="_Toc30267"/>
      <w:r>
        <w:rPr>
          <w:rFonts w:hint="eastAsia"/>
          <w:color w:val="auto"/>
          <w:lang w:val="en-US" w:eastAsia="zh-CN"/>
        </w:rPr>
        <w:t xml:space="preserve">3.2. </w:t>
      </w:r>
      <w:r>
        <w:rPr>
          <w:color w:val="auto"/>
        </w:rPr>
        <w:t>社会环境概况</w:t>
      </w:r>
      <w:bookmarkEnd w:id="218"/>
    </w:p>
    <w:p>
      <w:pPr>
        <w:pStyle w:val="5"/>
        <w:ind w:firstLine="480"/>
        <w:rPr>
          <w:rFonts w:hint="eastAsia"/>
          <w:color w:val="auto"/>
        </w:rPr>
      </w:pPr>
      <w:r>
        <w:rPr>
          <w:rFonts w:hint="eastAsia"/>
          <w:color w:val="auto"/>
        </w:rPr>
        <w:t>云溪区地处岳阳市城区东北部、长江中游南岸，西濒东洞庭湖，东与临湘市接壤， 西北与湖北省监利县、洪湖市隔江相望，南部与岳阳楼区和岳阳县毗邻。总面积388.4平方公里，其中城镇面积52平方公里。1984年4月6日，经国务院批准，设立岳阳市北区，隶属岳阳市，1996年6月更名为岳阳市云溪区。</w:t>
      </w:r>
      <w:r>
        <w:rPr>
          <w:rFonts w:hint="default"/>
          <w:color w:val="auto"/>
          <w:u w:val="single"/>
          <w:lang w:val="en-US" w:eastAsia="zh-CN"/>
        </w:rPr>
        <w:t>2015年11月30日湖南省民政厅办公室印发《湖南省民政厅关于同意岳阳市云溪区乡镇区划调整方案的批复》（湘民行发〔2015〕107号），同意云溪乡、永济乡、云溪镇成建制合并设立云溪镇；文桥镇、路口镇成建制合并设立路口镇；道仁矶镇、陆城镇成建制合并设立陆城镇，本轮乡镇区划调整后，岳阳市云溪区共减少4个乡镇建制，现辖云溪、路口、陆城3个镇，长岭1个街道，总面积403平方千米，总人口16.88万人</w:t>
      </w:r>
      <w:r>
        <w:rPr>
          <w:rFonts w:hint="eastAsia"/>
          <w:color w:val="auto"/>
          <w:u w:val="single"/>
        </w:rPr>
        <w:t>。</w:t>
      </w:r>
      <w:r>
        <w:rPr>
          <w:rFonts w:hint="eastAsia"/>
          <w:color w:val="auto"/>
        </w:rPr>
        <w:t>评价区域内无需要特殊保护的风景名胜和人文古迹等。</w:t>
      </w:r>
      <w:bookmarkStart w:id="219" w:name="_bookmark21"/>
      <w:bookmarkEnd w:id="219"/>
      <w:bookmarkStart w:id="220" w:name="3.3环境空气质量现状监测与评价"/>
      <w:bookmarkEnd w:id="220"/>
    </w:p>
    <w:p>
      <w:pPr>
        <w:pStyle w:val="6"/>
        <w:numPr>
          <w:ilvl w:val="1"/>
          <w:numId w:val="0"/>
        </w:numPr>
        <w:tabs>
          <w:tab w:val="clear" w:pos="0"/>
        </w:tabs>
        <w:spacing w:before="120" w:beforeLines="0" w:after="120" w:afterLines="0"/>
        <w:ind w:leftChars="0"/>
        <w:rPr>
          <w:rFonts w:hint="eastAsia"/>
          <w:color w:val="auto"/>
          <w:lang w:val="en-US" w:eastAsia="zh-CN"/>
        </w:rPr>
      </w:pPr>
      <w:bookmarkStart w:id="221" w:name="_Toc5500"/>
      <w:r>
        <w:rPr>
          <w:rFonts w:hint="eastAsia"/>
          <w:color w:val="auto"/>
          <w:lang w:val="en-US" w:eastAsia="zh-CN"/>
        </w:rPr>
        <w:t>3.3. 环境空气质量现状监测与评价</w:t>
      </w:r>
      <w:bookmarkEnd w:id="221"/>
    </w:p>
    <w:p>
      <w:pPr>
        <w:pStyle w:val="5"/>
        <w:ind w:firstLine="480"/>
        <w:rPr>
          <w:rFonts w:hint="eastAsia"/>
          <w:color w:val="auto"/>
        </w:rPr>
      </w:pPr>
      <w:r>
        <w:rPr>
          <w:rFonts w:hint="eastAsia"/>
          <w:color w:val="auto"/>
        </w:rPr>
        <w:t>根据《环境影响评价技术导则 大气环境》（HJ2.2—2018）相关规定，本项目环境空气质量现状调查主要调查项目评价区内基本污染物和特征污染物的环境质量情况，采用评价范围内环境监测网的监测数据。评价范围内没有环境空气质量监测网数据或公布的监测数据时可选择与评价范围邻近的地形和气候相近的环境监测网公布的数据；对于其它污染物可收集评价范围内3年内与项目排放的污染物有关历史监测数据。</w:t>
      </w:r>
    </w:p>
    <w:p>
      <w:pPr>
        <w:pStyle w:val="7"/>
        <w:numPr>
          <w:ilvl w:val="2"/>
          <w:numId w:val="0"/>
        </w:numPr>
        <w:tabs>
          <w:tab w:val="left" w:pos="1256"/>
          <w:tab w:val="clear" w:pos="-142"/>
        </w:tabs>
        <w:spacing w:before="120" w:after="120" w:line="240" w:lineRule="auto"/>
        <w:rPr>
          <w:rFonts w:hint="eastAsia"/>
          <w:color w:val="auto"/>
        </w:rPr>
      </w:pPr>
      <w:bookmarkStart w:id="222" w:name="3.4地表水环境质量现状监测与评价"/>
      <w:bookmarkEnd w:id="222"/>
      <w:bookmarkStart w:id="223" w:name="_bookmark22"/>
      <w:bookmarkEnd w:id="223"/>
      <w:bookmarkStart w:id="224" w:name="_Toc23038"/>
      <w:r>
        <w:rPr>
          <w:rFonts w:hint="eastAsia"/>
          <w:color w:val="auto"/>
        </w:rPr>
        <w:t>3.</w:t>
      </w:r>
      <w:r>
        <w:rPr>
          <w:rFonts w:hint="eastAsia"/>
          <w:color w:val="auto"/>
          <w:lang w:val="en-US" w:eastAsia="zh-CN"/>
        </w:rPr>
        <w:t>3</w:t>
      </w:r>
      <w:r>
        <w:rPr>
          <w:rFonts w:hint="eastAsia"/>
          <w:color w:val="auto"/>
        </w:rPr>
        <w:t>.1 常规监测数据</w:t>
      </w:r>
      <w:bookmarkEnd w:id="224"/>
    </w:p>
    <w:p>
      <w:pPr>
        <w:pStyle w:val="5"/>
        <w:rPr>
          <w:rFonts w:hint="default" w:eastAsia="宋体"/>
          <w:color w:val="auto"/>
          <w:lang w:val="en-US" w:eastAsia="zh-CN"/>
        </w:rPr>
      </w:pPr>
      <w:r>
        <w:rPr>
          <w:rFonts w:hint="eastAsia"/>
          <w:color w:val="auto"/>
          <w:spacing w:val="-4"/>
          <w:sz w:val="24"/>
        </w:rPr>
        <w:t>本项目评价</w:t>
      </w:r>
      <w:r>
        <w:rPr>
          <w:rFonts w:hint="eastAsia"/>
          <w:color w:val="auto"/>
          <w:spacing w:val="-4"/>
          <w:sz w:val="24"/>
          <w:lang w:eastAsia="zh-CN"/>
        </w:rPr>
        <w:t>收集了云溪区</w:t>
      </w:r>
      <w:r>
        <w:rPr>
          <w:rFonts w:hint="eastAsia"/>
          <w:color w:val="auto"/>
          <w:spacing w:val="-4"/>
          <w:sz w:val="24"/>
        </w:rPr>
        <w:t xml:space="preserve"> </w:t>
      </w:r>
      <w:r>
        <w:rPr>
          <w:rFonts w:hint="default" w:ascii="Times New Roman" w:hAnsi="Times New Roman" w:eastAsia="Times New Roman"/>
          <w:color w:val="auto"/>
          <w:sz w:val="24"/>
        </w:rPr>
        <w:t xml:space="preserve">2017 </w:t>
      </w:r>
      <w:r>
        <w:rPr>
          <w:rFonts w:hint="eastAsia"/>
          <w:color w:val="auto"/>
          <w:spacing w:val="-19"/>
          <w:sz w:val="24"/>
        </w:rPr>
        <w:t xml:space="preserve">年和 </w:t>
      </w:r>
      <w:r>
        <w:rPr>
          <w:rFonts w:hint="default" w:ascii="Times New Roman" w:hAnsi="Times New Roman" w:eastAsia="Times New Roman"/>
          <w:color w:val="auto"/>
          <w:sz w:val="24"/>
        </w:rPr>
        <w:t xml:space="preserve">2018 </w:t>
      </w:r>
      <w:r>
        <w:rPr>
          <w:rFonts w:hint="eastAsia"/>
          <w:color w:val="auto"/>
          <w:sz w:val="24"/>
        </w:rPr>
        <w:t>年</w:t>
      </w:r>
      <w:r>
        <w:rPr>
          <w:rFonts w:hint="eastAsia"/>
          <w:color w:val="auto"/>
          <w:sz w:val="24"/>
          <w:lang w:eastAsia="zh-CN"/>
        </w:rPr>
        <w:t>区域空气质量数据</w:t>
      </w:r>
      <w:r>
        <w:rPr>
          <w:rFonts w:hint="eastAsia"/>
          <w:color w:val="auto"/>
          <w:sz w:val="24"/>
        </w:rPr>
        <w:t>。</w:t>
      </w:r>
      <w:r>
        <w:rPr>
          <w:rFonts w:hint="eastAsia"/>
          <w:color w:val="auto"/>
          <w:sz w:val="24"/>
          <w:lang w:eastAsia="zh-CN"/>
        </w:rPr>
        <w:t>详见表</w:t>
      </w:r>
      <w:r>
        <w:rPr>
          <w:rFonts w:hint="eastAsia"/>
          <w:color w:val="auto"/>
          <w:sz w:val="24"/>
          <w:lang w:val="en-US" w:eastAsia="zh-CN"/>
        </w:rPr>
        <w:t>3.3-1和3.3-2</w:t>
      </w:r>
    </w:p>
    <w:p>
      <w:pPr>
        <w:pStyle w:val="22"/>
        <w:tabs>
          <w:tab w:val="left" w:pos="3185"/>
        </w:tabs>
        <w:kinsoku w:val="0"/>
        <w:overflowPunct w:val="0"/>
        <w:spacing w:before="187" w:beforeLines="0" w:afterLines="0"/>
        <w:ind w:left="2141"/>
        <w:rPr>
          <w:rFonts w:hint="eastAsia"/>
          <w:b/>
          <w:color w:val="auto"/>
          <w:sz w:val="24"/>
        </w:rPr>
      </w:pPr>
      <w:r>
        <w:rPr>
          <w:rFonts w:hint="eastAsia"/>
          <w:b/>
          <w:color w:val="auto"/>
          <w:sz w:val="24"/>
        </w:rPr>
        <w:t>表</w:t>
      </w:r>
      <w:r>
        <w:rPr>
          <w:rFonts w:hint="eastAsia"/>
          <w:b/>
          <w:color w:val="auto"/>
          <w:sz w:val="24"/>
          <w:lang w:val="en-US" w:eastAsia="zh-CN"/>
        </w:rPr>
        <w:t xml:space="preserve">3.3-1  </w:t>
      </w:r>
      <w:r>
        <w:rPr>
          <w:rFonts w:hint="default"/>
          <w:b/>
          <w:color w:val="auto"/>
          <w:sz w:val="24"/>
        </w:rPr>
        <w:t xml:space="preserve">2017 </w:t>
      </w:r>
      <w:r>
        <w:rPr>
          <w:rFonts w:hint="eastAsia"/>
          <w:b/>
          <w:color w:val="auto"/>
          <w:sz w:val="24"/>
        </w:rPr>
        <w:t>年云溪区区域空气质量现状评价表</w:t>
      </w:r>
    </w:p>
    <w:tbl>
      <w:tblPr>
        <w:tblStyle w:val="45"/>
        <w:tblW w:w="9220" w:type="dxa"/>
        <w:tblInd w:w="2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17"/>
        <w:gridCol w:w="2109"/>
        <w:gridCol w:w="1133"/>
        <w:gridCol w:w="1241"/>
        <w:gridCol w:w="1240"/>
        <w:gridCol w:w="992"/>
        <w:gridCol w:w="9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1"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3" w:beforeLines="0" w:afterLines="0"/>
              <w:ind w:left="335"/>
              <w:jc w:val="left"/>
              <w:rPr>
                <w:rFonts w:hint="eastAsia"/>
                <w:color w:val="auto"/>
                <w:sz w:val="21"/>
              </w:rPr>
            </w:pPr>
            <w:r>
              <w:rPr>
                <w:rFonts w:hint="eastAsia"/>
                <w:color w:val="auto"/>
                <w:sz w:val="21"/>
              </w:rPr>
              <w:t>评价因子</w:t>
            </w:r>
          </w:p>
        </w:tc>
        <w:tc>
          <w:tcPr>
            <w:tcW w:w="2109"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3" w:beforeLines="0" w:afterLines="0"/>
              <w:ind w:left="630"/>
              <w:jc w:val="left"/>
              <w:rPr>
                <w:rFonts w:hint="eastAsia"/>
                <w:color w:val="auto"/>
                <w:sz w:val="21"/>
              </w:rPr>
            </w:pPr>
            <w:r>
              <w:rPr>
                <w:rFonts w:hint="eastAsia"/>
                <w:color w:val="auto"/>
                <w:sz w:val="21"/>
              </w:rPr>
              <w:t>平均时段</w:t>
            </w:r>
          </w:p>
        </w:tc>
        <w:tc>
          <w:tcPr>
            <w:tcW w:w="1133"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3" w:beforeLines="0" w:afterLines="0"/>
              <w:ind w:left="245"/>
              <w:jc w:val="left"/>
              <w:rPr>
                <w:rFonts w:hint="eastAsia"/>
                <w:color w:val="auto"/>
                <w:sz w:val="21"/>
              </w:rPr>
            </w:pPr>
            <w:r>
              <w:rPr>
                <w:rFonts w:hint="eastAsia"/>
                <w:color w:val="auto"/>
                <w:sz w:val="21"/>
              </w:rPr>
              <w:t>百分位</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 w:beforeLines="0" w:afterLines="0" w:line="265" w:lineRule="exact"/>
              <w:ind w:left="129" w:right="127"/>
              <w:rPr>
                <w:rFonts w:hint="default" w:ascii="Times New Roman" w:hAnsi="Times New Roman" w:eastAsia="Times New Roman"/>
                <w:color w:val="auto"/>
                <w:sz w:val="21"/>
              </w:rPr>
            </w:pPr>
            <w:r>
              <w:rPr>
                <w:rFonts w:hint="eastAsia"/>
                <w:color w:val="auto"/>
                <w:sz w:val="21"/>
              </w:rPr>
              <w:t>现状浓度</w:t>
            </w:r>
            <w:r>
              <w:rPr>
                <w:rFonts w:hint="default" w:ascii="Times New Roman" w:hAnsi="Times New Roman" w:eastAsia="Times New Roman"/>
                <w:color w:val="auto"/>
                <w:sz w:val="21"/>
              </w:rPr>
              <w:t>/</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 w:beforeLines="0" w:afterLines="0" w:line="265" w:lineRule="exact"/>
              <w:ind w:left="129" w:right="127"/>
              <w:rPr>
                <w:rFonts w:hint="default" w:ascii="Times New Roman" w:hAnsi="Times New Roman" w:eastAsia="Times New Roman"/>
                <w:color w:val="auto"/>
                <w:sz w:val="21"/>
              </w:rPr>
            </w:pPr>
            <w:r>
              <w:rPr>
                <w:rFonts w:hint="eastAsia"/>
                <w:color w:val="auto"/>
                <w:sz w:val="21"/>
              </w:rPr>
              <w:t>标准限值</w:t>
            </w:r>
            <w:r>
              <w:rPr>
                <w:rFonts w:hint="default" w:ascii="Times New Roman" w:hAnsi="Times New Roman" w:eastAsia="Times New Roman"/>
                <w:color w:val="auto"/>
                <w:sz w:val="21"/>
              </w:rPr>
              <w:t>/</w:t>
            </w:r>
          </w:p>
        </w:tc>
        <w:tc>
          <w:tcPr>
            <w:tcW w:w="992"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3" w:beforeLines="0" w:afterLines="0" w:line="265" w:lineRule="exact"/>
              <w:ind w:left="160" w:right="151"/>
              <w:rPr>
                <w:rFonts w:hint="eastAsia"/>
                <w:color w:val="auto"/>
                <w:sz w:val="21"/>
              </w:rPr>
            </w:pPr>
            <w:r>
              <w:rPr>
                <w:rFonts w:hint="eastAsia"/>
                <w:color w:val="auto"/>
                <w:sz w:val="21"/>
              </w:rPr>
              <w:t>占标率</w:t>
            </w:r>
          </w:p>
          <w:p>
            <w:pPr>
              <w:pStyle w:val="247"/>
              <w:kinsoku w:val="0"/>
              <w:overflowPunct w:val="0"/>
              <w:spacing w:beforeLines="0" w:afterLines="0" w:line="238" w:lineRule="exact"/>
              <w:ind w:left="160" w:right="150"/>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6" w:beforeLines="0" w:afterLines="0" w:line="242" w:lineRule="auto"/>
              <w:ind w:left="385" w:right="166" w:hanging="212"/>
              <w:jc w:val="left"/>
              <w:rPr>
                <w:rFonts w:hint="eastAsia"/>
                <w:color w:val="auto"/>
                <w:sz w:val="21"/>
              </w:rPr>
            </w:pPr>
            <w:r>
              <w:rPr>
                <w:rFonts w:hint="eastAsia"/>
                <w:color w:val="auto"/>
                <w:sz w:val="21"/>
              </w:rPr>
              <w:t>达标情况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1"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2109"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1133"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 w:beforeLines="0" w:afterLines="0" w:line="265" w:lineRule="exact"/>
              <w:ind w:right="127"/>
              <w:jc w:val="both"/>
              <w:rPr>
                <w:rFonts w:hint="eastAsia"/>
                <w:color w:val="auto"/>
                <w:sz w:val="21"/>
              </w:rPr>
            </w:pPr>
            <w:r>
              <w:rPr>
                <w:rFonts w:hint="eastAsia"/>
                <w:color w:val="auto"/>
                <w:sz w:val="21"/>
              </w:rPr>
              <w:t>（</w:t>
            </w:r>
            <w:r>
              <w:rPr>
                <w:rFonts w:hint="default" w:ascii="Times New Roman" w:hAnsi="Times New Roman" w:eastAsia="Times New Roman"/>
                <w:color w:val="auto"/>
                <w:sz w:val="21"/>
              </w:rPr>
              <w:t>μg/m</w:t>
            </w:r>
            <w:r>
              <w:rPr>
                <w:rFonts w:hint="default" w:ascii="Times New Roman" w:hAnsi="Times New Roman" w:eastAsia="Times New Roman"/>
                <w:color w:val="auto"/>
                <w:sz w:val="21"/>
                <w:vertAlign w:val="superscript"/>
              </w:rPr>
              <w:t>3</w:t>
            </w:r>
            <w:r>
              <w:rPr>
                <w:rFonts w:hint="eastAsia"/>
                <w:color w:val="auto"/>
                <w:sz w:val="21"/>
              </w:rPr>
              <w:t>）</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 w:beforeLines="0" w:afterLines="0" w:line="265" w:lineRule="exact"/>
              <w:ind w:right="127"/>
              <w:jc w:val="both"/>
              <w:rPr>
                <w:rFonts w:hint="eastAsia"/>
                <w:color w:val="auto"/>
                <w:sz w:val="21"/>
              </w:rPr>
            </w:pPr>
            <w:r>
              <w:rPr>
                <w:rFonts w:hint="eastAsia"/>
                <w:color w:val="auto"/>
                <w:sz w:val="21"/>
              </w:rPr>
              <w:t>（</w:t>
            </w:r>
            <w:r>
              <w:rPr>
                <w:rFonts w:hint="default" w:ascii="Times New Roman" w:hAnsi="Times New Roman" w:eastAsia="Times New Roman"/>
                <w:color w:val="auto"/>
                <w:sz w:val="21"/>
              </w:rPr>
              <w:t>μg/m</w:t>
            </w:r>
            <w:r>
              <w:rPr>
                <w:rFonts w:hint="default" w:ascii="Times New Roman" w:hAnsi="Times New Roman" w:eastAsia="Times New Roman"/>
                <w:color w:val="auto"/>
                <w:sz w:val="21"/>
                <w:vertAlign w:val="superscript"/>
              </w:rPr>
              <w:t>3</w:t>
            </w:r>
            <w:r>
              <w:rPr>
                <w:rFonts w:hint="eastAsia"/>
                <w:color w:val="auto"/>
                <w:sz w:val="21"/>
              </w:rPr>
              <w:t>）</w:t>
            </w:r>
          </w:p>
        </w:tc>
        <w:tc>
          <w:tcPr>
            <w:tcW w:w="992"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1"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0" w:beforeLines="0" w:afterLines="0"/>
              <w:ind w:right="491"/>
              <w:jc w:val="center"/>
              <w:rPr>
                <w:rFonts w:hint="default" w:ascii="Times New Roman" w:hAnsi="Times New Roman" w:eastAsia="Times New Roman"/>
                <w:color w:val="auto"/>
                <w:sz w:val="21"/>
                <w:vertAlign w:val="subscript"/>
              </w:rPr>
            </w:pPr>
            <w:r>
              <w:rPr>
                <w:rFonts w:hint="eastAsia" w:eastAsia="宋体"/>
                <w:color w:val="auto"/>
                <w:sz w:val="21"/>
                <w:lang w:val="en-US" w:eastAsia="zh-CN"/>
              </w:rPr>
              <w:t xml:space="preserve">    </w:t>
            </w:r>
            <w:r>
              <w:rPr>
                <w:rFonts w:hint="default" w:ascii="Times New Roman" w:hAnsi="Times New Roman" w:eastAsia="Times New Roman"/>
                <w:color w:val="auto"/>
                <w:sz w:val="21"/>
              </w:rPr>
              <w:t>SO</w:t>
            </w:r>
            <w:r>
              <w:rPr>
                <w:rFonts w:hint="default" w:ascii="Times New Roman" w:hAnsi="Times New Roman" w:eastAsia="Times New Roman"/>
                <w:color w:val="auto"/>
                <w:sz w:val="21"/>
                <w:vertAlign w:val="subscript"/>
              </w:rPr>
              <w:t>2</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 w:beforeLines="0" w:afterLines="0" w:line="265"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17</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60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0.28</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jc w:val="left"/>
              <w:rPr>
                <w:rFonts w:hint="eastAsia"/>
                <w:b/>
                <w:color w:val="auto"/>
                <w:sz w:val="14"/>
              </w:rPr>
            </w:pPr>
          </w:p>
          <w:p>
            <w:pPr>
              <w:pStyle w:val="247"/>
              <w:kinsoku w:val="0"/>
              <w:overflowPunct w:val="0"/>
              <w:spacing w:beforeLines="0" w:afterLines="0"/>
              <w:ind w:left="281"/>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jc w:val="center"/>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9" w:beforeLines="0" w:afterLines="0"/>
              <w:ind w:left="84" w:right="79"/>
              <w:rPr>
                <w:rFonts w:hint="eastAsia"/>
                <w:color w:val="auto"/>
                <w:sz w:val="21"/>
              </w:rPr>
            </w:pPr>
            <w:r>
              <w:rPr>
                <w:rFonts w:hint="eastAsia"/>
                <w:color w:val="auto"/>
                <w:sz w:val="21"/>
              </w:rPr>
              <w:t>百分位上日平均</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5"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98</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25</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5"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150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0.17</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8"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1" w:beforeLines="0" w:afterLines="0"/>
              <w:ind w:right="487"/>
              <w:jc w:val="center"/>
              <w:rPr>
                <w:rFonts w:hint="default" w:ascii="Times New Roman" w:hAnsi="Times New Roman" w:eastAsia="Times New Roman"/>
                <w:color w:val="auto"/>
                <w:sz w:val="21"/>
                <w:vertAlign w:val="subscript"/>
              </w:rPr>
            </w:pPr>
            <w:r>
              <w:rPr>
                <w:rFonts w:hint="eastAsia" w:eastAsia="宋体"/>
                <w:color w:val="auto"/>
                <w:sz w:val="21"/>
                <w:lang w:val="en-US" w:eastAsia="zh-CN"/>
              </w:rPr>
              <w:t xml:space="preserve">    </w:t>
            </w:r>
            <w:r>
              <w:rPr>
                <w:rFonts w:hint="default" w:ascii="Times New Roman" w:hAnsi="Times New Roman" w:eastAsia="Times New Roman"/>
                <w:color w:val="auto"/>
                <w:sz w:val="21"/>
              </w:rPr>
              <w:t>NO</w:t>
            </w:r>
            <w:r>
              <w:rPr>
                <w:rFonts w:hint="default" w:ascii="Times New Roman" w:hAnsi="Times New Roman" w:eastAsia="Times New Roman"/>
                <w:color w:val="auto"/>
                <w:sz w:val="21"/>
                <w:vertAlign w:val="subscript"/>
              </w:rPr>
              <w:t>2</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7" w:beforeLines="0" w:afterLines="0" w:line="261"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34</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40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3"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0.85</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5" w:beforeLines="0" w:afterLines="0"/>
              <w:ind w:left="281"/>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5"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jc w:val="center"/>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4" w:right="79"/>
              <w:rPr>
                <w:rFonts w:hint="eastAsia"/>
                <w:color w:val="auto"/>
                <w:sz w:val="21"/>
              </w:rPr>
            </w:pPr>
            <w:r>
              <w:rPr>
                <w:rFonts w:hint="eastAsia"/>
                <w:color w:val="auto"/>
                <w:sz w:val="21"/>
              </w:rPr>
              <w:t>百分位上日平均</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98</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61</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80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0.76</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5"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3" w:beforeLines="0" w:afterLines="0"/>
              <w:ind w:right="486"/>
              <w:jc w:val="center"/>
              <w:rPr>
                <w:rFonts w:hint="default" w:ascii="Times New Roman" w:hAnsi="Times New Roman" w:eastAsia="Times New Roman"/>
                <w:color w:val="auto"/>
                <w:sz w:val="21"/>
                <w:vertAlign w:val="subscript"/>
              </w:rPr>
            </w:pPr>
            <w:r>
              <w:rPr>
                <w:rFonts w:hint="eastAsia" w:eastAsia="宋体"/>
                <w:color w:val="auto"/>
                <w:sz w:val="21"/>
                <w:lang w:val="en-US" w:eastAsia="zh-CN"/>
              </w:rPr>
              <w:t xml:space="preserve">   </w:t>
            </w:r>
            <w:r>
              <w:rPr>
                <w:rFonts w:hint="default" w:ascii="Times New Roman" w:hAnsi="Times New Roman" w:eastAsia="Times New Roman"/>
                <w:color w:val="auto"/>
                <w:sz w:val="21"/>
              </w:rPr>
              <w:t>PM</w:t>
            </w:r>
            <w:r>
              <w:rPr>
                <w:rFonts w:hint="default" w:ascii="Times New Roman" w:hAnsi="Times New Roman" w:eastAsia="Times New Roman"/>
                <w:color w:val="auto"/>
                <w:sz w:val="21"/>
                <w:vertAlign w:val="subscript"/>
              </w:rPr>
              <w:t>10</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69</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70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0.99</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7" w:beforeLines="0" w:afterLines="0"/>
              <w:ind w:left="173"/>
              <w:jc w:val="left"/>
              <w:rPr>
                <w:rFonts w:hint="eastAsia"/>
                <w:color w:val="auto"/>
                <w:sz w:val="21"/>
              </w:rPr>
            </w:pPr>
            <w:r>
              <w:rPr>
                <w:rFonts w:hint="eastAsia"/>
                <w:color w:val="auto"/>
                <w:sz w:val="21"/>
              </w:rPr>
              <w:t>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6"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jc w:val="center"/>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4" w:right="79"/>
              <w:rPr>
                <w:rFonts w:hint="eastAsia"/>
                <w:color w:val="auto"/>
                <w:sz w:val="21"/>
              </w:rPr>
            </w:pPr>
            <w:r>
              <w:rPr>
                <w:rFonts w:hint="eastAsia"/>
                <w:color w:val="auto"/>
                <w:sz w:val="21"/>
              </w:rPr>
              <w:t>百分位上日平均</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327</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150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2.18</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1"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1" w:beforeLines="0" w:afterLines="0"/>
              <w:ind w:right="492"/>
              <w:jc w:val="center"/>
              <w:rPr>
                <w:rFonts w:hint="default" w:ascii="Times New Roman" w:hAnsi="Times New Roman" w:eastAsia="Times New Roman"/>
                <w:color w:val="auto"/>
                <w:sz w:val="14"/>
              </w:rPr>
            </w:pPr>
            <w:r>
              <w:rPr>
                <w:rFonts w:hint="eastAsia" w:eastAsia="宋体"/>
                <w:color w:val="auto"/>
                <w:position w:val="3"/>
                <w:sz w:val="21"/>
                <w:lang w:val="en-US" w:eastAsia="zh-CN"/>
              </w:rPr>
              <w:t xml:space="preserve">   </w:t>
            </w:r>
            <w:r>
              <w:rPr>
                <w:rFonts w:hint="default" w:ascii="Times New Roman" w:hAnsi="Times New Roman" w:eastAsia="Times New Roman"/>
                <w:color w:val="auto"/>
                <w:position w:val="3"/>
                <w:sz w:val="21"/>
              </w:rPr>
              <w:t>PM</w:t>
            </w:r>
            <w:r>
              <w:rPr>
                <w:rFonts w:hint="default" w:ascii="Times New Roman" w:hAnsi="Times New Roman" w:eastAsia="Times New Roman"/>
                <w:color w:val="auto"/>
                <w:sz w:val="14"/>
              </w:rPr>
              <w:t>2.5</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3"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51</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35</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1.46</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7" w:beforeLines="0" w:afterLines="0"/>
              <w:ind w:left="173"/>
              <w:jc w:val="left"/>
              <w:rPr>
                <w:rFonts w:hint="eastAsia"/>
                <w:color w:val="auto"/>
                <w:sz w:val="21"/>
              </w:rPr>
            </w:pPr>
            <w:r>
              <w:rPr>
                <w:rFonts w:hint="eastAsia"/>
                <w:color w:val="auto"/>
                <w:sz w:val="21"/>
              </w:rPr>
              <w:t>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5"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4" w:right="79"/>
              <w:rPr>
                <w:rFonts w:hint="eastAsia"/>
                <w:color w:val="auto"/>
                <w:sz w:val="21"/>
              </w:rPr>
            </w:pPr>
            <w:r>
              <w:rPr>
                <w:rFonts w:hint="eastAsia"/>
                <w:color w:val="auto"/>
                <w:sz w:val="21"/>
              </w:rPr>
              <w:t>百分位上日平均</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170</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1" w:right="127"/>
              <w:rPr>
                <w:rFonts w:hint="default" w:ascii="Times New Roman" w:hAnsi="Times New Roman" w:eastAsia="Times New Roman"/>
                <w:color w:val="auto"/>
                <w:sz w:val="21"/>
              </w:rPr>
            </w:pPr>
            <w:r>
              <w:rPr>
                <w:rFonts w:hint="default" w:ascii="Times New Roman" w:hAnsi="Times New Roman" w:eastAsia="Times New Roman"/>
                <w:color w:val="auto"/>
                <w:sz w:val="21"/>
              </w:rPr>
              <w:t>75</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2.27</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6"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63" w:beforeLines="0" w:afterLines="0"/>
              <w:ind w:left="496" w:right="490"/>
              <w:jc w:val="both"/>
              <w:rPr>
                <w:rFonts w:hint="default" w:ascii="Times New Roman" w:hAnsi="Times New Roman" w:eastAsia="Times New Roman"/>
                <w:color w:val="auto"/>
                <w:sz w:val="21"/>
              </w:rPr>
            </w:pPr>
            <w:r>
              <w:rPr>
                <w:rFonts w:hint="default" w:ascii="Times New Roman" w:hAnsi="Times New Roman" w:eastAsia="Times New Roman"/>
                <w:color w:val="auto"/>
                <w:sz w:val="21"/>
              </w:rPr>
              <w:t>CO</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2"/>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2"/>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3"/>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7" w:beforeLines="0" w:afterLines="0"/>
              <w:ind w:left="281"/>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6"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4" w:right="79"/>
              <w:rPr>
                <w:rFonts w:hint="eastAsia"/>
                <w:color w:val="auto"/>
                <w:sz w:val="21"/>
              </w:rPr>
            </w:pPr>
            <w:r>
              <w:rPr>
                <w:rFonts w:hint="eastAsia"/>
                <w:color w:val="auto"/>
                <w:sz w:val="21"/>
              </w:rPr>
              <w:t>百分位上日平均</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32" w:right="127"/>
              <w:rPr>
                <w:rFonts w:hint="default" w:ascii="Times New Roman" w:hAnsi="Times New Roman" w:eastAsia="Times New Roman"/>
                <w:color w:val="auto"/>
                <w:sz w:val="21"/>
              </w:rPr>
            </w:pPr>
            <w:r>
              <w:rPr>
                <w:rFonts w:hint="default" w:ascii="Times New Roman" w:hAnsi="Times New Roman" w:eastAsia="Times New Roman"/>
                <w:color w:val="auto"/>
                <w:sz w:val="21"/>
              </w:rPr>
              <w:t>1.618</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5"/>
              <w:rPr>
                <w:rFonts w:hint="default" w:ascii="Times New Roman" w:hAnsi="Times New Roman" w:eastAsia="Times New Roman"/>
                <w:color w:val="auto"/>
                <w:sz w:val="21"/>
              </w:rPr>
            </w:pPr>
            <w:r>
              <w:rPr>
                <w:rFonts w:hint="default" w:ascii="Times New Roman" w:hAnsi="Times New Roman" w:eastAsia="Times New Roman"/>
                <w:color w:val="auto"/>
                <w:sz w:val="21"/>
              </w:rPr>
              <w:t>4</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0.40</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2" w:hRule="atLeast"/>
        </w:trPr>
        <w:tc>
          <w:tcPr>
            <w:tcW w:w="151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9" w:beforeLines="0" w:afterLines="0"/>
              <w:ind w:left="496" w:right="488"/>
              <w:rPr>
                <w:rFonts w:hint="default" w:ascii="Times New Roman" w:hAnsi="Times New Roman" w:eastAsia="Times New Roman"/>
                <w:color w:val="auto"/>
                <w:sz w:val="21"/>
                <w:vertAlign w:val="subscript"/>
              </w:rPr>
            </w:pPr>
            <w:r>
              <w:rPr>
                <w:rFonts w:hint="default" w:ascii="Times New Roman" w:hAnsi="Times New Roman" w:eastAsia="Times New Roman"/>
                <w:color w:val="auto"/>
                <w:sz w:val="21"/>
              </w:rPr>
              <w:t>O</w:t>
            </w:r>
            <w:r>
              <w:rPr>
                <w:rFonts w:hint="default" w:ascii="Times New Roman" w:hAnsi="Times New Roman" w:eastAsia="Times New Roman"/>
                <w:color w:val="auto"/>
                <w:sz w:val="21"/>
                <w:vertAlign w:val="subscript"/>
              </w:rPr>
              <w:t>3</w:t>
            </w: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3" w:lineRule="exact"/>
              <w:ind w:left="88" w:right="79"/>
              <w:rPr>
                <w:rFonts w:hint="eastAsia"/>
                <w:color w:val="auto"/>
                <w:sz w:val="21"/>
              </w:rPr>
            </w:pPr>
            <w:r>
              <w:rPr>
                <w:rFonts w:hint="eastAsia"/>
                <w:color w:val="auto"/>
                <w:sz w:val="21"/>
              </w:rPr>
              <w:t>年平均浓度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7"/>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2"/>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2"/>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 w:beforeLines="0" w:afterLines="0"/>
              <w:ind w:left="3"/>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98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7" w:beforeLines="0" w:afterLines="0"/>
              <w:ind w:left="281"/>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5" w:hRule="atLeast"/>
        </w:trPr>
        <w:tc>
          <w:tcPr>
            <w:tcW w:w="1517"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c>
          <w:tcPr>
            <w:tcW w:w="21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beforeLines="0" w:afterLines="0" w:line="257" w:lineRule="exact"/>
              <w:ind w:left="88" w:right="79"/>
              <w:rPr>
                <w:rFonts w:hint="eastAsia"/>
                <w:color w:val="auto"/>
                <w:sz w:val="21"/>
              </w:rPr>
            </w:pPr>
            <w:r>
              <w:rPr>
                <w:rFonts w:hint="default" w:ascii="Times New Roman" w:hAnsi="Times New Roman" w:eastAsia="Times New Roman"/>
                <w:color w:val="auto"/>
                <w:sz w:val="21"/>
              </w:rPr>
              <w:t xml:space="preserve">8h </w:t>
            </w:r>
            <w:r>
              <w:rPr>
                <w:rFonts w:hint="eastAsia"/>
                <w:color w:val="auto"/>
                <w:sz w:val="21"/>
              </w:rPr>
              <w:t>平均质量浓度</w:t>
            </w:r>
          </w:p>
        </w:tc>
        <w:tc>
          <w:tcPr>
            <w:tcW w:w="1133"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 w:beforeLines="0" w:afterLines="0"/>
              <w:ind w:left="433" w:right="424"/>
              <w:rPr>
                <w:rFonts w:hint="default" w:ascii="Times New Roman" w:hAnsi="Times New Roman" w:eastAsia="Times New Roman"/>
                <w:color w:val="auto"/>
                <w:sz w:val="21"/>
              </w:rPr>
            </w:pPr>
            <w:r>
              <w:rPr>
                <w:rFonts w:hint="default" w:ascii="Times New Roman" w:hAnsi="Times New Roman" w:eastAsia="Times New Roman"/>
                <w:color w:val="auto"/>
                <w:sz w:val="21"/>
              </w:rPr>
              <w:t>90</w:t>
            </w:r>
          </w:p>
        </w:tc>
        <w:tc>
          <w:tcPr>
            <w:tcW w:w="124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139</w:t>
            </w:r>
          </w:p>
        </w:tc>
        <w:tc>
          <w:tcPr>
            <w:tcW w:w="12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 w:beforeLines="0" w:afterLines="0"/>
              <w:ind w:left="128" w:right="127"/>
              <w:rPr>
                <w:rFonts w:hint="default" w:ascii="Times New Roman" w:hAnsi="Times New Roman" w:eastAsia="Times New Roman"/>
                <w:color w:val="auto"/>
                <w:sz w:val="21"/>
              </w:rPr>
            </w:pPr>
            <w:r>
              <w:rPr>
                <w:rFonts w:hint="default" w:ascii="Times New Roman" w:hAnsi="Times New Roman" w:eastAsia="Times New Roman"/>
                <w:color w:val="auto"/>
                <w:sz w:val="21"/>
              </w:rPr>
              <w:t>160</w:t>
            </w:r>
          </w:p>
        </w:tc>
        <w:tc>
          <w:tcPr>
            <w:tcW w:w="9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 w:beforeLines="0" w:afterLines="0"/>
              <w:ind w:left="157" w:right="151"/>
              <w:rPr>
                <w:rFonts w:hint="default" w:ascii="Times New Roman" w:hAnsi="Times New Roman" w:eastAsia="Times New Roman"/>
                <w:color w:val="auto"/>
                <w:sz w:val="21"/>
              </w:rPr>
            </w:pPr>
            <w:r>
              <w:rPr>
                <w:rFonts w:hint="default" w:ascii="Times New Roman" w:hAnsi="Times New Roman" w:eastAsia="Times New Roman"/>
                <w:color w:val="auto"/>
                <w:sz w:val="21"/>
              </w:rPr>
              <w:t>0.87</w:t>
            </w:r>
          </w:p>
        </w:tc>
        <w:tc>
          <w:tcPr>
            <w:tcW w:w="988" w:type="dxa"/>
            <w:vMerge w:val="continue"/>
            <w:tcBorders>
              <w:top w:val="nil"/>
              <w:left w:val="single" w:color="000000" w:sz="4" w:space="0"/>
              <w:bottom w:val="single" w:color="000000" w:sz="4" w:space="0"/>
              <w:right w:val="single" w:color="000000" w:sz="4" w:space="0"/>
              <w:tl2br w:val="nil"/>
              <w:tr2bl w:val="nil"/>
            </w:tcBorders>
            <w:vAlign w:val="top"/>
          </w:tcPr>
          <w:p>
            <w:pPr>
              <w:pStyle w:val="8"/>
              <w:tabs>
                <w:tab w:val="left" w:pos="3185"/>
              </w:tabs>
              <w:kinsoku w:val="0"/>
              <w:overflowPunct w:val="0"/>
              <w:spacing w:before="56" w:beforeLines="0" w:after="5" w:afterLines="0"/>
              <w:ind w:left="2141"/>
              <w:rPr>
                <w:rFonts w:hint="eastAsia"/>
                <w:color w:val="auto"/>
                <w:sz w:val="2"/>
              </w:rPr>
            </w:pPr>
          </w:p>
        </w:tc>
      </w:tr>
    </w:tbl>
    <w:p>
      <w:pPr>
        <w:pStyle w:val="22"/>
        <w:kinsoku w:val="0"/>
        <w:overflowPunct w:val="0"/>
        <w:spacing w:beforeLines="0" w:afterLines="0"/>
        <w:rPr>
          <w:rFonts w:hint="eastAsia"/>
          <w:b/>
          <w:color w:val="auto"/>
          <w:sz w:val="26"/>
        </w:rPr>
      </w:pPr>
    </w:p>
    <w:p>
      <w:pPr>
        <w:pStyle w:val="22"/>
        <w:tabs>
          <w:tab w:val="left" w:pos="3185"/>
        </w:tabs>
        <w:kinsoku w:val="0"/>
        <w:overflowPunct w:val="0"/>
        <w:spacing w:before="187" w:beforeLines="0" w:afterLines="0"/>
        <w:ind w:left="2141"/>
        <w:rPr>
          <w:rFonts w:hint="eastAsia"/>
          <w:b/>
          <w:color w:val="auto"/>
          <w:sz w:val="24"/>
        </w:rPr>
      </w:pPr>
      <w:r>
        <w:rPr>
          <w:rFonts w:hint="eastAsia"/>
          <w:b/>
          <w:color w:val="auto"/>
          <w:sz w:val="24"/>
        </w:rPr>
        <w:t>表</w:t>
      </w:r>
      <w:r>
        <w:rPr>
          <w:rFonts w:hint="eastAsia"/>
          <w:b/>
          <w:color w:val="auto"/>
          <w:spacing w:val="-58"/>
          <w:sz w:val="24"/>
        </w:rPr>
        <w:t xml:space="preserve"> </w:t>
      </w:r>
      <w:r>
        <w:rPr>
          <w:rFonts w:hint="eastAsia" w:ascii="Times New Roman" w:hAnsi="Times New Roman" w:eastAsia="宋体"/>
          <w:b/>
          <w:color w:val="auto"/>
          <w:sz w:val="24"/>
          <w:lang w:val="en-US" w:eastAsia="zh-CN"/>
        </w:rPr>
        <w:t>3.3</w:t>
      </w:r>
      <w:r>
        <w:rPr>
          <w:rFonts w:hint="default" w:ascii="Times New Roman" w:hAnsi="Times New Roman" w:eastAsia="Times New Roman"/>
          <w:b/>
          <w:color w:val="auto"/>
          <w:sz w:val="24"/>
        </w:rPr>
        <w:t>-2</w:t>
      </w:r>
      <w:r>
        <w:rPr>
          <w:rFonts w:hint="default" w:ascii="Times New Roman" w:hAnsi="Times New Roman" w:eastAsia="Times New Roman"/>
          <w:b/>
          <w:color w:val="auto"/>
          <w:sz w:val="24"/>
        </w:rPr>
        <w:tab/>
      </w:r>
      <w:r>
        <w:rPr>
          <w:rFonts w:hint="default" w:ascii="Times New Roman" w:hAnsi="Times New Roman" w:eastAsia="Times New Roman"/>
          <w:b/>
          <w:color w:val="auto"/>
          <w:sz w:val="24"/>
        </w:rPr>
        <w:t>2018</w:t>
      </w:r>
      <w:r>
        <w:rPr>
          <w:rFonts w:hint="default" w:ascii="Times New Roman" w:hAnsi="Times New Roman" w:eastAsia="Times New Roman"/>
          <w:b/>
          <w:color w:val="auto"/>
          <w:spacing w:val="-6"/>
          <w:sz w:val="24"/>
        </w:rPr>
        <w:t xml:space="preserve"> </w:t>
      </w:r>
      <w:r>
        <w:rPr>
          <w:rFonts w:hint="eastAsia"/>
          <w:b/>
          <w:color w:val="auto"/>
          <w:sz w:val="24"/>
        </w:rPr>
        <w:t>年云溪区区域空气质量现状评价表</w:t>
      </w:r>
    </w:p>
    <w:tbl>
      <w:tblPr>
        <w:tblStyle w:val="45"/>
        <w:tblW w:w="9211" w:type="dxa"/>
        <w:tblInd w:w="2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08"/>
        <w:gridCol w:w="1928"/>
        <w:gridCol w:w="967"/>
        <w:gridCol w:w="1335"/>
        <w:gridCol w:w="1339"/>
        <w:gridCol w:w="1227"/>
        <w:gridCol w:w="12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183"/>
              <w:jc w:val="left"/>
              <w:rPr>
                <w:rFonts w:hint="eastAsia"/>
                <w:color w:val="auto"/>
                <w:sz w:val="21"/>
              </w:rPr>
            </w:pPr>
            <w:r>
              <w:rPr>
                <w:rFonts w:hint="eastAsia"/>
                <w:color w:val="auto"/>
                <w:sz w:val="21"/>
              </w:rPr>
              <w:t>评价因子</w:t>
            </w:r>
          </w:p>
        </w:tc>
        <w:tc>
          <w:tcPr>
            <w:tcW w:w="192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543"/>
              <w:jc w:val="left"/>
              <w:rPr>
                <w:rFonts w:hint="eastAsia"/>
                <w:color w:val="auto"/>
                <w:sz w:val="21"/>
              </w:rPr>
            </w:pPr>
            <w:r>
              <w:rPr>
                <w:rFonts w:hint="eastAsia"/>
                <w:color w:val="auto"/>
                <w:sz w:val="21"/>
              </w:rPr>
              <w:t>平均时段</w:t>
            </w:r>
          </w:p>
        </w:tc>
        <w:tc>
          <w:tcPr>
            <w:tcW w:w="96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164"/>
              <w:jc w:val="left"/>
              <w:rPr>
                <w:rFonts w:hint="eastAsia"/>
                <w:color w:val="auto"/>
                <w:sz w:val="21"/>
              </w:rPr>
            </w:pPr>
            <w:r>
              <w:rPr>
                <w:rFonts w:hint="eastAsia"/>
                <w:color w:val="auto"/>
                <w:sz w:val="21"/>
              </w:rPr>
              <w:t>百分位</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183" w:right="171"/>
              <w:rPr>
                <w:rFonts w:hint="default" w:ascii="Times New Roman" w:hAnsi="Times New Roman" w:eastAsia="Times New Roman"/>
                <w:color w:val="auto"/>
                <w:sz w:val="21"/>
              </w:rPr>
            </w:pPr>
            <w:r>
              <w:rPr>
                <w:rFonts w:hint="eastAsia"/>
                <w:color w:val="auto"/>
                <w:sz w:val="21"/>
              </w:rPr>
              <w:t>现状浓度</w:t>
            </w:r>
            <w:r>
              <w:rPr>
                <w:rFonts w:hint="default" w:ascii="Times New Roman" w:hAnsi="Times New Roman" w:eastAsia="Times New Roman"/>
                <w:color w:val="auto"/>
                <w:sz w:val="21"/>
              </w:rPr>
              <w:t>/</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188" w:right="169"/>
              <w:rPr>
                <w:rFonts w:hint="default" w:ascii="Times New Roman" w:hAnsi="Times New Roman" w:eastAsia="Times New Roman"/>
                <w:color w:val="auto"/>
                <w:sz w:val="21"/>
              </w:rPr>
            </w:pPr>
            <w:r>
              <w:rPr>
                <w:rFonts w:hint="eastAsia"/>
                <w:color w:val="auto"/>
                <w:sz w:val="21"/>
              </w:rPr>
              <w:t>标准限值</w:t>
            </w:r>
            <w:r>
              <w:rPr>
                <w:rFonts w:hint="default" w:ascii="Times New Roman" w:hAnsi="Times New Roman" w:eastAsia="Times New Roman"/>
                <w:color w:val="auto"/>
                <w:sz w:val="21"/>
              </w:rPr>
              <w:t>/</w:t>
            </w:r>
          </w:p>
        </w:tc>
        <w:tc>
          <w:tcPr>
            <w:tcW w:w="122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184"/>
              <w:jc w:val="left"/>
              <w:rPr>
                <w:rFonts w:hint="default" w:ascii="Times New Roman" w:hAnsi="Times New Roman" w:eastAsia="Times New Roman"/>
                <w:color w:val="auto"/>
                <w:sz w:val="21"/>
              </w:rPr>
            </w:pPr>
            <w:r>
              <w:rPr>
                <w:rFonts w:hint="eastAsia"/>
                <w:color w:val="auto"/>
                <w:sz w:val="21"/>
              </w:rPr>
              <w:t>占标率</w:t>
            </w:r>
            <w:r>
              <w:rPr>
                <w:rFonts w:hint="default" w:ascii="Times New Roman" w:hAnsi="Times New Roman" w:eastAsia="Times New Roman"/>
                <w:color w:val="auto"/>
                <w:sz w:val="21"/>
              </w:rPr>
              <w:t>/%</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189"/>
              <w:jc w:val="left"/>
              <w:rPr>
                <w:rFonts w:hint="eastAsia"/>
                <w:color w:val="auto"/>
                <w:sz w:val="21"/>
              </w:rPr>
            </w:pPr>
            <w:r>
              <w:rPr>
                <w:rFonts w:hint="eastAsia"/>
                <w:color w:val="auto"/>
                <w:sz w:val="21"/>
              </w:rPr>
              <w:t>达标情况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4"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92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96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3" w:lineRule="exact"/>
              <w:ind w:right="173"/>
              <w:jc w:val="both"/>
              <w:rPr>
                <w:rFonts w:hint="eastAsia"/>
                <w:color w:val="auto"/>
                <w:sz w:val="21"/>
              </w:rPr>
            </w:pPr>
            <w:r>
              <w:rPr>
                <w:rFonts w:hint="eastAsia"/>
                <w:color w:val="auto"/>
                <w:sz w:val="21"/>
              </w:rPr>
              <w:t>（</w:t>
            </w:r>
            <w:r>
              <w:rPr>
                <w:rFonts w:hint="default" w:ascii="Times New Roman" w:hAnsi="Times New Roman" w:eastAsia="Times New Roman"/>
                <w:color w:val="auto"/>
                <w:sz w:val="21"/>
              </w:rPr>
              <w:t>μg/m</w:t>
            </w:r>
            <w:r>
              <w:rPr>
                <w:rFonts w:hint="default" w:ascii="Times New Roman" w:hAnsi="Times New Roman" w:eastAsia="Times New Roman"/>
                <w:color w:val="auto"/>
                <w:sz w:val="21"/>
                <w:vertAlign w:val="superscript"/>
              </w:rPr>
              <w:t>3</w:t>
            </w:r>
            <w:r>
              <w:rPr>
                <w:rFonts w:hint="eastAsia"/>
                <w:color w:val="auto"/>
                <w:sz w:val="21"/>
              </w:rPr>
              <w:t>）</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3" w:lineRule="exact"/>
              <w:ind w:right="172"/>
              <w:jc w:val="both"/>
              <w:rPr>
                <w:rFonts w:hint="eastAsia"/>
                <w:color w:val="auto"/>
                <w:sz w:val="21"/>
              </w:rPr>
            </w:pPr>
            <w:r>
              <w:rPr>
                <w:rFonts w:hint="eastAsia"/>
                <w:color w:val="auto"/>
                <w:sz w:val="21"/>
              </w:rPr>
              <w:t>（</w:t>
            </w:r>
            <w:r>
              <w:rPr>
                <w:rFonts w:hint="default" w:ascii="Times New Roman" w:hAnsi="Times New Roman" w:eastAsia="Times New Roman"/>
                <w:color w:val="auto"/>
                <w:sz w:val="21"/>
              </w:rPr>
              <w:t>μg/m</w:t>
            </w:r>
            <w:r>
              <w:rPr>
                <w:rFonts w:hint="default" w:ascii="Times New Roman" w:hAnsi="Times New Roman" w:eastAsia="Times New Roman"/>
                <w:color w:val="auto"/>
                <w:sz w:val="21"/>
                <w:vertAlign w:val="superscript"/>
              </w:rPr>
              <w:t>3</w:t>
            </w:r>
            <w:r>
              <w:rPr>
                <w:rFonts w:hint="eastAsia"/>
                <w:color w:val="auto"/>
                <w:sz w:val="21"/>
              </w:rPr>
              <w:t>）</w:t>
            </w:r>
          </w:p>
        </w:tc>
        <w:tc>
          <w:tcPr>
            <w:tcW w:w="122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beforeLines="0" w:afterLines="0"/>
              <w:ind w:right="390"/>
              <w:jc w:val="center"/>
              <w:rPr>
                <w:rFonts w:hint="default" w:ascii="Times New Roman" w:hAnsi="Times New Roman" w:eastAsia="Times New Roman"/>
                <w:color w:val="auto"/>
                <w:sz w:val="21"/>
                <w:vertAlign w:val="subscript"/>
              </w:rPr>
            </w:pPr>
            <w:r>
              <w:rPr>
                <w:rFonts w:hint="default" w:ascii="Times New Roman" w:hAnsi="Times New Roman" w:eastAsia="Times New Roman"/>
                <w:color w:val="auto"/>
                <w:sz w:val="21"/>
              </w:rPr>
              <w:t>SO</w:t>
            </w:r>
            <w:r>
              <w:rPr>
                <w:rFonts w:hint="default" w:ascii="Times New Roman" w:hAnsi="Times New Roman" w:eastAsia="Times New Roman"/>
                <w:color w:val="auto"/>
                <w:sz w:val="21"/>
                <w:vertAlign w:val="subscript"/>
              </w:rPr>
              <w:t>2</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5.76</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60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0.10</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1" w:beforeLines="0" w:afterLines="0"/>
              <w:ind w:left="397"/>
              <w:jc w:val="left"/>
              <w:rPr>
                <w:rFonts w:hint="eastAsia"/>
                <w:color w:val="auto"/>
                <w:sz w:val="21"/>
              </w:rPr>
            </w:pPr>
            <w:r>
              <w:rPr>
                <w:rFonts w:hint="eastAsia"/>
                <w:color w:val="auto"/>
                <w:sz w:val="21"/>
              </w:rPr>
              <w:t>达标</w:t>
            </w:r>
          </w:p>
          <w:p>
            <w:pPr>
              <w:pStyle w:val="247"/>
              <w:kinsoku w:val="0"/>
              <w:overflowPunct w:val="0"/>
              <w:spacing w:before="141" w:beforeLines="0" w:afterLines="0"/>
              <w:jc w:val="left"/>
              <w:rPr>
                <w:rFonts w:hint="eastAsia"/>
                <w:color w:val="auto"/>
                <w:sz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1"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98</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3" w:right="169"/>
              <w:rPr>
                <w:rFonts w:hint="default" w:ascii="Times New Roman" w:hAnsi="Times New Roman" w:eastAsia="Times New Roman"/>
                <w:color w:val="auto"/>
                <w:sz w:val="21"/>
              </w:rPr>
            </w:pPr>
            <w:r>
              <w:rPr>
                <w:rFonts w:hint="default" w:ascii="Times New Roman" w:hAnsi="Times New Roman" w:eastAsia="Times New Roman"/>
                <w:color w:val="auto"/>
                <w:sz w:val="21"/>
              </w:rPr>
              <w:t>21</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70"/>
              <w:rPr>
                <w:rFonts w:hint="default" w:ascii="Times New Roman" w:hAnsi="Times New Roman" w:eastAsia="Times New Roman"/>
                <w:color w:val="auto"/>
                <w:sz w:val="21"/>
              </w:rPr>
            </w:pPr>
            <w:r>
              <w:rPr>
                <w:rFonts w:hint="default" w:ascii="Times New Roman" w:hAnsi="Times New Roman" w:eastAsia="Times New Roman"/>
                <w:color w:val="auto"/>
                <w:sz w:val="21"/>
              </w:rPr>
              <w:t>150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0.14</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beforeLines="0" w:afterLines="0"/>
              <w:ind w:right="390"/>
              <w:jc w:val="center"/>
              <w:rPr>
                <w:rFonts w:hint="default" w:ascii="Times New Roman" w:hAnsi="Times New Roman" w:eastAsia="Times New Roman"/>
                <w:color w:val="auto"/>
                <w:sz w:val="21"/>
                <w:vertAlign w:val="subscript"/>
              </w:rPr>
            </w:pPr>
            <w:r>
              <w:rPr>
                <w:rFonts w:hint="default" w:ascii="Times New Roman" w:hAnsi="Times New Roman" w:eastAsia="Times New Roman"/>
                <w:color w:val="auto"/>
                <w:sz w:val="21"/>
              </w:rPr>
              <w:t>NO</w:t>
            </w:r>
            <w:r>
              <w:rPr>
                <w:rFonts w:hint="default" w:ascii="Times New Roman" w:hAnsi="Times New Roman" w:eastAsia="Times New Roman"/>
                <w:color w:val="auto"/>
                <w:sz w:val="21"/>
                <w:vertAlign w:val="subscript"/>
              </w:rPr>
              <w:t>2</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20.24</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40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0.51</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397"/>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4"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98</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3" w:right="169"/>
              <w:rPr>
                <w:rFonts w:hint="default" w:ascii="Times New Roman" w:hAnsi="Times New Roman" w:eastAsia="Times New Roman"/>
                <w:color w:val="auto"/>
                <w:sz w:val="21"/>
              </w:rPr>
            </w:pPr>
            <w:r>
              <w:rPr>
                <w:rFonts w:hint="default" w:ascii="Times New Roman" w:hAnsi="Times New Roman" w:eastAsia="Times New Roman"/>
                <w:color w:val="auto"/>
                <w:sz w:val="21"/>
              </w:rPr>
              <w:t>57</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80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0.71</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0"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1" w:beforeLines="0" w:afterLines="0"/>
              <w:ind w:firstLine="210" w:firstLineChars="100"/>
              <w:jc w:val="both"/>
              <w:rPr>
                <w:rFonts w:hint="default" w:ascii="Times New Roman" w:hAnsi="Times New Roman" w:eastAsia="Times New Roman"/>
                <w:color w:val="auto"/>
                <w:sz w:val="21"/>
                <w:vertAlign w:val="subscript"/>
              </w:rPr>
            </w:pPr>
            <w:r>
              <w:rPr>
                <w:rFonts w:hint="default" w:ascii="Times New Roman" w:hAnsi="Times New Roman" w:eastAsia="Times New Roman"/>
                <w:color w:val="auto"/>
                <w:sz w:val="21"/>
              </w:rPr>
              <w:t>PM</w:t>
            </w:r>
            <w:r>
              <w:rPr>
                <w:rFonts w:hint="default" w:ascii="Times New Roman" w:hAnsi="Times New Roman" w:eastAsia="Times New Roman"/>
                <w:color w:val="auto"/>
                <w:sz w:val="21"/>
                <w:vertAlign w:val="subscript"/>
              </w:rPr>
              <w:t>10</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69.97</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70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1.00</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293"/>
              <w:jc w:val="left"/>
              <w:rPr>
                <w:rFonts w:hint="eastAsia"/>
                <w:color w:val="auto"/>
                <w:sz w:val="21"/>
              </w:rPr>
            </w:pPr>
            <w:r>
              <w:rPr>
                <w:rFonts w:hint="eastAsia"/>
                <w:color w:val="auto"/>
                <w:sz w:val="21"/>
              </w:rPr>
              <w:t>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jc w:val="center"/>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3" w:right="172"/>
              <w:rPr>
                <w:rFonts w:hint="default" w:ascii="Times New Roman" w:hAnsi="Times New Roman" w:eastAsia="Times New Roman"/>
                <w:color w:val="auto"/>
                <w:sz w:val="21"/>
              </w:rPr>
            </w:pPr>
            <w:r>
              <w:rPr>
                <w:rFonts w:hint="default" w:ascii="Times New Roman" w:hAnsi="Times New Roman" w:eastAsia="Times New Roman"/>
                <w:color w:val="auto"/>
                <w:sz w:val="21"/>
              </w:rPr>
              <w:t>232</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8" w:right="170"/>
              <w:rPr>
                <w:rFonts w:hint="default" w:ascii="Times New Roman" w:hAnsi="Times New Roman" w:eastAsia="Times New Roman"/>
                <w:color w:val="auto"/>
                <w:sz w:val="21"/>
              </w:rPr>
            </w:pPr>
            <w:r>
              <w:rPr>
                <w:rFonts w:hint="default" w:ascii="Times New Roman" w:hAnsi="Times New Roman" w:eastAsia="Times New Roman"/>
                <w:color w:val="auto"/>
                <w:sz w:val="21"/>
              </w:rPr>
              <w:t>150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1.55</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3" w:beforeLines="0" w:afterLines="0"/>
              <w:jc w:val="center"/>
              <w:rPr>
                <w:rFonts w:hint="default" w:ascii="Times New Roman" w:hAnsi="Times New Roman" w:eastAsia="Times New Roman"/>
                <w:color w:val="auto"/>
                <w:sz w:val="14"/>
              </w:rPr>
            </w:pPr>
            <w:r>
              <w:rPr>
                <w:rFonts w:hint="default" w:ascii="Times New Roman" w:hAnsi="Times New Roman" w:eastAsia="Times New Roman"/>
                <w:color w:val="auto"/>
                <w:position w:val="3"/>
                <w:sz w:val="21"/>
              </w:rPr>
              <w:t>PM</w:t>
            </w:r>
            <w:r>
              <w:rPr>
                <w:rFonts w:hint="default" w:ascii="Times New Roman" w:hAnsi="Times New Roman" w:eastAsia="Times New Roman"/>
                <w:color w:val="auto"/>
                <w:sz w:val="14"/>
              </w:rPr>
              <w:t>2.5</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46.28</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35</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1.32</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293"/>
              <w:jc w:val="left"/>
              <w:rPr>
                <w:rFonts w:hint="eastAsia"/>
                <w:color w:val="auto"/>
                <w:sz w:val="21"/>
              </w:rPr>
            </w:pPr>
            <w:r>
              <w:rPr>
                <w:rFonts w:hint="eastAsia"/>
                <w:color w:val="auto"/>
                <w:sz w:val="21"/>
              </w:rPr>
              <w:t>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jc w:val="center"/>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3" w:right="172"/>
              <w:rPr>
                <w:rFonts w:hint="default" w:ascii="Times New Roman" w:hAnsi="Times New Roman" w:eastAsia="Times New Roman"/>
                <w:color w:val="auto"/>
                <w:sz w:val="21"/>
              </w:rPr>
            </w:pPr>
            <w:r>
              <w:rPr>
                <w:rFonts w:hint="default" w:ascii="Times New Roman" w:hAnsi="Times New Roman" w:eastAsia="Times New Roman"/>
                <w:color w:val="auto"/>
                <w:sz w:val="21"/>
              </w:rPr>
              <w:t>122</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68"/>
              <w:rPr>
                <w:rFonts w:hint="default" w:ascii="Times New Roman" w:hAnsi="Times New Roman" w:eastAsia="Times New Roman"/>
                <w:color w:val="auto"/>
                <w:sz w:val="21"/>
              </w:rPr>
            </w:pPr>
            <w:r>
              <w:rPr>
                <w:rFonts w:hint="default" w:ascii="Times New Roman" w:hAnsi="Times New Roman" w:eastAsia="Times New Roman"/>
                <w:color w:val="auto"/>
                <w:sz w:val="21"/>
              </w:rPr>
              <w:t>75</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1.63</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4"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1" w:beforeLines="0" w:afterLines="0"/>
              <w:ind w:right="390"/>
              <w:jc w:val="center"/>
              <w:rPr>
                <w:rFonts w:hint="default" w:ascii="Times New Roman" w:hAnsi="Times New Roman" w:eastAsia="Times New Roman"/>
                <w:color w:val="auto"/>
                <w:sz w:val="21"/>
              </w:rPr>
            </w:pPr>
            <w:r>
              <w:rPr>
                <w:rFonts w:hint="default" w:ascii="Times New Roman" w:hAnsi="Times New Roman" w:eastAsia="Times New Roman"/>
                <w:color w:val="auto"/>
                <w:sz w:val="21"/>
              </w:rPr>
              <w:t>CO</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0.997</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9"/>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3"/>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397"/>
              <w:jc w:val="left"/>
              <w:rPr>
                <w:rFonts w:hint="eastAsia"/>
                <w:color w:val="auto"/>
                <w:sz w:val="21"/>
              </w:rPr>
            </w:pPr>
            <w:r>
              <w:rPr>
                <w:rFonts w:hint="eastAsia"/>
                <w:color w:val="auto"/>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jc w:val="center"/>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95</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1.674</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4"/>
              <w:rPr>
                <w:rFonts w:hint="default" w:ascii="Times New Roman" w:hAnsi="Times New Roman" w:eastAsia="Times New Roman"/>
                <w:color w:val="auto"/>
                <w:sz w:val="21"/>
              </w:rPr>
            </w:pPr>
            <w:r>
              <w:rPr>
                <w:rFonts w:hint="default" w:ascii="Times New Roman" w:hAnsi="Times New Roman" w:eastAsia="Times New Roman"/>
                <w:color w:val="auto"/>
                <w:sz w:val="21"/>
              </w:rPr>
              <w:t>4</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0.42</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4" w:hRule="atLeast"/>
        </w:trPr>
        <w:tc>
          <w:tcPr>
            <w:tcW w:w="1208"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51" w:beforeLines="0" w:afterLines="0"/>
              <w:ind w:right="390"/>
              <w:jc w:val="center"/>
              <w:rPr>
                <w:rFonts w:hint="default" w:ascii="Times New Roman" w:hAnsi="Times New Roman" w:eastAsia="Times New Roman"/>
                <w:color w:val="auto"/>
                <w:sz w:val="21"/>
                <w:vertAlign w:val="subscript"/>
              </w:rPr>
            </w:pPr>
            <w:r>
              <w:rPr>
                <w:rFonts w:hint="default" w:ascii="Times New Roman" w:hAnsi="Times New Roman" w:eastAsia="Times New Roman"/>
                <w:color w:val="auto"/>
                <w:sz w:val="21"/>
              </w:rPr>
              <w:t>O</w:t>
            </w:r>
            <w:r>
              <w:rPr>
                <w:rFonts w:hint="default" w:ascii="Times New Roman" w:hAnsi="Times New Roman" w:eastAsia="Times New Roman"/>
                <w:color w:val="auto"/>
                <w:sz w:val="21"/>
                <w:vertAlign w:val="subscript"/>
              </w:rPr>
              <w:t>3</w:t>
            </w: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line="249" w:lineRule="exact"/>
              <w:ind w:left="227"/>
              <w:jc w:val="left"/>
              <w:rPr>
                <w:rFonts w:hint="eastAsia"/>
                <w:color w:val="auto"/>
                <w:sz w:val="21"/>
              </w:rPr>
            </w:pPr>
            <w:r>
              <w:rPr>
                <w:rFonts w:hint="eastAsia"/>
                <w:color w:val="auto"/>
                <w:sz w:val="21"/>
              </w:rPr>
              <w:t>年平均质量浓度</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right="440"/>
              <w:jc w:val="right"/>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80" w:right="173"/>
              <w:rPr>
                <w:rFonts w:hint="default" w:ascii="Times New Roman" w:hAnsi="Times New Roman" w:eastAsia="Times New Roman"/>
                <w:color w:val="auto"/>
                <w:sz w:val="21"/>
              </w:rPr>
            </w:pPr>
            <w:r>
              <w:rPr>
                <w:rFonts w:hint="default" w:ascii="Times New Roman" w:hAnsi="Times New Roman" w:eastAsia="Times New Roman"/>
                <w:color w:val="auto"/>
                <w:sz w:val="21"/>
              </w:rPr>
              <w:t>103.1</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9"/>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 w:beforeLines="0" w:afterLines="0"/>
              <w:ind w:left="13"/>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207"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5" w:beforeLines="0" w:afterLines="0"/>
              <w:ind w:left="293"/>
              <w:jc w:val="left"/>
              <w:rPr>
                <w:rFonts w:hint="eastAsia"/>
                <w:color w:val="auto"/>
                <w:sz w:val="21"/>
              </w:rPr>
            </w:pPr>
            <w:r>
              <w:rPr>
                <w:rFonts w:hint="eastAsia"/>
                <w:color w:val="auto"/>
                <w:sz w:val="21"/>
              </w:rPr>
              <w:t>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208"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c>
          <w:tcPr>
            <w:tcW w:w="192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49" w:lineRule="exact"/>
              <w:ind w:left="227"/>
              <w:jc w:val="left"/>
              <w:rPr>
                <w:rFonts w:hint="eastAsia"/>
                <w:color w:val="auto"/>
                <w:sz w:val="21"/>
              </w:rPr>
            </w:pPr>
            <w:r>
              <w:rPr>
                <w:rFonts w:hint="eastAsia"/>
                <w:color w:val="auto"/>
                <w:sz w:val="21"/>
              </w:rPr>
              <w:t>百分位数日平均</w:t>
            </w:r>
          </w:p>
        </w:tc>
        <w:tc>
          <w:tcPr>
            <w:tcW w:w="96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right="366"/>
              <w:jc w:val="right"/>
              <w:rPr>
                <w:rFonts w:hint="default" w:ascii="Times New Roman" w:hAnsi="Times New Roman" w:eastAsia="Times New Roman"/>
                <w:color w:val="auto"/>
                <w:sz w:val="21"/>
              </w:rPr>
            </w:pPr>
            <w:r>
              <w:rPr>
                <w:rFonts w:hint="default" w:ascii="Times New Roman" w:hAnsi="Times New Roman" w:eastAsia="Times New Roman"/>
                <w:color w:val="auto"/>
                <w:sz w:val="21"/>
              </w:rPr>
              <w:t>90</w:t>
            </w:r>
          </w:p>
        </w:tc>
        <w:tc>
          <w:tcPr>
            <w:tcW w:w="13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3" w:right="172"/>
              <w:rPr>
                <w:rFonts w:hint="default" w:ascii="Times New Roman" w:hAnsi="Times New Roman" w:eastAsia="Times New Roman"/>
                <w:color w:val="auto"/>
                <w:sz w:val="21"/>
              </w:rPr>
            </w:pPr>
            <w:r>
              <w:rPr>
                <w:rFonts w:hint="default" w:ascii="Times New Roman" w:hAnsi="Times New Roman" w:eastAsia="Times New Roman"/>
                <w:color w:val="auto"/>
                <w:sz w:val="21"/>
              </w:rPr>
              <w:t>180</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188" w:right="170"/>
              <w:rPr>
                <w:rFonts w:hint="default" w:ascii="Times New Roman" w:hAnsi="Times New Roman" w:eastAsia="Times New Roman"/>
                <w:color w:val="auto"/>
                <w:sz w:val="21"/>
              </w:rPr>
            </w:pPr>
            <w:r>
              <w:rPr>
                <w:rFonts w:hint="default" w:ascii="Times New Roman" w:hAnsi="Times New Roman" w:eastAsia="Times New Roman"/>
                <w:color w:val="auto"/>
                <w:sz w:val="21"/>
              </w:rPr>
              <w:t>160</w:t>
            </w:r>
          </w:p>
        </w:tc>
        <w:tc>
          <w:tcPr>
            <w:tcW w:w="12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21" w:right="305"/>
              <w:rPr>
                <w:rFonts w:hint="default" w:ascii="Times New Roman" w:hAnsi="Times New Roman" w:eastAsia="Times New Roman"/>
                <w:color w:val="auto"/>
                <w:sz w:val="21"/>
              </w:rPr>
            </w:pPr>
            <w:r>
              <w:rPr>
                <w:rFonts w:hint="default" w:ascii="Times New Roman" w:hAnsi="Times New Roman" w:eastAsia="Times New Roman"/>
                <w:color w:val="auto"/>
                <w:sz w:val="21"/>
              </w:rPr>
              <w:t>1.13</w:t>
            </w:r>
          </w:p>
        </w:tc>
        <w:tc>
          <w:tcPr>
            <w:tcW w:w="1207" w:type="dxa"/>
            <w:vMerge w:val="continue"/>
            <w:tcBorders>
              <w:top w:val="nil"/>
              <w:left w:val="single" w:color="000000" w:sz="4" w:space="0"/>
              <w:bottom w:val="single" w:color="000000" w:sz="4" w:space="0"/>
              <w:right w:val="single" w:color="000000" w:sz="4" w:space="0"/>
              <w:tl2br w:val="nil"/>
              <w:tr2bl w:val="nil"/>
            </w:tcBorders>
            <w:vAlign w:val="top"/>
          </w:tcPr>
          <w:p>
            <w:pPr>
              <w:pStyle w:val="22"/>
              <w:tabs>
                <w:tab w:val="left" w:pos="3185"/>
              </w:tabs>
              <w:kinsoku w:val="0"/>
              <w:overflowPunct w:val="0"/>
              <w:spacing w:before="187" w:beforeLines="0" w:afterLines="0"/>
              <w:ind w:left="2141"/>
              <w:rPr>
                <w:rFonts w:hint="eastAsia"/>
                <w:b/>
                <w:color w:val="auto"/>
                <w:sz w:val="2"/>
              </w:rPr>
            </w:pPr>
          </w:p>
        </w:tc>
      </w:tr>
    </w:tbl>
    <w:p>
      <w:pPr>
        <w:pStyle w:val="22"/>
        <w:kinsoku w:val="0"/>
        <w:overflowPunct w:val="0"/>
        <w:spacing w:before="4" w:beforeLines="0" w:afterLines="0" w:line="364" w:lineRule="auto"/>
        <w:ind w:left="240" w:right="340" w:firstLine="480"/>
        <w:jc w:val="both"/>
        <w:rPr>
          <w:rFonts w:hint="eastAsia"/>
          <w:color w:val="auto"/>
          <w:sz w:val="24"/>
          <w:u w:val="none" w:color="auto"/>
        </w:rPr>
      </w:pPr>
    </w:p>
    <w:p>
      <w:pPr>
        <w:pStyle w:val="22"/>
        <w:kinsoku w:val="0"/>
        <w:overflowPunct w:val="0"/>
        <w:spacing w:before="4" w:beforeLines="0" w:afterLines="0" w:line="364" w:lineRule="auto"/>
        <w:ind w:left="240" w:right="340" w:firstLine="480"/>
        <w:jc w:val="both"/>
        <w:rPr>
          <w:rFonts w:hint="eastAsia"/>
          <w:color w:val="auto"/>
          <w:sz w:val="24"/>
          <w:u w:val="none" w:color="auto"/>
        </w:rPr>
      </w:pPr>
      <w:r>
        <w:rPr>
          <w:rFonts w:hint="eastAsia"/>
          <w:color w:val="auto"/>
          <w:sz w:val="24"/>
          <w:u w:val="none" w:color="auto"/>
        </w:rPr>
        <w:t>根据云溪站监测数据结果表明，本项目所在区域为不达标区。根据《湖南省</w:t>
      </w:r>
      <w:r>
        <w:rPr>
          <w:rFonts w:hint="default" w:ascii="Times New Roman" w:hAnsi="Times New Roman" w:eastAsia="Times New Roman"/>
          <w:color w:val="auto"/>
          <w:sz w:val="24"/>
          <w:u w:val="none" w:color="auto"/>
        </w:rPr>
        <w:t>“</w:t>
      </w:r>
      <w:r>
        <w:rPr>
          <w:rFonts w:hint="eastAsia"/>
          <w:color w:val="auto"/>
          <w:sz w:val="24"/>
          <w:u w:val="none" w:color="auto"/>
        </w:rPr>
        <w:t>蓝天</w:t>
      </w:r>
      <w:r>
        <w:rPr>
          <w:rFonts w:hint="eastAsia"/>
          <w:color w:val="auto"/>
          <w:spacing w:val="-240"/>
          <w:sz w:val="24"/>
          <w:u w:val="none" w:color="auto"/>
        </w:rPr>
        <w:t>保</w:t>
      </w:r>
      <w:r>
        <w:rPr>
          <w:rFonts w:hint="eastAsia"/>
          <w:color w:val="auto"/>
          <w:sz w:val="24"/>
          <w:u w:val="none" w:color="auto"/>
        </w:rPr>
        <w:t>卫战</w:t>
      </w:r>
      <w:r>
        <w:rPr>
          <w:rFonts w:hint="default" w:ascii="Times New Roman" w:hAnsi="Times New Roman" w:eastAsia="Times New Roman"/>
          <w:color w:val="auto"/>
          <w:sz w:val="24"/>
          <w:u w:val="none" w:color="auto"/>
        </w:rPr>
        <w:t>”</w:t>
      </w:r>
      <w:r>
        <w:rPr>
          <w:rFonts w:hint="eastAsia"/>
          <w:color w:val="auto"/>
          <w:sz w:val="24"/>
          <w:u w:val="none" w:color="auto"/>
        </w:rPr>
        <w:t>实施方案（</w:t>
      </w:r>
      <w:r>
        <w:rPr>
          <w:rFonts w:hint="default" w:ascii="Times New Roman" w:hAnsi="Times New Roman" w:eastAsia="Times New Roman"/>
          <w:color w:val="auto"/>
          <w:sz w:val="24"/>
          <w:u w:val="none" w:color="auto"/>
        </w:rPr>
        <w:t xml:space="preserve">2018—2020 </w:t>
      </w:r>
      <w:r>
        <w:rPr>
          <w:rFonts w:hint="eastAsia"/>
          <w:color w:val="auto"/>
          <w:sz w:val="24"/>
          <w:u w:val="none" w:color="auto"/>
        </w:rPr>
        <w:t>年</w:t>
      </w:r>
      <w:r>
        <w:rPr>
          <w:rFonts w:hint="eastAsia"/>
          <w:color w:val="auto"/>
          <w:spacing w:val="-120"/>
          <w:sz w:val="24"/>
          <w:u w:val="none" w:color="auto"/>
        </w:rPr>
        <w:t>）</w:t>
      </w:r>
      <w:r>
        <w:rPr>
          <w:rFonts w:hint="eastAsia"/>
          <w:color w:val="auto"/>
          <w:spacing w:val="-60"/>
          <w:sz w:val="24"/>
          <w:u w:val="none" w:color="auto"/>
        </w:rPr>
        <w:t>》，</w:t>
      </w:r>
      <w:r>
        <w:rPr>
          <w:rFonts w:hint="default" w:ascii="Times New Roman" w:hAnsi="Times New Roman" w:eastAsia="Times New Roman"/>
          <w:color w:val="auto"/>
          <w:sz w:val="24"/>
          <w:u w:val="none" w:color="auto"/>
        </w:rPr>
        <w:t>“</w:t>
      </w:r>
      <w:r>
        <w:rPr>
          <w:rFonts w:hint="eastAsia"/>
          <w:color w:val="auto"/>
          <w:sz w:val="24"/>
          <w:u w:val="none" w:color="auto"/>
        </w:rPr>
        <w:t>重点抓好全省特护期和长沙市、株洲市、湘潭市</w:t>
      </w:r>
      <w:r>
        <w:rPr>
          <w:rFonts w:hint="eastAsia"/>
          <w:color w:val="auto"/>
          <w:spacing w:val="-24"/>
          <w:sz w:val="24"/>
          <w:u w:val="none" w:color="auto"/>
        </w:rPr>
        <w:t>以及常德市、岳阳市、益阳市等传输通道城市环境空气质量改善，确保完成目标任务。</w:t>
      </w:r>
      <w:r>
        <w:rPr>
          <w:rFonts w:hint="default" w:ascii="Times New Roman" w:hAnsi="Times New Roman" w:eastAsia="Times New Roman"/>
          <w:color w:val="auto"/>
          <w:sz w:val="24"/>
          <w:u w:val="none" w:color="auto"/>
        </w:rPr>
        <w:t>”</w:t>
      </w:r>
      <w:r>
        <w:rPr>
          <w:rFonts w:hint="eastAsia"/>
          <w:color w:val="auto"/>
          <w:spacing w:val="2"/>
          <w:sz w:val="24"/>
          <w:u w:val="none" w:color="auto"/>
        </w:rPr>
        <w:t>根</w:t>
      </w:r>
      <w:r>
        <w:rPr>
          <w:rFonts w:hint="eastAsia"/>
          <w:color w:val="auto"/>
          <w:sz w:val="24"/>
          <w:u w:val="none" w:color="auto"/>
        </w:rPr>
        <w:t>据《岳阳市贯彻落实</w:t>
      </w:r>
      <w:r>
        <w:rPr>
          <w:rFonts w:hint="default" w:ascii="Times New Roman" w:hAnsi="Times New Roman" w:eastAsia="Times New Roman"/>
          <w:color w:val="auto"/>
          <w:spacing w:val="5"/>
          <w:sz w:val="24"/>
          <w:u w:val="none" w:color="auto"/>
        </w:rPr>
        <w:t>&lt;</w:t>
      </w:r>
      <w:r>
        <w:rPr>
          <w:rFonts w:hint="eastAsia"/>
          <w:color w:val="auto"/>
          <w:sz w:val="24"/>
          <w:u w:val="none" w:color="auto"/>
        </w:rPr>
        <w:t>大气污染防治行动计划</w:t>
      </w:r>
      <w:r>
        <w:rPr>
          <w:rFonts w:hint="default" w:ascii="Times New Roman" w:hAnsi="Times New Roman" w:eastAsia="Times New Roman"/>
          <w:color w:val="auto"/>
          <w:sz w:val="24"/>
          <w:u w:val="none" w:color="auto"/>
        </w:rPr>
        <w:t>&gt;</w:t>
      </w:r>
      <w:r>
        <w:rPr>
          <w:rFonts w:hint="eastAsia"/>
          <w:color w:val="auto"/>
          <w:sz w:val="24"/>
          <w:u w:val="none" w:color="auto"/>
        </w:rPr>
        <w:t xml:space="preserve">实施方案》的通知，岳阳市近期采取产业和能源结构调整措施、大气污染治理的措施等一系列措施，对比 </w:t>
      </w:r>
      <w:r>
        <w:rPr>
          <w:rFonts w:hint="default" w:ascii="Times New Roman" w:hAnsi="Times New Roman" w:eastAsia="Times New Roman"/>
          <w:color w:val="auto"/>
          <w:sz w:val="24"/>
          <w:u w:val="none" w:color="auto"/>
        </w:rPr>
        <w:t xml:space="preserve">2017 </w:t>
      </w:r>
      <w:r>
        <w:rPr>
          <w:rFonts w:hint="eastAsia"/>
          <w:color w:val="auto"/>
          <w:sz w:val="24"/>
          <w:u w:val="none" w:color="auto"/>
        </w:rPr>
        <w:t xml:space="preserve">年和 </w:t>
      </w:r>
      <w:r>
        <w:rPr>
          <w:rFonts w:hint="default" w:ascii="Times New Roman" w:hAnsi="Times New Roman" w:eastAsia="Times New Roman"/>
          <w:color w:val="auto"/>
          <w:sz w:val="24"/>
          <w:u w:val="none" w:color="auto"/>
        </w:rPr>
        <w:t>2018</w:t>
      </w:r>
      <w:r>
        <w:rPr>
          <w:rFonts w:hint="eastAsia"/>
          <w:color w:val="auto"/>
          <w:sz w:val="24"/>
          <w:u w:val="none" w:color="auto"/>
        </w:rPr>
        <w:t>年监测数据可知，云溪区空气质量正在逐步改善。</w:t>
      </w:r>
    </w:p>
    <w:p>
      <w:pPr>
        <w:pStyle w:val="7"/>
        <w:numPr>
          <w:ilvl w:val="2"/>
          <w:numId w:val="0"/>
        </w:numPr>
        <w:tabs>
          <w:tab w:val="left" w:pos="1256"/>
          <w:tab w:val="clear" w:pos="-142"/>
        </w:tabs>
        <w:spacing w:before="120" w:after="120" w:line="240" w:lineRule="auto"/>
        <w:rPr>
          <w:rFonts w:hint="eastAsia"/>
          <w:color w:val="auto"/>
        </w:rPr>
      </w:pPr>
      <w:bookmarkStart w:id="225" w:name="_Toc16412"/>
      <w:r>
        <w:rPr>
          <w:rFonts w:hint="eastAsia"/>
          <w:color w:val="auto"/>
          <w:lang w:val="en-US" w:eastAsia="zh-CN"/>
        </w:rPr>
        <w:t xml:space="preserve">3.3.2 </w:t>
      </w:r>
      <w:r>
        <w:rPr>
          <w:rFonts w:hint="eastAsia"/>
          <w:color w:val="auto"/>
        </w:rPr>
        <w:t>历史特征因子监测数据</w:t>
      </w:r>
      <w:bookmarkEnd w:id="225"/>
    </w:p>
    <w:p>
      <w:pPr>
        <w:pStyle w:val="43"/>
        <w:spacing w:before="31" w:beforeAutospacing="0" w:after="31" w:afterAutospacing="0" w:line="360" w:lineRule="auto"/>
        <w:ind w:firstLine="480" w:firstLineChars="200"/>
        <w:jc w:val="both"/>
        <w:rPr>
          <w:rFonts w:ascii="Times New Roman" w:hAnsi="Times New Roman"/>
          <w:color w:val="auto"/>
        </w:rPr>
      </w:pPr>
      <w:r>
        <w:rPr>
          <w:rFonts w:ascii="Times New Roman" w:hAnsi="Times New Roman"/>
          <w:color w:val="auto"/>
        </w:rPr>
        <w:t>本评价引用</w:t>
      </w:r>
      <w:r>
        <w:rPr>
          <w:rFonts w:hint="eastAsia" w:ascii="Times New Roman" w:hAnsi="Times New Roman"/>
          <w:color w:val="auto"/>
          <w:lang w:eastAsia="zh-CN"/>
        </w:rPr>
        <w:t>《</w:t>
      </w:r>
      <w:r>
        <w:rPr>
          <w:rFonts w:hint="eastAsia" w:ascii="Times New Roman" w:hAnsi="Times New Roman"/>
          <w:color w:val="auto"/>
        </w:rPr>
        <w:t xml:space="preserve">中国石油化工股份有限公司长岭分公司渣油加氢处理装置 </w:t>
      </w:r>
      <w:r>
        <w:rPr>
          <w:rFonts w:hint="default" w:ascii="Times New Roman" w:hAnsi="Times New Roman"/>
          <w:color w:val="auto"/>
        </w:rPr>
        <w:t xml:space="preserve">1000 </w:t>
      </w:r>
      <w:r>
        <w:rPr>
          <w:rFonts w:hint="eastAsia" w:ascii="Times New Roman" w:hAnsi="Times New Roman"/>
          <w:color w:val="auto"/>
        </w:rPr>
        <w:t>吨</w:t>
      </w:r>
      <w:r>
        <w:rPr>
          <w:rFonts w:hint="default" w:ascii="Times New Roman" w:hAnsi="Times New Roman"/>
          <w:color w:val="auto"/>
        </w:rPr>
        <w:t>/</w:t>
      </w:r>
      <w:r>
        <w:rPr>
          <w:rFonts w:hint="eastAsia" w:ascii="Times New Roman" w:hAnsi="Times New Roman"/>
          <w:color w:val="auto"/>
        </w:rPr>
        <w:t xml:space="preserve">年渣油 </w:t>
      </w:r>
      <w:r>
        <w:rPr>
          <w:rFonts w:hint="default" w:ascii="Times New Roman" w:hAnsi="Times New Roman"/>
          <w:color w:val="auto"/>
        </w:rPr>
        <w:t xml:space="preserve">FITS </w:t>
      </w:r>
      <w:r>
        <w:rPr>
          <w:rFonts w:hint="eastAsia" w:ascii="Times New Roman" w:hAnsi="Times New Roman"/>
          <w:color w:val="auto"/>
        </w:rPr>
        <w:t>加氢侧线项目环境影响报告书</w:t>
      </w:r>
      <w:r>
        <w:rPr>
          <w:rFonts w:hint="eastAsia" w:ascii="Times New Roman" w:hAnsi="Times New Roman"/>
          <w:color w:val="auto"/>
          <w:lang w:eastAsia="zh-CN"/>
        </w:rPr>
        <w:t>》</w:t>
      </w:r>
      <w:r>
        <w:rPr>
          <w:rFonts w:ascii="Times New Roman" w:hAnsi="Times New Roman"/>
          <w:color w:val="auto"/>
        </w:rPr>
        <w:t>对</w:t>
      </w:r>
      <w:r>
        <w:rPr>
          <w:rFonts w:hint="default" w:ascii="Times New Roman" w:hAnsi="Times New Roman"/>
          <w:color w:val="auto"/>
        </w:rPr>
        <w:t>NH</w:t>
      </w:r>
      <w:r>
        <w:rPr>
          <w:rFonts w:hint="default" w:ascii="Times New Roman" w:hAnsi="Times New Roman"/>
          <w:color w:val="auto"/>
          <w:vertAlign w:val="subscript"/>
        </w:rPr>
        <w:t>3</w:t>
      </w:r>
      <w:r>
        <w:rPr>
          <w:rFonts w:ascii="Times New Roman" w:hAnsi="Times New Roman"/>
          <w:color w:val="auto"/>
        </w:rPr>
        <w:t>的监测数据。</w:t>
      </w:r>
    </w:p>
    <w:p>
      <w:pPr>
        <w:pStyle w:val="43"/>
        <w:spacing w:before="31" w:beforeAutospacing="0" w:after="31" w:afterAutospacing="0" w:line="360" w:lineRule="auto"/>
        <w:ind w:firstLine="480" w:firstLineChars="200"/>
        <w:jc w:val="both"/>
        <w:rPr>
          <w:rFonts w:hint="eastAsia" w:ascii="Times New Roman" w:hAnsi="Times New Roman" w:eastAsia="宋体"/>
          <w:color w:val="auto"/>
          <w:lang w:eastAsia="zh-CN"/>
        </w:rPr>
      </w:pPr>
      <w:r>
        <w:rPr>
          <w:rFonts w:ascii="Times New Roman" w:hAnsi="Times New Roman"/>
          <w:color w:val="auto"/>
        </w:rPr>
        <w:t>（1）监测因子：</w:t>
      </w:r>
      <w:r>
        <w:rPr>
          <w:rFonts w:hint="default" w:ascii="Times New Roman" w:hAnsi="Times New Roman"/>
          <w:color w:val="auto"/>
        </w:rPr>
        <w:t>NH</w:t>
      </w:r>
      <w:r>
        <w:rPr>
          <w:rFonts w:hint="default" w:ascii="Times New Roman" w:hAnsi="Times New Roman"/>
          <w:color w:val="auto"/>
          <w:vertAlign w:val="subscript"/>
        </w:rPr>
        <w:t>3</w:t>
      </w:r>
    </w:p>
    <w:p>
      <w:pPr>
        <w:pStyle w:val="43"/>
        <w:spacing w:before="31" w:beforeAutospacing="0" w:after="31" w:afterAutospacing="0" w:line="360" w:lineRule="auto"/>
        <w:ind w:firstLine="480" w:firstLineChars="200"/>
        <w:jc w:val="both"/>
        <w:rPr>
          <w:rFonts w:hint="eastAsia"/>
          <w:b/>
          <w:color w:val="auto"/>
          <w:sz w:val="24"/>
          <w:lang w:val="zh-CN"/>
        </w:rPr>
      </w:pPr>
      <w:r>
        <w:rPr>
          <w:rFonts w:ascii="Times New Roman" w:hAnsi="Times New Roman"/>
          <w:color w:val="auto"/>
        </w:rPr>
        <w:t>（2）监测点位：见表</w:t>
      </w:r>
      <w:r>
        <w:rPr>
          <w:rFonts w:hint="eastAsia" w:ascii="Times New Roman" w:hAnsi="Times New Roman"/>
          <w:color w:val="auto"/>
          <w:lang w:val="en-US" w:eastAsia="zh-CN"/>
        </w:rPr>
        <w:t>3.3</w:t>
      </w:r>
      <w:r>
        <w:rPr>
          <w:rFonts w:hint="eastAsia" w:ascii="Times New Roman" w:hAnsi="Times New Roman"/>
          <w:color w:val="auto"/>
        </w:rPr>
        <w:t>-2</w:t>
      </w:r>
      <w:r>
        <w:rPr>
          <w:rFonts w:hint="eastAsia" w:ascii="Times New Roman" w:hAnsi="Times New Roman"/>
          <w:color w:val="auto"/>
          <w:lang w:eastAsia="zh-CN"/>
        </w:rPr>
        <w:t>，均在本项目评价范围内。</w:t>
      </w:r>
    </w:p>
    <w:p>
      <w:pPr>
        <w:pStyle w:val="22"/>
        <w:tabs>
          <w:tab w:val="left" w:pos="3185"/>
        </w:tabs>
        <w:kinsoku w:val="0"/>
        <w:overflowPunct w:val="0"/>
        <w:spacing w:before="187" w:beforeLines="0" w:afterLines="0"/>
        <w:ind w:left="2141"/>
        <w:rPr>
          <w:rFonts w:hint="eastAsia"/>
          <w:b/>
          <w:color w:val="auto"/>
          <w:sz w:val="24"/>
          <w:lang w:val="zh-CN"/>
        </w:rPr>
      </w:pPr>
      <w:r>
        <w:rPr>
          <w:rFonts w:hint="eastAsia"/>
          <w:b/>
          <w:color w:val="auto"/>
          <w:sz w:val="24"/>
          <w:lang w:val="zh-CN"/>
        </w:rPr>
        <w:t>表</w:t>
      </w:r>
      <w:r>
        <w:rPr>
          <w:rFonts w:hint="eastAsia"/>
          <w:b/>
          <w:color w:val="auto"/>
          <w:sz w:val="24"/>
          <w:lang w:val="en-US" w:eastAsia="zh-CN"/>
        </w:rPr>
        <w:t>3.2</w:t>
      </w:r>
      <w:r>
        <w:rPr>
          <w:rFonts w:hint="eastAsia"/>
          <w:b/>
          <w:color w:val="auto"/>
          <w:sz w:val="24"/>
          <w:lang w:val="zh-CN"/>
        </w:rPr>
        <w:t xml:space="preserve">-2  大气环境现状监测点位置表   </w:t>
      </w:r>
    </w:p>
    <w:tbl>
      <w:tblPr>
        <w:tblStyle w:val="45"/>
        <w:tblW w:w="8421" w:type="dxa"/>
        <w:jc w:val="center"/>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019"/>
        <w:gridCol w:w="2720"/>
        <w:gridCol w:w="2509"/>
        <w:gridCol w:w="21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4" w:hRule="atLeast"/>
          <w:jc w:val="center"/>
        </w:trPr>
        <w:tc>
          <w:tcPr>
            <w:tcW w:w="1019" w:type="dxa"/>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eastAsia="楷体"/>
                <w:color w:val="auto"/>
                <w:kern w:val="0"/>
                <w:szCs w:val="21"/>
              </w:rPr>
              <w:t>序号</w:t>
            </w:r>
          </w:p>
        </w:tc>
        <w:tc>
          <w:tcPr>
            <w:tcW w:w="2720" w:type="dxa"/>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eastAsia="楷体"/>
                <w:color w:val="auto"/>
                <w:kern w:val="0"/>
                <w:szCs w:val="21"/>
              </w:rPr>
              <w:t>监测点</w:t>
            </w:r>
          </w:p>
        </w:tc>
        <w:tc>
          <w:tcPr>
            <w:tcW w:w="2509" w:type="dxa"/>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eastAsia="楷体"/>
                <w:color w:val="auto"/>
                <w:kern w:val="0"/>
                <w:szCs w:val="21"/>
              </w:rPr>
              <w:t>与本项目的位置关系</w:t>
            </w:r>
          </w:p>
        </w:tc>
        <w:tc>
          <w:tcPr>
            <w:tcW w:w="2173" w:type="dxa"/>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eastAsia="楷体"/>
                <w:color w:val="auto"/>
                <w:kern w:val="0"/>
                <w:szCs w:val="21"/>
              </w:rPr>
              <w:t>监测因子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4" w:hRule="atLeast"/>
          <w:jc w:val="center"/>
        </w:trPr>
        <w:tc>
          <w:tcPr>
            <w:tcW w:w="1019" w:type="dxa"/>
          </w:tcPr>
          <w:p>
            <w:pPr>
              <w:tabs>
                <w:tab w:val="left" w:pos="1021"/>
                <w:tab w:val="center" w:pos="4153"/>
                <w:tab w:val="right" w:pos="8306"/>
              </w:tabs>
              <w:autoSpaceDE w:val="0"/>
              <w:autoSpaceDN w:val="0"/>
              <w:adjustRightInd w:val="0"/>
              <w:snapToGrid w:val="0"/>
              <w:jc w:val="center"/>
              <w:rPr>
                <w:rFonts w:hint="eastAsia" w:eastAsia="楷体"/>
                <w:color w:val="auto"/>
                <w:kern w:val="0"/>
                <w:szCs w:val="21"/>
                <w:lang w:eastAsia="zh-CN"/>
              </w:rPr>
            </w:pPr>
            <w:r>
              <w:rPr>
                <w:rFonts w:hint="eastAsia" w:eastAsia="楷体"/>
                <w:color w:val="auto"/>
                <w:kern w:val="0"/>
                <w:szCs w:val="21"/>
                <w:lang w:val="en-US" w:eastAsia="zh-CN"/>
              </w:rPr>
              <w:t>G1</w:t>
            </w:r>
          </w:p>
        </w:tc>
        <w:tc>
          <w:tcPr>
            <w:tcW w:w="2720" w:type="dxa"/>
            <w:vAlign w:val="center"/>
          </w:tcPr>
          <w:p>
            <w:pPr>
              <w:tabs>
                <w:tab w:val="left" w:pos="1021"/>
                <w:tab w:val="center" w:pos="4153"/>
                <w:tab w:val="right" w:pos="8306"/>
              </w:tabs>
              <w:autoSpaceDE w:val="0"/>
              <w:autoSpaceDN w:val="0"/>
              <w:adjustRightInd w:val="0"/>
              <w:snapToGrid w:val="0"/>
              <w:jc w:val="center"/>
              <w:rPr>
                <w:rFonts w:hint="eastAsia" w:eastAsia="楷体"/>
                <w:color w:val="auto"/>
                <w:kern w:val="0"/>
                <w:szCs w:val="21"/>
                <w:lang w:eastAsia="zh-CN"/>
              </w:rPr>
            </w:pPr>
            <w:r>
              <w:rPr>
                <w:rFonts w:hint="eastAsia" w:eastAsia="楷体"/>
                <w:color w:val="auto"/>
                <w:kern w:val="0"/>
                <w:szCs w:val="21"/>
                <w:lang w:eastAsia="zh-CN"/>
              </w:rPr>
              <w:t>上风向</w:t>
            </w:r>
          </w:p>
        </w:tc>
        <w:tc>
          <w:tcPr>
            <w:tcW w:w="2509" w:type="dxa"/>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hint="eastAsia" w:eastAsia="楷体"/>
                <w:color w:val="auto"/>
                <w:kern w:val="0"/>
                <w:szCs w:val="21"/>
              </w:rPr>
              <w:t>N</w:t>
            </w:r>
            <w:r>
              <w:rPr>
                <w:rFonts w:eastAsia="楷体"/>
                <w:color w:val="auto"/>
                <w:kern w:val="0"/>
                <w:szCs w:val="21"/>
              </w:rPr>
              <w:t>E，</w:t>
            </w:r>
            <w:r>
              <w:rPr>
                <w:rFonts w:hint="eastAsia" w:eastAsia="楷体"/>
                <w:color w:val="auto"/>
                <w:kern w:val="0"/>
                <w:szCs w:val="21"/>
                <w:lang w:val="en-US" w:eastAsia="zh-CN"/>
              </w:rPr>
              <w:t>40</w:t>
            </w:r>
            <w:r>
              <w:rPr>
                <w:rFonts w:eastAsia="楷体"/>
                <w:color w:val="auto"/>
                <w:kern w:val="0"/>
                <w:szCs w:val="21"/>
              </w:rPr>
              <w:t>0m</w:t>
            </w:r>
          </w:p>
        </w:tc>
        <w:tc>
          <w:tcPr>
            <w:tcW w:w="2173" w:type="dxa"/>
            <w:vMerge w:val="restart"/>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hint="default" w:ascii="Calibri" w:hAnsi="Calibri" w:eastAsia="楷体"/>
                <w:color w:val="auto"/>
                <w:kern w:val="0"/>
                <w:szCs w:val="21"/>
                <w:lang w:eastAsia="zh-CN"/>
              </w:rPr>
              <w:t>NH</w:t>
            </w:r>
            <w:r>
              <w:rPr>
                <w:rFonts w:hint="default" w:ascii="Calibri" w:hAnsi="Calibri" w:eastAsia="楷体"/>
                <w:color w:val="auto"/>
                <w:kern w:val="0"/>
                <w:szCs w:val="21"/>
                <w:vertAlign w:val="subscript"/>
                <w:lang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4" w:hRule="atLeast"/>
          <w:jc w:val="center"/>
        </w:trPr>
        <w:tc>
          <w:tcPr>
            <w:tcW w:w="1019" w:type="dxa"/>
          </w:tcPr>
          <w:p>
            <w:pPr>
              <w:tabs>
                <w:tab w:val="left" w:pos="1021"/>
                <w:tab w:val="center" w:pos="4153"/>
                <w:tab w:val="right" w:pos="8306"/>
              </w:tabs>
              <w:autoSpaceDE w:val="0"/>
              <w:autoSpaceDN w:val="0"/>
              <w:adjustRightInd w:val="0"/>
              <w:snapToGrid w:val="0"/>
              <w:jc w:val="center"/>
              <w:rPr>
                <w:rFonts w:hint="eastAsia" w:eastAsia="楷体"/>
                <w:color w:val="auto"/>
                <w:kern w:val="0"/>
                <w:szCs w:val="21"/>
                <w:lang w:eastAsia="zh-CN"/>
              </w:rPr>
            </w:pPr>
            <w:r>
              <w:rPr>
                <w:rFonts w:hint="eastAsia" w:eastAsia="楷体"/>
                <w:color w:val="auto"/>
                <w:kern w:val="0"/>
                <w:szCs w:val="21"/>
                <w:lang w:val="en-US" w:eastAsia="zh-CN"/>
              </w:rPr>
              <w:t>G2</w:t>
            </w:r>
          </w:p>
        </w:tc>
        <w:tc>
          <w:tcPr>
            <w:tcW w:w="2720" w:type="dxa"/>
            <w:vAlign w:val="center"/>
          </w:tcPr>
          <w:p>
            <w:pPr>
              <w:tabs>
                <w:tab w:val="left" w:pos="1021"/>
                <w:tab w:val="center" w:pos="4153"/>
                <w:tab w:val="right" w:pos="8306"/>
              </w:tabs>
              <w:autoSpaceDE w:val="0"/>
              <w:autoSpaceDN w:val="0"/>
              <w:adjustRightInd w:val="0"/>
              <w:snapToGrid w:val="0"/>
              <w:jc w:val="center"/>
              <w:rPr>
                <w:rFonts w:hint="eastAsia" w:eastAsia="楷体"/>
                <w:color w:val="auto"/>
                <w:kern w:val="0"/>
                <w:szCs w:val="21"/>
                <w:lang w:eastAsia="zh-CN"/>
              </w:rPr>
            </w:pPr>
            <w:r>
              <w:rPr>
                <w:rFonts w:hint="eastAsia" w:eastAsia="楷体"/>
                <w:color w:val="auto"/>
                <w:kern w:val="0"/>
                <w:szCs w:val="21"/>
                <w:lang w:eastAsia="zh-CN"/>
              </w:rPr>
              <w:t>下风向</w:t>
            </w:r>
          </w:p>
        </w:tc>
        <w:tc>
          <w:tcPr>
            <w:tcW w:w="2509" w:type="dxa"/>
            <w:vAlign w:val="center"/>
          </w:tcPr>
          <w:p>
            <w:pPr>
              <w:tabs>
                <w:tab w:val="left" w:pos="1021"/>
                <w:tab w:val="center" w:pos="4153"/>
                <w:tab w:val="right" w:pos="8306"/>
              </w:tabs>
              <w:autoSpaceDE w:val="0"/>
              <w:autoSpaceDN w:val="0"/>
              <w:adjustRightInd w:val="0"/>
              <w:snapToGrid w:val="0"/>
              <w:jc w:val="center"/>
              <w:rPr>
                <w:rFonts w:eastAsia="楷体"/>
                <w:color w:val="auto"/>
                <w:kern w:val="0"/>
                <w:szCs w:val="21"/>
              </w:rPr>
            </w:pPr>
            <w:r>
              <w:rPr>
                <w:rFonts w:eastAsia="楷体"/>
                <w:color w:val="auto"/>
                <w:kern w:val="0"/>
                <w:szCs w:val="21"/>
              </w:rPr>
              <w:t>SE，</w:t>
            </w:r>
            <w:r>
              <w:rPr>
                <w:rFonts w:hint="eastAsia" w:eastAsia="楷体"/>
                <w:color w:val="auto"/>
                <w:kern w:val="0"/>
                <w:szCs w:val="21"/>
                <w:lang w:val="en-US" w:eastAsia="zh-CN"/>
              </w:rPr>
              <w:t>1060</w:t>
            </w:r>
            <w:r>
              <w:rPr>
                <w:rFonts w:eastAsia="楷体"/>
                <w:color w:val="auto"/>
                <w:kern w:val="0"/>
                <w:szCs w:val="21"/>
              </w:rPr>
              <w:t>m</w:t>
            </w:r>
          </w:p>
        </w:tc>
        <w:tc>
          <w:tcPr>
            <w:tcW w:w="2173" w:type="dxa"/>
            <w:vMerge w:val="continue"/>
            <w:vAlign w:val="center"/>
          </w:tcPr>
          <w:p>
            <w:pPr>
              <w:pStyle w:val="86"/>
              <w:spacing w:before="31" w:after="31"/>
              <w:rPr>
                <w:color w:val="auto"/>
                <w:sz w:val="21"/>
                <w:szCs w:val="21"/>
              </w:rPr>
            </w:pPr>
          </w:p>
        </w:tc>
      </w:tr>
    </w:tbl>
    <w:p>
      <w:pPr>
        <w:pStyle w:val="43"/>
        <w:spacing w:before="31" w:beforeAutospacing="0" w:after="31" w:afterAutospacing="0" w:line="360" w:lineRule="auto"/>
        <w:ind w:firstLine="480" w:firstLineChars="200"/>
        <w:jc w:val="both"/>
        <w:rPr>
          <w:rFonts w:ascii="Times New Roman" w:hAnsi="Times New Roman"/>
          <w:color w:val="auto"/>
        </w:rPr>
      </w:pPr>
    </w:p>
    <w:p>
      <w:pPr>
        <w:pStyle w:val="43"/>
        <w:spacing w:before="31" w:beforeAutospacing="0" w:after="31" w:afterAutospacing="0" w:line="360" w:lineRule="auto"/>
        <w:ind w:firstLine="480" w:firstLineChars="200"/>
        <w:jc w:val="both"/>
        <w:rPr>
          <w:rFonts w:ascii="Times New Roman" w:hAnsi="Times New Roman"/>
          <w:color w:val="auto"/>
        </w:rPr>
      </w:pPr>
      <w:r>
        <w:rPr>
          <w:rFonts w:ascii="Times New Roman" w:hAnsi="Times New Roman"/>
          <w:color w:val="auto"/>
        </w:rPr>
        <w:t>（3）监测时间</w:t>
      </w:r>
    </w:p>
    <w:p>
      <w:pPr>
        <w:pStyle w:val="43"/>
        <w:spacing w:before="31" w:beforeAutospacing="0" w:after="31" w:afterAutospacing="0" w:line="360" w:lineRule="auto"/>
        <w:ind w:firstLine="480" w:firstLineChars="200"/>
        <w:jc w:val="both"/>
        <w:rPr>
          <w:rFonts w:ascii="Times New Roman" w:hAnsi="Times New Roman"/>
          <w:color w:val="auto"/>
        </w:rPr>
      </w:pPr>
      <w:r>
        <w:rPr>
          <w:rFonts w:hint="eastAsia" w:ascii="Times New Roman" w:hAnsi="Times New Roman"/>
          <w:color w:val="auto"/>
        </w:rPr>
        <w:t xml:space="preserve"> </w:t>
      </w:r>
      <w:r>
        <w:rPr>
          <w:rFonts w:hint="default" w:ascii="Times New Roman" w:hAnsi="Times New Roman"/>
          <w:color w:val="auto"/>
        </w:rPr>
        <w:t xml:space="preserve">2018 </w:t>
      </w:r>
      <w:r>
        <w:rPr>
          <w:rFonts w:hint="eastAsia" w:ascii="Times New Roman" w:hAnsi="Times New Roman"/>
          <w:color w:val="auto"/>
        </w:rPr>
        <w:t xml:space="preserve">年 </w:t>
      </w:r>
      <w:r>
        <w:rPr>
          <w:rFonts w:hint="default" w:ascii="Times New Roman" w:hAnsi="Times New Roman"/>
          <w:color w:val="auto"/>
        </w:rPr>
        <w:t xml:space="preserve">8 </w:t>
      </w:r>
      <w:r>
        <w:rPr>
          <w:rFonts w:hint="eastAsia" w:ascii="Times New Roman" w:hAnsi="Times New Roman"/>
          <w:color w:val="auto"/>
        </w:rPr>
        <w:t xml:space="preserve">月 </w:t>
      </w:r>
      <w:r>
        <w:rPr>
          <w:rFonts w:hint="default" w:ascii="Times New Roman" w:hAnsi="Times New Roman"/>
          <w:color w:val="auto"/>
        </w:rPr>
        <w:t xml:space="preserve">21 </w:t>
      </w:r>
      <w:r>
        <w:rPr>
          <w:rFonts w:hint="eastAsia" w:ascii="Times New Roman" w:hAnsi="Times New Roman"/>
          <w:color w:val="auto"/>
        </w:rPr>
        <w:t>日</w:t>
      </w:r>
      <w:r>
        <w:rPr>
          <w:rFonts w:hint="default" w:ascii="Times New Roman" w:hAnsi="Times New Roman"/>
          <w:color w:val="auto"/>
        </w:rPr>
        <w:t>~2</w:t>
      </w:r>
      <w:r>
        <w:rPr>
          <w:rFonts w:hint="eastAsia" w:ascii="Times New Roman" w:hAnsi="Times New Roman"/>
          <w:color w:val="auto"/>
          <w:lang w:val="en-US" w:eastAsia="zh-CN"/>
        </w:rPr>
        <w:t>7</w:t>
      </w:r>
      <w:r>
        <w:rPr>
          <w:rFonts w:hint="default" w:ascii="Times New Roman" w:hAnsi="Times New Roman"/>
          <w:color w:val="auto"/>
        </w:rPr>
        <w:t xml:space="preserve"> </w:t>
      </w:r>
      <w:r>
        <w:rPr>
          <w:rFonts w:hint="eastAsia" w:ascii="Times New Roman" w:hAnsi="Times New Roman"/>
          <w:color w:val="auto"/>
        </w:rPr>
        <w:t>日</w:t>
      </w:r>
      <w:r>
        <w:rPr>
          <w:rFonts w:ascii="Times New Roman" w:hAnsi="Times New Roman"/>
          <w:color w:val="auto"/>
        </w:rPr>
        <w:t>。</w:t>
      </w:r>
    </w:p>
    <w:p>
      <w:pPr>
        <w:pStyle w:val="249"/>
        <w:spacing w:before="31" w:after="31"/>
        <w:ind w:firstLine="42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（4）监测单位</w:t>
      </w:r>
    </w:p>
    <w:p>
      <w:pPr>
        <w:pStyle w:val="249"/>
        <w:spacing w:before="31" w:after="31"/>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湖南谱实检测技术有限公司</w:t>
      </w:r>
      <w:r>
        <w:rPr>
          <w:rFonts w:hint="eastAsia" w:ascii="Times New Roman" w:hAnsi="Times New Roman" w:cs="Times New Roman"/>
          <w:color w:val="auto"/>
          <w:kern w:val="0"/>
          <w:sz w:val="24"/>
          <w:szCs w:val="21"/>
          <w:lang w:val="en-US" w:eastAsia="zh-CN" w:bidi="ar-SA"/>
        </w:rPr>
        <w:t>。</w:t>
      </w:r>
    </w:p>
    <w:p>
      <w:pPr>
        <w:pStyle w:val="249"/>
        <w:spacing w:before="31" w:after="31"/>
        <w:ind w:firstLine="42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（5）评价标准</w:t>
      </w:r>
    </w:p>
    <w:p>
      <w:pPr>
        <w:pStyle w:val="249"/>
        <w:spacing w:before="31" w:after="31"/>
        <w:ind w:firstLine="720" w:firstLineChars="300"/>
        <w:rPr>
          <w:rFonts w:hint="eastAsia"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NH</w:t>
      </w:r>
      <w:r>
        <w:rPr>
          <w:rFonts w:hint="default" w:ascii="Times New Roman" w:hAnsi="Times New Roman" w:eastAsia="宋体" w:cs="Times New Roman"/>
          <w:color w:val="auto"/>
          <w:kern w:val="0"/>
          <w:sz w:val="24"/>
          <w:szCs w:val="21"/>
          <w:vertAlign w:val="subscript"/>
          <w:lang w:val="en-US" w:eastAsia="zh-CN" w:bidi="ar-SA"/>
        </w:rPr>
        <w:t>3</w:t>
      </w:r>
      <w:r>
        <w:rPr>
          <w:rFonts w:hint="eastAsia" w:ascii="Times New Roman" w:hAnsi="Times New Roman" w:eastAsia="宋体" w:cs="Times New Roman"/>
          <w:color w:val="auto"/>
          <w:kern w:val="0"/>
          <w:sz w:val="24"/>
          <w:szCs w:val="21"/>
          <w:lang w:val="en-US" w:eastAsia="zh-CN" w:bidi="ar-SA"/>
        </w:rPr>
        <w:t>参照执行《环境影响评价技术导则  大气环境》（HJ2.2-2018）附录D推荐值，即0.2mg/m3。</w:t>
      </w:r>
    </w:p>
    <w:p>
      <w:pPr>
        <w:pStyle w:val="249"/>
        <w:spacing w:before="31" w:after="31"/>
        <w:ind w:firstLine="42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（6）监测结果及评价</w:t>
      </w:r>
    </w:p>
    <w:p>
      <w:pPr>
        <w:pStyle w:val="249"/>
        <w:spacing w:before="31" w:after="31"/>
        <w:ind w:firstLine="720" w:firstLineChars="300"/>
        <w:rPr>
          <w:rFonts w:hint="eastAsia"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见</w:t>
      </w:r>
      <w:r>
        <w:rPr>
          <w:rFonts w:hint="eastAsia" w:ascii="Times New Roman" w:hAnsi="Times New Roman" w:cs="Times New Roman"/>
          <w:color w:val="auto"/>
          <w:kern w:val="0"/>
          <w:sz w:val="24"/>
          <w:szCs w:val="21"/>
          <w:lang w:val="en-US" w:eastAsia="zh-CN" w:bidi="ar-SA"/>
        </w:rPr>
        <w:t>表</w:t>
      </w:r>
      <w:r>
        <w:rPr>
          <w:rFonts w:hint="eastAsia" w:ascii="Times New Roman" w:hAnsi="Times New Roman" w:eastAsia="宋体" w:cs="Times New Roman"/>
          <w:color w:val="auto"/>
          <w:kern w:val="0"/>
          <w:sz w:val="24"/>
          <w:szCs w:val="21"/>
          <w:lang w:val="en-US" w:eastAsia="zh-CN" w:bidi="ar-SA"/>
        </w:rPr>
        <w:t>3.3-3</w:t>
      </w:r>
      <w:r>
        <w:rPr>
          <w:rFonts w:hint="eastAsia" w:ascii="Times New Roman" w:hAnsi="Times New Roman" w:cs="Times New Roman"/>
          <w:color w:val="auto"/>
          <w:kern w:val="0"/>
          <w:sz w:val="24"/>
          <w:szCs w:val="21"/>
          <w:lang w:val="en-US" w:eastAsia="zh-CN" w:bidi="ar-SA"/>
        </w:rPr>
        <w:t>。</w:t>
      </w:r>
    </w:p>
    <w:p>
      <w:pPr>
        <w:pStyle w:val="22"/>
        <w:tabs>
          <w:tab w:val="left" w:pos="3185"/>
        </w:tabs>
        <w:kinsoku w:val="0"/>
        <w:overflowPunct w:val="0"/>
        <w:spacing w:before="187" w:beforeLines="0" w:afterLines="0"/>
        <w:ind w:left="2141"/>
        <w:rPr>
          <w:rFonts w:hint="eastAsia" w:ascii="Times New Roman" w:hAnsi="Times New Roman" w:cs="Times New Roman"/>
          <w:color w:val="auto"/>
        </w:rPr>
      </w:pPr>
      <w:r>
        <w:rPr>
          <w:rFonts w:hint="eastAsia"/>
          <w:b/>
          <w:color w:val="auto"/>
          <w:sz w:val="24"/>
          <w:lang w:val="zh-CN"/>
        </w:rPr>
        <w:t>表</w:t>
      </w:r>
      <w:r>
        <w:rPr>
          <w:rFonts w:hint="eastAsia"/>
          <w:b/>
          <w:color w:val="auto"/>
          <w:sz w:val="24"/>
          <w:lang w:val="en-US" w:eastAsia="zh-CN"/>
        </w:rPr>
        <w:t>3.3</w:t>
      </w:r>
      <w:r>
        <w:rPr>
          <w:rFonts w:hint="eastAsia"/>
          <w:b/>
          <w:color w:val="auto"/>
          <w:sz w:val="24"/>
          <w:lang w:val="zh-CN"/>
        </w:rPr>
        <w:t>-3 空气质量监测数据统计表  单位：mg/m3</w:t>
      </w:r>
    </w:p>
    <w:tbl>
      <w:tblPr>
        <w:tblStyle w:val="45"/>
        <w:tblW w:w="8928" w:type="dxa"/>
        <w:tblInd w:w="2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4"/>
        <w:gridCol w:w="928"/>
        <w:gridCol w:w="2337"/>
        <w:gridCol w:w="1701"/>
        <w:gridCol w:w="1701"/>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1902" w:type="dxa"/>
            <w:gridSpan w:val="2"/>
          </w:tcPr>
          <w:p>
            <w:pPr>
              <w:pStyle w:val="247"/>
              <w:spacing w:before="20"/>
              <w:ind w:left="734" w:right="701"/>
              <w:rPr>
                <w:rFonts w:hint="eastAsia" w:ascii="宋体" w:eastAsia="宋体"/>
                <w:b/>
                <w:color w:val="auto"/>
                <w:sz w:val="21"/>
                <w:u w:val="none"/>
              </w:rPr>
            </w:pPr>
            <w:r>
              <w:rPr>
                <w:rFonts w:hint="eastAsia" w:ascii="宋体" w:eastAsia="宋体"/>
                <w:b/>
                <w:color w:val="auto"/>
                <w:sz w:val="21"/>
                <w:u w:val="none"/>
              </w:rPr>
              <w:t>项目</w:t>
            </w:r>
          </w:p>
        </w:tc>
        <w:tc>
          <w:tcPr>
            <w:tcW w:w="2337" w:type="dxa"/>
          </w:tcPr>
          <w:p>
            <w:pPr>
              <w:pStyle w:val="247"/>
              <w:spacing w:before="20"/>
              <w:ind w:left="228" w:right="201"/>
              <w:rPr>
                <w:rFonts w:hint="eastAsia" w:ascii="宋体" w:eastAsia="宋体"/>
                <w:b/>
                <w:color w:val="auto"/>
                <w:sz w:val="21"/>
                <w:u w:val="none"/>
              </w:rPr>
            </w:pPr>
            <w:r>
              <w:rPr>
                <w:rFonts w:hint="eastAsia" w:ascii="宋体" w:eastAsia="宋体"/>
                <w:b/>
                <w:color w:val="auto"/>
                <w:sz w:val="21"/>
                <w:u w:val="none"/>
              </w:rPr>
              <w:t>指标</w:t>
            </w:r>
          </w:p>
        </w:tc>
        <w:tc>
          <w:tcPr>
            <w:tcW w:w="1701" w:type="dxa"/>
          </w:tcPr>
          <w:p>
            <w:pPr>
              <w:pStyle w:val="247"/>
              <w:spacing w:before="20"/>
              <w:ind w:left="106" w:right="77"/>
              <w:rPr>
                <w:b/>
                <w:color w:val="auto"/>
                <w:sz w:val="21"/>
                <w:u w:val="none"/>
              </w:rPr>
            </w:pPr>
            <w:r>
              <w:rPr>
                <w:rFonts w:hint="eastAsia" w:ascii="宋体" w:eastAsia="宋体"/>
                <w:b/>
                <w:color w:val="auto"/>
                <w:sz w:val="21"/>
                <w:u w:val="none"/>
              </w:rPr>
              <w:t xml:space="preserve">上风向 </w:t>
            </w:r>
            <w:r>
              <w:rPr>
                <w:b/>
                <w:color w:val="auto"/>
                <w:sz w:val="21"/>
                <w:u w:val="none"/>
              </w:rPr>
              <w:t>G1</w:t>
            </w:r>
          </w:p>
        </w:tc>
        <w:tc>
          <w:tcPr>
            <w:tcW w:w="1701" w:type="dxa"/>
          </w:tcPr>
          <w:p>
            <w:pPr>
              <w:pStyle w:val="247"/>
              <w:spacing w:before="20"/>
              <w:ind w:left="108" w:right="77"/>
              <w:rPr>
                <w:b/>
                <w:color w:val="auto"/>
                <w:sz w:val="21"/>
                <w:u w:val="none"/>
              </w:rPr>
            </w:pPr>
            <w:r>
              <w:rPr>
                <w:rFonts w:hint="eastAsia" w:ascii="宋体" w:eastAsia="宋体"/>
                <w:b/>
                <w:color w:val="auto"/>
                <w:sz w:val="21"/>
                <w:u w:val="none"/>
              </w:rPr>
              <w:t xml:space="preserve">下风向 </w:t>
            </w:r>
            <w:r>
              <w:rPr>
                <w:b/>
                <w:color w:val="auto"/>
                <w:sz w:val="21"/>
                <w:u w:val="none"/>
              </w:rPr>
              <w:t>G2</w:t>
            </w:r>
          </w:p>
        </w:tc>
        <w:tc>
          <w:tcPr>
            <w:tcW w:w="1287" w:type="dxa"/>
          </w:tcPr>
          <w:p>
            <w:pPr>
              <w:pStyle w:val="247"/>
              <w:spacing w:before="20"/>
              <w:ind w:left="232"/>
              <w:jc w:val="left"/>
              <w:rPr>
                <w:rFonts w:hint="eastAsia" w:ascii="宋体" w:eastAsia="宋体"/>
                <w:b/>
                <w:color w:val="auto"/>
                <w:sz w:val="21"/>
                <w:u w:val="none"/>
              </w:rPr>
            </w:pPr>
            <w:r>
              <w:rPr>
                <w:rFonts w:hint="eastAsia" w:ascii="宋体" w:eastAsia="宋体"/>
                <w:b/>
                <w:color w:val="auto"/>
                <w:sz w:val="21"/>
                <w:u w:val="none"/>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974" w:type="dxa"/>
            <w:vMerge w:val="restart"/>
          </w:tcPr>
          <w:p>
            <w:pPr>
              <w:pStyle w:val="247"/>
              <w:jc w:val="left"/>
              <w:rPr>
                <w:rFonts w:ascii="黑体"/>
                <w:color w:val="auto"/>
                <w:sz w:val="22"/>
                <w:u w:val="none"/>
              </w:rPr>
            </w:pPr>
          </w:p>
          <w:p>
            <w:pPr>
              <w:pStyle w:val="247"/>
              <w:spacing w:before="1"/>
              <w:jc w:val="left"/>
              <w:rPr>
                <w:rFonts w:ascii="黑体"/>
                <w:color w:val="auto"/>
                <w:sz w:val="18"/>
                <w:u w:val="none"/>
              </w:rPr>
            </w:pPr>
          </w:p>
          <w:p>
            <w:pPr>
              <w:pStyle w:val="247"/>
              <w:ind w:left="315"/>
              <w:jc w:val="left"/>
              <w:rPr>
                <w:color w:val="auto"/>
                <w:sz w:val="21"/>
                <w:u w:val="none"/>
              </w:rPr>
            </w:pPr>
            <w:r>
              <w:rPr>
                <w:color w:val="auto"/>
                <w:position w:val="2"/>
                <w:sz w:val="21"/>
                <w:u w:val="none"/>
              </w:rPr>
              <w:t>NH</w:t>
            </w:r>
            <w:r>
              <w:rPr>
                <w:color w:val="auto"/>
                <w:position w:val="2"/>
                <w:sz w:val="21"/>
                <w:u w:val="none"/>
                <w:vertAlign w:val="subscript"/>
              </w:rPr>
              <w:t>3</w:t>
            </w:r>
          </w:p>
        </w:tc>
        <w:tc>
          <w:tcPr>
            <w:tcW w:w="928" w:type="dxa"/>
            <w:vMerge w:val="restart"/>
          </w:tcPr>
          <w:p>
            <w:pPr>
              <w:pStyle w:val="247"/>
              <w:jc w:val="left"/>
              <w:rPr>
                <w:rFonts w:ascii="黑体"/>
                <w:color w:val="auto"/>
                <w:sz w:val="20"/>
                <w:u w:val="none"/>
              </w:rPr>
            </w:pPr>
          </w:p>
          <w:p>
            <w:pPr>
              <w:pStyle w:val="247"/>
              <w:spacing w:before="3"/>
              <w:jc w:val="left"/>
              <w:rPr>
                <w:rFonts w:ascii="黑体"/>
                <w:color w:val="auto"/>
                <w:sz w:val="19"/>
                <w:u w:val="none"/>
              </w:rPr>
            </w:pPr>
          </w:p>
          <w:p>
            <w:pPr>
              <w:pStyle w:val="247"/>
              <w:jc w:val="left"/>
              <w:rPr>
                <w:rFonts w:hint="eastAsia" w:ascii="宋体" w:eastAsia="宋体"/>
                <w:color w:val="auto"/>
                <w:sz w:val="21"/>
                <w:u w:val="none"/>
              </w:rPr>
            </w:pPr>
            <w:r>
              <w:rPr>
                <w:rFonts w:hint="eastAsia" w:ascii="宋体" w:eastAsia="宋体"/>
                <w:color w:val="auto"/>
                <w:sz w:val="21"/>
                <w:u w:val="none"/>
              </w:rPr>
              <w:t>一次值</w:t>
            </w:r>
          </w:p>
        </w:tc>
        <w:tc>
          <w:tcPr>
            <w:tcW w:w="2337" w:type="dxa"/>
          </w:tcPr>
          <w:p>
            <w:pPr>
              <w:pStyle w:val="247"/>
              <w:spacing w:before="18"/>
              <w:ind w:left="228" w:right="201"/>
              <w:rPr>
                <w:rFonts w:hint="eastAsia" w:ascii="宋体" w:hAnsi="宋体" w:eastAsia="宋体"/>
                <w:color w:val="auto"/>
                <w:sz w:val="21"/>
                <w:u w:val="none"/>
              </w:rPr>
            </w:pPr>
            <w:r>
              <w:rPr>
                <w:rFonts w:hint="eastAsia" w:ascii="宋体" w:hAnsi="宋体" w:eastAsia="宋体"/>
                <w:color w:val="auto"/>
                <w:sz w:val="21"/>
                <w:u w:val="none"/>
              </w:rPr>
              <w:t>浓度范围（</w:t>
            </w:r>
            <w:r>
              <w:rPr>
                <w:color w:val="auto"/>
                <w:sz w:val="21"/>
                <w:u w:val="none"/>
              </w:rPr>
              <w:t>μg/m</w:t>
            </w:r>
            <w:r>
              <w:rPr>
                <w:color w:val="auto"/>
                <w:position w:val="7"/>
                <w:sz w:val="13"/>
                <w:u w:val="none"/>
              </w:rPr>
              <w:t>3</w:t>
            </w:r>
            <w:r>
              <w:rPr>
                <w:rFonts w:hint="eastAsia" w:ascii="宋体" w:hAnsi="宋体" w:eastAsia="宋体"/>
                <w:color w:val="auto"/>
                <w:sz w:val="21"/>
                <w:u w:val="none"/>
              </w:rPr>
              <w:t>）</w:t>
            </w:r>
          </w:p>
        </w:tc>
        <w:tc>
          <w:tcPr>
            <w:tcW w:w="1701" w:type="dxa"/>
          </w:tcPr>
          <w:p>
            <w:pPr>
              <w:pStyle w:val="247"/>
              <w:spacing w:before="34"/>
              <w:ind w:left="109" w:right="77"/>
              <w:rPr>
                <w:color w:val="auto"/>
                <w:sz w:val="21"/>
                <w:u w:val="none"/>
              </w:rPr>
            </w:pPr>
            <w:r>
              <w:rPr>
                <w:color w:val="auto"/>
                <w:sz w:val="21"/>
                <w:u w:val="none"/>
              </w:rPr>
              <w:t>0.031~0.035</w:t>
            </w:r>
          </w:p>
        </w:tc>
        <w:tc>
          <w:tcPr>
            <w:tcW w:w="1701" w:type="dxa"/>
          </w:tcPr>
          <w:p>
            <w:pPr>
              <w:pStyle w:val="247"/>
              <w:spacing w:before="34"/>
              <w:ind w:left="108" w:right="77"/>
              <w:rPr>
                <w:color w:val="auto"/>
                <w:sz w:val="21"/>
                <w:u w:val="none"/>
              </w:rPr>
            </w:pPr>
            <w:r>
              <w:rPr>
                <w:color w:val="auto"/>
                <w:sz w:val="21"/>
                <w:u w:val="none"/>
              </w:rPr>
              <w:t>0.022~0.025</w:t>
            </w:r>
          </w:p>
        </w:tc>
        <w:tc>
          <w:tcPr>
            <w:tcW w:w="1287" w:type="dxa"/>
            <w:vMerge w:val="restart"/>
          </w:tcPr>
          <w:p>
            <w:pPr>
              <w:pStyle w:val="247"/>
              <w:jc w:val="left"/>
              <w:rPr>
                <w:rFonts w:ascii="黑体"/>
                <w:color w:val="auto"/>
                <w:sz w:val="24"/>
                <w:u w:val="none"/>
              </w:rPr>
            </w:pPr>
          </w:p>
          <w:p>
            <w:pPr>
              <w:pStyle w:val="247"/>
              <w:spacing w:before="209"/>
              <w:ind w:left="191"/>
              <w:jc w:val="left"/>
              <w:rPr>
                <w:color w:val="auto"/>
                <w:sz w:val="13"/>
                <w:u w:val="none"/>
              </w:rPr>
            </w:pPr>
            <w:r>
              <w:rPr>
                <w:color w:val="auto"/>
                <w:sz w:val="21"/>
                <w:u w:val="none"/>
              </w:rPr>
              <w:t>0.20mg/m</w:t>
            </w:r>
            <w:r>
              <w:rPr>
                <w:color w:val="auto"/>
                <w:position w:val="7"/>
                <w:sz w:val="13"/>
                <w:u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1" w:hRule="atLeast"/>
        </w:trPr>
        <w:tc>
          <w:tcPr>
            <w:tcW w:w="974" w:type="dxa"/>
            <w:vMerge w:val="continue"/>
          </w:tcPr>
          <w:p>
            <w:pPr>
              <w:rPr>
                <w:color w:val="auto"/>
                <w:sz w:val="2"/>
                <w:szCs w:val="2"/>
                <w:u w:val="none"/>
              </w:rPr>
            </w:pPr>
          </w:p>
        </w:tc>
        <w:tc>
          <w:tcPr>
            <w:tcW w:w="928" w:type="dxa"/>
            <w:vMerge w:val="continue"/>
          </w:tcPr>
          <w:p>
            <w:pPr>
              <w:rPr>
                <w:color w:val="auto"/>
                <w:sz w:val="2"/>
                <w:szCs w:val="2"/>
                <w:u w:val="none"/>
              </w:rPr>
            </w:pPr>
          </w:p>
        </w:tc>
        <w:tc>
          <w:tcPr>
            <w:tcW w:w="2337" w:type="dxa"/>
          </w:tcPr>
          <w:p>
            <w:pPr>
              <w:pStyle w:val="247"/>
              <w:spacing w:before="20"/>
              <w:ind w:left="228" w:right="201"/>
              <w:rPr>
                <w:rFonts w:hint="eastAsia" w:ascii="宋体" w:eastAsia="宋体"/>
                <w:color w:val="auto"/>
                <w:sz w:val="21"/>
                <w:u w:val="none"/>
              </w:rPr>
            </w:pPr>
            <w:r>
              <w:rPr>
                <w:rFonts w:hint="eastAsia" w:ascii="宋体" w:eastAsia="宋体"/>
                <w:color w:val="auto"/>
                <w:sz w:val="21"/>
                <w:u w:val="none"/>
              </w:rPr>
              <w:t>超标率（</w:t>
            </w:r>
            <w:r>
              <w:rPr>
                <w:color w:val="auto"/>
                <w:sz w:val="21"/>
                <w:u w:val="none"/>
              </w:rPr>
              <w:t>%</w:t>
            </w:r>
            <w:r>
              <w:rPr>
                <w:rFonts w:hint="eastAsia" w:ascii="宋体" w:eastAsia="宋体"/>
                <w:color w:val="auto"/>
                <w:sz w:val="21"/>
                <w:u w:val="none"/>
              </w:rPr>
              <w:t>）</w:t>
            </w:r>
          </w:p>
        </w:tc>
        <w:tc>
          <w:tcPr>
            <w:tcW w:w="1701" w:type="dxa"/>
          </w:tcPr>
          <w:p>
            <w:pPr>
              <w:pStyle w:val="247"/>
              <w:spacing w:before="34"/>
              <w:ind w:left="27"/>
              <w:rPr>
                <w:color w:val="auto"/>
                <w:sz w:val="21"/>
                <w:u w:val="none"/>
              </w:rPr>
            </w:pPr>
            <w:r>
              <w:rPr>
                <w:color w:val="auto"/>
                <w:w w:val="99"/>
                <w:sz w:val="21"/>
                <w:u w:val="none"/>
              </w:rPr>
              <w:t>0</w:t>
            </w:r>
          </w:p>
        </w:tc>
        <w:tc>
          <w:tcPr>
            <w:tcW w:w="1701" w:type="dxa"/>
          </w:tcPr>
          <w:p>
            <w:pPr>
              <w:pStyle w:val="247"/>
              <w:spacing w:before="34"/>
              <w:ind w:left="28"/>
              <w:rPr>
                <w:color w:val="auto"/>
                <w:sz w:val="21"/>
                <w:u w:val="none"/>
              </w:rPr>
            </w:pPr>
            <w:r>
              <w:rPr>
                <w:color w:val="auto"/>
                <w:w w:val="99"/>
                <w:sz w:val="21"/>
                <w:u w:val="none"/>
              </w:rPr>
              <w:t>0</w:t>
            </w:r>
          </w:p>
        </w:tc>
        <w:tc>
          <w:tcPr>
            <w:tcW w:w="1287" w:type="dxa"/>
            <w:vMerge w:val="continue"/>
          </w:tcPr>
          <w:p>
            <w:pPr>
              <w:rPr>
                <w:color w:val="auto"/>
                <w:sz w:val="2"/>
                <w:szCs w:val="2"/>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974" w:type="dxa"/>
            <w:vMerge w:val="continue"/>
          </w:tcPr>
          <w:p>
            <w:pPr>
              <w:rPr>
                <w:color w:val="auto"/>
                <w:sz w:val="2"/>
                <w:szCs w:val="2"/>
                <w:u w:val="none"/>
              </w:rPr>
            </w:pPr>
          </w:p>
        </w:tc>
        <w:tc>
          <w:tcPr>
            <w:tcW w:w="928" w:type="dxa"/>
            <w:vMerge w:val="continue"/>
          </w:tcPr>
          <w:p>
            <w:pPr>
              <w:rPr>
                <w:color w:val="auto"/>
                <w:sz w:val="2"/>
                <w:szCs w:val="2"/>
                <w:u w:val="none"/>
              </w:rPr>
            </w:pPr>
          </w:p>
        </w:tc>
        <w:tc>
          <w:tcPr>
            <w:tcW w:w="2337" w:type="dxa"/>
          </w:tcPr>
          <w:p>
            <w:pPr>
              <w:pStyle w:val="247"/>
              <w:spacing w:before="19"/>
              <w:ind w:left="228" w:right="203"/>
              <w:rPr>
                <w:rFonts w:hint="eastAsia" w:ascii="宋体" w:eastAsia="宋体"/>
                <w:color w:val="auto"/>
                <w:sz w:val="21"/>
                <w:u w:val="none"/>
              </w:rPr>
            </w:pPr>
            <w:r>
              <w:rPr>
                <w:rFonts w:hint="eastAsia" w:ascii="宋体" w:eastAsia="宋体"/>
                <w:color w:val="auto"/>
                <w:sz w:val="21"/>
                <w:u w:val="none"/>
              </w:rPr>
              <w:t>最大值占标率（</w:t>
            </w:r>
            <w:r>
              <w:rPr>
                <w:color w:val="auto"/>
                <w:sz w:val="21"/>
                <w:u w:val="none"/>
              </w:rPr>
              <w:t>%</w:t>
            </w:r>
            <w:r>
              <w:rPr>
                <w:rFonts w:hint="eastAsia" w:ascii="宋体" w:eastAsia="宋体"/>
                <w:color w:val="auto"/>
                <w:sz w:val="21"/>
                <w:u w:val="none"/>
              </w:rPr>
              <w:t>）</w:t>
            </w:r>
          </w:p>
        </w:tc>
        <w:tc>
          <w:tcPr>
            <w:tcW w:w="1701" w:type="dxa"/>
          </w:tcPr>
          <w:p>
            <w:pPr>
              <w:pStyle w:val="247"/>
              <w:spacing w:before="33"/>
              <w:ind w:left="106" w:right="77"/>
              <w:rPr>
                <w:color w:val="auto"/>
                <w:sz w:val="21"/>
                <w:u w:val="none"/>
              </w:rPr>
            </w:pPr>
            <w:r>
              <w:rPr>
                <w:color w:val="auto"/>
                <w:sz w:val="21"/>
                <w:u w:val="none"/>
              </w:rPr>
              <w:t>17.5</w:t>
            </w:r>
          </w:p>
        </w:tc>
        <w:tc>
          <w:tcPr>
            <w:tcW w:w="1701" w:type="dxa"/>
          </w:tcPr>
          <w:p>
            <w:pPr>
              <w:pStyle w:val="247"/>
              <w:spacing w:before="33"/>
              <w:ind w:left="105" w:right="77"/>
              <w:rPr>
                <w:color w:val="auto"/>
                <w:sz w:val="21"/>
                <w:u w:val="none"/>
              </w:rPr>
            </w:pPr>
            <w:r>
              <w:rPr>
                <w:color w:val="auto"/>
                <w:sz w:val="21"/>
                <w:u w:val="none"/>
              </w:rPr>
              <w:t>12.5</w:t>
            </w:r>
          </w:p>
        </w:tc>
        <w:tc>
          <w:tcPr>
            <w:tcW w:w="1287" w:type="dxa"/>
            <w:vMerge w:val="continue"/>
          </w:tcPr>
          <w:p>
            <w:pPr>
              <w:rPr>
                <w:color w:val="auto"/>
                <w:sz w:val="2"/>
                <w:szCs w:val="2"/>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2" w:hRule="atLeast"/>
        </w:trPr>
        <w:tc>
          <w:tcPr>
            <w:tcW w:w="974" w:type="dxa"/>
            <w:vMerge w:val="continue"/>
          </w:tcPr>
          <w:p>
            <w:pPr>
              <w:rPr>
                <w:color w:val="auto"/>
                <w:sz w:val="2"/>
                <w:szCs w:val="2"/>
                <w:u w:val="none"/>
              </w:rPr>
            </w:pPr>
          </w:p>
        </w:tc>
        <w:tc>
          <w:tcPr>
            <w:tcW w:w="928" w:type="dxa"/>
            <w:vMerge w:val="continue"/>
          </w:tcPr>
          <w:p>
            <w:pPr>
              <w:rPr>
                <w:color w:val="auto"/>
                <w:sz w:val="2"/>
                <w:szCs w:val="2"/>
                <w:u w:val="none"/>
              </w:rPr>
            </w:pPr>
          </w:p>
        </w:tc>
        <w:tc>
          <w:tcPr>
            <w:tcW w:w="2337" w:type="dxa"/>
          </w:tcPr>
          <w:p>
            <w:pPr>
              <w:pStyle w:val="247"/>
              <w:spacing w:before="19"/>
              <w:ind w:left="228" w:right="203"/>
              <w:rPr>
                <w:rFonts w:hint="eastAsia" w:ascii="宋体" w:eastAsia="宋体"/>
                <w:color w:val="auto"/>
                <w:sz w:val="21"/>
                <w:u w:val="none"/>
              </w:rPr>
            </w:pPr>
            <w:r>
              <w:rPr>
                <w:rFonts w:hint="eastAsia" w:ascii="宋体" w:eastAsia="宋体"/>
                <w:color w:val="auto"/>
                <w:sz w:val="21"/>
                <w:u w:val="none"/>
              </w:rPr>
              <w:t>最大超标倍数</w:t>
            </w:r>
          </w:p>
        </w:tc>
        <w:tc>
          <w:tcPr>
            <w:tcW w:w="1701" w:type="dxa"/>
          </w:tcPr>
          <w:p>
            <w:pPr>
              <w:pStyle w:val="247"/>
              <w:spacing w:before="33"/>
              <w:ind w:left="30"/>
              <w:rPr>
                <w:color w:val="auto"/>
                <w:sz w:val="21"/>
                <w:u w:val="none"/>
              </w:rPr>
            </w:pPr>
            <w:r>
              <w:rPr>
                <w:color w:val="auto"/>
                <w:w w:val="99"/>
                <w:sz w:val="21"/>
                <w:u w:val="none"/>
              </w:rPr>
              <w:t>-</w:t>
            </w:r>
          </w:p>
        </w:tc>
        <w:tc>
          <w:tcPr>
            <w:tcW w:w="1701" w:type="dxa"/>
          </w:tcPr>
          <w:p>
            <w:pPr>
              <w:pStyle w:val="247"/>
              <w:spacing w:before="33"/>
              <w:ind w:left="27"/>
              <w:rPr>
                <w:color w:val="auto"/>
                <w:sz w:val="21"/>
                <w:u w:val="none"/>
              </w:rPr>
            </w:pPr>
            <w:r>
              <w:rPr>
                <w:color w:val="auto"/>
                <w:w w:val="99"/>
                <w:sz w:val="21"/>
                <w:u w:val="none"/>
              </w:rPr>
              <w:t>-</w:t>
            </w:r>
          </w:p>
        </w:tc>
        <w:tc>
          <w:tcPr>
            <w:tcW w:w="1287" w:type="dxa"/>
            <w:vMerge w:val="continue"/>
          </w:tcPr>
          <w:p>
            <w:pPr>
              <w:rPr>
                <w:color w:val="auto"/>
                <w:sz w:val="2"/>
                <w:szCs w:val="2"/>
                <w:u w:val="none"/>
              </w:rPr>
            </w:pPr>
          </w:p>
        </w:tc>
      </w:tr>
    </w:tbl>
    <w:p>
      <w:pPr>
        <w:pStyle w:val="249"/>
        <w:spacing w:before="31" w:after="31"/>
        <w:ind w:firstLine="420"/>
        <w:rPr>
          <w:rFonts w:hint="eastAsia" w:ascii="Times New Roman" w:hAnsi="Times New Roman" w:cs="Times New Roman"/>
          <w:color w:val="auto"/>
        </w:rPr>
      </w:pPr>
    </w:p>
    <w:p>
      <w:pPr>
        <w:pStyle w:val="249"/>
        <w:spacing w:before="31" w:after="31"/>
        <w:ind w:firstLine="420"/>
        <w:rPr>
          <w:rFonts w:hint="eastAsia" w:ascii="Times New Roman" w:hAnsi="Times New Roman" w:eastAsia="宋体" w:cs="Times New Roman"/>
          <w:color w:val="auto"/>
          <w:spacing w:val="-2"/>
          <w:kern w:val="2"/>
          <w:sz w:val="24"/>
          <w:szCs w:val="24"/>
          <w:lang w:val="en-US" w:eastAsia="zh-CN" w:bidi="ar-SA"/>
        </w:rPr>
      </w:pPr>
      <w:r>
        <w:rPr>
          <w:rFonts w:hint="eastAsia" w:ascii="Times New Roman" w:hAnsi="Times New Roman" w:eastAsia="宋体" w:cs="Times New Roman"/>
          <w:color w:val="auto"/>
          <w:spacing w:val="-2"/>
          <w:kern w:val="2"/>
          <w:sz w:val="24"/>
          <w:szCs w:val="24"/>
          <w:lang w:val="en-US" w:eastAsia="zh-CN" w:bidi="ar-SA"/>
        </w:rPr>
        <w:t xml:space="preserve">由上表的监测结果可知，项目区域 </w:t>
      </w:r>
      <w:r>
        <w:rPr>
          <w:rFonts w:hint="default" w:ascii="Times New Roman" w:hAnsi="Times New Roman" w:eastAsia="宋体" w:cs="Times New Roman"/>
          <w:color w:val="auto"/>
          <w:spacing w:val="-2"/>
          <w:kern w:val="2"/>
          <w:sz w:val="24"/>
          <w:szCs w:val="24"/>
          <w:lang w:val="en-US" w:eastAsia="zh-CN" w:bidi="ar-SA"/>
        </w:rPr>
        <w:t>NH</w:t>
      </w:r>
      <w:r>
        <w:rPr>
          <w:rFonts w:hint="default" w:ascii="Times New Roman" w:hAnsi="Times New Roman" w:eastAsia="宋体" w:cs="Times New Roman"/>
          <w:color w:val="auto"/>
          <w:spacing w:val="-2"/>
          <w:kern w:val="2"/>
          <w:sz w:val="24"/>
          <w:szCs w:val="24"/>
          <w:vertAlign w:val="subscript"/>
          <w:lang w:val="en-US" w:eastAsia="zh-CN" w:bidi="ar-SA"/>
        </w:rPr>
        <w:t>3</w:t>
      </w:r>
      <w:r>
        <w:rPr>
          <w:rFonts w:hint="default" w:ascii="Times New Roman" w:hAnsi="Times New Roman" w:eastAsia="宋体" w:cs="Times New Roman"/>
          <w:color w:val="auto"/>
          <w:spacing w:val="-2"/>
          <w:kern w:val="2"/>
          <w:sz w:val="24"/>
          <w:szCs w:val="24"/>
          <w:lang w:val="en-US" w:eastAsia="zh-CN" w:bidi="ar-SA"/>
        </w:rPr>
        <w:t xml:space="preserve"> </w:t>
      </w:r>
      <w:r>
        <w:rPr>
          <w:rFonts w:hint="eastAsia" w:ascii="Times New Roman" w:hAnsi="Times New Roman" w:eastAsia="宋体" w:cs="Times New Roman"/>
          <w:color w:val="auto"/>
          <w:spacing w:val="-2"/>
          <w:kern w:val="2"/>
          <w:sz w:val="24"/>
          <w:szCs w:val="24"/>
          <w:lang w:val="en-US" w:eastAsia="zh-CN" w:bidi="ar-SA"/>
        </w:rPr>
        <w:t>的一次值满足《环境影响评价技术导则  大气环境》（HJ2.2-2018）附录D推荐值要求。</w:t>
      </w:r>
    </w:p>
    <w:p>
      <w:pPr>
        <w:pStyle w:val="249"/>
        <w:spacing w:before="31" w:after="31"/>
        <w:ind w:firstLine="420"/>
        <w:rPr>
          <w:rFonts w:hint="eastAsia" w:ascii="Times New Roman" w:hAnsi="Times New Roman" w:cs="Times New Roman"/>
          <w:color w:val="auto"/>
          <w:lang w:val="en-US" w:eastAsia="zh-CN"/>
        </w:rPr>
      </w:pPr>
    </w:p>
    <w:p>
      <w:pPr>
        <w:pStyle w:val="6"/>
        <w:numPr>
          <w:ilvl w:val="1"/>
          <w:numId w:val="0"/>
        </w:numPr>
        <w:tabs>
          <w:tab w:val="clear" w:pos="0"/>
        </w:tabs>
        <w:spacing w:before="120" w:beforeLines="0" w:after="120" w:afterLines="0"/>
        <w:ind w:leftChars="0"/>
        <w:rPr>
          <w:b/>
          <w:color w:val="auto"/>
          <w:sz w:val="13"/>
        </w:rPr>
      </w:pPr>
      <w:bookmarkStart w:id="226" w:name="_Toc25475"/>
      <w:r>
        <w:rPr>
          <w:rFonts w:hint="eastAsia"/>
          <w:color w:val="auto"/>
          <w:lang w:val="en-US" w:eastAsia="zh-CN"/>
        </w:rPr>
        <w:t>3.4. 地表水环境质量现状监测与评价</w:t>
      </w:r>
      <w:bookmarkEnd w:id="226"/>
    </w:p>
    <w:p>
      <w:pPr>
        <w:pStyle w:val="7"/>
        <w:numPr>
          <w:ilvl w:val="2"/>
          <w:numId w:val="0"/>
        </w:numPr>
        <w:tabs>
          <w:tab w:val="left" w:pos="1256"/>
          <w:tab w:val="clear" w:pos="-142"/>
        </w:tabs>
        <w:spacing w:before="120" w:after="120" w:line="240" w:lineRule="auto"/>
        <w:rPr>
          <w:color w:val="auto"/>
        </w:rPr>
      </w:pPr>
      <w:bookmarkStart w:id="227" w:name="3.4.1引用监测资料"/>
      <w:bookmarkEnd w:id="227"/>
      <w:bookmarkStart w:id="228" w:name="_Toc26103"/>
      <w:r>
        <w:rPr>
          <w:rFonts w:hint="eastAsia"/>
          <w:color w:val="auto"/>
        </w:rPr>
        <w:t>3.4.1</w:t>
      </w:r>
      <w:r>
        <w:rPr>
          <w:color w:val="auto"/>
        </w:rPr>
        <w:t>引用监测资料</w:t>
      </w:r>
      <w:bookmarkEnd w:id="228"/>
    </w:p>
    <w:p>
      <w:pPr>
        <w:pStyle w:val="22"/>
        <w:spacing w:before="160" w:line="364" w:lineRule="auto"/>
        <w:ind w:right="313" w:firstLine="480"/>
        <w:rPr>
          <w:color w:val="auto"/>
          <w:sz w:val="24"/>
          <w:szCs w:val="24"/>
        </w:rPr>
      </w:pPr>
      <w:r>
        <w:rPr>
          <w:color w:val="auto"/>
          <w:spacing w:val="-2"/>
          <w:sz w:val="24"/>
          <w:szCs w:val="24"/>
        </w:rPr>
        <w:t>项目废水经厂区污水管道排入公司污水处理厂处理后排入长江，本次环评地表水项</w:t>
      </w:r>
      <w:r>
        <w:rPr>
          <w:color w:val="auto"/>
          <w:spacing w:val="-4"/>
          <w:sz w:val="24"/>
          <w:szCs w:val="24"/>
        </w:rPr>
        <w:t>目纳污段长江水环境质量现状数据收集引用《湖南新岭化工股份有限公司年产</w:t>
      </w:r>
      <w:r>
        <w:rPr>
          <w:rFonts w:hint="eastAsia"/>
          <w:color w:val="auto"/>
          <w:spacing w:val="-4"/>
          <w:sz w:val="24"/>
          <w:szCs w:val="24"/>
        </w:rPr>
        <w:t>4000</w:t>
      </w:r>
      <w:r>
        <w:rPr>
          <w:color w:val="auto"/>
          <w:sz w:val="24"/>
          <w:szCs w:val="24"/>
        </w:rPr>
        <w:t>吨</w:t>
      </w:r>
      <w:r>
        <w:rPr>
          <w:rFonts w:eastAsia="Times New Roman"/>
          <w:color w:val="auto"/>
          <w:sz w:val="24"/>
          <w:szCs w:val="24"/>
        </w:rPr>
        <w:t>/</w:t>
      </w:r>
      <w:r>
        <w:rPr>
          <w:color w:val="auto"/>
          <w:spacing w:val="-18"/>
          <w:sz w:val="24"/>
          <w:szCs w:val="24"/>
        </w:rPr>
        <w:t>年</w:t>
      </w:r>
      <w:r>
        <w:rPr>
          <w:rFonts w:eastAsia="Times New Roman"/>
          <w:color w:val="auto"/>
          <w:sz w:val="24"/>
          <w:szCs w:val="24"/>
        </w:rPr>
        <w:t>2,6-</w:t>
      </w:r>
      <w:r>
        <w:rPr>
          <w:color w:val="auto"/>
          <w:sz w:val="24"/>
          <w:szCs w:val="24"/>
        </w:rPr>
        <w:t>二甲酚，</w:t>
      </w:r>
      <w:r>
        <w:rPr>
          <w:rFonts w:eastAsia="Times New Roman"/>
          <w:color w:val="auto"/>
          <w:sz w:val="24"/>
          <w:szCs w:val="24"/>
        </w:rPr>
        <w:t>1800</w:t>
      </w:r>
      <w:r>
        <w:rPr>
          <w:color w:val="auto"/>
          <w:spacing w:val="4"/>
          <w:sz w:val="24"/>
          <w:szCs w:val="24"/>
        </w:rPr>
        <w:t>吨</w:t>
      </w:r>
      <w:r>
        <w:rPr>
          <w:rFonts w:eastAsia="Times New Roman"/>
          <w:color w:val="auto"/>
          <w:sz w:val="24"/>
          <w:szCs w:val="24"/>
        </w:rPr>
        <w:t>/</w:t>
      </w:r>
      <w:r>
        <w:rPr>
          <w:color w:val="auto"/>
          <w:sz w:val="24"/>
          <w:szCs w:val="24"/>
        </w:rPr>
        <w:t>年混合酚提质及技术改造项目环境影响报告书》中的相关监测</w:t>
      </w:r>
      <w:r>
        <w:rPr>
          <w:rFonts w:hint="eastAsia"/>
          <w:color w:val="auto"/>
          <w:sz w:val="24"/>
          <w:szCs w:val="24"/>
        </w:rPr>
        <w:t>数据</w:t>
      </w:r>
      <w:r>
        <w:rPr>
          <w:color w:val="auto"/>
          <w:spacing w:val="-4"/>
          <w:sz w:val="24"/>
          <w:szCs w:val="24"/>
        </w:rPr>
        <w:t>进行评价。监测时间为</w:t>
      </w:r>
      <w:r>
        <w:rPr>
          <w:rFonts w:hint="eastAsia"/>
          <w:color w:val="auto"/>
          <w:spacing w:val="-4"/>
          <w:sz w:val="24"/>
          <w:szCs w:val="24"/>
        </w:rPr>
        <w:t>2018</w:t>
      </w:r>
      <w:r>
        <w:rPr>
          <w:color w:val="auto"/>
          <w:spacing w:val="-29"/>
          <w:sz w:val="24"/>
          <w:szCs w:val="24"/>
        </w:rPr>
        <w:t>年</w:t>
      </w:r>
      <w:r>
        <w:rPr>
          <w:rFonts w:hint="eastAsia"/>
          <w:color w:val="auto"/>
          <w:spacing w:val="-29"/>
          <w:sz w:val="24"/>
          <w:szCs w:val="24"/>
        </w:rPr>
        <w:t>6</w:t>
      </w:r>
      <w:r>
        <w:rPr>
          <w:color w:val="auto"/>
          <w:spacing w:val="-29"/>
          <w:sz w:val="24"/>
          <w:szCs w:val="24"/>
        </w:rPr>
        <w:t>月</w:t>
      </w:r>
      <w:r>
        <w:rPr>
          <w:rFonts w:hint="eastAsia"/>
          <w:color w:val="auto"/>
          <w:spacing w:val="-29"/>
          <w:sz w:val="24"/>
          <w:szCs w:val="24"/>
        </w:rPr>
        <w:t>25</w:t>
      </w:r>
      <w:r>
        <w:rPr>
          <w:color w:val="auto"/>
          <w:sz w:val="24"/>
          <w:szCs w:val="24"/>
        </w:rPr>
        <w:t>日</w:t>
      </w:r>
      <w:r>
        <w:rPr>
          <w:rFonts w:eastAsia="Times New Roman"/>
          <w:color w:val="auto"/>
          <w:sz w:val="24"/>
          <w:szCs w:val="24"/>
        </w:rPr>
        <w:t>~6</w:t>
      </w:r>
      <w:r>
        <w:rPr>
          <w:color w:val="auto"/>
          <w:spacing w:val="-30"/>
          <w:sz w:val="24"/>
          <w:szCs w:val="24"/>
        </w:rPr>
        <w:t>月</w:t>
      </w:r>
      <w:r>
        <w:rPr>
          <w:rFonts w:hint="eastAsia"/>
          <w:color w:val="auto"/>
          <w:spacing w:val="-30"/>
          <w:sz w:val="24"/>
          <w:szCs w:val="24"/>
        </w:rPr>
        <w:t>27</w:t>
      </w:r>
      <w:r>
        <w:rPr>
          <w:rFonts w:eastAsia="Times New Roman"/>
          <w:color w:val="auto"/>
          <w:spacing w:val="2"/>
          <w:sz w:val="24"/>
          <w:szCs w:val="24"/>
        </w:rPr>
        <w:t xml:space="preserve"> </w:t>
      </w:r>
      <w:r>
        <w:rPr>
          <w:color w:val="auto"/>
          <w:sz w:val="24"/>
          <w:szCs w:val="24"/>
        </w:rPr>
        <w:t>日，监测单位为湖南品标华测检测技术有限公司。</w:t>
      </w:r>
    </w:p>
    <w:p>
      <w:pPr>
        <w:ind w:firstLine="422" w:firstLineChars="200"/>
        <w:rPr>
          <w:b/>
          <w:bCs/>
          <w:color w:val="auto"/>
        </w:rPr>
      </w:pPr>
      <w:r>
        <w:rPr>
          <w:b/>
          <w:bCs/>
          <w:color w:val="auto"/>
        </w:rPr>
        <w:t>1、监测方案</w:t>
      </w:r>
    </w:p>
    <w:p>
      <w:pPr>
        <w:pStyle w:val="22"/>
        <w:spacing w:before="161"/>
        <w:ind w:left="716"/>
        <w:rPr>
          <w:color w:val="auto"/>
          <w:sz w:val="24"/>
          <w:szCs w:val="24"/>
        </w:rPr>
      </w:pPr>
      <w:r>
        <w:rPr>
          <w:color w:val="auto"/>
          <w:sz w:val="24"/>
          <w:szCs w:val="24"/>
        </w:rPr>
        <w:t>（</w:t>
      </w:r>
      <w:r>
        <w:rPr>
          <w:rFonts w:eastAsia="Times New Roman"/>
          <w:color w:val="auto"/>
          <w:sz w:val="24"/>
          <w:szCs w:val="24"/>
        </w:rPr>
        <w:t>1</w:t>
      </w:r>
      <w:r>
        <w:rPr>
          <w:color w:val="auto"/>
          <w:sz w:val="24"/>
          <w:szCs w:val="24"/>
        </w:rPr>
        <w:t>）监测因子</w:t>
      </w:r>
    </w:p>
    <w:p>
      <w:pPr>
        <w:pStyle w:val="22"/>
        <w:spacing w:before="155"/>
        <w:ind w:left="716"/>
        <w:rPr>
          <w:color w:val="auto"/>
          <w:sz w:val="24"/>
          <w:szCs w:val="24"/>
        </w:rPr>
      </w:pPr>
      <w:r>
        <w:rPr>
          <w:rFonts w:eastAsia="Times New Roman"/>
          <w:color w:val="auto"/>
          <w:position w:val="2"/>
          <w:sz w:val="24"/>
          <w:szCs w:val="24"/>
        </w:rPr>
        <w:t>pH</w:t>
      </w:r>
      <w:r>
        <w:rPr>
          <w:color w:val="auto"/>
          <w:position w:val="2"/>
          <w:sz w:val="24"/>
          <w:szCs w:val="24"/>
        </w:rPr>
        <w:t>、</w:t>
      </w:r>
      <w:r>
        <w:rPr>
          <w:rFonts w:eastAsia="Times New Roman"/>
          <w:color w:val="auto"/>
          <w:position w:val="2"/>
          <w:sz w:val="24"/>
          <w:szCs w:val="24"/>
        </w:rPr>
        <w:t>COD</w:t>
      </w:r>
      <w:r>
        <w:rPr>
          <w:color w:val="auto"/>
          <w:position w:val="2"/>
          <w:sz w:val="24"/>
          <w:szCs w:val="24"/>
        </w:rPr>
        <w:t>、</w:t>
      </w:r>
      <w:r>
        <w:rPr>
          <w:rFonts w:eastAsia="Times New Roman"/>
          <w:color w:val="auto"/>
          <w:position w:val="2"/>
          <w:sz w:val="24"/>
          <w:szCs w:val="24"/>
        </w:rPr>
        <w:t>BOD</w:t>
      </w:r>
      <w:r>
        <w:rPr>
          <w:rFonts w:eastAsia="Times New Roman"/>
          <w:color w:val="auto"/>
          <w:position w:val="2"/>
          <w:sz w:val="24"/>
          <w:szCs w:val="24"/>
          <w:vertAlign w:val="subscript"/>
        </w:rPr>
        <w:t>5</w:t>
      </w:r>
      <w:r>
        <w:rPr>
          <w:color w:val="auto"/>
          <w:position w:val="2"/>
          <w:sz w:val="24"/>
          <w:szCs w:val="24"/>
        </w:rPr>
        <w:t>、氨氮、挥发酚、石油类、硫化物。</w:t>
      </w:r>
    </w:p>
    <w:p>
      <w:pPr>
        <w:pStyle w:val="22"/>
        <w:spacing w:before="161"/>
        <w:ind w:left="716"/>
        <w:rPr>
          <w:color w:val="auto"/>
          <w:sz w:val="24"/>
          <w:szCs w:val="24"/>
        </w:rPr>
      </w:pPr>
      <w:r>
        <w:rPr>
          <w:rFonts w:hint="eastAsia"/>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w:t>
      </w:r>
      <w:r>
        <w:rPr>
          <w:color w:val="auto"/>
          <w:sz w:val="24"/>
          <w:szCs w:val="24"/>
        </w:rPr>
        <w:t>监测时间和频次</w:t>
      </w:r>
    </w:p>
    <w:p>
      <w:pPr>
        <w:pStyle w:val="22"/>
        <w:spacing w:before="161"/>
        <w:ind w:left="716"/>
        <w:rPr>
          <w:color w:val="auto"/>
          <w:sz w:val="24"/>
          <w:szCs w:val="24"/>
        </w:rPr>
      </w:pPr>
      <w:r>
        <w:rPr>
          <w:color w:val="auto"/>
          <w:sz w:val="24"/>
          <w:szCs w:val="24"/>
        </w:rPr>
        <w:t>监测时间为连续</w:t>
      </w:r>
      <w:r>
        <w:rPr>
          <w:rFonts w:hint="eastAsia"/>
          <w:color w:val="auto"/>
          <w:sz w:val="24"/>
          <w:szCs w:val="24"/>
        </w:rPr>
        <w:t>3</w:t>
      </w:r>
      <w:r>
        <w:rPr>
          <w:color w:val="auto"/>
          <w:sz w:val="24"/>
          <w:szCs w:val="24"/>
        </w:rPr>
        <w:t>天，采样频率为每天</w:t>
      </w:r>
      <w:r>
        <w:rPr>
          <w:rFonts w:hint="eastAsia"/>
          <w:color w:val="auto"/>
          <w:sz w:val="24"/>
          <w:szCs w:val="24"/>
        </w:rPr>
        <w:t>1</w:t>
      </w:r>
      <w:r>
        <w:rPr>
          <w:color w:val="auto"/>
          <w:sz w:val="24"/>
          <w:szCs w:val="24"/>
        </w:rPr>
        <w:t>次。</w:t>
      </w:r>
    </w:p>
    <w:p>
      <w:pPr>
        <w:pStyle w:val="22"/>
        <w:spacing w:before="161"/>
        <w:ind w:left="716"/>
        <w:rPr>
          <w:color w:val="auto"/>
          <w:sz w:val="24"/>
          <w:szCs w:val="24"/>
        </w:rPr>
      </w:pPr>
      <w:r>
        <w:rPr>
          <w:rFonts w:hint="eastAsia"/>
          <w:color w:val="auto"/>
          <w:sz w:val="24"/>
          <w:szCs w:val="24"/>
          <w:lang w:eastAsia="zh-CN"/>
        </w:rPr>
        <w:t>（</w:t>
      </w:r>
      <w:r>
        <w:rPr>
          <w:rFonts w:hint="eastAsia"/>
          <w:color w:val="auto"/>
          <w:sz w:val="24"/>
          <w:szCs w:val="24"/>
          <w:lang w:val="en-US" w:eastAsia="zh-CN"/>
        </w:rPr>
        <w:t>3</w:t>
      </w:r>
      <w:r>
        <w:rPr>
          <w:rFonts w:hint="eastAsia"/>
          <w:color w:val="auto"/>
          <w:sz w:val="24"/>
          <w:szCs w:val="24"/>
          <w:lang w:eastAsia="zh-CN"/>
        </w:rPr>
        <w:t>）</w:t>
      </w:r>
      <w:r>
        <w:rPr>
          <w:color w:val="auto"/>
          <w:sz w:val="24"/>
          <w:szCs w:val="24"/>
        </w:rPr>
        <w:t>监测断面</w:t>
      </w:r>
    </w:p>
    <w:p>
      <w:pPr>
        <w:pStyle w:val="22"/>
        <w:spacing w:before="80"/>
        <w:ind w:left="716"/>
        <w:rPr>
          <w:color w:val="auto"/>
        </w:rPr>
      </w:pPr>
      <w:r>
        <w:rPr>
          <w:color w:val="auto"/>
          <w:sz w:val="24"/>
          <w:szCs w:val="24"/>
        </w:rPr>
        <w:t>布设</w:t>
      </w:r>
      <w:r>
        <w:rPr>
          <w:rFonts w:hint="eastAsia"/>
          <w:color w:val="auto"/>
          <w:sz w:val="24"/>
          <w:szCs w:val="24"/>
        </w:rPr>
        <w:t>2</w:t>
      </w:r>
      <w:r>
        <w:rPr>
          <w:color w:val="auto"/>
          <w:sz w:val="24"/>
          <w:szCs w:val="24"/>
        </w:rPr>
        <w:t>个监测断面，具体断面布设位置见表6.2-1及图6.2-1。</w:t>
      </w:r>
    </w:p>
    <w:p>
      <w:pPr>
        <w:tabs>
          <w:tab w:val="left" w:pos="3703"/>
        </w:tabs>
        <w:spacing w:before="157"/>
        <w:ind w:left="2691"/>
        <w:jc w:val="left"/>
        <w:rPr>
          <w:rFonts w:hint="eastAsia" w:ascii="Times New Roman" w:hAnsi="Times New Roman" w:cs="Times New Roman"/>
          <w:b/>
          <w:bCs/>
          <w:color w:val="auto"/>
          <w:sz w:val="24"/>
          <w:szCs w:val="20"/>
        </w:rPr>
      </w:pPr>
      <w:r>
        <w:rPr>
          <w:rFonts w:hint="eastAsia" w:ascii="Times New Roman" w:hAnsi="Times New Roman" w:cs="Times New Roman"/>
          <w:b/>
          <w:bCs/>
          <w:color w:val="auto"/>
          <w:sz w:val="24"/>
          <w:szCs w:val="20"/>
        </w:rPr>
        <w:t>表 3.4-1</w:t>
      </w:r>
      <w:r>
        <w:rPr>
          <w:rFonts w:hint="eastAsia" w:ascii="Times New Roman" w:hAnsi="Times New Roman" w:cs="Times New Roman"/>
          <w:b/>
          <w:bCs/>
          <w:color w:val="auto"/>
          <w:sz w:val="24"/>
          <w:szCs w:val="20"/>
        </w:rPr>
        <w:tab/>
      </w:r>
      <w:r>
        <w:rPr>
          <w:rFonts w:hint="eastAsia" w:ascii="Times New Roman" w:hAnsi="Times New Roman" w:cs="Times New Roman"/>
          <w:b/>
          <w:bCs/>
          <w:color w:val="auto"/>
          <w:sz w:val="24"/>
          <w:szCs w:val="20"/>
        </w:rPr>
        <w:t>地表水环境监测断面具体位置</w:t>
      </w:r>
    </w:p>
    <w:tbl>
      <w:tblPr>
        <w:tblStyle w:val="45"/>
        <w:tblW w:w="8522" w:type="dxa"/>
        <w:tblInd w:w="4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62"/>
        <w:gridCol w:w="1084"/>
        <w:gridCol w:w="3717"/>
        <w:gridCol w:w="2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262" w:type="dxa"/>
          </w:tcPr>
          <w:p>
            <w:pPr>
              <w:pStyle w:val="247"/>
              <w:spacing w:before="34"/>
              <w:ind w:left="413" w:right="382"/>
              <w:rPr>
                <w:rFonts w:ascii="宋体" w:eastAsia="宋体"/>
                <w:b/>
                <w:color w:val="auto"/>
              </w:rPr>
            </w:pPr>
            <w:r>
              <w:rPr>
                <w:rFonts w:hint="eastAsia" w:ascii="宋体" w:eastAsia="宋体"/>
                <w:b/>
                <w:color w:val="auto"/>
              </w:rPr>
              <w:t>断面</w:t>
            </w:r>
          </w:p>
        </w:tc>
        <w:tc>
          <w:tcPr>
            <w:tcW w:w="1084" w:type="dxa"/>
          </w:tcPr>
          <w:p>
            <w:pPr>
              <w:pStyle w:val="247"/>
              <w:spacing w:before="34"/>
              <w:ind w:left="341"/>
              <w:jc w:val="left"/>
              <w:rPr>
                <w:rFonts w:ascii="宋体" w:eastAsia="宋体"/>
                <w:b/>
                <w:color w:val="auto"/>
              </w:rPr>
            </w:pPr>
            <w:r>
              <w:rPr>
                <w:rFonts w:hint="eastAsia" w:ascii="宋体" w:eastAsia="宋体"/>
                <w:b/>
                <w:color w:val="auto"/>
              </w:rPr>
              <w:t>河流</w:t>
            </w:r>
          </w:p>
        </w:tc>
        <w:tc>
          <w:tcPr>
            <w:tcW w:w="3717" w:type="dxa"/>
          </w:tcPr>
          <w:p>
            <w:pPr>
              <w:pStyle w:val="247"/>
              <w:spacing w:before="34"/>
              <w:ind w:left="138" w:right="109"/>
              <w:rPr>
                <w:rFonts w:ascii="宋体" w:eastAsia="宋体"/>
                <w:b/>
                <w:color w:val="auto"/>
              </w:rPr>
            </w:pPr>
            <w:r>
              <w:rPr>
                <w:rFonts w:hint="eastAsia" w:ascii="宋体" w:eastAsia="宋体"/>
                <w:b/>
                <w:color w:val="auto"/>
              </w:rPr>
              <w:t>距排污口距离</w:t>
            </w:r>
          </w:p>
        </w:tc>
        <w:tc>
          <w:tcPr>
            <w:tcW w:w="2459" w:type="dxa"/>
          </w:tcPr>
          <w:p>
            <w:pPr>
              <w:pStyle w:val="247"/>
              <w:spacing w:before="34"/>
              <w:ind w:left="817"/>
              <w:jc w:val="left"/>
              <w:rPr>
                <w:rFonts w:ascii="宋体" w:eastAsia="宋体"/>
                <w:b/>
                <w:color w:val="auto"/>
              </w:rPr>
            </w:pPr>
            <w:r>
              <w:rPr>
                <w:rFonts w:hint="eastAsia" w:ascii="宋体" w:eastAsia="宋体"/>
                <w:b/>
                <w:color w:val="auto"/>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0" w:hRule="atLeast"/>
        </w:trPr>
        <w:tc>
          <w:tcPr>
            <w:tcW w:w="1262" w:type="dxa"/>
          </w:tcPr>
          <w:p>
            <w:pPr>
              <w:pStyle w:val="247"/>
              <w:spacing w:before="48"/>
              <w:ind w:left="413" w:right="380"/>
              <w:rPr>
                <w:color w:val="auto"/>
              </w:rPr>
            </w:pPr>
            <w:r>
              <w:rPr>
                <w:color w:val="auto"/>
              </w:rPr>
              <w:t>S1</w:t>
            </w:r>
          </w:p>
        </w:tc>
        <w:tc>
          <w:tcPr>
            <w:tcW w:w="1084" w:type="dxa"/>
            <w:vMerge w:val="restart"/>
          </w:tcPr>
          <w:p>
            <w:pPr>
              <w:pStyle w:val="247"/>
              <w:jc w:val="left"/>
              <w:rPr>
                <w:rFonts w:ascii="黑体"/>
                <w:color w:val="auto"/>
                <w:sz w:val="20"/>
              </w:rPr>
            </w:pPr>
          </w:p>
          <w:p>
            <w:pPr>
              <w:pStyle w:val="247"/>
              <w:spacing w:before="128"/>
              <w:ind w:left="341"/>
              <w:jc w:val="left"/>
              <w:rPr>
                <w:rFonts w:ascii="宋体" w:eastAsia="宋体"/>
                <w:color w:val="auto"/>
              </w:rPr>
            </w:pPr>
            <w:r>
              <w:rPr>
                <w:rFonts w:hint="eastAsia" w:ascii="宋体" w:eastAsia="宋体"/>
                <w:color w:val="auto"/>
              </w:rPr>
              <w:t>长江</w:t>
            </w:r>
          </w:p>
        </w:tc>
        <w:tc>
          <w:tcPr>
            <w:tcW w:w="3717" w:type="dxa"/>
          </w:tcPr>
          <w:p>
            <w:pPr>
              <w:pStyle w:val="247"/>
              <w:spacing w:before="56" w:line="254" w:lineRule="exact"/>
              <w:ind w:left="138" w:right="110"/>
              <w:rPr>
                <w:color w:val="auto"/>
              </w:rPr>
            </w:pPr>
            <w:r>
              <w:rPr>
                <w:rFonts w:hint="eastAsia" w:ascii="宋体" w:eastAsia="宋体"/>
                <w:color w:val="auto"/>
              </w:rPr>
              <w:t>长岭分公司总排污口上游</w:t>
            </w:r>
            <w:r>
              <w:rPr>
                <w:color w:val="auto"/>
              </w:rPr>
              <w:t>500m</w:t>
            </w:r>
          </w:p>
        </w:tc>
        <w:tc>
          <w:tcPr>
            <w:tcW w:w="2459" w:type="dxa"/>
            <w:vMerge w:val="restart"/>
          </w:tcPr>
          <w:p>
            <w:pPr>
              <w:pStyle w:val="247"/>
              <w:spacing w:before="4"/>
              <w:jc w:val="left"/>
              <w:rPr>
                <w:rFonts w:ascii="黑体"/>
                <w:color w:val="auto"/>
                <w:sz w:val="19"/>
              </w:rPr>
            </w:pPr>
          </w:p>
          <w:p>
            <w:pPr>
              <w:pStyle w:val="247"/>
              <w:spacing w:line="242" w:lineRule="auto"/>
              <w:ind w:left="294" w:right="129" w:hanging="140"/>
              <w:jc w:val="left"/>
              <w:rPr>
                <w:rFonts w:ascii="宋体" w:eastAsia="宋体"/>
                <w:color w:val="auto"/>
              </w:rPr>
            </w:pPr>
            <w:r>
              <w:rPr>
                <w:color w:val="auto"/>
                <w:w w:val="95"/>
              </w:rPr>
              <w:t>pH</w:t>
            </w:r>
            <w:r>
              <w:rPr>
                <w:rFonts w:hint="eastAsia" w:ascii="宋体" w:eastAsia="宋体"/>
                <w:color w:val="auto"/>
                <w:w w:val="95"/>
              </w:rPr>
              <w:t>、</w:t>
            </w:r>
            <w:r>
              <w:rPr>
                <w:color w:val="auto"/>
                <w:w w:val="95"/>
              </w:rPr>
              <w:t>COD</w:t>
            </w:r>
            <w:r>
              <w:rPr>
                <w:rFonts w:hint="eastAsia" w:ascii="宋体" w:eastAsia="宋体"/>
                <w:color w:val="auto"/>
                <w:w w:val="95"/>
              </w:rPr>
              <w:t>、氨氮、石油</w:t>
            </w:r>
            <w:r>
              <w:rPr>
                <w:rFonts w:hint="eastAsia" w:ascii="宋体" w:eastAsia="宋体"/>
                <w:color w:val="auto"/>
                <w:spacing w:val="-209"/>
                <w:w w:val="95"/>
              </w:rPr>
              <w:t>类</w:t>
            </w:r>
            <w:r>
              <w:rPr>
                <w:rFonts w:hint="eastAsia" w:ascii="宋体" w:eastAsia="宋体"/>
                <w:color w:val="auto"/>
              </w:rPr>
              <w:t>、挥发酚、硫化物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20" w:hRule="atLeast"/>
        </w:trPr>
        <w:tc>
          <w:tcPr>
            <w:tcW w:w="1262" w:type="dxa"/>
          </w:tcPr>
          <w:p>
            <w:pPr>
              <w:pStyle w:val="247"/>
              <w:spacing w:before="38"/>
              <w:ind w:left="413" w:right="380"/>
              <w:rPr>
                <w:color w:val="auto"/>
              </w:rPr>
            </w:pPr>
            <w:r>
              <w:rPr>
                <w:color w:val="auto"/>
              </w:rPr>
              <w:t>S2</w:t>
            </w:r>
          </w:p>
        </w:tc>
        <w:tc>
          <w:tcPr>
            <w:tcW w:w="1084" w:type="dxa"/>
            <w:vMerge w:val="continue"/>
          </w:tcPr>
          <w:p>
            <w:pPr>
              <w:rPr>
                <w:color w:val="auto"/>
                <w:sz w:val="2"/>
                <w:szCs w:val="2"/>
              </w:rPr>
            </w:pPr>
          </w:p>
        </w:tc>
        <w:tc>
          <w:tcPr>
            <w:tcW w:w="3717" w:type="dxa"/>
          </w:tcPr>
          <w:p>
            <w:pPr>
              <w:pStyle w:val="247"/>
              <w:spacing w:before="46" w:line="254" w:lineRule="exact"/>
              <w:ind w:left="138" w:right="110"/>
              <w:rPr>
                <w:color w:val="auto"/>
              </w:rPr>
            </w:pPr>
            <w:r>
              <w:rPr>
                <w:rFonts w:hint="eastAsia" w:ascii="宋体" w:eastAsia="宋体"/>
                <w:color w:val="auto"/>
              </w:rPr>
              <w:t>长岭分公司总排污口上游下游</w:t>
            </w:r>
            <w:r>
              <w:rPr>
                <w:color w:val="auto"/>
              </w:rPr>
              <w:t>1000m</w:t>
            </w:r>
          </w:p>
        </w:tc>
        <w:tc>
          <w:tcPr>
            <w:tcW w:w="2459" w:type="dxa"/>
            <w:vMerge w:val="continue"/>
          </w:tcPr>
          <w:p>
            <w:pPr>
              <w:rPr>
                <w:color w:val="auto"/>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29" w:hRule="atLeast"/>
        </w:trPr>
        <w:tc>
          <w:tcPr>
            <w:tcW w:w="1262" w:type="dxa"/>
          </w:tcPr>
          <w:p>
            <w:pPr>
              <w:pStyle w:val="247"/>
              <w:spacing w:before="39"/>
              <w:ind w:left="413" w:right="380"/>
              <w:rPr>
                <w:color w:val="auto"/>
              </w:rPr>
            </w:pPr>
            <w:r>
              <w:rPr>
                <w:color w:val="auto"/>
              </w:rPr>
              <w:t>S3</w:t>
            </w:r>
          </w:p>
        </w:tc>
        <w:tc>
          <w:tcPr>
            <w:tcW w:w="1084" w:type="dxa"/>
            <w:vMerge w:val="continue"/>
          </w:tcPr>
          <w:p>
            <w:pPr>
              <w:rPr>
                <w:color w:val="auto"/>
                <w:sz w:val="2"/>
                <w:szCs w:val="2"/>
              </w:rPr>
            </w:pPr>
          </w:p>
        </w:tc>
        <w:tc>
          <w:tcPr>
            <w:tcW w:w="3717" w:type="dxa"/>
          </w:tcPr>
          <w:p>
            <w:pPr>
              <w:pStyle w:val="247"/>
              <w:spacing w:before="46" w:line="263" w:lineRule="exact"/>
              <w:ind w:left="136" w:right="110"/>
              <w:rPr>
                <w:color w:val="auto"/>
              </w:rPr>
            </w:pPr>
            <w:r>
              <w:rPr>
                <w:rFonts w:hint="eastAsia" w:ascii="宋体" w:eastAsia="宋体"/>
                <w:color w:val="auto"/>
              </w:rPr>
              <w:t>长岭分公司总排污口下游</w:t>
            </w:r>
            <w:r>
              <w:rPr>
                <w:color w:val="auto"/>
              </w:rPr>
              <w:t>5000m</w:t>
            </w:r>
          </w:p>
        </w:tc>
        <w:tc>
          <w:tcPr>
            <w:tcW w:w="2459" w:type="dxa"/>
            <w:vMerge w:val="continue"/>
          </w:tcPr>
          <w:p>
            <w:pPr>
              <w:rPr>
                <w:color w:val="auto"/>
                <w:sz w:val="2"/>
                <w:szCs w:val="2"/>
              </w:rPr>
            </w:pPr>
          </w:p>
        </w:tc>
      </w:tr>
    </w:tbl>
    <w:p>
      <w:pPr>
        <w:pStyle w:val="22"/>
        <w:spacing w:before="161"/>
        <w:rPr>
          <w:color w:val="auto"/>
          <w:sz w:val="24"/>
          <w:szCs w:val="24"/>
        </w:rPr>
        <w:sectPr>
          <w:headerReference r:id="rId20" w:type="default"/>
          <w:pgSz w:w="11910" w:h="16840"/>
          <w:pgMar w:top="1620" w:right="1100" w:bottom="1160" w:left="1180" w:header="897" w:footer="975" w:gutter="0"/>
          <w:pgNumType w:fmt="decimal"/>
          <w:cols w:space="720" w:num="1"/>
        </w:sectPr>
      </w:pPr>
    </w:p>
    <w:p>
      <w:pPr>
        <w:pStyle w:val="22"/>
        <w:spacing w:before="12"/>
        <w:rPr>
          <w:rFonts w:ascii="黑体"/>
          <w:color w:val="auto"/>
          <w:sz w:val="10"/>
        </w:rPr>
      </w:pPr>
    </w:p>
    <w:p>
      <w:pPr>
        <w:rPr>
          <w:color w:val="auto"/>
          <w:sz w:val="2"/>
          <w:szCs w:val="2"/>
        </w:rPr>
        <w:sectPr>
          <w:footerReference r:id="rId21" w:type="default"/>
          <w:pgSz w:w="11910" w:h="16840"/>
          <w:pgMar w:top="1620" w:right="1100" w:bottom="1160" w:left="1180" w:header="897" w:footer="975" w:gutter="0"/>
          <w:pgNumType w:fmt="decimal"/>
          <w:cols w:space="720" w:num="1"/>
        </w:sectPr>
      </w:pPr>
    </w:p>
    <w:p>
      <w:pPr>
        <w:ind w:firstLine="482" w:firstLineChars="200"/>
        <w:rPr>
          <w:b/>
          <w:bCs/>
          <w:color w:val="auto"/>
          <w:sz w:val="24"/>
          <w:szCs w:val="24"/>
        </w:rPr>
      </w:pPr>
      <w:r>
        <w:rPr>
          <w:b/>
          <w:bCs/>
          <w:color w:val="auto"/>
          <w:sz w:val="24"/>
          <w:szCs w:val="24"/>
        </w:rPr>
        <w:t>2、</w:t>
      </w:r>
      <w:r>
        <w:rPr>
          <w:rFonts w:hint="eastAsia"/>
          <w:b/>
          <w:bCs/>
          <w:color w:val="auto"/>
          <w:sz w:val="24"/>
          <w:szCs w:val="24"/>
        </w:rPr>
        <w:t>监测</w:t>
      </w:r>
      <w:r>
        <w:rPr>
          <w:b/>
          <w:bCs/>
          <w:color w:val="auto"/>
          <w:sz w:val="24"/>
          <w:szCs w:val="24"/>
        </w:rPr>
        <w:t>结果</w:t>
      </w:r>
    </w:p>
    <w:p>
      <w:pPr>
        <w:tabs>
          <w:tab w:val="left" w:pos="3703"/>
        </w:tabs>
        <w:spacing w:before="157"/>
        <w:ind w:left="2691"/>
        <w:jc w:val="left"/>
        <w:rPr>
          <w:rFonts w:ascii="黑体" w:eastAsia="黑体"/>
          <w:color w:val="auto"/>
        </w:rPr>
      </w:pPr>
      <w:r>
        <w:rPr>
          <w:rFonts w:hint="eastAsia" w:ascii="Times New Roman" w:hAnsi="Times New Roman" w:cs="Times New Roman"/>
          <w:b/>
          <w:bCs/>
          <w:color w:val="auto"/>
          <w:sz w:val="24"/>
          <w:szCs w:val="20"/>
        </w:rPr>
        <w:t>表 3.4-2</w:t>
      </w:r>
      <w:r>
        <w:rPr>
          <w:rFonts w:hint="eastAsia" w:ascii="Times New Roman" w:hAnsi="Times New Roman" w:cs="Times New Roman"/>
          <w:b/>
          <w:bCs/>
          <w:color w:val="auto"/>
          <w:sz w:val="24"/>
          <w:szCs w:val="20"/>
        </w:rPr>
        <w:tab/>
      </w:r>
      <w:r>
        <w:rPr>
          <w:rFonts w:hint="eastAsia" w:ascii="Times New Roman" w:hAnsi="Times New Roman" w:cs="Times New Roman"/>
          <w:b/>
          <w:bCs/>
          <w:color w:val="auto"/>
          <w:sz w:val="24"/>
          <w:szCs w:val="20"/>
        </w:rPr>
        <w:t>地表水监测数据统计表</w:t>
      </w:r>
    </w:p>
    <w:p>
      <w:pPr>
        <w:pStyle w:val="22"/>
        <w:spacing w:before="10"/>
        <w:rPr>
          <w:rFonts w:ascii="黑体"/>
          <w:color w:val="auto"/>
          <w:sz w:val="10"/>
        </w:rPr>
      </w:pPr>
    </w:p>
    <w:tbl>
      <w:tblPr>
        <w:tblStyle w:val="45"/>
        <w:tblW w:w="8640" w:type="dxa"/>
        <w:tblInd w:w="4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9"/>
        <w:gridCol w:w="1047"/>
        <w:gridCol w:w="1051"/>
        <w:gridCol w:w="1058"/>
        <w:gridCol w:w="1049"/>
        <w:gridCol w:w="1140"/>
        <w:gridCol w:w="1061"/>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22" w:hRule="atLeast"/>
        </w:trPr>
        <w:tc>
          <w:tcPr>
            <w:tcW w:w="1109" w:type="dxa"/>
            <w:vMerge w:val="restart"/>
          </w:tcPr>
          <w:p>
            <w:pPr>
              <w:pStyle w:val="247"/>
              <w:spacing w:before="4"/>
              <w:jc w:val="left"/>
              <w:rPr>
                <w:rFonts w:ascii="黑体"/>
                <w:color w:val="auto"/>
                <w:sz w:val="22"/>
              </w:rPr>
            </w:pPr>
          </w:p>
          <w:p>
            <w:pPr>
              <w:pStyle w:val="247"/>
              <w:ind w:left="147"/>
              <w:jc w:val="left"/>
              <w:rPr>
                <w:rFonts w:ascii="宋体" w:eastAsia="宋体"/>
                <w:b/>
                <w:color w:val="auto"/>
              </w:rPr>
            </w:pPr>
            <w:r>
              <w:rPr>
                <w:rFonts w:hint="eastAsia" w:ascii="宋体" w:eastAsia="宋体"/>
                <w:b/>
                <w:color w:val="auto"/>
              </w:rPr>
              <w:t>监测点位</w:t>
            </w:r>
          </w:p>
        </w:tc>
        <w:tc>
          <w:tcPr>
            <w:tcW w:w="7531" w:type="dxa"/>
            <w:gridSpan w:val="7"/>
          </w:tcPr>
          <w:p>
            <w:pPr>
              <w:pStyle w:val="247"/>
              <w:spacing w:before="96"/>
              <w:ind w:left="2189"/>
              <w:jc w:val="left"/>
              <w:rPr>
                <w:rFonts w:ascii="宋体" w:eastAsia="宋体"/>
                <w:b/>
                <w:color w:val="auto"/>
              </w:rPr>
            </w:pPr>
            <w:r>
              <w:rPr>
                <w:rFonts w:hint="eastAsia" w:ascii="宋体" w:eastAsia="宋体"/>
                <w:b/>
                <w:color w:val="auto"/>
              </w:rPr>
              <w:t xml:space="preserve">监测项目及结果 </w:t>
            </w:r>
            <w:r>
              <w:rPr>
                <w:b/>
                <w:color w:val="auto"/>
              </w:rPr>
              <w:t>mg/L</w:t>
            </w:r>
            <w:r>
              <w:rPr>
                <w:rFonts w:hint="eastAsia" w:ascii="宋体" w:eastAsia="宋体"/>
                <w:b/>
                <w:color w:val="auto"/>
              </w:rPr>
              <w:t>（</w:t>
            </w:r>
            <w:r>
              <w:rPr>
                <w:b/>
                <w:color w:val="auto"/>
              </w:rPr>
              <w:t xml:space="preserve">pH </w:t>
            </w:r>
            <w:r>
              <w:rPr>
                <w:rFonts w:hint="eastAsia" w:ascii="宋体" w:eastAsia="宋体"/>
                <w:b/>
                <w:color w:val="auto"/>
              </w:rPr>
              <w:t>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7" w:hRule="atLeast"/>
        </w:trPr>
        <w:tc>
          <w:tcPr>
            <w:tcW w:w="1109" w:type="dxa"/>
            <w:vMerge w:val="continue"/>
          </w:tcPr>
          <w:p>
            <w:pPr>
              <w:rPr>
                <w:color w:val="auto"/>
                <w:sz w:val="2"/>
                <w:szCs w:val="2"/>
              </w:rPr>
            </w:pPr>
          </w:p>
        </w:tc>
        <w:tc>
          <w:tcPr>
            <w:tcW w:w="1047" w:type="dxa"/>
          </w:tcPr>
          <w:p>
            <w:pPr>
              <w:pStyle w:val="247"/>
              <w:spacing w:before="98"/>
              <w:ind w:left="325" w:right="300"/>
              <w:rPr>
                <w:b/>
                <w:color w:val="auto"/>
              </w:rPr>
            </w:pPr>
            <w:r>
              <w:rPr>
                <w:b/>
                <w:color w:val="auto"/>
              </w:rPr>
              <w:t>pH</w:t>
            </w:r>
          </w:p>
        </w:tc>
        <w:tc>
          <w:tcPr>
            <w:tcW w:w="1051" w:type="dxa"/>
          </w:tcPr>
          <w:p>
            <w:pPr>
              <w:pStyle w:val="247"/>
              <w:spacing w:before="98"/>
              <w:ind w:left="226" w:right="213"/>
              <w:rPr>
                <w:b/>
                <w:color w:val="auto"/>
              </w:rPr>
            </w:pPr>
            <w:r>
              <w:rPr>
                <w:b/>
                <w:color w:val="auto"/>
              </w:rPr>
              <w:t>COD</w:t>
            </w:r>
          </w:p>
        </w:tc>
        <w:tc>
          <w:tcPr>
            <w:tcW w:w="1058" w:type="dxa"/>
          </w:tcPr>
          <w:p>
            <w:pPr>
              <w:pStyle w:val="247"/>
              <w:spacing w:before="94" w:line="253" w:lineRule="exact"/>
              <w:ind w:left="250" w:right="233"/>
              <w:rPr>
                <w:b/>
                <w:color w:val="auto"/>
              </w:rPr>
            </w:pPr>
            <w:r>
              <w:rPr>
                <w:b/>
                <w:color w:val="auto"/>
                <w:position w:val="2"/>
              </w:rPr>
              <w:t>BOD</w:t>
            </w:r>
            <w:r>
              <w:rPr>
                <w:b/>
                <w:color w:val="auto"/>
                <w:position w:val="2"/>
                <w:vertAlign w:val="subscript"/>
              </w:rPr>
              <w:t>5</w:t>
            </w:r>
          </w:p>
        </w:tc>
        <w:tc>
          <w:tcPr>
            <w:tcW w:w="1049" w:type="dxa"/>
          </w:tcPr>
          <w:p>
            <w:pPr>
              <w:pStyle w:val="247"/>
              <w:spacing w:before="67"/>
              <w:ind w:right="294"/>
              <w:jc w:val="right"/>
              <w:rPr>
                <w:rFonts w:ascii="宋体" w:eastAsia="宋体"/>
                <w:b/>
                <w:color w:val="auto"/>
              </w:rPr>
            </w:pPr>
            <w:r>
              <w:rPr>
                <w:rFonts w:hint="eastAsia" w:ascii="宋体" w:eastAsia="宋体"/>
                <w:b/>
                <w:color w:val="auto"/>
                <w:w w:val="95"/>
              </w:rPr>
              <w:t>氨氮</w:t>
            </w:r>
          </w:p>
        </w:tc>
        <w:tc>
          <w:tcPr>
            <w:tcW w:w="1140" w:type="dxa"/>
          </w:tcPr>
          <w:p>
            <w:pPr>
              <w:pStyle w:val="247"/>
              <w:spacing w:before="67"/>
              <w:ind w:left="6"/>
              <w:rPr>
                <w:rFonts w:ascii="宋体" w:eastAsia="宋体"/>
                <w:b/>
                <w:color w:val="auto"/>
              </w:rPr>
            </w:pPr>
            <w:r>
              <w:rPr>
                <w:rFonts w:hint="eastAsia" w:ascii="宋体" w:eastAsia="宋体"/>
                <w:b/>
                <w:color w:val="auto"/>
              </w:rPr>
              <w:t>挥发酚</w:t>
            </w:r>
          </w:p>
        </w:tc>
        <w:tc>
          <w:tcPr>
            <w:tcW w:w="1061" w:type="dxa"/>
          </w:tcPr>
          <w:p>
            <w:pPr>
              <w:pStyle w:val="247"/>
              <w:spacing w:before="67"/>
              <w:ind w:left="101" w:right="97"/>
              <w:rPr>
                <w:rFonts w:ascii="宋体" w:eastAsia="宋体"/>
                <w:b/>
                <w:color w:val="auto"/>
              </w:rPr>
            </w:pPr>
            <w:r>
              <w:rPr>
                <w:rFonts w:hint="eastAsia" w:ascii="宋体" w:eastAsia="宋体"/>
                <w:b/>
                <w:color w:val="auto"/>
              </w:rPr>
              <w:t>石油类</w:t>
            </w:r>
          </w:p>
        </w:tc>
        <w:tc>
          <w:tcPr>
            <w:tcW w:w="1125" w:type="dxa"/>
          </w:tcPr>
          <w:p>
            <w:pPr>
              <w:pStyle w:val="247"/>
              <w:spacing w:before="67"/>
              <w:ind w:left="104" w:right="78"/>
              <w:rPr>
                <w:rFonts w:ascii="宋体" w:eastAsia="宋体"/>
                <w:b/>
                <w:color w:val="auto"/>
              </w:rPr>
            </w:pPr>
            <w:r>
              <w:rPr>
                <w:rFonts w:hint="eastAsia" w:ascii="宋体" w:eastAsia="宋体"/>
                <w:b/>
                <w:color w:val="auto"/>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restart"/>
          </w:tcPr>
          <w:p>
            <w:pPr>
              <w:pStyle w:val="247"/>
              <w:jc w:val="left"/>
              <w:rPr>
                <w:rFonts w:ascii="黑体"/>
                <w:color w:val="auto"/>
                <w:sz w:val="22"/>
              </w:rPr>
            </w:pPr>
          </w:p>
          <w:p>
            <w:pPr>
              <w:pStyle w:val="247"/>
              <w:spacing w:before="7"/>
              <w:jc w:val="left"/>
              <w:rPr>
                <w:rFonts w:ascii="黑体"/>
                <w:color w:val="auto"/>
                <w:sz w:val="28"/>
              </w:rPr>
            </w:pPr>
          </w:p>
          <w:p>
            <w:pPr>
              <w:pStyle w:val="247"/>
              <w:spacing w:before="1"/>
              <w:ind w:left="429" w:right="413"/>
              <w:rPr>
                <w:color w:val="auto"/>
              </w:rPr>
            </w:pPr>
            <w:r>
              <w:rPr>
                <w:color w:val="auto"/>
              </w:rPr>
              <w:t>S1</w:t>
            </w:r>
          </w:p>
        </w:tc>
        <w:tc>
          <w:tcPr>
            <w:tcW w:w="1047" w:type="dxa"/>
          </w:tcPr>
          <w:p>
            <w:pPr>
              <w:pStyle w:val="247"/>
              <w:spacing w:before="115"/>
              <w:ind w:left="329" w:right="300"/>
              <w:rPr>
                <w:color w:val="auto"/>
              </w:rPr>
            </w:pPr>
            <w:r>
              <w:rPr>
                <w:color w:val="auto"/>
              </w:rPr>
              <w:t>7.65</w:t>
            </w:r>
          </w:p>
        </w:tc>
        <w:tc>
          <w:tcPr>
            <w:tcW w:w="1051" w:type="dxa"/>
          </w:tcPr>
          <w:p>
            <w:pPr>
              <w:pStyle w:val="247"/>
              <w:spacing w:before="115"/>
              <w:ind w:left="242" w:right="213"/>
              <w:rPr>
                <w:color w:val="auto"/>
              </w:rPr>
            </w:pPr>
            <w:r>
              <w:rPr>
                <w:color w:val="auto"/>
              </w:rPr>
              <w:t>19</w:t>
            </w:r>
          </w:p>
        </w:tc>
        <w:tc>
          <w:tcPr>
            <w:tcW w:w="1058" w:type="dxa"/>
          </w:tcPr>
          <w:p>
            <w:pPr>
              <w:pStyle w:val="247"/>
              <w:spacing w:before="115"/>
              <w:ind w:left="250" w:right="223"/>
              <w:rPr>
                <w:color w:val="auto"/>
              </w:rPr>
            </w:pPr>
            <w:r>
              <w:rPr>
                <w:color w:val="auto"/>
              </w:rPr>
              <w:t>1.0</w:t>
            </w:r>
          </w:p>
        </w:tc>
        <w:tc>
          <w:tcPr>
            <w:tcW w:w="1049" w:type="dxa"/>
          </w:tcPr>
          <w:p>
            <w:pPr>
              <w:pStyle w:val="247"/>
              <w:spacing w:before="115"/>
              <w:ind w:right="266"/>
              <w:jc w:val="right"/>
              <w:rPr>
                <w:color w:val="auto"/>
              </w:rPr>
            </w:pPr>
            <w:r>
              <w:rPr>
                <w:color w:val="auto"/>
              </w:rPr>
              <w:t>0.124</w:t>
            </w:r>
          </w:p>
        </w:tc>
        <w:tc>
          <w:tcPr>
            <w:tcW w:w="1140" w:type="dxa"/>
          </w:tcPr>
          <w:p>
            <w:pPr>
              <w:pStyle w:val="247"/>
              <w:spacing w:line="229" w:lineRule="exact"/>
              <w:ind w:left="28"/>
              <w:rPr>
                <w:color w:val="auto"/>
              </w:rPr>
            </w:pPr>
            <w:r>
              <w:rPr>
                <w:color w:val="auto"/>
              </w:rPr>
              <w:t>ND</w:t>
            </w:r>
          </w:p>
          <w:p>
            <w:pPr>
              <w:pStyle w:val="247"/>
              <w:spacing w:line="231"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9" w:lineRule="exact"/>
              <w:ind w:left="122" w:right="97"/>
              <w:rPr>
                <w:color w:val="auto"/>
              </w:rPr>
            </w:pPr>
            <w:r>
              <w:rPr>
                <w:color w:val="auto"/>
              </w:rPr>
              <w:t>ND</w:t>
            </w:r>
          </w:p>
          <w:p>
            <w:pPr>
              <w:pStyle w:val="247"/>
              <w:spacing w:line="231"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9" w:lineRule="exact"/>
              <w:ind w:left="104" w:right="81"/>
              <w:rPr>
                <w:color w:val="auto"/>
              </w:rPr>
            </w:pPr>
            <w:r>
              <w:rPr>
                <w:color w:val="auto"/>
              </w:rPr>
              <w:t>ND</w:t>
            </w:r>
          </w:p>
          <w:p>
            <w:pPr>
              <w:pStyle w:val="247"/>
              <w:spacing w:line="231"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continue"/>
          </w:tcPr>
          <w:p>
            <w:pPr>
              <w:rPr>
                <w:color w:val="auto"/>
                <w:sz w:val="2"/>
                <w:szCs w:val="2"/>
              </w:rPr>
            </w:pPr>
          </w:p>
        </w:tc>
        <w:tc>
          <w:tcPr>
            <w:tcW w:w="1047" w:type="dxa"/>
          </w:tcPr>
          <w:p>
            <w:pPr>
              <w:pStyle w:val="247"/>
              <w:spacing w:before="115"/>
              <w:ind w:left="329" w:right="300"/>
              <w:rPr>
                <w:color w:val="auto"/>
              </w:rPr>
            </w:pPr>
            <w:r>
              <w:rPr>
                <w:color w:val="auto"/>
              </w:rPr>
              <w:t>7.69</w:t>
            </w:r>
          </w:p>
        </w:tc>
        <w:tc>
          <w:tcPr>
            <w:tcW w:w="1051" w:type="dxa"/>
          </w:tcPr>
          <w:p>
            <w:pPr>
              <w:pStyle w:val="247"/>
              <w:spacing w:before="115"/>
              <w:ind w:left="242" w:right="213"/>
              <w:rPr>
                <w:color w:val="auto"/>
              </w:rPr>
            </w:pPr>
            <w:r>
              <w:rPr>
                <w:color w:val="auto"/>
              </w:rPr>
              <w:t>21</w:t>
            </w:r>
          </w:p>
        </w:tc>
        <w:tc>
          <w:tcPr>
            <w:tcW w:w="1058" w:type="dxa"/>
          </w:tcPr>
          <w:p>
            <w:pPr>
              <w:pStyle w:val="247"/>
              <w:spacing w:before="115"/>
              <w:ind w:left="250" w:right="223"/>
              <w:rPr>
                <w:color w:val="auto"/>
              </w:rPr>
            </w:pPr>
            <w:r>
              <w:rPr>
                <w:color w:val="auto"/>
              </w:rPr>
              <w:t>1.2</w:t>
            </w:r>
          </w:p>
        </w:tc>
        <w:tc>
          <w:tcPr>
            <w:tcW w:w="1049" w:type="dxa"/>
          </w:tcPr>
          <w:p>
            <w:pPr>
              <w:pStyle w:val="247"/>
              <w:spacing w:before="115"/>
              <w:ind w:right="266"/>
              <w:jc w:val="right"/>
              <w:rPr>
                <w:color w:val="auto"/>
              </w:rPr>
            </w:pPr>
            <w:r>
              <w:rPr>
                <w:color w:val="auto"/>
              </w:rPr>
              <w:t>0.137</w:t>
            </w:r>
          </w:p>
        </w:tc>
        <w:tc>
          <w:tcPr>
            <w:tcW w:w="1140" w:type="dxa"/>
          </w:tcPr>
          <w:p>
            <w:pPr>
              <w:pStyle w:val="247"/>
              <w:spacing w:line="229" w:lineRule="exact"/>
              <w:ind w:left="28"/>
              <w:rPr>
                <w:color w:val="auto"/>
              </w:rPr>
            </w:pPr>
            <w:r>
              <w:rPr>
                <w:color w:val="auto"/>
              </w:rPr>
              <w:t>ND</w:t>
            </w:r>
          </w:p>
          <w:p>
            <w:pPr>
              <w:pStyle w:val="247"/>
              <w:spacing w:line="231"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9" w:lineRule="exact"/>
              <w:ind w:left="122" w:right="97"/>
              <w:rPr>
                <w:color w:val="auto"/>
              </w:rPr>
            </w:pPr>
            <w:r>
              <w:rPr>
                <w:color w:val="auto"/>
              </w:rPr>
              <w:t>ND</w:t>
            </w:r>
          </w:p>
          <w:p>
            <w:pPr>
              <w:pStyle w:val="247"/>
              <w:spacing w:line="231"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9" w:lineRule="exact"/>
              <w:ind w:left="104" w:right="81"/>
              <w:rPr>
                <w:color w:val="auto"/>
              </w:rPr>
            </w:pPr>
            <w:r>
              <w:rPr>
                <w:color w:val="auto"/>
              </w:rPr>
              <w:t>ND</w:t>
            </w:r>
          </w:p>
          <w:p>
            <w:pPr>
              <w:pStyle w:val="247"/>
              <w:spacing w:line="231"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continue"/>
          </w:tcPr>
          <w:p>
            <w:pPr>
              <w:rPr>
                <w:color w:val="auto"/>
                <w:sz w:val="2"/>
                <w:szCs w:val="2"/>
              </w:rPr>
            </w:pPr>
          </w:p>
        </w:tc>
        <w:tc>
          <w:tcPr>
            <w:tcW w:w="1047" w:type="dxa"/>
          </w:tcPr>
          <w:p>
            <w:pPr>
              <w:pStyle w:val="247"/>
              <w:spacing w:before="114"/>
              <w:ind w:left="329" w:right="300"/>
              <w:rPr>
                <w:color w:val="auto"/>
              </w:rPr>
            </w:pPr>
            <w:r>
              <w:rPr>
                <w:color w:val="auto"/>
              </w:rPr>
              <w:t>7.83</w:t>
            </w:r>
          </w:p>
        </w:tc>
        <w:tc>
          <w:tcPr>
            <w:tcW w:w="1051" w:type="dxa"/>
          </w:tcPr>
          <w:p>
            <w:pPr>
              <w:pStyle w:val="247"/>
              <w:spacing w:before="114"/>
              <w:ind w:left="242" w:right="213"/>
              <w:rPr>
                <w:color w:val="auto"/>
              </w:rPr>
            </w:pPr>
            <w:r>
              <w:rPr>
                <w:color w:val="auto"/>
              </w:rPr>
              <w:t>18</w:t>
            </w:r>
          </w:p>
        </w:tc>
        <w:tc>
          <w:tcPr>
            <w:tcW w:w="1058" w:type="dxa"/>
          </w:tcPr>
          <w:p>
            <w:pPr>
              <w:pStyle w:val="247"/>
              <w:spacing w:before="114"/>
              <w:ind w:left="250" w:right="223"/>
              <w:rPr>
                <w:color w:val="auto"/>
              </w:rPr>
            </w:pPr>
            <w:r>
              <w:rPr>
                <w:color w:val="auto"/>
              </w:rPr>
              <w:t>1.1</w:t>
            </w:r>
          </w:p>
        </w:tc>
        <w:tc>
          <w:tcPr>
            <w:tcW w:w="1049" w:type="dxa"/>
          </w:tcPr>
          <w:p>
            <w:pPr>
              <w:pStyle w:val="247"/>
              <w:spacing w:before="114"/>
              <w:ind w:right="266"/>
              <w:jc w:val="right"/>
              <w:rPr>
                <w:color w:val="auto"/>
              </w:rPr>
            </w:pPr>
            <w:r>
              <w:rPr>
                <w:color w:val="auto"/>
              </w:rPr>
              <w:t>0.127</w:t>
            </w:r>
          </w:p>
        </w:tc>
        <w:tc>
          <w:tcPr>
            <w:tcW w:w="1140" w:type="dxa"/>
          </w:tcPr>
          <w:p>
            <w:pPr>
              <w:pStyle w:val="247"/>
              <w:spacing w:line="228" w:lineRule="exact"/>
              <w:ind w:left="28"/>
              <w:rPr>
                <w:color w:val="auto"/>
              </w:rPr>
            </w:pPr>
            <w:r>
              <w:rPr>
                <w:color w:val="auto"/>
              </w:rPr>
              <w:t>ND</w:t>
            </w:r>
          </w:p>
          <w:p>
            <w:pPr>
              <w:pStyle w:val="247"/>
              <w:spacing w:line="232"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8" w:lineRule="exact"/>
              <w:ind w:left="122" w:right="97"/>
              <w:rPr>
                <w:color w:val="auto"/>
              </w:rPr>
            </w:pPr>
            <w:r>
              <w:rPr>
                <w:color w:val="auto"/>
              </w:rPr>
              <w:t>ND</w:t>
            </w:r>
          </w:p>
          <w:p>
            <w:pPr>
              <w:pStyle w:val="247"/>
              <w:spacing w:line="232"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8" w:lineRule="exact"/>
              <w:ind w:left="104" w:right="81"/>
              <w:rPr>
                <w:color w:val="auto"/>
              </w:rPr>
            </w:pPr>
            <w:r>
              <w:rPr>
                <w:color w:val="auto"/>
              </w:rPr>
              <w:t>ND</w:t>
            </w:r>
          </w:p>
          <w:p>
            <w:pPr>
              <w:pStyle w:val="247"/>
              <w:spacing w:line="232"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4" w:hRule="atLeast"/>
        </w:trPr>
        <w:tc>
          <w:tcPr>
            <w:tcW w:w="1109" w:type="dxa"/>
          </w:tcPr>
          <w:p>
            <w:pPr>
              <w:pStyle w:val="247"/>
              <w:spacing w:line="312" w:lineRule="exact"/>
              <w:ind w:left="217" w:right="207"/>
              <w:jc w:val="left"/>
              <w:rPr>
                <w:rFonts w:ascii="宋体" w:eastAsia="宋体"/>
                <w:color w:val="auto"/>
              </w:rPr>
            </w:pPr>
            <w:r>
              <w:rPr>
                <w:rFonts w:hint="eastAsia" w:ascii="宋体" w:eastAsia="宋体"/>
                <w:color w:val="auto"/>
                <w:w w:val="95"/>
              </w:rPr>
              <w:t>最大超标倍数</w:t>
            </w:r>
          </w:p>
        </w:tc>
        <w:tc>
          <w:tcPr>
            <w:tcW w:w="1047" w:type="dxa"/>
          </w:tcPr>
          <w:p>
            <w:pPr>
              <w:pStyle w:val="247"/>
              <w:spacing w:before="6"/>
              <w:jc w:val="left"/>
              <w:rPr>
                <w:rFonts w:ascii="黑体"/>
                <w:color w:val="auto"/>
                <w:sz w:val="17"/>
              </w:rPr>
            </w:pPr>
          </w:p>
          <w:p>
            <w:pPr>
              <w:pStyle w:val="247"/>
              <w:ind w:left="29"/>
              <w:rPr>
                <w:color w:val="auto"/>
              </w:rPr>
            </w:pPr>
            <w:r>
              <w:rPr>
                <w:color w:val="auto"/>
                <w:w w:val="99"/>
              </w:rPr>
              <w:t>0</w:t>
            </w:r>
          </w:p>
        </w:tc>
        <w:tc>
          <w:tcPr>
            <w:tcW w:w="1051" w:type="dxa"/>
          </w:tcPr>
          <w:p>
            <w:pPr>
              <w:pStyle w:val="247"/>
              <w:spacing w:before="6"/>
              <w:jc w:val="left"/>
              <w:rPr>
                <w:rFonts w:ascii="黑体"/>
                <w:color w:val="auto"/>
                <w:sz w:val="17"/>
              </w:rPr>
            </w:pPr>
          </w:p>
          <w:p>
            <w:pPr>
              <w:pStyle w:val="247"/>
              <w:ind w:left="242" w:right="213"/>
              <w:rPr>
                <w:color w:val="auto"/>
              </w:rPr>
            </w:pPr>
            <w:r>
              <w:rPr>
                <w:color w:val="auto"/>
              </w:rPr>
              <w:t>0.05</w:t>
            </w:r>
          </w:p>
        </w:tc>
        <w:tc>
          <w:tcPr>
            <w:tcW w:w="1058" w:type="dxa"/>
          </w:tcPr>
          <w:p>
            <w:pPr>
              <w:pStyle w:val="247"/>
              <w:spacing w:before="6"/>
              <w:jc w:val="left"/>
              <w:rPr>
                <w:rFonts w:ascii="黑体"/>
                <w:color w:val="auto"/>
                <w:sz w:val="17"/>
              </w:rPr>
            </w:pPr>
          </w:p>
          <w:p>
            <w:pPr>
              <w:pStyle w:val="247"/>
              <w:ind w:left="27"/>
              <w:rPr>
                <w:color w:val="auto"/>
              </w:rPr>
            </w:pPr>
            <w:r>
              <w:rPr>
                <w:color w:val="auto"/>
                <w:w w:val="99"/>
              </w:rPr>
              <w:t>0</w:t>
            </w:r>
          </w:p>
        </w:tc>
        <w:tc>
          <w:tcPr>
            <w:tcW w:w="1049" w:type="dxa"/>
          </w:tcPr>
          <w:p>
            <w:pPr>
              <w:pStyle w:val="247"/>
              <w:spacing w:before="6"/>
              <w:jc w:val="left"/>
              <w:rPr>
                <w:rFonts w:ascii="黑体"/>
                <w:color w:val="auto"/>
                <w:sz w:val="17"/>
              </w:rPr>
            </w:pPr>
          </w:p>
          <w:p>
            <w:pPr>
              <w:pStyle w:val="247"/>
              <w:ind w:left="17"/>
              <w:rPr>
                <w:color w:val="auto"/>
              </w:rPr>
            </w:pPr>
            <w:r>
              <w:rPr>
                <w:color w:val="auto"/>
                <w:w w:val="99"/>
              </w:rPr>
              <w:t>0</w:t>
            </w:r>
          </w:p>
        </w:tc>
        <w:tc>
          <w:tcPr>
            <w:tcW w:w="1140" w:type="dxa"/>
          </w:tcPr>
          <w:p>
            <w:pPr>
              <w:pStyle w:val="247"/>
              <w:spacing w:before="6"/>
              <w:jc w:val="left"/>
              <w:rPr>
                <w:rFonts w:ascii="黑体"/>
                <w:color w:val="auto"/>
                <w:sz w:val="17"/>
              </w:rPr>
            </w:pPr>
          </w:p>
          <w:p>
            <w:pPr>
              <w:pStyle w:val="247"/>
              <w:ind w:left="12"/>
              <w:rPr>
                <w:color w:val="auto"/>
              </w:rPr>
            </w:pPr>
            <w:r>
              <w:rPr>
                <w:color w:val="auto"/>
                <w:w w:val="99"/>
              </w:rPr>
              <w:t>0</w:t>
            </w:r>
          </w:p>
        </w:tc>
        <w:tc>
          <w:tcPr>
            <w:tcW w:w="1061" w:type="dxa"/>
          </w:tcPr>
          <w:p>
            <w:pPr>
              <w:pStyle w:val="247"/>
              <w:spacing w:before="6"/>
              <w:jc w:val="left"/>
              <w:rPr>
                <w:rFonts w:ascii="黑体"/>
                <w:color w:val="auto"/>
                <w:sz w:val="17"/>
              </w:rPr>
            </w:pPr>
          </w:p>
          <w:p>
            <w:pPr>
              <w:pStyle w:val="247"/>
              <w:ind w:left="15"/>
              <w:rPr>
                <w:color w:val="auto"/>
              </w:rPr>
            </w:pPr>
            <w:r>
              <w:rPr>
                <w:color w:val="auto"/>
                <w:w w:val="99"/>
              </w:rPr>
              <w:t>0</w:t>
            </w:r>
          </w:p>
        </w:tc>
        <w:tc>
          <w:tcPr>
            <w:tcW w:w="1125" w:type="dxa"/>
          </w:tcPr>
          <w:p>
            <w:pPr>
              <w:pStyle w:val="247"/>
              <w:spacing w:before="6"/>
              <w:jc w:val="left"/>
              <w:rPr>
                <w:rFonts w:ascii="黑体"/>
                <w:color w:val="auto"/>
                <w:sz w:val="17"/>
              </w:rPr>
            </w:pPr>
          </w:p>
          <w:p>
            <w:pPr>
              <w:pStyle w:val="247"/>
              <w:ind w:left="12"/>
              <w:rPr>
                <w:color w:val="auto"/>
              </w:rPr>
            </w:pPr>
            <w:r>
              <w:rPr>
                <w:color w:val="auto"/>
                <w:w w:val="99"/>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27" w:hRule="atLeast"/>
        </w:trPr>
        <w:tc>
          <w:tcPr>
            <w:tcW w:w="1109" w:type="dxa"/>
          </w:tcPr>
          <w:p>
            <w:pPr>
              <w:pStyle w:val="247"/>
              <w:spacing w:before="49" w:line="259" w:lineRule="exact"/>
              <w:ind w:right="100"/>
              <w:jc w:val="right"/>
              <w:rPr>
                <w:color w:val="auto"/>
              </w:rPr>
            </w:pPr>
            <w:r>
              <w:rPr>
                <w:rFonts w:hint="eastAsia" w:ascii="宋体" w:eastAsia="宋体"/>
                <w:color w:val="auto"/>
                <w:w w:val="95"/>
              </w:rPr>
              <w:t>超标率</w:t>
            </w:r>
            <w:r>
              <w:rPr>
                <w:color w:val="auto"/>
                <w:w w:val="95"/>
              </w:rPr>
              <w:t>%</w:t>
            </w:r>
          </w:p>
        </w:tc>
        <w:tc>
          <w:tcPr>
            <w:tcW w:w="1047" w:type="dxa"/>
          </w:tcPr>
          <w:p>
            <w:pPr>
              <w:pStyle w:val="247"/>
              <w:spacing w:before="77" w:line="231" w:lineRule="exact"/>
              <w:ind w:left="29"/>
              <w:rPr>
                <w:color w:val="auto"/>
              </w:rPr>
            </w:pPr>
            <w:r>
              <w:rPr>
                <w:color w:val="auto"/>
                <w:w w:val="99"/>
              </w:rPr>
              <w:t>0</w:t>
            </w:r>
          </w:p>
        </w:tc>
        <w:tc>
          <w:tcPr>
            <w:tcW w:w="1051" w:type="dxa"/>
          </w:tcPr>
          <w:p>
            <w:pPr>
              <w:pStyle w:val="247"/>
              <w:spacing w:before="77" w:line="231" w:lineRule="exact"/>
              <w:ind w:left="244" w:right="213"/>
              <w:rPr>
                <w:color w:val="auto"/>
              </w:rPr>
            </w:pPr>
            <w:r>
              <w:rPr>
                <w:color w:val="auto"/>
              </w:rPr>
              <w:t>33.3%</w:t>
            </w:r>
          </w:p>
        </w:tc>
        <w:tc>
          <w:tcPr>
            <w:tcW w:w="1058" w:type="dxa"/>
          </w:tcPr>
          <w:p>
            <w:pPr>
              <w:pStyle w:val="247"/>
              <w:spacing w:before="77" w:line="231" w:lineRule="exact"/>
              <w:ind w:left="27"/>
              <w:rPr>
                <w:color w:val="auto"/>
              </w:rPr>
            </w:pPr>
            <w:r>
              <w:rPr>
                <w:color w:val="auto"/>
                <w:w w:val="99"/>
              </w:rPr>
              <w:t>0</w:t>
            </w:r>
          </w:p>
        </w:tc>
        <w:tc>
          <w:tcPr>
            <w:tcW w:w="1049" w:type="dxa"/>
          </w:tcPr>
          <w:p>
            <w:pPr>
              <w:pStyle w:val="247"/>
              <w:spacing w:before="77" w:line="231" w:lineRule="exact"/>
              <w:ind w:left="17"/>
              <w:rPr>
                <w:color w:val="auto"/>
              </w:rPr>
            </w:pPr>
            <w:r>
              <w:rPr>
                <w:color w:val="auto"/>
                <w:w w:val="99"/>
              </w:rPr>
              <w:t>0</w:t>
            </w:r>
          </w:p>
        </w:tc>
        <w:tc>
          <w:tcPr>
            <w:tcW w:w="1140" w:type="dxa"/>
          </w:tcPr>
          <w:p>
            <w:pPr>
              <w:pStyle w:val="247"/>
              <w:spacing w:before="77" w:line="231" w:lineRule="exact"/>
              <w:ind w:left="12"/>
              <w:rPr>
                <w:color w:val="auto"/>
              </w:rPr>
            </w:pPr>
            <w:r>
              <w:rPr>
                <w:color w:val="auto"/>
                <w:w w:val="99"/>
              </w:rPr>
              <w:t>0</w:t>
            </w:r>
          </w:p>
        </w:tc>
        <w:tc>
          <w:tcPr>
            <w:tcW w:w="1061" w:type="dxa"/>
          </w:tcPr>
          <w:p>
            <w:pPr>
              <w:pStyle w:val="247"/>
              <w:spacing w:before="77" w:line="231" w:lineRule="exact"/>
              <w:ind w:left="15"/>
              <w:rPr>
                <w:color w:val="auto"/>
              </w:rPr>
            </w:pPr>
            <w:r>
              <w:rPr>
                <w:color w:val="auto"/>
                <w:w w:val="99"/>
              </w:rPr>
              <w:t>0</w:t>
            </w:r>
          </w:p>
        </w:tc>
        <w:tc>
          <w:tcPr>
            <w:tcW w:w="1125" w:type="dxa"/>
          </w:tcPr>
          <w:p>
            <w:pPr>
              <w:pStyle w:val="247"/>
              <w:spacing w:before="77" w:line="231" w:lineRule="exact"/>
              <w:ind w:left="12"/>
              <w:rPr>
                <w:color w:val="auto"/>
              </w:rPr>
            </w:pPr>
            <w:r>
              <w:rPr>
                <w:color w:val="auto"/>
                <w:w w:val="99"/>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restart"/>
          </w:tcPr>
          <w:p>
            <w:pPr>
              <w:pStyle w:val="247"/>
              <w:jc w:val="left"/>
              <w:rPr>
                <w:rFonts w:ascii="黑体"/>
                <w:color w:val="auto"/>
                <w:sz w:val="22"/>
              </w:rPr>
            </w:pPr>
          </w:p>
          <w:p>
            <w:pPr>
              <w:pStyle w:val="247"/>
              <w:spacing w:before="8"/>
              <w:jc w:val="left"/>
              <w:rPr>
                <w:rFonts w:ascii="黑体"/>
                <w:color w:val="auto"/>
                <w:sz w:val="28"/>
              </w:rPr>
            </w:pPr>
          </w:p>
          <w:p>
            <w:pPr>
              <w:pStyle w:val="247"/>
              <w:ind w:left="429" w:right="413"/>
              <w:rPr>
                <w:color w:val="auto"/>
              </w:rPr>
            </w:pPr>
            <w:r>
              <w:rPr>
                <w:color w:val="auto"/>
              </w:rPr>
              <w:t>S2</w:t>
            </w:r>
          </w:p>
        </w:tc>
        <w:tc>
          <w:tcPr>
            <w:tcW w:w="1047" w:type="dxa"/>
          </w:tcPr>
          <w:p>
            <w:pPr>
              <w:pStyle w:val="247"/>
              <w:spacing w:before="116"/>
              <w:ind w:left="329" w:right="300"/>
              <w:rPr>
                <w:color w:val="auto"/>
              </w:rPr>
            </w:pPr>
            <w:r>
              <w:rPr>
                <w:color w:val="auto"/>
              </w:rPr>
              <w:t>7.84</w:t>
            </w:r>
          </w:p>
        </w:tc>
        <w:tc>
          <w:tcPr>
            <w:tcW w:w="1051" w:type="dxa"/>
          </w:tcPr>
          <w:p>
            <w:pPr>
              <w:pStyle w:val="247"/>
              <w:spacing w:before="116"/>
              <w:ind w:left="242" w:right="213"/>
              <w:rPr>
                <w:color w:val="auto"/>
              </w:rPr>
            </w:pPr>
            <w:r>
              <w:rPr>
                <w:color w:val="auto"/>
              </w:rPr>
              <w:t>14</w:t>
            </w:r>
          </w:p>
        </w:tc>
        <w:tc>
          <w:tcPr>
            <w:tcW w:w="1058" w:type="dxa"/>
          </w:tcPr>
          <w:p>
            <w:pPr>
              <w:pStyle w:val="247"/>
              <w:spacing w:before="116"/>
              <w:ind w:left="250" w:right="223"/>
              <w:rPr>
                <w:color w:val="auto"/>
              </w:rPr>
            </w:pPr>
            <w:r>
              <w:rPr>
                <w:color w:val="auto"/>
              </w:rPr>
              <w:t>0.9</w:t>
            </w:r>
          </w:p>
        </w:tc>
        <w:tc>
          <w:tcPr>
            <w:tcW w:w="1049" w:type="dxa"/>
          </w:tcPr>
          <w:p>
            <w:pPr>
              <w:pStyle w:val="247"/>
              <w:spacing w:before="116"/>
              <w:ind w:right="266"/>
              <w:jc w:val="right"/>
              <w:rPr>
                <w:color w:val="auto"/>
              </w:rPr>
            </w:pPr>
            <w:r>
              <w:rPr>
                <w:color w:val="auto"/>
              </w:rPr>
              <w:t>0.195</w:t>
            </w:r>
          </w:p>
        </w:tc>
        <w:tc>
          <w:tcPr>
            <w:tcW w:w="1140" w:type="dxa"/>
          </w:tcPr>
          <w:p>
            <w:pPr>
              <w:pStyle w:val="247"/>
              <w:spacing w:line="230" w:lineRule="exact"/>
              <w:ind w:left="28"/>
              <w:rPr>
                <w:color w:val="auto"/>
              </w:rPr>
            </w:pPr>
            <w:r>
              <w:rPr>
                <w:color w:val="auto"/>
              </w:rPr>
              <w:t>ND</w:t>
            </w:r>
          </w:p>
          <w:p>
            <w:pPr>
              <w:pStyle w:val="247"/>
              <w:spacing w:line="230"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30" w:lineRule="exact"/>
              <w:ind w:left="122" w:right="97"/>
              <w:rPr>
                <w:color w:val="auto"/>
              </w:rPr>
            </w:pPr>
            <w:r>
              <w:rPr>
                <w:color w:val="auto"/>
              </w:rPr>
              <w:t>ND</w:t>
            </w:r>
          </w:p>
          <w:p>
            <w:pPr>
              <w:pStyle w:val="247"/>
              <w:spacing w:line="230"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30" w:lineRule="exact"/>
              <w:ind w:left="104" w:right="81"/>
              <w:rPr>
                <w:color w:val="auto"/>
              </w:rPr>
            </w:pPr>
            <w:r>
              <w:rPr>
                <w:color w:val="auto"/>
              </w:rPr>
              <w:t>ND</w:t>
            </w:r>
          </w:p>
          <w:p>
            <w:pPr>
              <w:pStyle w:val="247"/>
              <w:spacing w:line="230"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continue"/>
          </w:tcPr>
          <w:p>
            <w:pPr>
              <w:rPr>
                <w:color w:val="auto"/>
                <w:sz w:val="2"/>
                <w:szCs w:val="2"/>
              </w:rPr>
            </w:pPr>
          </w:p>
        </w:tc>
        <w:tc>
          <w:tcPr>
            <w:tcW w:w="1047" w:type="dxa"/>
          </w:tcPr>
          <w:p>
            <w:pPr>
              <w:pStyle w:val="247"/>
              <w:spacing w:before="115"/>
              <w:ind w:left="329" w:right="300"/>
              <w:rPr>
                <w:color w:val="auto"/>
              </w:rPr>
            </w:pPr>
            <w:r>
              <w:rPr>
                <w:color w:val="auto"/>
              </w:rPr>
              <w:t>7.84</w:t>
            </w:r>
          </w:p>
        </w:tc>
        <w:tc>
          <w:tcPr>
            <w:tcW w:w="1051" w:type="dxa"/>
          </w:tcPr>
          <w:p>
            <w:pPr>
              <w:pStyle w:val="247"/>
              <w:spacing w:before="115"/>
              <w:ind w:left="242" w:right="213"/>
              <w:rPr>
                <w:color w:val="auto"/>
              </w:rPr>
            </w:pPr>
            <w:r>
              <w:rPr>
                <w:color w:val="auto"/>
              </w:rPr>
              <w:t>16</w:t>
            </w:r>
          </w:p>
        </w:tc>
        <w:tc>
          <w:tcPr>
            <w:tcW w:w="1058" w:type="dxa"/>
          </w:tcPr>
          <w:p>
            <w:pPr>
              <w:pStyle w:val="247"/>
              <w:spacing w:before="115"/>
              <w:ind w:left="250" w:right="223"/>
              <w:rPr>
                <w:color w:val="auto"/>
              </w:rPr>
            </w:pPr>
            <w:r>
              <w:rPr>
                <w:color w:val="auto"/>
              </w:rPr>
              <w:t>1.0</w:t>
            </w:r>
          </w:p>
        </w:tc>
        <w:tc>
          <w:tcPr>
            <w:tcW w:w="1049" w:type="dxa"/>
          </w:tcPr>
          <w:p>
            <w:pPr>
              <w:pStyle w:val="247"/>
              <w:spacing w:before="115"/>
              <w:ind w:right="319"/>
              <w:jc w:val="right"/>
              <w:rPr>
                <w:color w:val="auto"/>
              </w:rPr>
            </w:pPr>
            <w:r>
              <w:rPr>
                <w:color w:val="auto"/>
              </w:rPr>
              <w:t>0.18</w:t>
            </w:r>
          </w:p>
        </w:tc>
        <w:tc>
          <w:tcPr>
            <w:tcW w:w="1140" w:type="dxa"/>
          </w:tcPr>
          <w:p>
            <w:pPr>
              <w:pStyle w:val="247"/>
              <w:spacing w:line="229" w:lineRule="exact"/>
              <w:ind w:left="28"/>
              <w:rPr>
                <w:color w:val="auto"/>
              </w:rPr>
            </w:pPr>
            <w:r>
              <w:rPr>
                <w:color w:val="auto"/>
              </w:rPr>
              <w:t>ND</w:t>
            </w:r>
          </w:p>
          <w:p>
            <w:pPr>
              <w:pStyle w:val="247"/>
              <w:spacing w:line="231"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9" w:lineRule="exact"/>
              <w:ind w:left="122" w:right="97"/>
              <w:rPr>
                <w:color w:val="auto"/>
              </w:rPr>
            </w:pPr>
            <w:r>
              <w:rPr>
                <w:color w:val="auto"/>
              </w:rPr>
              <w:t>ND</w:t>
            </w:r>
          </w:p>
          <w:p>
            <w:pPr>
              <w:pStyle w:val="247"/>
              <w:spacing w:line="231"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9" w:lineRule="exact"/>
              <w:ind w:left="104" w:right="81"/>
              <w:rPr>
                <w:color w:val="auto"/>
              </w:rPr>
            </w:pPr>
            <w:r>
              <w:rPr>
                <w:color w:val="auto"/>
              </w:rPr>
              <w:t>ND</w:t>
            </w:r>
          </w:p>
          <w:p>
            <w:pPr>
              <w:pStyle w:val="247"/>
              <w:spacing w:line="231"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continue"/>
          </w:tcPr>
          <w:p>
            <w:pPr>
              <w:rPr>
                <w:color w:val="auto"/>
                <w:sz w:val="2"/>
                <w:szCs w:val="2"/>
              </w:rPr>
            </w:pPr>
          </w:p>
        </w:tc>
        <w:tc>
          <w:tcPr>
            <w:tcW w:w="1047" w:type="dxa"/>
          </w:tcPr>
          <w:p>
            <w:pPr>
              <w:pStyle w:val="247"/>
              <w:spacing w:before="114"/>
              <w:ind w:left="329" w:right="300"/>
              <w:rPr>
                <w:color w:val="auto"/>
              </w:rPr>
            </w:pPr>
            <w:r>
              <w:rPr>
                <w:color w:val="auto"/>
              </w:rPr>
              <w:t>7.84</w:t>
            </w:r>
          </w:p>
        </w:tc>
        <w:tc>
          <w:tcPr>
            <w:tcW w:w="1051" w:type="dxa"/>
          </w:tcPr>
          <w:p>
            <w:pPr>
              <w:pStyle w:val="247"/>
              <w:spacing w:before="114"/>
              <w:ind w:left="242" w:right="213"/>
              <w:rPr>
                <w:color w:val="auto"/>
              </w:rPr>
            </w:pPr>
            <w:r>
              <w:rPr>
                <w:color w:val="auto"/>
              </w:rPr>
              <w:t>15</w:t>
            </w:r>
          </w:p>
        </w:tc>
        <w:tc>
          <w:tcPr>
            <w:tcW w:w="1058" w:type="dxa"/>
          </w:tcPr>
          <w:p>
            <w:pPr>
              <w:pStyle w:val="247"/>
              <w:spacing w:before="114"/>
              <w:ind w:left="250" w:right="223"/>
              <w:rPr>
                <w:color w:val="auto"/>
              </w:rPr>
            </w:pPr>
            <w:r>
              <w:rPr>
                <w:color w:val="auto"/>
              </w:rPr>
              <w:t>1.2</w:t>
            </w:r>
          </w:p>
        </w:tc>
        <w:tc>
          <w:tcPr>
            <w:tcW w:w="1049" w:type="dxa"/>
          </w:tcPr>
          <w:p>
            <w:pPr>
              <w:pStyle w:val="247"/>
              <w:spacing w:before="114"/>
              <w:ind w:right="266"/>
              <w:jc w:val="right"/>
              <w:rPr>
                <w:color w:val="auto"/>
              </w:rPr>
            </w:pPr>
            <w:r>
              <w:rPr>
                <w:color w:val="auto"/>
              </w:rPr>
              <w:t>0.167</w:t>
            </w:r>
          </w:p>
        </w:tc>
        <w:tc>
          <w:tcPr>
            <w:tcW w:w="1140" w:type="dxa"/>
          </w:tcPr>
          <w:p>
            <w:pPr>
              <w:pStyle w:val="247"/>
              <w:spacing w:line="228" w:lineRule="exact"/>
              <w:ind w:left="28"/>
              <w:rPr>
                <w:color w:val="auto"/>
              </w:rPr>
            </w:pPr>
            <w:r>
              <w:rPr>
                <w:color w:val="auto"/>
              </w:rPr>
              <w:t>ND</w:t>
            </w:r>
          </w:p>
          <w:p>
            <w:pPr>
              <w:pStyle w:val="247"/>
              <w:spacing w:line="232"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8" w:lineRule="exact"/>
              <w:ind w:left="122" w:right="97"/>
              <w:rPr>
                <w:color w:val="auto"/>
              </w:rPr>
            </w:pPr>
            <w:r>
              <w:rPr>
                <w:color w:val="auto"/>
              </w:rPr>
              <w:t>ND</w:t>
            </w:r>
          </w:p>
          <w:p>
            <w:pPr>
              <w:pStyle w:val="247"/>
              <w:spacing w:line="232"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8" w:lineRule="exact"/>
              <w:ind w:left="104" w:right="81"/>
              <w:rPr>
                <w:color w:val="auto"/>
              </w:rPr>
            </w:pPr>
            <w:r>
              <w:rPr>
                <w:color w:val="auto"/>
              </w:rPr>
              <w:t>ND</w:t>
            </w:r>
          </w:p>
          <w:p>
            <w:pPr>
              <w:pStyle w:val="247"/>
              <w:spacing w:line="232"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3" w:hRule="atLeast"/>
        </w:trPr>
        <w:tc>
          <w:tcPr>
            <w:tcW w:w="1109" w:type="dxa"/>
          </w:tcPr>
          <w:p>
            <w:pPr>
              <w:pStyle w:val="247"/>
              <w:spacing w:line="312" w:lineRule="exact"/>
              <w:ind w:left="217" w:right="207"/>
              <w:jc w:val="left"/>
              <w:rPr>
                <w:rFonts w:ascii="宋体" w:eastAsia="宋体"/>
                <w:color w:val="auto"/>
              </w:rPr>
            </w:pPr>
            <w:r>
              <w:rPr>
                <w:rFonts w:hint="eastAsia" w:ascii="宋体" w:eastAsia="宋体"/>
                <w:color w:val="auto"/>
                <w:w w:val="95"/>
              </w:rPr>
              <w:t>最大超标倍数</w:t>
            </w:r>
          </w:p>
        </w:tc>
        <w:tc>
          <w:tcPr>
            <w:tcW w:w="1047" w:type="dxa"/>
          </w:tcPr>
          <w:p>
            <w:pPr>
              <w:pStyle w:val="247"/>
              <w:spacing w:before="6"/>
              <w:jc w:val="left"/>
              <w:rPr>
                <w:rFonts w:ascii="黑体"/>
                <w:color w:val="auto"/>
                <w:sz w:val="17"/>
              </w:rPr>
            </w:pPr>
          </w:p>
          <w:p>
            <w:pPr>
              <w:pStyle w:val="247"/>
              <w:ind w:left="29"/>
              <w:rPr>
                <w:color w:val="auto"/>
              </w:rPr>
            </w:pPr>
            <w:r>
              <w:rPr>
                <w:color w:val="auto"/>
                <w:w w:val="99"/>
              </w:rPr>
              <w:t>0</w:t>
            </w:r>
          </w:p>
        </w:tc>
        <w:tc>
          <w:tcPr>
            <w:tcW w:w="1051" w:type="dxa"/>
          </w:tcPr>
          <w:p>
            <w:pPr>
              <w:pStyle w:val="247"/>
              <w:spacing w:before="6"/>
              <w:jc w:val="left"/>
              <w:rPr>
                <w:rFonts w:ascii="黑体"/>
                <w:color w:val="auto"/>
                <w:sz w:val="17"/>
              </w:rPr>
            </w:pPr>
          </w:p>
          <w:p>
            <w:pPr>
              <w:pStyle w:val="247"/>
              <w:ind w:left="29"/>
              <w:rPr>
                <w:color w:val="auto"/>
              </w:rPr>
            </w:pPr>
            <w:r>
              <w:rPr>
                <w:color w:val="auto"/>
                <w:w w:val="99"/>
              </w:rPr>
              <w:t>0</w:t>
            </w:r>
          </w:p>
        </w:tc>
        <w:tc>
          <w:tcPr>
            <w:tcW w:w="1058" w:type="dxa"/>
          </w:tcPr>
          <w:p>
            <w:pPr>
              <w:pStyle w:val="247"/>
              <w:spacing w:before="6"/>
              <w:jc w:val="left"/>
              <w:rPr>
                <w:rFonts w:ascii="黑体"/>
                <w:color w:val="auto"/>
                <w:sz w:val="17"/>
              </w:rPr>
            </w:pPr>
          </w:p>
          <w:p>
            <w:pPr>
              <w:pStyle w:val="247"/>
              <w:ind w:left="27"/>
              <w:rPr>
                <w:color w:val="auto"/>
              </w:rPr>
            </w:pPr>
            <w:r>
              <w:rPr>
                <w:color w:val="auto"/>
                <w:w w:val="99"/>
              </w:rPr>
              <w:t>0</w:t>
            </w:r>
          </w:p>
        </w:tc>
        <w:tc>
          <w:tcPr>
            <w:tcW w:w="1049" w:type="dxa"/>
          </w:tcPr>
          <w:p>
            <w:pPr>
              <w:pStyle w:val="247"/>
              <w:spacing w:before="6"/>
              <w:jc w:val="left"/>
              <w:rPr>
                <w:rFonts w:ascii="黑体"/>
                <w:color w:val="auto"/>
                <w:sz w:val="17"/>
              </w:rPr>
            </w:pPr>
          </w:p>
          <w:p>
            <w:pPr>
              <w:pStyle w:val="247"/>
              <w:ind w:left="17"/>
              <w:rPr>
                <w:color w:val="auto"/>
              </w:rPr>
            </w:pPr>
            <w:r>
              <w:rPr>
                <w:color w:val="auto"/>
                <w:w w:val="99"/>
              </w:rPr>
              <w:t>0</w:t>
            </w:r>
          </w:p>
        </w:tc>
        <w:tc>
          <w:tcPr>
            <w:tcW w:w="1140" w:type="dxa"/>
          </w:tcPr>
          <w:p>
            <w:pPr>
              <w:pStyle w:val="247"/>
              <w:spacing w:before="6"/>
              <w:jc w:val="left"/>
              <w:rPr>
                <w:rFonts w:ascii="黑体"/>
                <w:color w:val="auto"/>
                <w:sz w:val="17"/>
              </w:rPr>
            </w:pPr>
          </w:p>
          <w:p>
            <w:pPr>
              <w:pStyle w:val="247"/>
              <w:ind w:left="12"/>
              <w:rPr>
                <w:color w:val="auto"/>
              </w:rPr>
            </w:pPr>
            <w:r>
              <w:rPr>
                <w:color w:val="auto"/>
                <w:w w:val="99"/>
              </w:rPr>
              <w:t>0</w:t>
            </w:r>
          </w:p>
        </w:tc>
        <w:tc>
          <w:tcPr>
            <w:tcW w:w="1061" w:type="dxa"/>
          </w:tcPr>
          <w:p>
            <w:pPr>
              <w:pStyle w:val="247"/>
              <w:spacing w:before="6"/>
              <w:jc w:val="left"/>
              <w:rPr>
                <w:rFonts w:ascii="黑体"/>
                <w:color w:val="auto"/>
                <w:sz w:val="17"/>
              </w:rPr>
            </w:pPr>
          </w:p>
          <w:p>
            <w:pPr>
              <w:pStyle w:val="247"/>
              <w:ind w:left="15"/>
              <w:rPr>
                <w:color w:val="auto"/>
              </w:rPr>
            </w:pPr>
            <w:r>
              <w:rPr>
                <w:color w:val="auto"/>
                <w:w w:val="99"/>
              </w:rPr>
              <w:t>0</w:t>
            </w:r>
          </w:p>
        </w:tc>
        <w:tc>
          <w:tcPr>
            <w:tcW w:w="1125" w:type="dxa"/>
          </w:tcPr>
          <w:p>
            <w:pPr>
              <w:pStyle w:val="247"/>
              <w:spacing w:before="6"/>
              <w:jc w:val="left"/>
              <w:rPr>
                <w:rFonts w:ascii="黑体"/>
                <w:color w:val="auto"/>
                <w:sz w:val="17"/>
              </w:rPr>
            </w:pPr>
          </w:p>
          <w:p>
            <w:pPr>
              <w:pStyle w:val="247"/>
              <w:ind w:left="12"/>
              <w:rPr>
                <w:color w:val="auto"/>
              </w:rPr>
            </w:pPr>
            <w:r>
              <w:rPr>
                <w:color w:val="auto"/>
                <w:w w:val="99"/>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27" w:hRule="atLeast"/>
        </w:trPr>
        <w:tc>
          <w:tcPr>
            <w:tcW w:w="1109" w:type="dxa"/>
          </w:tcPr>
          <w:p>
            <w:pPr>
              <w:pStyle w:val="247"/>
              <w:spacing w:before="49" w:line="259" w:lineRule="exact"/>
              <w:ind w:right="100"/>
              <w:jc w:val="right"/>
              <w:rPr>
                <w:color w:val="auto"/>
              </w:rPr>
            </w:pPr>
            <w:r>
              <w:rPr>
                <w:rFonts w:hint="eastAsia" w:ascii="宋体" w:eastAsia="宋体"/>
                <w:color w:val="auto"/>
                <w:w w:val="95"/>
              </w:rPr>
              <w:t>超标率</w:t>
            </w:r>
            <w:r>
              <w:rPr>
                <w:color w:val="auto"/>
                <w:w w:val="95"/>
              </w:rPr>
              <w:t>%</w:t>
            </w:r>
          </w:p>
        </w:tc>
        <w:tc>
          <w:tcPr>
            <w:tcW w:w="1047" w:type="dxa"/>
          </w:tcPr>
          <w:p>
            <w:pPr>
              <w:pStyle w:val="247"/>
              <w:spacing w:before="77" w:line="231" w:lineRule="exact"/>
              <w:ind w:left="29"/>
              <w:rPr>
                <w:color w:val="auto"/>
              </w:rPr>
            </w:pPr>
            <w:r>
              <w:rPr>
                <w:color w:val="auto"/>
                <w:w w:val="99"/>
              </w:rPr>
              <w:t>0</w:t>
            </w:r>
          </w:p>
        </w:tc>
        <w:tc>
          <w:tcPr>
            <w:tcW w:w="1051" w:type="dxa"/>
          </w:tcPr>
          <w:p>
            <w:pPr>
              <w:pStyle w:val="247"/>
              <w:spacing w:before="77" w:line="231" w:lineRule="exact"/>
              <w:ind w:left="29"/>
              <w:rPr>
                <w:color w:val="auto"/>
              </w:rPr>
            </w:pPr>
            <w:r>
              <w:rPr>
                <w:color w:val="auto"/>
                <w:w w:val="99"/>
              </w:rPr>
              <w:t>0</w:t>
            </w:r>
          </w:p>
        </w:tc>
        <w:tc>
          <w:tcPr>
            <w:tcW w:w="1058" w:type="dxa"/>
          </w:tcPr>
          <w:p>
            <w:pPr>
              <w:pStyle w:val="247"/>
              <w:spacing w:before="77" w:line="231" w:lineRule="exact"/>
              <w:ind w:left="27"/>
              <w:rPr>
                <w:color w:val="auto"/>
              </w:rPr>
            </w:pPr>
            <w:r>
              <w:rPr>
                <w:color w:val="auto"/>
                <w:w w:val="99"/>
              </w:rPr>
              <w:t>0</w:t>
            </w:r>
          </w:p>
        </w:tc>
        <w:tc>
          <w:tcPr>
            <w:tcW w:w="1049" w:type="dxa"/>
          </w:tcPr>
          <w:p>
            <w:pPr>
              <w:pStyle w:val="247"/>
              <w:spacing w:before="77" w:line="231" w:lineRule="exact"/>
              <w:ind w:left="17"/>
              <w:rPr>
                <w:color w:val="auto"/>
              </w:rPr>
            </w:pPr>
            <w:r>
              <w:rPr>
                <w:color w:val="auto"/>
                <w:w w:val="99"/>
              </w:rPr>
              <w:t>0</w:t>
            </w:r>
          </w:p>
        </w:tc>
        <w:tc>
          <w:tcPr>
            <w:tcW w:w="1140" w:type="dxa"/>
          </w:tcPr>
          <w:p>
            <w:pPr>
              <w:pStyle w:val="247"/>
              <w:spacing w:before="77" w:line="231" w:lineRule="exact"/>
              <w:ind w:left="12"/>
              <w:rPr>
                <w:color w:val="auto"/>
              </w:rPr>
            </w:pPr>
            <w:r>
              <w:rPr>
                <w:color w:val="auto"/>
                <w:w w:val="99"/>
              </w:rPr>
              <w:t>0</w:t>
            </w:r>
          </w:p>
        </w:tc>
        <w:tc>
          <w:tcPr>
            <w:tcW w:w="1061" w:type="dxa"/>
          </w:tcPr>
          <w:p>
            <w:pPr>
              <w:pStyle w:val="247"/>
              <w:spacing w:before="77" w:line="231" w:lineRule="exact"/>
              <w:ind w:left="15"/>
              <w:rPr>
                <w:color w:val="auto"/>
              </w:rPr>
            </w:pPr>
            <w:r>
              <w:rPr>
                <w:color w:val="auto"/>
                <w:w w:val="99"/>
              </w:rPr>
              <w:t>0</w:t>
            </w:r>
          </w:p>
        </w:tc>
        <w:tc>
          <w:tcPr>
            <w:tcW w:w="1125" w:type="dxa"/>
          </w:tcPr>
          <w:p>
            <w:pPr>
              <w:pStyle w:val="247"/>
              <w:spacing w:before="77" w:line="231" w:lineRule="exact"/>
              <w:ind w:left="12"/>
              <w:rPr>
                <w:color w:val="auto"/>
              </w:rPr>
            </w:pPr>
            <w:r>
              <w:rPr>
                <w:color w:val="auto"/>
                <w:w w:val="99"/>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4" w:hRule="atLeast"/>
        </w:trPr>
        <w:tc>
          <w:tcPr>
            <w:tcW w:w="1109" w:type="dxa"/>
            <w:vMerge w:val="restart"/>
          </w:tcPr>
          <w:p>
            <w:pPr>
              <w:pStyle w:val="247"/>
              <w:jc w:val="left"/>
              <w:rPr>
                <w:rFonts w:ascii="黑体"/>
                <w:color w:val="auto"/>
                <w:sz w:val="22"/>
              </w:rPr>
            </w:pPr>
          </w:p>
          <w:p>
            <w:pPr>
              <w:pStyle w:val="247"/>
              <w:jc w:val="left"/>
              <w:rPr>
                <w:rFonts w:ascii="黑体"/>
                <w:color w:val="auto"/>
                <w:sz w:val="31"/>
              </w:rPr>
            </w:pPr>
          </w:p>
          <w:p>
            <w:pPr>
              <w:pStyle w:val="247"/>
              <w:spacing w:before="1"/>
              <w:ind w:left="429" w:right="413"/>
              <w:rPr>
                <w:color w:val="auto"/>
              </w:rPr>
            </w:pPr>
            <w:r>
              <w:rPr>
                <w:color w:val="auto"/>
              </w:rPr>
              <w:t>S3</w:t>
            </w:r>
          </w:p>
        </w:tc>
        <w:tc>
          <w:tcPr>
            <w:tcW w:w="1047" w:type="dxa"/>
          </w:tcPr>
          <w:p>
            <w:pPr>
              <w:pStyle w:val="247"/>
              <w:spacing w:before="135"/>
              <w:ind w:left="329" w:right="300"/>
              <w:rPr>
                <w:color w:val="auto"/>
              </w:rPr>
            </w:pPr>
            <w:r>
              <w:rPr>
                <w:color w:val="auto"/>
              </w:rPr>
              <w:t>7.92</w:t>
            </w:r>
          </w:p>
        </w:tc>
        <w:tc>
          <w:tcPr>
            <w:tcW w:w="1051" w:type="dxa"/>
          </w:tcPr>
          <w:p>
            <w:pPr>
              <w:pStyle w:val="247"/>
              <w:spacing w:before="135"/>
              <w:ind w:left="242" w:right="213"/>
              <w:rPr>
                <w:color w:val="auto"/>
              </w:rPr>
            </w:pPr>
            <w:r>
              <w:rPr>
                <w:color w:val="auto"/>
              </w:rPr>
              <w:t>12</w:t>
            </w:r>
          </w:p>
        </w:tc>
        <w:tc>
          <w:tcPr>
            <w:tcW w:w="1058" w:type="dxa"/>
          </w:tcPr>
          <w:p>
            <w:pPr>
              <w:pStyle w:val="247"/>
              <w:spacing w:before="135"/>
              <w:ind w:left="250" w:right="223"/>
              <w:rPr>
                <w:color w:val="auto"/>
              </w:rPr>
            </w:pPr>
            <w:r>
              <w:rPr>
                <w:color w:val="auto"/>
              </w:rPr>
              <w:t>1.1</w:t>
            </w:r>
          </w:p>
        </w:tc>
        <w:tc>
          <w:tcPr>
            <w:tcW w:w="1049" w:type="dxa"/>
          </w:tcPr>
          <w:p>
            <w:pPr>
              <w:pStyle w:val="247"/>
              <w:spacing w:before="135"/>
              <w:ind w:right="319"/>
              <w:jc w:val="right"/>
              <w:rPr>
                <w:color w:val="auto"/>
              </w:rPr>
            </w:pPr>
            <w:r>
              <w:rPr>
                <w:color w:val="auto"/>
              </w:rPr>
              <w:t>0.14</w:t>
            </w:r>
          </w:p>
        </w:tc>
        <w:tc>
          <w:tcPr>
            <w:tcW w:w="1140" w:type="dxa"/>
          </w:tcPr>
          <w:p>
            <w:pPr>
              <w:pStyle w:val="247"/>
              <w:spacing w:line="240" w:lineRule="exact"/>
              <w:ind w:left="28"/>
              <w:rPr>
                <w:color w:val="auto"/>
              </w:rPr>
            </w:pPr>
            <w:r>
              <w:rPr>
                <w:color w:val="auto"/>
              </w:rPr>
              <w:t>ND</w:t>
            </w:r>
          </w:p>
          <w:p>
            <w:pPr>
              <w:pStyle w:val="247"/>
              <w:spacing w:before="1" w:line="253"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40" w:lineRule="exact"/>
              <w:ind w:left="122" w:right="97"/>
              <w:rPr>
                <w:color w:val="auto"/>
              </w:rPr>
            </w:pPr>
            <w:r>
              <w:rPr>
                <w:color w:val="auto"/>
              </w:rPr>
              <w:t>ND</w:t>
            </w:r>
          </w:p>
          <w:p>
            <w:pPr>
              <w:pStyle w:val="247"/>
              <w:spacing w:before="1" w:line="253"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40" w:lineRule="exact"/>
              <w:ind w:left="104" w:right="81"/>
              <w:rPr>
                <w:color w:val="auto"/>
              </w:rPr>
            </w:pPr>
            <w:r>
              <w:rPr>
                <w:color w:val="auto"/>
              </w:rPr>
              <w:t>ND</w:t>
            </w:r>
          </w:p>
          <w:p>
            <w:pPr>
              <w:pStyle w:val="247"/>
              <w:spacing w:before="1" w:line="253"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2" w:hRule="atLeast"/>
        </w:trPr>
        <w:tc>
          <w:tcPr>
            <w:tcW w:w="1109" w:type="dxa"/>
            <w:vMerge w:val="continue"/>
          </w:tcPr>
          <w:p>
            <w:pPr>
              <w:rPr>
                <w:color w:val="auto"/>
                <w:sz w:val="2"/>
                <w:szCs w:val="2"/>
              </w:rPr>
            </w:pPr>
          </w:p>
        </w:tc>
        <w:tc>
          <w:tcPr>
            <w:tcW w:w="1047" w:type="dxa"/>
          </w:tcPr>
          <w:p>
            <w:pPr>
              <w:pStyle w:val="247"/>
              <w:spacing w:before="134"/>
              <w:ind w:left="329" w:right="300"/>
              <w:rPr>
                <w:color w:val="auto"/>
              </w:rPr>
            </w:pPr>
          </w:p>
        </w:tc>
        <w:tc>
          <w:tcPr>
            <w:tcW w:w="1051" w:type="dxa"/>
          </w:tcPr>
          <w:p>
            <w:pPr>
              <w:pStyle w:val="247"/>
              <w:spacing w:before="134"/>
              <w:ind w:left="242" w:right="213"/>
              <w:rPr>
                <w:color w:val="auto"/>
              </w:rPr>
            </w:pPr>
          </w:p>
        </w:tc>
        <w:tc>
          <w:tcPr>
            <w:tcW w:w="1058" w:type="dxa"/>
          </w:tcPr>
          <w:p>
            <w:pPr>
              <w:pStyle w:val="247"/>
              <w:spacing w:before="134"/>
              <w:ind w:left="250" w:right="223"/>
              <w:rPr>
                <w:color w:val="auto"/>
              </w:rPr>
            </w:pPr>
          </w:p>
        </w:tc>
        <w:tc>
          <w:tcPr>
            <w:tcW w:w="1049" w:type="dxa"/>
          </w:tcPr>
          <w:p>
            <w:pPr>
              <w:pStyle w:val="247"/>
              <w:spacing w:before="134"/>
              <w:ind w:right="266"/>
              <w:jc w:val="right"/>
              <w:rPr>
                <w:color w:val="auto"/>
              </w:rPr>
            </w:pPr>
          </w:p>
        </w:tc>
        <w:tc>
          <w:tcPr>
            <w:tcW w:w="1140" w:type="dxa"/>
          </w:tcPr>
          <w:p>
            <w:pPr>
              <w:pStyle w:val="247"/>
              <w:spacing w:line="252" w:lineRule="exact"/>
              <w:ind w:left="100"/>
              <w:rPr>
                <w:rFonts w:hint="eastAsia" w:ascii="宋体" w:eastAsia="宋体"/>
                <w:color w:val="auto"/>
              </w:rPr>
            </w:pPr>
          </w:p>
        </w:tc>
        <w:tc>
          <w:tcPr>
            <w:tcW w:w="1061" w:type="dxa"/>
          </w:tcPr>
          <w:p>
            <w:pPr>
              <w:pStyle w:val="247"/>
              <w:spacing w:line="252" w:lineRule="exact"/>
              <w:ind w:left="125" w:right="97"/>
              <w:rPr>
                <w:rFonts w:hint="eastAsia" w:ascii="宋体" w:eastAsia="宋体"/>
                <w:color w:val="auto"/>
              </w:rPr>
            </w:pPr>
          </w:p>
        </w:tc>
        <w:tc>
          <w:tcPr>
            <w:tcW w:w="1125" w:type="dxa"/>
          </w:tcPr>
          <w:p>
            <w:pPr>
              <w:pStyle w:val="247"/>
              <w:spacing w:line="252" w:lineRule="exact"/>
              <w:ind w:left="104" w:right="83"/>
              <w:rPr>
                <w:rFonts w:hint="eastAsia" w:ascii="宋体" w:eastAsia="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2" w:hRule="atLeast"/>
        </w:trPr>
        <w:tc>
          <w:tcPr>
            <w:tcW w:w="1109" w:type="dxa"/>
            <w:vMerge w:val="continue"/>
          </w:tcPr>
          <w:p>
            <w:pPr>
              <w:rPr>
                <w:color w:val="auto"/>
                <w:sz w:val="2"/>
                <w:szCs w:val="2"/>
              </w:rPr>
            </w:pPr>
          </w:p>
        </w:tc>
        <w:tc>
          <w:tcPr>
            <w:tcW w:w="1047" w:type="dxa"/>
          </w:tcPr>
          <w:p>
            <w:pPr>
              <w:pStyle w:val="247"/>
              <w:spacing w:before="134"/>
              <w:ind w:left="329" w:right="300"/>
              <w:rPr>
                <w:color w:val="auto"/>
              </w:rPr>
            </w:pPr>
            <w:r>
              <w:rPr>
                <w:color w:val="auto"/>
              </w:rPr>
              <w:t>7.93</w:t>
            </w:r>
          </w:p>
        </w:tc>
        <w:tc>
          <w:tcPr>
            <w:tcW w:w="1051" w:type="dxa"/>
          </w:tcPr>
          <w:p>
            <w:pPr>
              <w:pStyle w:val="247"/>
              <w:spacing w:before="134"/>
              <w:ind w:left="242" w:right="213"/>
              <w:rPr>
                <w:color w:val="auto"/>
              </w:rPr>
            </w:pPr>
            <w:r>
              <w:rPr>
                <w:color w:val="auto"/>
              </w:rPr>
              <w:t>13</w:t>
            </w:r>
          </w:p>
        </w:tc>
        <w:tc>
          <w:tcPr>
            <w:tcW w:w="1058" w:type="dxa"/>
          </w:tcPr>
          <w:p>
            <w:pPr>
              <w:pStyle w:val="247"/>
              <w:spacing w:before="134"/>
              <w:ind w:left="250" w:right="223"/>
              <w:rPr>
                <w:color w:val="auto"/>
              </w:rPr>
            </w:pPr>
            <w:r>
              <w:rPr>
                <w:color w:val="auto"/>
              </w:rPr>
              <w:t>1.4</w:t>
            </w:r>
          </w:p>
        </w:tc>
        <w:tc>
          <w:tcPr>
            <w:tcW w:w="1049" w:type="dxa"/>
          </w:tcPr>
          <w:p>
            <w:pPr>
              <w:pStyle w:val="247"/>
              <w:spacing w:before="134"/>
              <w:ind w:right="266"/>
              <w:jc w:val="right"/>
              <w:rPr>
                <w:color w:val="auto"/>
              </w:rPr>
            </w:pPr>
            <w:r>
              <w:rPr>
                <w:color w:val="auto"/>
              </w:rPr>
              <w:t>0.146</w:t>
            </w:r>
          </w:p>
        </w:tc>
        <w:tc>
          <w:tcPr>
            <w:tcW w:w="1140" w:type="dxa"/>
          </w:tcPr>
          <w:p>
            <w:pPr>
              <w:pStyle w:val="247"/>
              <w:spacing w:line="241" w:lineRule="exact"/>
              <w:ind w:left="28"/>
              <w:rPr>
                <w:color w:val="auto"/>
              </w:rPr>
            </w:pPr>
            <w:r>
              <w:rPr>
                <w:color w:val="auto"/>
              </w:rPr>
              <w:t>ND</w:t>
            </w:r>
          </w:p>
          <w:p>
            <w:pPr>
              <w:pStyle w:val="247"/>
              <w:spacing w:line="252"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41" w:lineRule="exact"/>
              <w:ind w:left="122" w:right="97"/>
              <w:rPr>
                <w:color w:val="auto"/>
              </w:rPr>
            </w:pPr>
            <w:r>
              <w:rPr>
                <w:color w:val="auto"/>
              </w:rPr>
              <w:t>ND</w:t>
            </w:r>
          </w:p>
          <w:p>
            <w:pPr>
              <w:pStyle w:val="247"/>
              <w:spacing w:line="252"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41" w:lineRule="exact"/>
              <w:ind w:left="104" w:right="81"/>
              <w:rPr>
                <w:color w:val="auto"/>
              </w:rPr>
            </w:pPr>
            <w:r>
              <w:rPr>
                <w:color w:val="auto"/>
              </w:rPr>
              <w:t>ND</w:t>
            </w:r>
          </w:p>
          <w:p>
            <w:pPr>
              <w:pStyle w:val="247"/>
              <w:spacing w:line="252"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80" w:hRule="atLeast"/>
        </w:trPr>
        <w:tc>
          <w:tcPr>
            <w:tcW w:w="1109" w:type="dxa"/>
            <w:vMerge w:val="continue"/>
          </w:tcPr>
          <w:p>
            <w:pPr>
              <w:rPr>
                <w:color w:val="auto"/>
                <w:sz w:val="2"/>
                <w:szCs w:val="2"/>
              </w:rPr>
            </w:pPr>
          </w:p>
        </w:tc>
        <w:tc>
          <w:tcPr>
            <w:tcW w:w="1047" w:type="dxa"/>
          </w:tcPr>
          <w:p>
            <w:pPr>
              <w:pStyle w:val="247"/>
              <w:spacing w:before="120"/>
              <w:ind w:left="329" w:right="300"/>
              <w:rPr>
                <w:color w:val="auto"/>
              </w:rPr>
            </w:pPr>
            <w:r>
              <w:rPr>
                <w:color w:val="auto"/>
              </w:rPr>
              <w:t>7.65</w:t>
            </w:r>
          </w:p>
        </w:tc>
        <w:tc>
          <w:tcPr>
            <w:tcW w:w="1051" w:type="dxa"/>
          </w:tcPr>
          <w:p>
            <w:pPr>
              <w:pStyle w:val="247"/>
              <w:spacing w:before="120"/>
              <w:ind w:left="242" w:right="213"/>
              <w:rPr>
                <w:color w:val="auto"/>
              </w:rPr>
            </w:pPr>
            <w:r>
              <w:rPr>
                <w:color w:val="auto"/>
              </w:rPr>
              <w:t>12</w:t>
            </w:r>
          </w:p>
        </w:tc>
        <w:tc>
          <w:tcPr>
            <w:tcW w:w="1058" w:type="dxa"/>
          </w:tcPr>
          <w:p>
            <w:pPr>
              <w:pStyle w:val="247"/>
              <w:spacing w:before="120"/>
              <w:ind w:left="250" w:right="223"/>
              <w:rPr>
                <w:color w:val="auto"/>
              </w:rPr>
            </w:pPr>
            <w:r>
              <w:rPr>
                <w:color w:val="auto"/>
              </w:rPr>
              <w:t>1.2</w:t>
            </w:r>
          </w:p>
        </w:tc>
        <w:tc>
          <w:tcPr>
            <w:tcW w:w="1049" w:type="dxa"/>
          </w:tcPr>
          <w:p>
            <w:pPr>
              <w:pStyle w:val="247"/>
              <w:spacing w:before="120"/>
              <w:ind w:right="266"/>
              <w:jc w:val="right"/>
              <w:rPr>
                <w:color w:val="auto"/>
              </w:rPr>
            </w:pPr>
            <w:r>
              <w:rPr>
                <w:color w:val="auto"/>
              </w:rPr>
              <w:t>0.127</w:t>
            </w:r>
          </w:p>
        </w:tc>
        <w:tc>
          <w:tcPr>
            <w:tcW w:w="1140" w:type="dxa"/>
          </w:tcPr>
          <w:p>
            <w:pPr>
              <w:pStyle w:val="247"/>
              <w:spacing w:line="229" w:lineRule="exact"/>
              <w:ind w:left="28"/>
              <w:rPr>
                <w:color w:val="auto"/>
              </w:rPr>
            </w:pPr>
            <w:r>
              <w:rPr>
                <w:color w:val="auto"/>
              </w:rPr>
              <w:t>ND</w:t>
            </w:r>
          </w:p>
          <w:p>
            <w:pPr>
              <w:pStyle w:val="247"/>
              <w:spacing w:line="231" w:lineRule="exact"/>
              <w:ind w:left="100"/>
              <w:rPr>
                <w:rFonts w:ascii="宋体" w:eastAsia="宋体"/>
                <w:color w:val="auto"/>
              </w:rPr>
            </w:pPr>
            <w:r>
              <w:rPr>
                <w:rFonts w:hint="eastAsia" w:ascii="宋体" w:eastAsia="宋体"/>
                <w:color w:val="auto"/>
              </w:rPr>
              <w:t>（</w:t>
            </w:r>
            <w:r>
              <w:rPr>
                <w:color w:val="auto"/>
              </w:rPr>
              <w:t>0.0003</w:t>
            </w:r>
            <w:r>
              <w:rPr>
                <w:rFonts w:hint="eastAsia" w:ascii="宋体" w:eastAsia="宋体"/>
                <w:color w:val="auto"/>
              </w:rPr>
              <w:t>）</w:t>
            </w:r>
          </w:p>
        </w:tc>
        <w:tc>
          <w:tcPr>
            <w:tcW w:w="1061" w:type="dxa"/>
          </w:tcPr>
          <w:p>
            <w:pPr>
              <w:pStyle w:val="247"/>
              <w:spacing w:line="229" w:lineRule="exact"/>
              <w:ind w:left="122" w:right="97"/>
              <w:rPr>
                <w:color w:val="auto"/>
              </w:rPr>
            </w:pPr>
            <w:r>
              <w:rPr>
                <w:color w:val="auto"/>
              </w:rPr>
              <w:t>ND</w:t>
            </w:r>
          </w:p>
          <w:p>
            <w:pPr>
              <w:pStyle w:val="247"/>
              <w:spacing w:line="231" w:lineRule="exact"/>
              <w:ind w:left="125" w:right="97"/>
              <w:rPr>
                <w:rFonts w:ascii="宋体" w:eastAsia="宋体"/>
                <w:color w:val="auto"/>
              </w:rPr>
            </w:pPr>
            <w:r>
              <w:rPr>
                <w:rFonts w:hint="eastAsia" w:ascii="宋体" w:eastAsia="宋体"/>
                <w:color w:val="auto"/>
              </w:rPr>
              <w:t>（</w:t>
            </w:r>
            <w:r>
              <w:rPr>
                <w:color w:val="auto"/>
              </w:rPr>
              <w:t>0.01</w:t>
            </w:r>
            <w:r>
              <w:rPr>
                <w:rFonts w:hint="eastAsia" w:ascii="宋体" w:eastAsia="宋体"/>
                <w:color w:val="auto"/>
              </w:rPr>
              <w:t>）</w:t>
            </w:r>
          </w:p>
        </w:tc>
        <w:tc>
          <w:tcPr>
            <w:tcW w:w="1125" w:type="dxa"/>
          </w:tcPr>
          <w:p>
            <w:pPr>
              <w:pStyle w:val="247"/>
              <w:spacing w:line="229" w:lineRule="exact"/>
              <w:ind w:left="104" w:right="81"/>
              <w:rPr>
                <w:color w:val="auto"/>
              </w:rPr>
            </w:pPr>
            <w:r>
              <w:rPr>
                <w:color w:val="auto"/>
              </w:rPr>
              <w:t>ND</w:t>
            </w:r>
          </w:p>
          <w:p>
            <w:pPr>
              <w:pStyle w:val="247"/>
              <w:spacing w:line="231" w:lineRule="exact"/>
              <w:ind w:left="104" w:right="83"/>
              <w:rPr>
                <w:rFonts w:ascii="宋体" w:eastAsia="宋体"/>
                <w:color w:val="auto"/>
              </w:rPr>
            </w:pPr>
            <w:r>
              <w:rPr>
                <w:rFonts w:hint="eastAsia" w:ascii="宋体" w:eastAsia="宋体"/>
                <w:color w:val="auto"/>
              </w:rPr>
              <w:t>（</w:t>
            </w:r>
            <w:r>
              <w:rPr>
                <w:color w:val="auto"/>
              </w:rPr>
              <w:t>0.005</w:t>
            </w:r>
            <w:r>
              <w:rPr>
                <w:rFonts w:hint="eastAsia" w:ascii="宋体" w:eastAsia="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4" w:hRule="atLeast"/>
        </w:trPr>
        <w:tc>
          <w:tcPr>
            <w:tcW w:w="1109" w:type="dxa"/>
          </w:tcPr>
          <w:p>
            <w:pPr>
              <w:pStyle w:val="247"/>
              <w:spacing w:before="1" w:line="312" w:lineRule="exact"/>
              <w:ind w:left="217" w:right="207"/>
              <w:jc w:val="left"/>
              <w:rPr>
                <w:rFonts w:ascii="宋体" w:eastAsia="宋体"/>
                <w:color w:val="auto"/>
              </w:rPr>
            </w:pPr>
            <w:r>
              <w:rPr>
                <w:rFonts w:hint="eastAsia" w:ascii="宋体" w:eastAsia="宋体"/>
                <w:color w:val="auto"/>
                <w:w w:val="95"/>
              </w:rPr>
              <w:t>最大超标倍数</w:t>
            </w:r>
          </w:p>
        </w:tc>
        <w:tc>
          <w:tcPr>
            <w:tcW w:w="1047" w:type="dxa"/>
          </w:tcPr>
          <w:p>
            <w:pPr>
              <w:pStyle w:val="247"/>
              <w:spacing w:before="9"/>
              <w:jc w:val="left"/>
              <w:rPr>
                <w:rFonts w:ascii="黑体"/>
                <w:color w:val="auto"/>
                <w:sz w:val="17"/>
              </w:rPr>
            </w:pPr>
          </w:p>
          <w:p>
            <w:pPr>
              <w:pStyle w:val="247"/>
              <w:ind w:left="29"/>
              <w:rPr>
                <w:color w:val="auto"/>
              </w:rPr>
            </w:pPr>
            <w:r>
              <w:rPr>
                <w:color w:val="auto"/>
                <w:w w:val="99"/>
              </w:rPr>
              <w:t>0</w:t>
            </w:r>
          </w:p>
        </w:tc>
        <w:tc>
          <w:tcPr>
            <w:tcW w:w="1051" w:type="dxa"/>
          </w:tcPr>
          <w:p>
            <w:pPr>
              <w:pStyle w:val="247"/>
              <w:spacing w:before="9"/>
              <w:jc w:val="left"/>
              <w:rPr>
                <w:rFonts w:ascii="黑体"/>
                <w:color w:val="auto"/>
                <w:sz w:val="17"/>
              </w:rPr>
            </w:pPr>
          </w:p>
          <w:p>
            <w:pPr>
              <w:pStyle w:val="247"/>
              <w:ind w:left="29"/>
              <w:rPr>
                <w:color w:val="auto"/>
              </w:rPr>
            </w:pPr>
            <w:r>
              <w:rPr>
                <w:color w:val="auto"/>
                <w:w w:val="99"/>
              </w:rPr>
              <w:t>0</w:t>
            </w:r>
          </w:p>
        </w:tc>
        <w:tc>
          <w:tcPr>
            <w:tcW w:w="1058" w:type="dxa"/>
          </w:tcPr>
          <w:p>
            <w:pPr>
              <w:pStyle w:val="247"/>
              <w:spacing w:before="9"/>
              <w:jc w:val="left"/>
              <w:rPr>
                <w:rFonts w:ascii="黑体"/>
                <w:color w:val="auto"/>
                <w:sz w:val="17"/>
              </w:rPr>
            </w:pPr>
          </w:p>
          <w:p>
            <w:pPr>
              <w:pStyle w:val="247"/>
              <w:ind w:left="27"/>
              <w:rPr>
                <w:color w:val="auto"/>
              </w:rPr>
            </w:pPr>
            <w:r>
              <w:rPr>
                <w:color w:val="auto"/>
                <w:w w:val="99"/>
              </w:rPr>
              <w:t>0</w:t>
            </w:r>
          </w:p>
        </w:tc>
        <w:tc>
          <w:tcPr>
            <w:tcW w:w="1049" w:type="dxa"/>
          </w:tcPr>
          <w:p>
            <w:pPr>
              <w:pStyle w:val="247"/>
              <w:spacing w:before="9"/>
              <w:jc w:val="left"/>
              <w:rPr>
                <w:rFonts w:ascii="黑体"/>
                <w:color w:val="auto"/>
                <w:sz w:val="17"/>
              </w:rPr>
            </w:pPr>
          </w:p>
          <w:p>
            <w:pPr>
              <w:pStyle w:val="247"/>
              <w:ind w:left="17"/>
              <w:rPr>
                <w:color w:val="auto"/>
              </w:rPr>
            </w:pPr>
            <w:r>
              <w:rPr>
                <w:color w:val="auto"/>
                <w:w w:val="99"/>
              </w:rPr>
              <w:t>0</w:t>
            </w:r>
          </w:p>
        </w:tc>
        <w:tc>
          <w:tcPr>
            <w:tcW w:w="1140" w:type="dxa"/>
          </w:tcPr>
          <w:p>
            <w:pPr>
              <w:pStyle w:val="247"/>
              <w:spacing w:before="9"/>
              <w:jc w:val="left"/>
              <w:rPr>
                <w:rFonts w:ascii="黑体"/>
                <w:color w:val="auto"/>
                <w:sz w:val="17"/>
              </w:rPr>
            </w:pPr>
          </w:p>
          <w:p>
            <w:pPr>
              <w:pStyle w:val="247"/>
              <w:ind w:left="12"/>
              <w:rPr>
                <w:color w:val="auto"/>
              </w:rPr>
            </w:pPr>
            <w:r>
              <w:rPr>
                <w:color w:val="auto"/>
                <w:w w:val="99"/>
              </w:rPr>
              <w:t>0</w:t>
            </w:r>
          </w:p>
        </w:tc>
        <w:tc>
          <w:tcPr>
            <w:tcW w:w="1061" w:type="dxa"/>
          </w:tcPr>
          <w:p>
            <w:pPr>
              <w:pStyle w:val="247"/>
              <w:spacing w:before="9"/>
              <w:jc w:val="left"/>
              <w:rPr>
                <w:rFonts w:ascii="黑体"/>
                <w:color w:val="auto"/>
                <w:sz w:val="17"/>
              </w:rPr>
            </w:pPr>
          </w:p>
          <w:p>
            <w:pPr>
              <w:pStyle w:val="247"/>
              <w:ind w:left="15"/>
              <w:rPr>
                <w:color w:val="auto"/>
              </w:rPr>
            </w:pPr>
            <w:r>
              <w:rPr>
                <w:color w:val="auto"/>
                <w:w w:val="99"/>
              </w:rPr>
              <w:t>0</w:t>
            </w:r>
          </w:p>
        </w:tc>
        <w:tc>
          <w:tcPr>
            <w:tcW w:w="1125" w:type="dxa"/>
          </w:tcPr>
          <w:p>
            <w:pPr>
              <w:pStyle w:val="247"/>
              <w:spacing w:before="9"/>
              <w:jc w:val="left"/>
              <w:rPr>
                <w:rFonts w:ascii="黑体"/>
                <w:color w:val="auto"/>
                <w:sz w:val="17"/>
              </w:rPr>
            </w:pPr>
          </w:p>
          <w:p>
            <w:pPr>
              <w:pStyle w:val="247"/>
              <w:ind w:left="12"/>
              <w:rPr>
                <w:color w:val="auto"/>
              </w:rPr>
            </w:pPr>
            <w:r>
              <w:rPr>
                <w:color w:val="auto"/>
                <w:w w:val="99"/>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26" w:hRule="atLeast"/>
        </w:trPr>
        <w:tc>
          <w:tcPr>
            <w:tcW w:w="1109" w:type="dxa"/>
          </w:tcPr>
          <w:p>
            <w:pPr>
              <w:pStyle w:val="247"/>
              <w:spacing w:before="48" w:line="258" w:lineRule="exact"/>
              <w:ind w:right="100"/>
              <w:jc w:val="right"/>
              <w:rPr>
                <w:color w:val="auto"/>
              </w:rPr>
            </w:pPr>
            <w:r>
              <w:rPr>
                <w:rFonts w:hint="eastAsia" w:ascii="宋体" w:eastAsia="宋体"/>
                <w:color w:val="auto"/>
                <w:w w:val="95"/>
              </w:rPr>
              <w:t>超标率</w:t>
            </w:r>
            <w:r>
              <w:rPr>
                <w:color w:val="auto"/>
                <w:w w:val="95"/>
              </w:rPr>
              <w:t>%</w:t>
            </w:r>
          </w:p>
        </w:tc>
        <w:tc>
          <w:tcPr>
            <w:tcW w:w="1047" w:type="dxa"/>
          </w:tcPr>
          <w:p>
            <w:pPr>
              <w:pStyle w:val="247"/>
              <w:spacing w:before="77" w:line="230" w:lineRule="exact"/>
              <w:ind w:left="29"/>
              <w:rPr>
                <w:color w:val="auto"/>
              </w:rPr>
            </w:pPr>
            <w:r>
              <w:rPr>
                <w:color w:val="auto"/>
                <w:w w:val="99"/>
              </w:rPr>
              <w:t>0</w:t>
            </w:r>
          </w:p>
        </w:tc>
        <w:tc>
          <w:tcPr>
            <w:tcW w:w="1051" w:type="dxa"/>
          </w:tcPr>
          <w:p>
            <w:pPr>
              <w:pStyle w:val="247"/>
              <w:spacing w:before="77" w:line="230" w:lineRule="exact"/>
              <w:ind w:left="29"/>
              <w:rPr>
                <w:color w:val="auto"/>
              </w:rPr>
            </w:pPr>
            <w:r>
              <w:rPr>
                <w:color w:val="auto"/>
                <w:w w:val="99"/>
              </w:rPr>
              <w:t>0</w:t>
            </w:r>
          </w:p>
        </w:tc>
        <w:tc>
          <w:tcPr>
            <w:tcW w:w="1058" w:type="dxa"/>
          </w:tcPr>
          <w:p>
            <w:pPr>
              <w:pStyle w:val="247"/>
              <w:spacing w:before="77" w:line="230" w:lineRule="exact"/>
              <w:ind w:left="27"/>
              <w:rPr>
                <w:color w:val="auto"/>
              </w:rPr>
            </w:pPr>
            <w:r>
              <w:rPr>
                <w:color w:val="auto"/>
                <w:w w:val="99"/>
              </w:rPr>
              <w:t>0</w:t>
            </w:r>
          </w:p>
        </w:tc>
        <w:tc>
          <w:tcPr>
            <w:tcW w:w="1049" w:type="dxa"/>
          </w:tcPr>
          <w:p>
            <w:pPr>
              <w:pStyle w:val="247"/>
              <w:spacing w:before="77" w:line="230" w:lineRule="exact"/>
              <w:ind w:left="17"/>
              <w:rPr>
                <w:color w:val="auto"/>
              </w:rPr>
            </w:pPr>
            <w:r>
              <w:rPr>
                <w:color w:val="auto"/>
                <w:w w:val="99"/>
              </w:rPr>
              <w:t>0</w:t>
            </w:r>
          </w:p>
        </w:tc>
        <w:tc>
          <w:tcPr>
            <w:tcW w:w="1140" w:type="dxa"/>
          </w:tcPr>
          <w:p>
            <w:pPr>
              <w:pStyle w:val="247"/>
              <w:spacing w:before="77" w:line="230" w:lineRule="exact"/>
              <w:ind w:left="12"/>
              <w:rPr>
                <w:color w:val="auto"/>
              </w:rPr>
            </w:pPr>
            <w:r>
              <w:rPr>
                <w:color w:val="auto"/>
                <w:w w:val="99"/>
              </w:rPr>
              <w:t>0</w:t>
            </w:r>
          </w:p>
        </w:tc>
        <w:tc>
          <w:tcPr>
            <w:tcW w:w="1061" w:type="dxa"/>
          </w:tcPr>
          <w:p>
            <w:pPr>
              <w:pStyle w:val="247"/>
              <w:spacing w:before="77" w:line="230" w:lineRule="exact"/>
              <w:ind w:left="15"/>
              <w:rPr>
                <w:color w:val="auto"/>
              </w:rPr>
            </w:pPr>
            <w:r>
              <w:rPr>
                <w:color w:val="auto"/>
                <w:w w:val="99"/>
              </w:rPr>
              <w:t>0</w:t>
            </w:r>
          </w:p>
        </w:tc>
        <w:tc>
          <w:tcPr>
            <w:tcW w:w="1125" w:type="dxa"/>
          </w:tcPr>
          <w:p>
            <w:pPr>
              <w:pStyle w:val="247"/>
              <w:spacing w:before="77" w:line="230" w:lineRule="exact"/>
              <w:ind w:left="12"/>
              <w:rPr>
                <w:color w:val="auto"/>
              </w:rPr>
            </w:pPr>
            <w:r>
              <w:rPr>
                <w:color w:val="auto"/>
                <w:w w:val="99"/>
              </w:rPr>
              <w:t>0</w:t>
            </w:r>
          </w:p>
        </w:tc>
      </w:tr>
    </w:tbl>
    <w:p>
      <w:pPr>
        <w:pStyle w:val="7"/>
        <w:numPr>
          <w:ilvl w:val="2"/>
          <w:numId w:val="0"/>
        </w:numPr>
        <w:tabs>
          <w:tab w:val="left" w:pos="776"/>
          <w:tab w:val="clear" w:pos="-142"/>
        </w:tabs>
        <w:spacing w:before="120" w:after="120" w:line="240" w:lineRule="auto"/>
        <w:ind w:left="236"/>
        <w:rPr>
          <w:color w:val="auto"/>
        </w:rPr>
      </w:pPr>
      <w:bookmarkStart w:id="229" w:name="3.4.2地表水环境质量现状评价"/>
      <w:bookmarkEnd w:id="229"/>
      <w:bookmarkStart w:id="230" w:name="_Toc3795"/>
      <w:r>
        <w:rPr>
          <w:rFonts w:hint="eastAsia"/>
          <w:color w:val="auto"/>
        </w:rPr>
        <w:t>3.4.</w:t>
      </w:r>
      <w:r>
        <w:rPr>
          <w:rFonts w:hint="eastAsia"/>
          <w:color w:val="auto"/>
          <w:lang w:val="en-US" w:eastAsia="zh-CN"/>
        </w:rPr>
        <w:t>2</w:t>
      </w:r>
      <w:r>
        <w:rPr>
          <w:color w:val="auto"/>
        </w:rPr>
        <w:t>地表水环境质量现状评价</w:t>
      </w:r>
      <w:bookmarkEnd w:id="230"/>
    </w:p>
    <w:p>
      <w:pPr>
        <w:ind w:firstLine="422" w:firstLineChars="200"/>
        <w:rPr>
          <w:b/>
          <w:bCs/>
          <w:color w:val="auto"/>
        </w:rPr>
      </w:pPr>
      <w:r>
        <w:rPr>
          <w:b/>
          <w:bCs/>
          <w:color w:val="auto"/>
        </w:rPr>
        <w:t>1、评价方法</w:t>
      </w:r>
    </w:p>
    <w:p>
      <w:pPr>
        <w:pStyle w:val="22"/>
        <w:spacing w:before="159" w:line="364" w:lineRule="auto"/>
        <w:ind w:right="256" w:firstLine="480"/>
        <w:rPr>
          <w:color w:val="auto"/>
          <w:sz w:val="24"/>
          <w:szCs w:val="24"/>
        </w:rPr>
      </w:pPr>
      <w:r>
        <w:rPr>
          <w:color w:val="auto"/>
          <w:sz w:val="24"/>
          <w:szCs w:val="24"/>
        </w:rPr>
        <w:t>采用单因子指数法对地表水环境质量现状进行评价。在各项水质参数评价中，对某一水质参数的现状浓度采用多次监测的平均浓度值。</w:t>
      </w:r>
    </w:p>
    <w:p>
      <w:pPr>
        <w:spacing w:line="364" w:lineRule="auto"/>
        <w:rPr>
          <w:color w:val="auto"/>
        </w:rPr>
        <w:sectPr>
          <w:type w:val="continuous"/>
          <w:pgSz w:w="11910" w:h="16840"/>
          <w:pgMar w:top="1620" w:right="1100" w:bottom="280" w:left="1180" w:header="720" w:footer="720" w:gutter="0"/>
          <w:pgNumType w:fmt="decimal"/>
          <w:cols w:space="720" w:num="1"/>
        </w:sectPr>
      </w:pPr>
    </w:p>
    <w:p>
      <w:pPr>
        <w:pStyle w:val="22"/>
        <w:spacing w:before="80"/>
        <w:ind w:left="716"/>
        <w:rPr>
          <w:color w:val="auto"/>
          <w:sz w:val="24"/>
          <w:szCs w:val="24"/>
        </w:rPr>
      </w:pPr>
      <w:r>
        <w:rPr>
          <w:color w:val="auto"/>
          <w:sz w:val="24"/>
          <w:szCs w:val="24"/>
        </w:rPr>
        <w:t>单因子指数法的计算公式为：</w:t>
      </w:r>
    </w:p>
    <w:p>
      <w:pPr>
        <w:pStyle w:val="22"/>
        <w:spacing w:before="80"/>
        <w:ind w:left="716"/>
        <w:jc w:val="center"/>
        <w:rPr>
          <w:color w:val="auto"/>
          <w:sz w:val="24"/>
          <w:szCs w:val="24"/>
        </w:rPr>
      </w:pPr>
      <w:r>
        <w:rPr>
          <w:color w:val="auto"/>
          <w:sz w:val="24"/>
          <w:szCs w:val="24"/>
        </w:rPr>
        <w:t>S</w:t>
      </w:r>
      <w:r>
        <w:rPr>
          <w:color w:val="auto"/>
          <w:sz w:val="24"/>
          <w:szCs w:val="24"/>
          <w:vertAlign w:val="subscript"/>
        </w:rPr>
        <w:t>ij</w:t>
      </w:r>
      <w:r>
        <w:rPr>
          <w:color w:val="auto"/>
          <w:sz w:val="24"/>
          <w:szCs w:val="24"/>
        </w:rPr>
        <w:t>=C</w:t>
      </w:r>
      <w:r>
        <w:rPr>
          <w:color w:val="auto"/>
          <w:sz w:val="24"/>
          <w:szCs w:val="24"/>
          <w:vertAlign w:val="subscript"/>
        </w:rPr>
        <w:t>ij</w:t>
      </w:r>
      <w:r>
        <w:rPr>
          <w:color w:val="auto"/>
          <w:sz w:val="24"/>
          <w:szCs w:val="24"/>
        </w:rPr>
        <w:t>/C</w:t>
      </w:r>
      <w:r>
        <w:rPr>
          <w:color w:val="auto"/>
          <w:sz w:val="24"/>
          <w:szCs w:val="24"/>
          <w:vertAlign w:val="subscript"/>
        </w:rPr>
        <w:t>si</w:t>
      </w:r>
    </w:p>
    <w:p>
      <w:pPr>
        <w:pStyle w:val="22"/>
        <w:spacing w:before="6" w:line="360" w:lineRule="auto"/>
        <w:rPr>
          <w:color w:val="auto"/>
          <w:sz w:val="14"/>
        </w:rPr>
      </w:pPr>
    </w:p>
    <w:p>
      <w:pPr>
        <w:pStyle w:val="22"/>
        <w:spacing w:before="80"/>
        <w:ind w:left="716"/>
        <w:rPr>
          <w:color w:val="auto"/>
          <w:sz w:val="14"/>
        </w:rPr>
      </w:pPr>
      <w:r>
        <w:rPr>
          <w:color w:val="auto"/>
          <w:sz w:val="24"/>
          <w:szCs w:val="24"/>
        </w:rPr>
        <w:t>pH值标准指数计算公式为：</w:t>
      </w:r>
    </w:p>
    <w:p>
      <w:pPr>
        <w:pStyle w:val="22"/>
        <w:spacing w:before="156"/>
        <w:ind w:left="716"/>
        <w:jc w:val="center"/>
        <w:rPr>
          <w:color w:val="auto"/>
          <w:sz w:val="24"/>
          <w:szCs w:val="24"/>
        </w:rPr>
      </w:pPr>
      <w:r>
        <w:rPr>
          <w:color w:val="auto"/>
          <w:sz w:val="24"/>
          <w:szCs w:val="24"/>
        </w:rPr>
        <w:drawing>
          <wp:inline distT="0" distB="0" distL="0" distR="0">
            <wp:extent cx="1314450" cy="463550"/>
            <wp:effectExtent l="0" t="0" r="0" b="1270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314450" cy="463550"/>
                    </a:xfrm>
                    <a:prstGeom prst="rect">
                      <a:avLst/>
                    </a:prstGeom>
                    <a:noFill/>
                    <a:ln>
                      <a:noFill/>
                    </a:ln>
                  </pic:spPr>
                </pic:pic>
              </a:graphicData>
            </a:graphic>
          </wp:inline>
        </w:drawing>
      </w:r>
      <w:r>
        <w:rPr>
          <w:color w:val="auto"/>
          <w:sz w:val="24"/>
          <w:szCs w:val="24"/>
        </w:rPr>
        <w:t xml:space="preserve">    pHj ≤ 7.0</w:t>
      </w:r>
    </w:p>
    <w:p>
      <w:pPr>
        <w:pStyle w:val="22"/>
        <w:spacing w:before="156"/>
        <w:ind w:left="716"/>
        <w:jc w:val="center"/>
        <w:rPr>
          <w:color w:val="auto"/>
          <w:sz w:val="24"/>
          <w:szCs w:val="24"/>
        </w:rPr>
      </w:pPr>
      <w:r>
        <w:rPr>
          <w:color w:val="auto"/>
          <w:sz w:val="24"/>
          <w:szCs w:val="24"/>
        </w:rPr>
        <w:drawing>
          <wp:inline distT="0" distB="0" distL="0" distR="0">
            <wp:extent cx="1320800" cy="450850"/>
            <wp:effectExtent l="0" t="0" r="1270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320800" cy="450850"/>
                    </a:xfrm>
                    <a:prstGeom prst="rect">
                      <a:avLst/>
                    </a:prstGeom>
                    <a:noFill/>
                    <a:ln>
                      <a:noFill/>
                    </a:ln>
                  </pic:spPr>
                </pic:pic>
              </a:graphicData>
            </a:graphic>
          </wp:inline>
        </w:drawing>
      </w:r>
      <w:r>
        <w:rPr>
          <w:color w:val="auto"/>
          <w:sz w:val="24"/>
          <w:szCs w:val="24"/>
        </w:rPr>
        <w:t xml:space="preserve">    pHj ＞ 7.0</w:t>
      </w:r>
    </w:p>
    <w:p>
      <w:pPr>
        <w:pStyle w:val="22"/>
        <w:spacing w:before="67"/>
        <w:ind w:left="716"/>
        <w:rPr>
          <w:color w:val="auto"/>
          <w:sz w:val="24"/>
          <w:szCs w:val="24"/>
        </w:rPr>
      </w:pPr>
      <w:r>
        <w:rPr>
          <w:color w:val="auto"/>
          <w:sz w:val="24"/>
          <w:szCs w:val="24"/>
        </w:rPr>
        <w:t>式中：</w:t>
      </w:r>
    </w:p>
    <w:p>
      <w:pPr>
        <w:pStyle w:val="22"/>
        <w:spacing w:before="157"/>
        <w:ind w:left="716"/>
        <w:rPr>
          <w:color w:val="auto"/>
          <w:sz w:val="24"/>
          <w:szCs w:val="24"/>
        </w:rPr>
      </w:pPr>
      <w:r>
        <w:rPr>
          <w:rFonts w:eastAsia="Times New Roman"/>
          <w:color w:val="auto"/>
          <w:position w:val="2"/>
          <w:sz w:val="24"/>
          <w:szCs w:val="24"/>
        </w:rPr>
        <w:t>S</w:t>
      </w:r>
      <w:r>
        <w:rPr>
          <w:rFonts w:eastAsia="Times New Roman"/>
          <w:color w:val="auto"/>
          <w:position w:val="2"/>
          <w:sz w:val="24"/>
          <w:szCs w:val="24"/>
          <w:vertAlign w:val="subscript"/>
        </w:rPr>
        <w:t>ij</w:t>
      </w:r>
      <w:r>
        <w:rPr>
          <w:rFonts w:eastAsia="Times New Roman"/>
          <w:color w:val="auto"/>
          <w:position w:val="2"/>
          <w:sz w:val="24"/>
          <w:szCs w:val="24"/>
        </w:rPr>
        <w:t>——i</w:t>
      </w:r>
      <w:r>
        <w:rPr>
          <w:color w:val="auto"/>
          <w:position w:val="2"/>
          <w:sz w:val="24"/>
          <w:szCs w:val="24"/>
        </w:rPr>
        <w:t>因子在</w:t>
      </w:r>
      <w:r>
        <w:rPr>
          <w:rFonts w:eastAsia="Times New Roman"/>
          <w:color w:val="auto"/>
          <w:position w:val="2"/>
          <w:sz w:val="24"/>
          <w:szCs w:val="24"/>
        </w:rPr>
        <w:t>j</w:t>
      </w:r>
      <w:r>
        <w:rPr>
          <w:color w:val="auto"/>
          <w:position w:val="2"/>
          <w:sz w:val="24"/>
          <w:szCs w:val="24"/>
        </w:rPr>
        <w:t>断面的单项标准指数；</w:t>
      </w:r>
    </w:p>
    <w:p>
      <w:pPr>
        <w:pStyle w:val="22"/>
        <w:spacing w:before="154"/>
        <w:ind w:left="716"/>
        <w:rPr>
          <w:color w:val="auto"/>
          <w:sz w:val="24"/>
          <w:szCs w:val="24"/>
        </w:rPr>
      </w:pPr>
      <w:r>
        <w:rPr>
          <w:rFonts w:eastAsia="Times New Roman"/>
          <w:color w:val="auto"/>
          <w:position w:val="2"/>
          <w:sz w:val="24"/>
          <w:szCs w:val="24"/>
        </w:rPr>
        <w:t>C</w:t>
      </w:r>
      <w:r>
        <w:rPr>
          <w:rFonts w:eastAsia="Times New Roman"/>
          <w:color w:val="auto"/>
          <w:position w:val="2"/>
          <w:sz w:val="24"/>
          <w:szCs w:val="24"/>
          <w:vertAlign w:val="subscript"/>
        </w:rPr>
        <w:t>ij</w:t>
      </w:r>
      <w:r>
        <w:rPr>
          <w:rFonts w:eastAsia="Times New Roman"/>
          <w:color w:val="auto"/>
          <w:position w:val="2"/>
          <w:sz w:val="24"/>
          <w:szCs w:val="24"/>
        </w:rPr>
        <w:t>——i</w:t>
      </w:r>
      <w:r>
        <w:rPr>
          <w:color w:val="auto"/>
          <w:position w:val="2"/>
          <w:sz w:val="24"/>
          <w:szCs w:val="24"/>
        </w:rPr>
        <w:t>因子在</w:t>
      </w:r>
      <w:r>
        <w:rPr>
          <w:rFonts w:eastAsia="Times New Roman"/>
          <w:color w:val="auto"/>
          <w:position w:val="2"/>
          <w:sz w:val="24"/>
          <w:szCs w:val="24"/>
        </w:rPr>
        <w:t>j</w:t>
      </w:r>
      <w:r>
        <w:rPr>
          <w:color w:val="auto"/>
          <w:position w:val="2"/>
          <w:sz w:val="24"/>
          <w:szCs w:val="24"/>
        </w:rPr>
        <w:t>断面的浓度（平均值）</w:t>
      </w:r>
      <w:r>
        <w:rPr>
          <w:rFonts w:eastAsia="Times New Roman"/>
          <w:color w:val="auto"/>
          <w:position w:val="2"/>
          <w:sz w:val="24"/>
          <w:szCs w:val="24"/>
        </w:rPr>
        <w:t>(mg/L)</w:t>
      </w:r>
      <w:r>
        <w:rPr>
          <w:color w:val="auto"/>
          <w:position w:val="2"/>
          <w:sz w:val="24"/>
          <w:szCs w:val="24"/>
        </w:rPr>
        <w:t>；</w:t>
      </w:r>
    </w:p>
    <w:p>
      <w:pPr>
        <w:pStyle w:val="22"/>
        <w:spacing w:before="156"/>
        <w:ind w:left="716"/>
        <w:rPr>
          <w:color w:val="auto"/>
          <w:sz w:val="24"/>
          <w:szCs w:val="24"/>
        </w:rPr>
      </w:pPr>
      <w:r>
        <w:rPr>
          <w:rFonts w:eastAsia="Times New Roman"/>
          <w:color w:val="auto"/>
          <w:position w:val="2"/>
          <w:sz w:val="24"/>
          <w:szCs w:val="24"/>
        </w:rPr>
        <w:t>C</w:t>
      </w:r>
      <w:r>
        <w:rPr>
          <w:rFonts w:eastAsia="Times New Roman"/>
          <w:color w:val="auto"/>
          <w:position w:val="2"/>
          <w:sz w:val="24"/>
          <w:szCs w:val="24"/>
          <w:vertAlign w:val="subscript"/>
        </w:rPr>
        <w:t>i</w:t>
      </w:r>
      <w:r>
        <w:rPr>
          <w:rFonts w:eastAsia="Times New Roman"/>
          <w:color w:val="auto"/>
          <w:position w:val="2"/>
          <w:sz w:val="24"/>
          <w:szCs w:val="24"/>
        </w:rPr>
        <w:t>——i</w:t>
      </w:r>
      <w:r>
        <w:rPr>
          <w:color w:val="auto"/>
          <w:position w:val="2"/>
          <w:sz w:val="24"/>
          <w:szCs w:val="24"/>
        </w:rPr>
        <w:t>因子的评价标准限值</w:t>
      </w:r>
      <w:r>
        <w:rPr>
          <w:rFonts w:eastAsia="Times New Roman"/>
          <w:color w:val="auto"/>
          <w:position w:val="2"/>
          <w:sz w:val="24"/>
          <w:szCs w:val="24"/>
        </w:rPr>
        <w:t>(mg/L)</w:t>
      </w:r>
      <w:r>
        <w:rPr>
          <w:color w:val="auto"/>
          <w:position w:val="2"/>
          <w:sz w:val="24"/>
          <w:szCs w:val="24"/>
        </w:rPr>
        <w:t>；</w:t>
      </w:r>
    </w:p>
    <w:p>
      <w:pPr>
        <w:pStyle w:val="22"/>
        <w:spacing w:before="154"/>
        <w:ind w:left="716"/>
        <w:rPr>
          <w:color w:val="auto"/>
          <w:sz w:val="24"/>
          <w:szCs w:val="24"/>
        </w:rPr>
      </w:pPr>
      <w:r>
        <w:rPr>
          <w:rFonts w:eastAsia="Times New Roman"/>
          <w:color w:val="auto"/>
          <w:position w:val="2"/>
          <w:sz w:val="24"/>
          <w:szCs w:val="24"/>
        </w:rPr>
        <w:t>S</w:t>
      </w:r>
      <w:r>
        <w:rPr>
          <w:rFonts w:eastAsia="Times New Roman"/>
          <w:color w:val="auto"/>
          <w:position w:val="2"/>
          <w:sz w:val="24"/>
          <w:szCs w:val="24"/>
          <w:vertAlign w:val="subscript"/>
        </w:rPr>
        <w:t>pHj</w:t>
      </w:r>
      <w:r>
        <w:rPr>
          <w:rFonts w:eastAsia="Times New Roman"/>
          <w:color w:val="auto"/>
          <w:position w:val="2"/>
          <w:sz w:val="24"/>
          <w:szCs w:val="24"/>
        </w:rPr>
        <w:t>——pH</w:t>
      </w:r>
      <w:r>
        <w:rPr>
          <w:color w:val="auto"/>
          <w:position w:val="2"/>
          <w:sz w:val="24"/>
          <w:szCs w:val="24"/>
        </w:rPr>
        <w:t>在</w:t>
      </w:r>
      <w:r>
        <w:rPr>
          <w:rFonts w:eastAsia="Times New Roman"/>
          <w:color w:val="auto"/>
          <w:position w:val="2"/>
          <w:sz w:val="24"/>
          <w:szCs w:val="24"/>
        </w:rPr>
        <w:t>j</w:t>
      </w:r>
      <w:r>
        <w:rPr>
          <w:color w:val="auto"/>
          <w:position w:val="2"/>
          <w:sz w:val="24"/>
          <w:szCs w:val="24"/>
        </w:rPr>
        <w:t>断面的标准指数；</w:t>
      </w:r>
    </w:p>
    <w:p>
      <w:pPr>
        <w:pStyle w:val="22"/>
        <w:spacing w:before="156"/>
        <w:ind w:left="716"/>
        <w:rPr>
          <w:color w:val="auto"/>
          <w:sz w:val="24"/>
          <w:szCs w:val="24"/>
        </w:rPr>
      </w:pPr>
      <w:r>
        <w:rPr>
          <w:rFonts w:eastAsia="Times New Roman"/>
          <w:color w:val="auto"/>
          <w:position w:val="2"/>
          <w:sz w:val="24"/>
          <w:szCs w:val="24"/>
        </w:rPr>
        <w:t>pH</w:t>
      </w:r>
      <w:r>
        <w:rPr>
          <w:rFonts w:eastAsia="Times New Roman"/>
          <w:color w:val="auto"/>
          <w:position w:val="2"/>
          <w:sz w:val="24"/>
          <w:szCs w:val="24"/>
          <w:vertAlign w:val="subscript"/>
        </w:rPr>
        <w:t>j</w:t>
      </w:r>
      <w:r>
        <w:rPr>
          <w:rFonts w:eastAsia="Times New Roman"/>
          <w:color w:val="auto"/>
          <w:position w:val="2"/>
          <w:sz w:val="24"/>
          <w:szCs w:val="24"/>
        </w:rPr>
        <w:t>——</w:t>
      </w:r>
      <w:r>
        <w:rPr>
          <w:color w:val="auto"/>
          <w:position w:val="2"/>
          <w:sz w:val="24"/>
          <w:szCs w:val="24"/>
        </w:rPr>
        <w:t>在</w:t>
      </w:r>
      <w:r>
        <w:rPr>
          <w:rFonts w:eastAsia="Times New Roman"/>
          <w:color w:val="auto"/>
          <w:position w:val="2"/>
          <w:sz w:val="24"/>
          <w:szCs w:val="24"/>
        </w:rPr>
        <w:t>j</w:t>
      </w:r>
      <w:r>
        <w:rPr>
          <w:color w:val="auto"/>
          <w:position w:val="2"/>
          <w:sz w:val="24"/>
          <w:szCs w:val="24"/>
        </w:rPr>
        <w:t>断面的</w:t>
      </w:r>
      <w:r>
        <w:rPr>
          <w:rFonts w:eastAsia="Times New Roman"/>
          <w:color w:val="auto"/>
          <w:position w:val="2"/>
          <w:sz w:val="24"/>
          <w:szCs w:val="24"/>
        </w:rPr>
        <w:t>pH</w:t>
      </w:r>
      <w:r>
        <w:rPr>
          <w:color w:val="auto"/>
          <w:position w:val="2"/>
          <w:sz w:val="24"/>
          <w:szCs w:val="24"/>
        </w:rPr>
        <w:t>值；</w:t>
      </w:r>
    </w:p>
    <w:p>
      <w:pPr>
        <w:pStyle w:val="22"/>
        <w:spacing w:before="153"/>
        <w:ind w:left="716"/>
        <w:rPr>
          <w:color w:val="auto"/>
          <w:sz w:val="24"/>
          <w:szCs w:val="24"/>
        </w:rPr>
      </w:pPr>
      <w:r>
        <w:rPr>
          <w:rFonts w:eastAsia="Times New Roman"/>
          <w:color w:val="auto"/>
          <w:position w:val="2"/>
          <w:sz w:val="24"/>
          <w:szCs w:val="24"/>
        </w:rPr>
        <w:t>pH</w:t>
      </w:r>
      <w:r>
        <w:rPr>
          <w:rFonts w:eastAsia="Times New Roman"/>
          <w:color w:val="auto"/>
          <w:position w:val="2"/>
          <w:sz w:val="24"/>
          <w:szCs w:val="24"/>
          <w:vertAlign w:val="subscript"/>
        </w:rPr>
        <w:t>sd</w:t>
      </w:r>
      <w:r>
        <w:rPr>
          <w:rFonts w:eastAsia="Times New Roman"/>
          <w:color w:val="auto"/>
          <w:position w:val="2"/>
          <w:sz w:val="24"/>
          <w:szCs w:val="24"/>
        </w:rPr>
        <w:t>——pH</w:t>
      </w:r>
      <w:r>
        <w:rPr>
          <w:color w:val="auto"/>
          <w:position w:val="2"/>
          <w:sz w:val="24"/>
          <w:szCs w:val="24"/>
        </w:rPr>
        <w:t>的评价标准下限值；</w:t>
      </w:r>
    </w:p>
    <w:p>
      <w:pPr>
        <w:pStyle w:val="22"/>
        <w:spacing w:before="156"/>
        <w:ind w:left="716"/>
        <w:rPr>
          <w:rFonts w:eastAsia="Times New Roman"/>
          <w:color w:val="auto"/>
          <w:position w:val="2"/>
          <w:sz w:val="24"/>
          <w:szCs w:val="24"/>
        </w:rPr>
      </w:pPr>
      <w:r>
        <w:rPr>
          <w:rFonts w:eastAsia="Times New Roman"/>
          <w:color w:val="auto"/>
          <w:position w:val="2"/>
          <w:sz w:val="24"/>
          <w:szCs w:val="24"/>
        </w:rPr>
        <w:t>pH</w:t>
      </w:r>
      <w:r>
        <w:rPr>
          <w:rFonts w:eastAsia="Times New Roman"/>
          <w:color w:val="auto"/>
          <w:position w:val="2"/>
          <w:sz w:val="24"/>
          <w:szCs w:val="24"/>
          <w:vertAlign w:val="subscript"/>
        </w:rPr>
        <w:t>su</w:t>
      </w:r>
      <w:r>
        <w:rPr>
          <w:rFonts w:eastAsia="Times New Roman"/>
          <w:color w:val="auto"/>
          <w:position w:val="2"/>
          <w:sz w:val="24"/>
          <w:szCs w:val="24"/>
        </w:rPr>
        <w:t>——pH</w:t>
      </w:r>
      <w:r>
        <w:rPr>
          <w:color w:val="auto"/>
          <w:position w:val="2"/>
          <w:sz w:val="24"/>
          <w:szCs w:val="24"/>
        </w:rPr>
        <w:t>的评价标准上限值</w:t>
      </w:r>
      <w:r>
        <w:rPr>
          <w:rFonts w:eastAsia="Times New Roman"/>
          <w:color w:val="auto"/>
          <w:position w:val="2"/>
          <w:sz w:val="24"/>
          <w:szCs w:val="24"/>
        </w:rPr>
        <w:t>.</w:t>
      </w:r>
    </w:p>
    <w:p>
      <w:pPr>
        <w:pStyle w:val="22"/>
        <w:spacing w:before="157"/>
        <w:ind w:firstLine="422" w:firstLineChars="200"/>
        <w:rPr>
          <w:b/>
          <w:bCs/>
          <w:color w:val="auto"/>
          <w:sz w:val="21"/>
          <w:szCs w:val="21"/>
        </w:rPr>
      </w:pPr>
    </w:p>
    <w:p>
      <w:pPr>
        <w:pStyle w:val="22"/>
        <w:spacing w:before="157"/>
        <w:ind w:firstLine="482" w:firstLineChars="200"/>
        <w:rPr>
          <w:b/>
          <w:bCs/>
          <w:color w:val="auto"/>
          <w:sz w:val="24"/>
          <w:szCs w:val="24"/>
        </w:rPr>
      </w:pPr>
      <w:r>
        <w:rPr>
          <w:b/>
          <w:bCs/>
          <w:color w:val="auto"/>
          <w:sz w:val="24"/>
          <w:szCs w:val="24"/>
        </w:rPr>
        <w:t>2、评价结果</w:t>
      </w:r>
    </w:p>
    <w:p>
      <w:pPr>
        <w:pStyle w:val="22"/>
        <w:spacing w:before="174"/>
        <w:ind w:left="716"/>
        <w:rPr>
          <w:color w:val="auto"/>
          <w:position w:val="2"/>
          <w:sz w:val="24"/>
          <w:szCs w:val="24"/>
        </w:rPr>
      </w:pPr>
      <w:r>
        <w:rPr>
          <w:color w:val="auto"/>
          <w:sz w:val="24"/>
          <w:szCs w:val="24"/>
        </w:rPr>
        <w:t>以各评价指标</w:t>
      </w:r>
      <w:r>
        <w:rPr>
          <w:color w:val="auto"/>
          <w:position w:val="2"/>
          <w:sz w:val="24"/>
          <w:szCs w:val="24"/>
        </w:rPr>
        <w:t>浓度值C</w:t>
      </w:r>
      <w:r>
        <w:rPr>
          <w:color w:val="auto"/>
          <w:position w:val="2"/>
          <w:sz w:val="24"/>
          <w:szCs w:val="24"/>
          <w:vertAlign w:val="subscript"/>
        </w:rPr>
        <w:t>i</w:t>
      </w:r>
      <w:r>
        <w:rPr>
          <w:color w:val="auto"/>
          <w:position w:val="2"/>
          <w:sz w:val="24"/>
          <w:szCs w:val="24"/>
        </w:rPr>
        <w:t>作计算的评价结果见表3.4-3。</w:t>
      </w:r>
    </w:p>
    <w:p>
      <w:pPr>
        <w:tabs>
          <w:tab w:val="left" w:pos="3703"/>
        </w:tabs>
        <w:spacing w:before="157"/>
        <w:ind w:left="2691"/>
        <w:jc w:val="left"/>
        <w:rPr>
          <w:rFonts w:hint="eastAsia" w:ascii="Times New Roman" w:hAnsi="Times New Roman" w:cs="Times New Roman"/>
          <w:b/>
          <w:bCs/>
          <w:color w:val="auto"/>
          <w:sz w:val="24"/>
          <w:szCs w:val="20"/>
        </w:rPr>
      </w:pPr>
    </w:p>
    <w:p>
      <w:pPr>
        <w:tabs>
          <w:tab w:val="left" w:pos="3703"/>
        </w:tabs>
        <w:spacing w:before="157"/>
        <w:ind w:left="2691"/>
        <w:jc w:val="left"/>
        <w:rPr>
          <w:rFonts w:ascii="Times New Roman" w:hAnsi="Times New Roman" w:cs="Times New Roman"/>
          <w:b/>
          <w:bCs/>
          <w:color w:val="auto"/>
          <w:sz w:val="24"/>
          <w:szCs w:val="20"/>
        </w:rPr>
      </w:pPr>
      <w:r>
        <w:rPr>
          <w:rFonts w:hint="eastAsia" w:ascii="Times New Roman" w:hAnsi="Times New Roman" w:cs="Times New Roman"/>
          <w:b/>
          <w:bCs/>
          <w:color w:val="auto"/>
          <w:sz w:val="24"/>
          <w:szCs w:val="20"/>
        </w:rPr>
        <mc:AlternateContent>
          <mc:Choice Requires="wps">
            <w:drawing>
              <wp:anchor distT="0" distB="0" distL="114300" distR="114300" simplePos="0" relativeHeight="251656192" behindDoc="1" locked="0" layoutInCell="1" allowOverlap="1">
                <wp:simplePos x="0" y="0"/>
                <wp:positionH relativeFrom="page">
                  <wp:posOffset>4775200</wp:posOffset>
                </wp:positionH>
                <wp:positionV relativeFrom="paragraph">
                  <wp:posOffset>776605</wp:posOffset>
                </wp:positionV>
                <wp:extent cx="38100" cy="0"/>
                <wp:effectExtent l="0" t="0" r="0" b="0"/>
                <wp:wrapNone/>
                <wp:docPr id="127" name="直接连接符 127"/>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76pt;margin-top:61.15pt;height:0pt;width:3pt;mso-position-horizontal-relative:page;z-index:-251660288;mso-width-relative:page;mso-height-relative:page;" filled="f" stroked="t" coordsize="21600,21600" o:gfxdata="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l164w1wAAAAsBAAAPAAAAAAAAAAEAIAAAACIA&#10;AABkcnMvZG93bnJldi54bWxQSwECFAAUAAAACACHTuJAw4U8EdEBAACMAwAADgAAAAAAAAABACAA&#10;AAAmAQAAZHJzL2Uyb0RvYy54bWxQSwUGAAAAAAYABgBZAQAAaQUAAAAA&#10;">
                <v:fill on="f" focussize="0,0"/>
                <v:stroke weight="0.6pt" color="#000000" joinstyle="round"/>
                <v:imagedata o:title=""/>
                <o:lock v:ext="edit" aspectratio="f"/>
              </v:line>
            </w:pict>
          </mc:Fallback>
        </mc:AlternateContent>
      </w:r>
      <w:r>
        <w:rPr>
          <w:rFonts w:hint="eastAsia" w:ascii="Times New Roman" w:hAnsi="Times New Roman" w:cs="Times New Roman"/>
          <w:b/>
          <w:bCs/>
          <w:color w:val="auto"/>
          <w:sz w:val="24"/>
          <w:szCs w:val="20"/>
        </w:rPr>
        <mc:AlternateContent>
          <mc:Choice Requires="wps">
            <w:drawing>
              <wp:anchor distT="0" distB="0" distL="114300" distR="114300" simplePos="0" relativeHeight="251657216" behindDoc="1" locked="0" layoutInCell="1" allowOverlap="1">
                <wp:simplePos x="0" y="0"/>
                <wp:positionH relativeFrom="page">
                  <wp:posOffset>5450840</wp:posOffset>
                </wp:positionH>
                <wp:positionV relativeFrom="paragraph">
                  <wp:posOffset>776605</wp:posOffset>
                </wp:positionV>
                <wp:extent cx="38100" cy="0"/>
                <wp:effectExtent l="0" t="0" r="0" b="0"/>
                <wp:wrapNone/>
                <wp:docPr id="129" name="直接连接符 129"/>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29.2pt;margin-top:61.15pt;height:0pt;width:3pt;mso-position-horizontal-relative:page;z-index:-251659264;mso-width-relative:page;mso-height-relative:page;" filled="f" stroked="t" coordsize="21600,21600" o:gfxdata="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N+OBk1wAAAAsBAAAPAAAAAAAAAAEAIAAAACIA&#10;AABkcnMvZG93bnJldi54bWxQSwECFAAUAAAACACHTuJA0ktHANEBAACMAwAADgAAAAAAAAABACAA&#10;AAAmAQAAZHJzL2Uyb0RvYy54bWxQSwUGAAAAAAYABgBZAQAAaQUAAAAA&#10;">
                <v:fill on="f" focussize="0,0"/>
                <v:stroke weight="0.6pt" color="#000000" joinstyle="round"/>
                <v:imagedata o:title=""/>
                <o:lock v:ext="edit" aspectratio="f"/>
              </v:line>
            </w:pict>
          </mc:Fallback>
        </mc:AlternateContent>
      </w:r>
      <w:r>
        <w:rPr>
          <w:rFonts w:hint="eastAsia" w:ascii="Times New Roman" w:hAnsi="Times New Roman" w:cs="Times New Roman"/>
          <w:b/>
          <w:bCs/>
          <w:color w:val="auto"/>
          <w:sz w:val="24"/>
          <w:szCs w:val="20"/>
        </w:rPr>
        <mc:AlternateContent>
          <mc:Choice Requires="wps">
            <w:drawing>
              <wp:anchor distT="0" distB="0" distL="114300" distR="114300" simplePos="0" relativeHeight="251658240" behindDoc="1" locked="0" layoutInCell="1" allowOverlap="1">
                <wp:simplePos x="0" y="0"/>
                <wp:positionH relativeFrom="page">
                  <wp:posOffset>6124575</wp:posOffset>
                </wp:positionH>
                <wp:positionV relativeFrom="paragraph">
                  <wp:posOffset>776605</wp:posOffset>
                </wp:positionV>
                <wp:extent cx="38100" cy="0"/>
                <wp:effectExtent l="0" t="0" r="0" b="0"/>
                <wp:wrapNone/>
                <wp:docPr id="130" name="直接连接符 130"/>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82.25pt;margin-top:61.15pt;height:0pt;width:3pt;mso-position-horizontal-relative:page;z-index:-251658240;mso-width-relative:page;mso-height-relative:page;" filled="f" stroked="t" coordsize="21600,21600" o:gfxdata="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RQDXXAAAACwEAAA8AAAAAAAAAAQAgAAAAIgAA&#10;AGRycy9kb3ducmV2LnhtbFBLAQIUABQAAAAIAIdO4kD0AKIx0AEAAIwDAAAOAAAAAAAAAAEAIAAA&#10;ACYBAABkcnMvZTJvRG9jLnhtbFBLBQYAAAAABgAGAFkBAABoBQAAAAA=&#10;">
                <v:fill on="f" focussize="0,0"/>
                <v:stroke weight="0.6pt" color="#000000" joinstyle="round"/>
                <v:imagedata o:title=""/>
                <o:lock v:ext="edit" aspectratio="f"/>
              </v:line>
            </w:pict>
          </mc:Fallback>
        </mc:AlternateContent>
      </w:r>
      <w:r>
        <w:rPr>
          <w:rFonts w:hint="eastAsia" w:ascii="Times New Roman" w:hAnsi="Times New Roman" w:cs="Times New Roman"/>
          <w:b/>
          <w:bCs/>
          <w:color w:val="auto"/>
          <w:sz w:val="24"/>
          <w:szCs w:val="20"/>
        </w:rPr>
        <w:t>表 3.4-3</w:t>
      </w:r>
      <w:r>
        <w:rPr>
          <w:rFonts w:hint="eastAsia" w:ascii="Times New Roman" w:hAnsi="Times New Roman" w:cs="Times New Roman"/>
          <w:b/>
          <w:bCs/>
          <w:color w:val="auto"/>
          <w:sz w:val="24"/>
          <w:szCs w:val="20"/>
        </w:rPr>
        <w:tab/>
      </w:r>
      <w:r>
        <w:rPr>
          <w:rFonts w:hint="eastAsia" w:ascii="Times New Roman" w:hAnsi="Times New Roman" w:cs="Times New Roman"/>
          <w:b/>
          <w:bCs/>
          <w:color w:val="auto"/>
          <w:sz w:val="24"/>
          <w:szCs w:val="20"/>
        </w:rPr>
        <w:t>地表水环境现状监测评价结果表</w:t>
      </w:r>
    </w:p>
    <w:p>
      <w:pPr>
        <w:pStyle w:val="22"/>
        <w:spacing w:before="9" w:after="1"/>
        <w:rPr>
          <w:rFonts w:ascii="黑体"/>
          <w:color w:val="auto"/>
          <w:sz w:val="10"/>
        </w:rPr>
      </w:pPr>
    </w:p>
    <w:tbl>
      <w:tblPr>
        <w:tblStyle w:val="45"/>
        <w:tblW w:w="8504" w:type="dxa"/>
        <w:tblInd w:w="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65"/>
        <w:gridCol w:w="1064"/>
        <w:gridCol w:w="1064"/>
        <w:gridCol w:w="1063"/>
        <w:gridCol w:w="1063"/>
        <w:gridCol w:w="1064"/>
        <w:gridCol w:w="1063"/>
        <w:gridCol w:w="1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065" w:type="dxa"/>
          </w:tcPr>
          <w:p>
            <w:pPr>
              <w:pStyle w:val="247"/>
              <w:spacing w:before="33"/>
              <w:ind w:left="315" w:right="282"/>
              <w:rPr>
                <w:rFonts w:ascii="宋体" w:eastAsia="宋体"/>
                <w:b/>
                <w:color w:val="auto"/>
              </w:rPr>
            </w:pPr>
            <w:r>
              <w:rPr>
                <w:rFonts w:hint="eastAsia" w:ascii="宋体" w:eastAsia="宋体"/>
                <w:b/>
                <w:color w:val="auto"/>
              </w:rPr>
              <w:t>断面</w:t>
            </w:r>
          </w:p>
        </w:tc>
        <w:tc>
          <w:tcPr>
            <w:tcW w:w="1064" w:type="dxa"/>
          </w:tcPr>
          <w:p>
            <w:pPr>
              <w:pStyle w:val="247"/>
              <w:spacing w:before="83" w:line="237" w:lineRule="exact"/>
              <w:ind w:left="192" w:right="165"/>
              <w:rPr>
                <w:b/>
                <w:color w:val="auto"/>
              </w:rPr>
            </w:pPr>
            <w:r>
              <w:rPr>
                <w:b/>
                <w:color w:val="auto"/>
              </w:rPr>
              <w:t>pH</w:t>
            </w:r>
          </w:p>
        </w:tc>
        <w:tc>
          <w:tcPr>
            <w:tcW w:w="1064" w:type="dxa"/>
          </w:tcPr>
          <w:p>
            <w:pPr>
              <w:pStyle w:val="247"/>
              <w:spacing w:before="83" w:line="237" w:lineRule="exact"/>
              <w:ind w:right="274"/>
              <w:jc w:val="right"/>
              <w:rPr>
                <w:b/>
                <w:color w:val="auto"/>
              </w:rPr>
            </w:pPr>
            <w:r>
              <w:rPr>
                <w:b/>
                <w:color w:val="auto"/>
                <w:w w:val="95"/>
              </w:rPr>
              <w:t>COD</w:t>
            </w:r>
          </w:p>
        </w:tc>
        <w:tc>
          <w:tcPr>
            <w:tcW w:w="1063" w:type="dxa"/>
          </w:tcPr>
          <w:p>
            <w:pPr>
              <w:pStyle w:val="247"/>
              <w:spacing w:before="80" w:line="240" w:lineRule="exact"/>
              <w:ind w:left="191" w:right="174"/>
              <w:rPr>
                <w:b/>
                <w:color w:val="auto"/>
              </w:rPr>
            </w:pPr>
            <w:r>
              <w:rPr>
                <w:b/>
                <w:color w:val="auto"/>
                <w:position w:val="2"/>
              </w:rPr>
              <w:t>BOD</w:t>
            </w:r>
            <w:r>
              <w:rPr>
                <w:b/>
                <w:color w:val="auto"/>
                <w:position w:val="2"/>
                <w:vertAlign w:val="subscript"/>
              </w:rPr>
              <w:t>5</w:t>
            </w:r>
          </w:p>
        </w:tc>
        <w:tc>
          <w:tcPr>
            <w:tcW w:w="1063" w:type="dxa"/>
          </w:tcPr>
          <w:p>
            <w:pPr>
              <w:pStyle w:val="247"/>
              <w:spacing w:before="55" w:line="265" w:lineRule="exact"/>
              <w:ind w:left="182" w:right="178"/>
              <w:rPr>
                <w:rFonts w:ascii="宋体" w:eastAsia="宋体"/>
                <w:b/>
                <w:color w:val="auto"/>
              </w:rPr>
            </w:pPr>
            <w:r>
              <w:rPr>
                <w:rFonts w:hint="eastAsia" w:ascii="宋体" w:eastAsia="宋体"/>
                <w:b/>
                <w:color w:val="auto"/>
              </w:rPr>
              <w:t>氨氮</w:t>
            </w:r>
          </w:p>
        </w:tc>
        <w:tc>
          <w:tcPr>
            <w:tcW w:w="1064" w:type="dxa"/>
          </w:tcPr>
          <w:p>
            <w:pPr>
              <w:pStyle w:val="247"/>
              <w:spacing w:before="55" w:line="265" w:lineRule="exact"/>
              <w:ind w:left="192" w:right="188"/>
              <w:rPr>
                <w:rFonts w:ascii="宋体" w:eastAsia="宋体"/>
                <w:b/>
                <w:color w:val="auto"/>
              </w:rPr>
            </w:pPr>
            <w:r>
              <w:rPr>
                <w:rFonts w:hint="eastAsia" w:ascii="宋体" w:eastAsia="宋体"/>
                <w:b/>
                <w:color w:val="auto"/>
              </w:rPr>
              <w:t>挥发酚</w:t>
            </w:r>
          </w:p>
        </w:tc>
        <w:tc>
          <w:tcPr>
            <w:tcW w:w="1063" w:type="dxa"/>
          </w:tcPr>
          <w:p>
            <w:pPr>
              <w:pStyle w:val="247"/>
              <w:spacing w:before="55" w:line="265" w:lineRule="exact"/>
              <w:ind w:left="181" w:right="178"/>
              <w:rPr>
                <w:rFonts w:ascii="宋体" w:eastAsia="宋体"/>
                <w:b/>
                <w:color w:val="auto"/>
              </w:rPr>
            </w:pPr>
            <w:r>
              <w:rPr>
                <w:rFonts w:hint="eastAsia" w:ascii="宋体" w:eastAsia="宋体"/>
                <w:b/>
                <w:color w:val="auto"/>
              </w:rPr>
              <w:t>石油类</w:t>
            </w:r>
          </w:p>
        </w:tc>
        <w:tc>
          <w:tcPr>
            <w:tcW w:w="1058" w:type="dxa"/>
          </w:tcPr>
          <w:p>
            <w:pPr>
              <w:pStyle w:val="247"/>
              <w:spacing w:before="55" w:line="265" w:lineRule="exact"/>
              <w:ind w:left="191" w:right="168"/>
              <w:rPr>
                <w:rFonts w:ascii="宋体" w:eastAsia="宋体"/>
                <w:b/>
                <w:color w:val="auto"/>
              </w:rPr>
            </w:pPr>
            <w:r>
              <w:rPr>
                <w:rFonts w:hint="eastAsia" w:ascii="宋体" w:eastAsia="宋体"/>
                <w:b/>
                <w:color w:val="auto"/>
              </w:rPr>
              <w:t>硫化物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065" w:type="dxa"/>
          </w:tcPr>
          <w:p>
            <w:pPr>
              <w:pStyle w:val="247"/>
              <w:spacing w:before="50"/>
              <w:ind w:left="311" w:right="282"/>
              <w:rPr>
                <w:color w:val="auto"/>
              </w:rPr>
            </w:pPr>
            <w:r>
              <w:rPr>
                <w:color w:val="auto"/>
              </w:rPr>
              <w:t>W1</w:t>
            </w:r>
          </w:p>
        </w:tc>
        <w:tc>
          <w:tcPr>
            <w:tcW w:w="1064" w:type="dxa"/>
          </w:tcPr>
          <w:p>
            <w:pPr>
              <w:pStyle w:val="247"/>
              <w:spacing w:before="50"/>
              <w:ind w:left="192" w:right="163"/>
              <w:rPr>
                <w:color w:val="auto"/>
              </w:rPr>
            </w:pPr>
            <w:r>
              <w:rPr>
                <w:color w:val="auto"/>
              </w:rPr>
              <w:t>0.415</w:t>
            </w:r>
          </w:p>
        </w:tc>
        <w:tc>
          <w:tcPr>
            <w:tcW w:w="1064" w:type="dxa"/>
          </w:tcPr>
          <w:p>
            <w:pPr>
              <w:pStyle w:val="247"/>
              <w:spacing w:before="43"/>
              <w:ind w:right="317"/>
              <w:jc w:val="right"/>
              <w:rPr>
                <w:color w:val="auto"/>
                <w:sz w:val="22"/>
              </w:rPr>
            </w:pPr>
            <w:r>
              <w:rPr>
                <w:color w:val="auto"/>
                <w:sz w:val="22"/>
              </w:rPr>
              <w:t>0.97</w:t>
            </w:r>
          </w:p>
        </w:tc>
        <w:tc>
          <w:tcPr>
            <w:tcW w:w="1063" w:type="dxa"/>
          </w:tcPr>
          <w:p>
            <w:pPr>
              <w:pStyle w:val="247"/>
              <w:spacing w:before="43"/>
              <w:ind w:left="191" w:right="163"/>
              <w:rPr>
                <w:color w:val="auto"/>
                <w:sz w:val="22"/>
              </w:rPr>
            </w:pPr>
            <w:r>
              <w:rPr>
                <w:color w:val="auto"/>
                <w:sz w:val="22"/>
              </w:rPr>
              <w:t>0.3</w:t>
            </w:r>
          </w:p>
        </w:tc>
        <w:tc>
          <w:tcPr>
            <w:tcW w:w="1063" w:type="dxa"/>
          </w:tcPr>
          <w:p>
            <w:pPr>
              <w:pStyle w:val="247"/>
              <w:spacing w:before="43"/>
              <w:ind w:left="191" w:right="163"/>
              <w:rPr>
                <w:color w:val="auto"/>
                <w:sz w:val="22"/>
              </w:rPr>
            </w:pPr>
            <w:r>
              <w:rPr>
                <w:color w:val="auto"/>
                <w:sz w:val="22"/>
              </w:rPr>
              <w:t>0.137</w:t>
            </w:r>
          </w:p>
        </w:tc>
        <w:tc>
          <w:tcPr>
            <w:tcW w:w="1064" w:type="dxa"/>
          </w:tcPr>
          <w:p>
            <w:pPr>
              <w:pStyle w:val="247"/>
              <w:spacing w:before="43"/>
              <w:ind w:left="29"/>
              <w:rPr>
                <w:color w:val="auto"/>
                <w:sz w:val="22"/>
              </w:rPr>
            </w:pPr>
            <w:r>
              <w:rPr>
                <w:color w:val="auto"/>
                <w:sz w:val="22"/>
              </w:rPr>
              <w:t>/</w:t>
            </w:r>
          </w:p>
        </w:tc>
        <w:tc>
          <w:tcPr>
            <w:tcW w:w="1063" w:type="dxa"/>
          </w:tcPr>
          <w:p>
            <w:pPr>
              <w:pStyle w:val="247"/>
              <w:spacing w:before="43"/>
              <w:ind w:left="28"/>
              <w:rPr>
                <w:color w:val="auto"/>
                <w:sz w:val="22"/>
              </w:rPr>
            </w:pPr>
            <w:r>
              <w:rPr>
                <w:color w:val="auto"/>
                <w:sz w:val="22"/>
              </w:rPr>
              <w:t>/</w:t>
            </w:r>
          </w:p>
        </w:tc>
        <w:tc>
          <w:tcPr>
            <w:tcW w:w="1058" w:type="dxa"/>
          </w:tcPr>
          <w:p>
            <w:pPr>
              <w:pStyle w:val="247"/>
              <w:spacing w:before="43"/>
              <w:ind w:left="24"/>
              <w:rPr>
                <w:color w:val="auto"/>
                <w:sz w:val="22"/>
              </w:rPr>
            </w:pPr>
            <w:r>
              <w:rPr>
                <w:color w:val="auto"/>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rPr>
        <w:tc>
          <w:tcPr>
            <w:tcW w:w="1065" w:type="dxa"/>
          </w:tcPr>
          <w:p>
            <w:pPr>
              <w:pStyle w:val="247"/>
              <w:spacing w:before="48"/>
              <w:ind w:left="311" w:right="282"/>
              <w:rPr>
                <w:color w:val="auto"/>
              </w:rPr>
            </w:pPr>
            <w:r>
              <w:rPr>
                <w:color w:val="auto"/>
              </w:rPr>
              <w:t>W2</w:t>
            </w:r>
          </w:p>
        </w:tc>
        <w:tc>
          <w:tcPr>
            <w:tcW w:w="1064" w:type="dxa"/>
          </w:tcPr>
          <w:p>
            <w:pPr>
              <w:pStyle w:val="247"/>
              <w:spacing w:before="48"/>
              <w:ind w:left="192" w:right="166"/>
              <w:rPr>
                <w:color w:val="auto"/>
              </w:rPr>
            </w:pPr>
            <w:r>
              <w:rPr>
                <w:color w:val="auto"/>
              </w:rPr>
              <w:t>0.42</w:t>
            </w:r>
          </w:p>
        </w:tc>
        <w:tc>
          <w:tcPr>
            <w:tcW w:w="1064" w:type="dxa"/>
          </w:tcPr>
          <w:p>
            <w:pPr>
              <w:pStyle w:val="247"/>
              <w:spacing w:before="43"/>
              <w:ind w:right="317"/>
              <w:jc w:val="right"/>
              <w:rPr>
                <w:color w:val="auto"/>
                <w:sz w:val="22"/>
              </w:rPr>
            </w:pPr>
            <w:r>
              <w:rPr>
                <w:color w:val="auto"/>
                <w:sz w:val="22"/>
              </w:rPr>
              <w:t>0.75</w:t>
            </w:r>
          </w:p>
        </w:tc>
        <w:tc>
          <w:tcPr>
            <w:tcW w:w="1063" w:type="dxa"/>
          </w:tcPr>
          <w:p>
            <w:pPr>
              <w:pStyle w:val="247"/>
              <w:spacing w:before="43"/>
              <w:ind w:left="191" w:right="163"/>
              <w:rPr>
                <w:color w:val="auto"/>
                <w:sz w:val="22"/>
              </w:rPr>
            </w:pPr>
            <w:r>
              <w:rPr>
                <w:color w:val="auto"/>
                <w:sz w:val="22"/>
              </w:rPr>
              <w:t>0.3</w:t>
            </w:r>
          </w:p>
        </w:tc>
        <w:tc>
          <w:tcPr>
            <w:tcW w:w="1063" w:type="dxa"/>
          </w:tcPr>
          <w:p>
            <w:pPr>
              <w:pStyle w:val="247"/>
              <w:spacing w:before="43"/>
              <w:ind w:left="191" w:right="163"/>
              <w:rPr>
                <w:color w:val="auto"/>
                <w:sz w:val="22"/>
              </w:rPr>
            </w:pPr>
            <w:r>
              <w:rPr>
                <w:color w:val="auto"/>
                <w:sz w:val="22"/>
              </w:rPr>
              <w:t>0.18</w:t>
            </w:r>
          </w:p>
        </w:tc>
        <w:tc>
          <w:tcPr>
            <w:tcW w:w="1064" w:type="dxa"/>
          </w:tcPr>
          <w:p>
            <w:pPr>
              <w:pStyle w:val="247"/>
              <w:spacing w:before="43"/>
              <w:ind w:left="29"/>
              <w:rPr>
                <w:color w:val="auto"/>
                <w:sz w:val="22"/>
              </w:rPr>
            </w:pPr>
            <w:r>
              <w:rPr>
                <w:color w:val="auto"/>
                <w:sz w:val="22"/>
              </w:rPr>
              <w:t>/</w:t>
            </w:r>
          </w:p>
        </w:tc>
        <w:tc>
          <w:tcPr>
            <w:tcW w:w="1063" w:type="dxa"/>
          </w:tcPr>
          <w:p>
            <w:pPr>
              <w:pStyle w:val="247"/>
              <w:spacing w:before="43"/>
              <w:ind w:left="28"/>
              <w:rPr>
                <w:color w:val="auto"/>
                <w:sz w:val="22"/>
              </w:rPr>
            </w:pPr>
            <w:r>
              <w:rPr>
                <w:color w:val="auto"/>
                <w:sz w:val="22"/>
              </w:rPr>
              <w:t>/</w:t>
            </w:r>
          </w:p>
        </w:tc>
        <w:tc>
          <w:tcPr>
            <w:tcW w:w="1058" w:type="dxa"/>
          </w:tcPr>
          <w:p>
            <w:pPr>
              <w:pStyle w:val="247"/>
              <w:spacing w:before="43"/>
              <w:ind w:left="24"/>
              <w:rPr>
                <w:color w:val="auto"/>
                <w:sz w:val="22"/>
              </w:rPr>
            </w:pPr>
            <w:r>
              <w:rPr>
                <w:color w:val="auto"/>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9" w:hRule="atLeast"/>
        </w:trPr>
        <w:tc>
          <w:tcPr>
            <w:tcW w:w="1065" w:type="dxa"/>
          </w:tcPr>
          <w:p>
            <w:pPr>
              <w:pStyle w:val="247"/>
              <w:spacing w:before="48"/>
              <w:ind w:left="311" w:right="282"/>
              <w:rPr>
                <w:color w:val="auto"/>
              </w:rPr>
            </w:pPr>
            <w:r>
              <w:rPr>
                <w:color w:val="auto"/>
              </w:rPr>
              <w:t>W3</w:t>
            </w:r>
          </w:p>
        </w:tc>
        <w:tc>
          <w:tcPr>
            <w:tcW w:w="1064" w:type="dxa"/>
          </w:tcPr>
          <w:p>
            <w:pPr>
              <w:pStyle w:val="247"/>
              <w:spacing w:before="48"/>
              <w:ind w:left="192" w:right="163"/>
              <w:rPr>
                <w:color w:val="auto"/>
              </w:rPr>
            </w:pPr>
            <w:r>
              <w:rPr>
                <w:color w:val="auto"/>
              </w:rPr>
              <w:t>0.465</w:t>
            </w:r>
          </w:p>
        </w:tc>
        <w:tc>
          <w:tcPr>
            <w:tcW w:w="1064" w:type="dxa"/>
          </w:tcPr>
          <w:p>
            <w:pPr>
              <w:pStyle w:val="247"/>
              <w:spacing w:before="41"/>
              <w:ind w:right="317"/>
              <w:jc w:val="right"/>
              <w:rPr>
                <w:color w:val="auto"/>
                <w:sz w:val="22"/>
              </w:rPr>
            </w:pPr>
            <w:r>
              <w:rPr>
                <w:color w:val="auto"/>
                <w:sz w:val="22"/>
              </w:rPr>
              <w:t>0.62</w:t>
            </w:r>
          </w:p>
        </w:tc>
        <w:tc>
          <w:tcPr>
            <w:tcW w:w="1063" w:type="dxa"/>
          </w:tcPr>
          <w:p>
            <w:pPr>
              <w:pStyle w:val="247"/>
              <w:spacing w:before="41"/>
              <w:ind w:left="191" w:right="163"/>
              <w:rPr>
                <w:color w:val="auto"/>
                <w:sz w:val="22"/>
              </w:rPr>
            </w:pPr>
            <w:r>
              <w:rPr>
                <w:color w:val="auto"/>
                <w:sz w:val="22"/>
              </w:rPr>
              <w:t>0.35</w:t>
            </w:r>
          </w:p>
        </w:tc>
        <w:tc>
          <w:tcPr>
            <w:tcW w:w="1063" w:type="dxa"/>
          </w:tcPr>
          <w:p>
            <w:pPr>
              <w:pStyle w:val="247"/>
              <w:spacing w:before="41"/>
              <w:ind w:left="191" w:right="163"/>
              <w:rPr>
                <w:color w:val="auto"/>
                <w:sz w:val="22"/>
              </w:rPr>
            </w:pPr>
            <w:r>
              <w:rPr>
                <w:color w:val="auto"/>
                <w:sz w:val="22"/>
              </w:rPr>
              <w:t>0.146</w:t>
            </w:r>
          </w:p>
        </w:tc>
        <w:tc>
          <w:tcPr>
            <w:tcW w:w="1064" w:type="dxa"/>
          </w:tcPr>
          <w:p>
            <w:pPr>
              <w:pStyle w:val="247"/>
              <w:spacing w:before="41"/>
              <w:ind w:left="29"/>
              <w:rPr>
                <w:color w:val="auto"/>
                <w:sz w:val="22"/>
              </w:rPr>
            </w:pPr>
            <w:r>
              <w:rPr>
                <w:color w:val="auto"/>
                <w:sz w:val="22"/>
              </w:rPr>
              <w:t>/</w:t>
            </w:r>
          </w:p>
        </w:tc>
        <w:tc>
          <w:tcPr>
            <w:tcW w:w="1063" w:type="dxa"/>
          </w:tcPr>
          <w:p>
            <w:pPr>
              <w:pStyle w:val="247"/>
              <w:spacing w:before="41"/>
              <w:ind w:left="28"/>
              <w:rPr>
                <w:color w:val="auto"/>
                <w:sz w:val="22"/>
              </w:rPr>
            </w:pPr>
            <w:r>
              <w:rPr>
                <w:color w:val="auto"/>
                <w:sz w:val="22"/>
              </w:rPr>
              <w:t>/</w:t>
            </w:r>
          </w:p>
        </w:tc>
        <w:tc>
          <w:tcPr>
            <w:tcW w:w="1058" w:type="dxa"/>
          </w:tcPr>
          <w:p>
            <w:pPr>
              <w:pStyle w:val="247"/>
              <w:spacing w:before="41"/>
              <w:ind w:left="24"/>
              <w:rPr>
                <w:color w:val="auto"/>
                <w:sz w:val="22"/>
              </w:rPr>
            </w:pPr>
            <w:r>
              <w:rPr>
                <w:color w:val="auto"/>
                <w:sz w:val="22"/>
              </w:rPr>
              <w:t>/</w:t>
            </w:r>
          </w:p>
        </w:tc>
      </w:tr>
    </w:tbl>
    <w:p>
      <w:pPr>
        <w:pStyle w:val="22"/>
        <w:spacing w:before="2"/>
        <w:ind w:left="716"/>
        <w:rPr>
          <w:color w:val="auto"/>
          <w:sz w:val="24"/>
          <w:szCs w:val="24"/>
        </w:rPr>
      </w:pPr>
    </w:p>
    <w:p>
      <w:pPr>
        <w:pStyle w:val="22"/>
        <w:spacing w:before="2"/>
        <w:ind w:left="716"/>
        <w:rPr>
          <w:color w:val="auto"/>
          <w:sz w:val="24"/>
          <w:szCs w:val="24"/>
        </w:rPr>
      </w:pPr>
      <w:r>
        <w:rPr>
          <w:color w:val="auto"/>
          <w:sz w:val="24"/>
          <w:szCs w:val="24"/>
        </w:rPr>
        <mc:AlternateContent>
          <mc:Choice Requires="wps">
            <w:drawing>
              <wp:anchor distT="0" distB="0" distL="114300" distR="114300" simplePos="0" relativeHeight="251659264" behindDoc="1" locked="0" layoutInCell="1" allowOverlap="1">
                <wp:simplePos x="0" y="0"/>
                <wp:positionH relativeFrom="page">
                  <wp:posOffset>4775200</wp:posOffset>
                </wp:positionH>
                <wp:positionV relativeFrom="paragraph">
                  <wp:posOffset>-279400</wp:posOffset>
                </wp:positionV>
                <wp:extent cx="38100" cy="0"/>
                <wp:effectExtent l="0" t="0" r="0" b="0"/>
                <wp:wrapNone/>
                <wp:docPr id="132" name="直接连接符 132"/>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76pt;margin-top:-22pt;height:0pt;width:3pt;mso-position-horizontal-relative:page;z-index:-251657216;mso-width-relative:page;mso-height-relative:page;" filled="f" stroked="t" coordsize="21600,21600" o:gfxdata="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Z9xBO1wAAAAsBAAAPAAAAAAAAAAEAIAAAACIA&#10;AABkcnMvZG93bnJldi54bWxQSwECFAAUAAAACACHTuJAhEMXctEBAACMAwAADgAAAAAAAAABACAA&#10;AAAmAQAAZHJzL2Uyb0RvYy54bWxQSwUGAAAAAAYABgBZAQAAaQUAAAAA&#10;">
                <v:fill on="f" focussize="0,0"/>
                <v:stroke weight="0.6pt" color="#000000" joinstyle="round"/>
                <v:imagedata o:title=""/>
                <o:lock v:ext="edit" aspectratio="f"/>
              </v:line>
            </w:pict>
          </mc:Fallback>
        </mc:AlternateContent>
      </w:r>
      <w:r>
        <w:rPr>
          <w:color w:val="auto"/>
          <w:sz w:val="24"/>
          <w:szCs w:val="24"/>
        </w:rPr>
        <mc:AlternateContent>
          <mc:Choice Requires="wps">
            <w:drawing>
              <wp:anchor distT="0" distB="0" distL="114300" distR="114300" simplePos="0" relativeHeight="251660288" behindDoc="1" locked="0" layoutInCell="1" allowOverlap="1">
                <wp:simplePos x="0" y="0"/>
                <wp:positionH relativeFrom="page">
                  <wp:posOffset>5450840</wp:posOffset>
                </wp:positionH>
                <wp:positionV relativeFrom="paragraph">
                  <wp:posOffset>-279400</wp:posOffset>
                </wp:positionV>
                <wp:extent cx="38100" cy="0"/>
                <wp:effectExtent l="0" t="0" r="0" b="0"/>
                <wp:wrapNone/>
                <wp:docPr id="153" name="直接连接符 153"/>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29.2pt;margin-top:-22pt;height:0pt;width:3pt;mso-position-horizontal-relative:page;z-index:-251656192;mso-width-relative:page;mso-height-relative:page;" filled="f" stroked="t" coordsize="21600,21600" o:gfxdata="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DHYXhrWAAAACwEAAA8AAAAAAAAAAQAgAAAAIgAA&#10;AGRycy9kb3ducmV2LnhtbFBLAQIUABQAAAAIAIdO4kC9rgaj0QEAAIwDAAAOAAAAAAAAAAEAIAAA&#10;ACUBAABkcnMvZTJvRG9jLnhtbFBLBQYAAAAABgAGAFkBAABoBQAAAAA=&#10;">
                <v:fill on="f" focussize="0,0"/>
                <v:stroke weight="0.6pt" color="#000000" joinstyle="round"/>
                <v:imagedata o:title=""/>
                <o:lock v:ext="edit" aspectratio="f"/>
              </v:line>
            </w:pict>
          </mc:Fallback>
        </mc:AlternateContent>
      </w:r>
      <w:r>
        <w:rPr>
          <w:color w:val="auto"/>
          <w:sz w:val="24"/>
          <w:szCs w:val="24"/>
        </w:rPr>
        <mc:AlternateContent>
          <mc:Choice Requires="wps">
            <w:drawing>
              <wp:anchor distT="0" distB="0" distL="114300" distR="114300" simplePos="0" relativeHeight="251661312" behindDoc="1" locked="0" layoutInCell="1" allowOverlap="1">
                <wp:simplePos x="0" y="0"/>
                <wp:positionH relativeFrom="page">
                  <wp:posOffset>6124575</wp:posOffset>
                </wp:positionH>
                <wp:positionV relativeFrom="paragraph">
                  <wp:posOffset>-279400</wp:posOffset>
                </wp:positionV>
                <wp:extent cx="38100" cy="0"/>
                <wp:effectExtent l="0" t="0" r="0" b="0"/>
                <wp:wrapNone/>
                <wp:docPr id="142" name="直接连接符 142"/>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82.25pt;margin-top:-22pt;height:0pt;width:3pt;mso-position-horizontal-relative:page;z-index:-251655168;mso-width-relative:page;mso-height-relative:page;" filled="f" stroked="t" coordsize="21600,21600" o:gfxdata="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sf5L1wAAAAsBAAAPAAAAAAAAAAEAIAAAACIA&#10;AABkcnMvZG93bnJldi54bWxQSwECFAAUAAAACACHTuJAGu5HR9EBAACMAwAADgAAAAAAAAABACAA&#10;AAAmAQAAZHJzL2Uyb0RvYy54bWxQSwUGAAAAAAYABgBZAQAAaQUAAAAA&#10;">
                <v:fill on="f" focussize="0,0"/>
                <v:stroke weight="0.6pt" color="#000000" joinstyle="round"/>
                <v:imagedata o:title=""/>
                <o:lock v:ext="edit" aspectratio="f"/>
              </v:line>
            </w:pict>
          </mc:Fallback>
        </mc:AlternateContent>
      </w:r>
      <w:r>
        <w:rPr>
          <w:color w:val="auto"/>
          <w:sz w:val="24"/>
          <w:szCs w:val="24"/>
        </w:rPr>
        <mc:AlternateContent>
          <mc:Choice Requires="wps">
            <w:drawing>
              <wp:anchor distT="0" distB="0" distL="114300" distR="114300" simplePos="0" relativeHeight="251662336" behindDoc="1" locked="0" layoutInCell="1" allowOverlap="1">
                <wp:simplePos x="0" y="0"/>
                <wp:positionH relativeFrom="page">
                  <wp:posOffset>4775200</wp:posOffset>
                </wp:positionH>
                <wp:positionV relativeFrom="paragraph">
                  <wp:posOffset>-58420</wp:posOffset>
                </wp:positionV>
                <wp:extent cx="38100" cy="0"/>
                <wp:effectExtent l="0" t="0" r="0" b="0"/>
                <wp:wrapNone/>
                <wp:docPr id="149" name="直接连接符 149"/>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376pt;margin-top:-4.6pt;height:0pt;width:3pt;mso-position-horizontal-relative:page;z-index:-251654144;mso-width-relative:page;mso-height-relative:page;" filled="f" stroked="t" coordsize="21600,21600" o:gfxdata="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dXSMPWAAAACQEAAA8AAAAAAAAAAQAgAAAAIgAA&#10;AGRycy9kb3ducmV2LnhtbFBLAQIUABQAAAAIAIdO4kBTB4zw0QEAAIwDAAAOAAAAAAAAAAEAIAAA&#10;ACUBAABkcnMvZTJvRG9jLnhtbFBLBQYAAAAABgAGAFkBAABoBQAAAAA=&#10;">
                <v:fill on="f" focussize="0,0"/>
                <v:stroke weight="0.6pt" color="#000000" joinstyle="round"/>
                <v:imagedata o:title=""/>
                <o:lock v:ext="edit" aspectratio="f"/>
              </v:line>
            </w:pict>
          </mc:Fallback>
        </mc:AlternateContent>
      </w:r>
      <w:r>
        <w:rPr>
          <w:color w:val="auto"/>
          <w:sz w:val="24"/>
          <w:szCs w:val="24"/>
        </w:rPr>
        <mc:AlternateContent>
          <mc:Choice Requires="wps">
            <w:drawing>
              <wp:anchor distT="0" distB="0" distL="114300" distR="114300" simplePos="0" relativeHeight="251663360" behindDoc="1" locked="0" layoutInCell="1" allowOverlap="1">
                <wp:simplePos x="0" y="0"/>
                <wp:positionH relativeFrom="page">
                  <wp:posOffset>5450840</wp:posOffset>
                </wp:positionH>
                <wp:positionV relativeFrom="paragraph">
                  <wp:posOffset>-58420</wp:posOffset>
                </wp:positionV>
                <wp:extent cx="38100" cy="0"/>
                <wp:effectExtent l="0" t="0" r="0" b="0"/>
                <wp:wrapNone/>
                <wp:docPr id="163" name="直接连接符 163"/>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29.2pt;margin-top:-4.6pt;height:0pt;width:3pt;mso-position-horizontal-relative:page;z-index:-251653120;mso-width-relative:page;mso-height-relative:page;" filled="f" stroked="t" coordsize="21600,21600" o:gfxdata="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17ApHWAAAACQEAAA8AAAAAAAAAAQAgAAAAIgAA&#10;AGRycy9kb3ducmV2LnhtbFBLAQIUABQAAAAIAIdO4kDdi9s20QEAAIwDAAAOAAAAAAAAAAEAIAAA&#10;ACUBAABkcnMvZTJvRG9jLnhtbFBLBQYAAAAABgAGAFkBAABoBQAAAAA=&#10;">
                <v:fill on="f" focussize="0,0"/>
                <v:stroke weight="0.6pt" color="#000000" joinstyle="round"/>
                <v:imagedata o:title=""/>
                <o:lock v:ext="edit" aspectratio="f"/>
              </v:line>
            </w:pict>
          </mc:Fallback>
        </mc:AlternateContent>
      </w:r>
      <w:r>
        <w:rPr>
          <w:color w:val="auto"/>
          <w:sz w:val="24"/>
          <w:szCs w:val="24"/>
        </w:rPr>
        <mc:AlternateContent>
          <mc:Choice Requires="wps">
            <w:drawing>
              <wp:anchor distT="0" distB="0" distL="114300" distR="114300" simplePos="0" relativeHeight="251664384" behindDoc="1" locked="0" layoutInCell="1" allowOverlap="1">
                <wp:simplePos x="0" y="0"/>
                <wp:positionH relativeFrom="page">
                  <wp:posOffset>6124575</wp:posOffset>
                </wp:positionH>
                <wp:positionV relativeFrom="paragraph">
                  <wp:posOffset>-58420</wp:posOffset>
                </wp:positionV>
                <wp:extent cx="38100" cy="0"/>
                <wp:effectExtent l="0" t="0" r="0" b="0"/>
                <wp:wrapNone/>
                <wp:docPr id="154" name="直接连接符 154"/>
                <wp:cNvGraphicFramePr/>
                <a:graphic xmlns:a="http://schemas.openxmlformats.org/drawingml/2006/main">
                  <a:graphicData uri="http://schemas.microsoft.com/office/word/2010/wordprocessingShape">
                    <wps:wsp>
                      <wps:cNvCnPr/>
                      <wps:spPr>
                        <a:xfrm>
                          <a:off x="0" y="0"/>
                          <a:ext cx="38100" cy="0"/>
                        </a:xfrm>
                        <a:prstGeom prst="line">
                          <a:avLst/>
                        </a:prstGeom>
                        <a:ln w="762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482.25pt;margin-top:-4.6pt;height:0pt;width:3pt;mso-position-horizontal-relative:page;z-index:-251652096;mso-width-relative:page;mso-height-relative:page;" filled="f" stroked="t" coordsize="21600,21600" o:gfxdata="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PLLGJrWAAAACQEAAA8AAAAAAAAAAQAgAAAAIgAA&#10;AGRycy9kb3ducmV2LnhtbFBLAQIUABQAAAAIAIdO4kCVygNG0QEAAIwDAAAOAAAAAAAAAAEAIAAA&#10;ACUBAABkcnMvZTJvRG9jLnhtbFBLBQYAAAAABgAGAFkBAABoBQAAAAA=&#10;">
                <v:fill on="f" focussize="0,0"/>
                <v:stroke weight="0.6pt" color="#000000" joinstyle="round"/>
                <v:imagedata o:title=""/>
                <o:lock v:ext="edit" aspectratio="f"/>
              </v:line>
            </w:pict>
          </mc:Fallback>
        </mc:AlternateContent>
      </w:r>
      <w:r>
        <w:rPr>
          <w:color w:val="auto"/>
          <w:sz w:val="24"/>
          <w:szCs w:val="24"/>
        </w:rPr>
        <w:t>由上表可知，监测结果显示，所测长江断面水质满足《地表水环境质量标准》</w:t>
      </w:r>
    </w:p>
    <w:p>
      <w:pPr>
        <w:pStyle w:val="22"/>
        <w:spacing w:before="159" w:line="364" w:lineRule="auto"/>
        <w:ind w:right="313"/>
        <w:rPr>
          <w:color w:val="auto"/>
          <w:sz w:val="24"/>
          <w:szCs w:val="24"/>
        </w:rPr>
      </w:pPr>
      <w:r>
        <w:rPr>
          <w:color w:val="auto"/>
          <w:sz w:val="24"/>
          <w:szCs w:val="24"/>
        </w:rPr>
        <w:t>（</w:t>
      </w:r>
      <w:r>
        <w:rPr>
          <w:rFonts w:eastAsia="Times New Roman"/>
          <w:color w:val="auto"/>
          <w:sz w:val="24"/>
          <w:szCs w:val="24"/>
        </w:rPr>
        <w:t>GB3838-2002</w:t>
      </w:r>
      <w:r>
        <w:rPr>
          <w:color w:val="auto"/>
          <w:sz w:val="24"/>
          <w:szCs w:val="24"/>
        </w:rPr>
        <w:t>）</w:t>
      </w:r>
      <w:r>
        <w:rPr>
          <w:color w:val="auto"/>
          <w:spacing w:val="-4"/>
          <w:sz w:val="24"/>
          <w:szCs w:val="24"/>
        </w:rPr>
        <w:t>中Ⅲ类水质标准，但是上游断面</w:t>
      </w:r>
      <w:r>
        <w:rPr>
          <w:rFonts w:eastAsia="Times New Roman"/>
          <w:color w:val="auto"/>
          <w:sz w:val="24"/>
          <w:szCs w:val="24"/>
        </w:rPr>
        <w:t>COD</w:t>
      </w:r>
      <w:r>
        <w:rPr>
          <w:color w:val="auto"/>
          <w:spacing w:val="-7"/>
          <w:sz w:val="24"/>
          <w:szCs w:val="24"/>
        </w:rPr>
        <w:t xml:space="preserve">监测值接近 </w:t>
      </w:r>
      <w:r>
        <w:rPr>
          <w:rFonts w:eastAsia="Times New Roman"/>
          <w:color w:val="auto"/>
          <w:sz w:val="24"/>
          <w:szCs w:val="24"/>
        </w:rPr>
        <w:t xml:space="preserve">3 </w:t>
      </w:r>
      <w:r>
        <w:rPr>
          <w:color w:val="auto"/>
          <w:sz w:val="24"/>
          <w:szCs w:val="24"/>
        </w:rPr>
        <w:t>类标准，说明</w:t>
      </w:r>
      <w:r>
        <w:rPr>
          <w:rFonts w:hint="eastAsia"/>
          <w:color w:val="auto"/>
          <w:sz w:val="24"/>
          <w:szCs w:val="24"/>
          <w:lang w:eastAsia="zh-CN"/>
        </w:rPr>
        <w:t>上</w:t>
      </w:r>
      <w:r>
        <w:rPr>
          <w:color w:val="auto"/>
          <w:sz w:val="24"/>
          <w:szCs w:val="24"/>
        </w:rPr>
        <w:t>游来水水质一般。</w:t>
      </w:r>
      <w:bookmarkStart w:id="231" w:name="_bookmark23"/>
      <w:bookmarkEnd w:id="231"/>
      <w:bookmarkStart w:id="232" w:name="3.5地下水质量现状调查与评价"/>
      <w:bookmarkEnd w:id="232"/>
    </w:p>
    <w:p>
      <w:pPr>
        <w:pStyle w:val="6"/>
        <w:numPr>
          <w:ilvl w:val="1"/>
          <w:numId w:val="0"/>
        </w:numPr>
        <w:tabs>
          <w:tab w:val="clear" w:pos="0"/>
        </w:tabs>
        <w:spacing w:before="120" w:beforeLines="0" w:after="120" w:afterLines="0"/>
        <w:ind w:leftChars="0"/>
        <w:rPr>
          <w:rFonts w:hint="eastAsia"/>
          <w:color w:val="auto"/>
          <w:lang w:val="en-US" w:eastAsia="zh-CN"/>
        </w:rPr>
      </w:pPr>
      <w:bookmarkStart w:id="233" w:name="_Toc24837"/>
      <w:r>
        <w:rPr>
          <w:rFonts w:hint="eastAsia"/>
          <w:color w:val="auto"/>
          <w:lang w:val="en-US" w:eastAsia="zh-CN"/>
        </w:rPr>
        <w:t>3.5. 地下水质量现状调查与评价</w:t>
      </w:r>
      <w:bookmarkEnd w:id="233"/>
    </w:p>
    <w:p>
      <w:pPr>
        <w:pStyle w:val="22"/>
        <w:kinsoku w:val="0"/>
        <w:overflowPunct w:val="0"/>
        <w:spacing w:beforeLines="0" w:afterLines="0" w:line="362" w:lineRule="auto"/>
        <w:ind w:left="240" w:right="1436" w:firstLine="479"/>
        <w:rPr>
          <w:rFonts w:hint="eastAsia"/>
          <w:color w:val="auto"/>
          <w:spacing w:val="-5"/>
          <w:sz w:val="24"/>
        </w:rPr>
      </w:pPr>
      <w:r>
        <w:rPr>
          <w:rFonts w:hint="eastAsia"/>
          <w:color w:val="auto"/>
          <w:spacing w:val="-5"/>
          <w:sz w:val="24"/>
        </w:rPr>
        <w:t>为了解本项目所在地地下水质量现状。</w:t>
      </w:r>
    </w:p>
    <w:p>
      <w:pPr>
        <w:pStyle w:val="22"/>
        <w:kinsoku w:val="0"/>
        <w:overflowPunct w:val="0"/>
        <w:spacing w:before="4" w:beforeLines="0" w:afterLines="0" w:line="364" w:lineRule="auto"/>
        <w:ind w:left="240" w:right="1437" w:firstLine="479"/>
        <w:jc w:val="both"/>
        <w:rPr>
          <w:rFonts w:hint="eastAsia"/>
          <w:color w:val="auto"/>
          <w:spacing w:val="-6"/>
          <w:sz w:val="24"/>
        </w:rPr>
      </w:pPr>
      <w:r>
        <w:rPr>
          <w:rFonts w:hint="eastAsia"/>
          <w:color w:val="auto"/>
          <w:spacing w:val="-14"/>
          <w:sz w:val="24"/>
        </w:rPr>
        <w:t>一、引用《</w:t>
      </w:r>
      <w:r>
        <w:rPr>
          <w:rFonts w:hint="default" w:ascii="Times New Roman" w:hAnsi="Times New Roman" w:eastAsia="Times New Roman"/>
          <w:color w:val="auto"/>
          <w:sz w:val="24"/>
        </w:rPr>
        <w:t xml:space="preserve">30 </w:t>
      </w:r>
      <w:r>
        <w:rPr>
          <w:rFonts w:hint="eastAsia"/>
          <w:color w:val="auto"/>
          <w:sz w:val="24"/>
        </w:rPr>
        <w:t>万吨</w:t>
      </w:r>
      <w:r>
        <w:rPr>
          <w:rFonts w:hint="default" w:ascii="Times New Roman" w:hAnsi="Times New Roman" w:eastAsia="Times New Roman"/>
          <w:color w:val="auto"/>
          <w:spacing w:val="-3"/>
          <w:sz w:val="24"/>
        </w:rPr>
        <w:t>/</w:t>
      </w:r>
      <w:r>
        <w:rPr>
          <w:rFonts w:hint="eastAsia"/>
          <w:color w:val="auto"/>
          <w:spacing w:val="-4"/>
          <w:sz w:val="24"/>
        </w:rPr>
        <w:t xml:space="preserve">年催化重汽油选择性加氢脱硫装置 </w:t>
      </w:r>
      <w:r>
        <w:rPr>
          <w:rFonts w:hint="default" w:ascii="Times New Roman" w:hAnsi="Times New Roman" w:eastAsia="Times New Roman"/>
          <w:color w:val="auto"/>
          <w:sz w:val="24"/>
        </w:rPr>
        <w:t xml:space="preserve">RSDS-III </w:t>
      </w:r>
      <w:r>
        <w:rPr>
          <w:rFonts w:hint="eastAsia"/>
          <w:color w:val="auto"/>
          <w:sz w:val="24"/>
        </w:rPr>
        <w:t>技术改造项</w:t>
      </w:r>
      <w:r>
        <w:rPr>
          <w:rFonts w:hint="eastAsia"/>
          <w:color w:val="auto"/>
          <w:spacing w:val="-10"/>
          <w:sz w:val="24"/>
        </w:rPr>
        <w:t>目环境影响报告书》环境影响评价时的相关地下水监测数据来说明项目区地下水</w:t>
      </w:r>
      <w:r>
        <w:rPr>
          <w:rFonts w:hint="eastAsia"/>
          <w:color w:val="auto"/>
          <w:spacing w:val="-14"/>
          <w:sz w:val="24"/>
        </w:rPr>
        <w:t xml:space="preserve">质量情况。监测时间为 </w:t>
      </w:r>
      <w:r>
        <w:rPr>
          <w:rFonts w:hint="default" w:ascii="Times New Roman" w:hAnsi="Times New Roman" w:eastAsia="Times New Roman"/>
          <w:color w:val="auto"/>
          <w:sz w:val="24"/>
        </w:rPr>
        <w:t xml:space="preserve">2017 </w:t>
      </w:r>
      <w:r>
        <w:rPr>
          <w:rFonts w:hint="eastAsia"/>
          <w:color w:val="auto"/>
          <w:spacing w:val="-31"/>
          <w:sz w:val="24"/>
        </w:rPr>
        <w:t xml:space="preserve">年 </w:t>
      </w:r>
      <w:r>
        <w:rPr>
          <w:rFonts w:hint="default" w:ascii="Times New Roman" w:hAnsi="Times New Roman" w:eastAsia="Times New Roman"/>
          <w:color w:val="auto"/>
          <w:sz w:val="24"/>
        </w:rPr>
        <w:t xml:space="preserve">4 </w:t>
      </w:r>
      <w:r>
        <w:rPr>
          <w:rFonts w:hint="eastAsia"/>
          <w:color w:val="auto"/>
          <w:spacing w:val="-24"/>
          <w:sz w:val="24"/>
        </w:rPr>
        <w:t xml:space="preserve">月，自 </w:t>
      </w:r>
      <w:r>
        <w:rPr>
          <w:rFonts w:hint="default" w:ascii="Times New Roman" w:hAnsi="Times New Roman" w:eastAsia="Times New Roman"/>
          <w:color w:val="auto"/>
          <w:sz w:val="24"/>
        </w:rPr>
        <w:t xml:space="preserve">2017 </w:t>
      </w:r>
      <w:r>
        <w:rPr>
          <w:rFonts w:hint="eastAsia"/>
          <w:color w:val="auto"/>
          <w:spacing w:val="-31"/>
          <w:sz w:val="24"/>
        </w:rPr>
        <w:t xml:space="preserve">年 </w:t>
      </w:r>
      <w:r>
        <w:rPr>
          <w:rFonts w:hint="default" w:ascii="Times New Roman" w:hAnsi="Times New Roman" w:eastAsia="Times New Roman"/>
          <w:color w:val="auto"/>
          <w:sz w:val="24"/>
        </w:rPr>
        <w:t xml:space="preserve">4 </w:t>
      </w:r>
      <w:r>
        <w:rPr>
          <w:rFonts w:hint="eastAsia"/>
          <w:color w:val="auto"/>
          <w:spacing w:val="-6"/>
          <w:sz w:val="24"/>
        </w:rPr>
        <w:t>月监测以来，项目区周边无新增重大污染源，监测数据引用可行。</w:t>
      </w:r>
    </w:p>
    <w:p>
      <w:pPr>
        <w:pStyle w:val="22"/>
        <w:kinsoku w:val="0"/>
        <w:overflowPunct w:val="0"/>
        <w:spacing w:beforeLines="0" w:afterLines="0" w:line="306" w:lineRule="exact"/>
        <w:ind w:left="720"/>
        <w:rPr>
          <w:rFonts w:hint="eastAsia"/>
          <w:color w:val="auto"/>
          <w:sz w:val="24"/>
        </w:rPr>
      </w:pPr>
      <w:r>
        <w:rPr>
          <w:rFonts w:hint="eastAsia"/>
          <w:color w:val="auto"/>
          <w:sz w:val="24"/>
        </w:rPr>
        <w:t>（</w:t>
      </w:r>
      <w:r>
        <w:rPr>
          <w:rFonts w:hint="default" w:ascii="Times New Roman" w:hAnsi="Times New Roman" w:eastAsia="Times New Roman"/>
          <w:color w:val="auto"/>
          <w:sz w:val="24"/>
        </w:rPr>
        <w:t>1</w:t>
      </w:r>
      <w:r>
        <w:rPr>
          <w:rFonts w:hint="eastAsia"/>
          <w:color w:val="auto"/>
          <w:sz w:val="24"/>
        </w:rPr>
        <w:t>）监测点位</w:t>
      </w:r>
    </w:p>
    <w:p>
      <w:pPr>
        <w:pStyle w:val="22"/>
        <w:kinsoku w:val="0"/>
        <w:overflowPunct w:val="0"/>
        <w:spacing w:beforeLines="0" w:afterLines="0" w:line="306" w:lineRule="exact"/>
        <w:jc w:val="center"/>
        <w:rPr>
          <w:rFonts w:hint="eastAsia"/>
          <w:color w:val="auto"/>
          <w:sz w:val="24"/>
        </w:rPr>
      </w:pPr>
      <w:r>
        <w:rPr>
          <w:rFonts w:hint="eastAsia"/>
          <w:color w:val="auto"/>
          <w:sz w:val="24"/>
        </w:rPr>
        <w:t>表</w:t>
      </w:r>
      <w:r>
        <w:rPr>
          <w:rFonts w:hint="eastAsia" w:ascii="Times New Roman" w:hAnsi="Times New Roman" w:eastAsia="宋体"/>
          <w:color w:val="auto"/>
          <w:sz w:val="24"/>
          <w:lang w:val="en-US" w:eastAsia="zh-CN"/>
        </w:rPr>
        <w:t>3.5</w:t>
      </w:r>
      <w:r>
        <w:rPr>
          <w:rFonts w:hint="default" w:ascii="Times New Roman" w:hAnsi="Times New Roman" w:eastAsia="Times New Roman"/>
          <w:color w:val="auto"/>
          <w:sz w:val="24"/>
        </w:rPr>
        <w:t>-1</w:t>
      </w:r>
      <w:r>
        <w:rPr>
          <w:rFonts w:hint="default" w:ascii="Times New Roman" w:hAnsi="Times New Roman" w:eastAsia="Times New Roman"/>
          <w:color w:val="auto"/>
          <w:sz w:val="24"/>
        </w:rPr>
        <w:tab/>
      </w:r>
      <w:r>
        <w:rPr>
          <w:rFonts w:hint="eastAsia"/>
          <w:color w:val="auto"/>
          <w:sz w:val="24"/>
        </w:rPr>
        <w:t>监测点位一览表</w:t>
      </w:r>
    </w:p>
    <w:p>
      <w:pPr>
        <w:pStyle w:val="22"/>
        <w:kinsoku w:val="0"/>
        <w:overflowPunct w:val="0"/>
        <w:spacing w:before="3" w:beforeLines="0" w:afterLines="0"/>
        <w:jc w:val="center"/>
        <w:rPr>
          <w:rFonts w:hint="eastAsia"/>
          <w:b/>
          <w:color w:val="auto"/>
          <w:sz w:val="12"/>
        </w:rPr>
      </w:pPr>
    </w:p>
    <w:tbl>
      <w:tblPr>
        <w:tblStyle w:val="45"/>
        <w:tblW w:w="8030" w:type="dxa"/>
        <w:tblInd w:w="48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60"/>
        <w:gridCol w:w="4021"/>
        <w:gridCol w:w="29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3" w:hRule="atLeast"/>
        </w:trPr>
        <w:tc>
          <w:tcPr>
            <w:tcW w:w="1060" w:type="dxa"/>
            <w:tcBorders>
              <w:top w:val="single" w:color="000000" w:sz="12" w:space="0"/>
              <w:left w:val="single" w:color="000000" w:sz="12" w:space="0"/>
              <w:bottom w:val="single" w:color="000000" w:sz="6" w:space="0"/>
              <w:right w:val="single" w:color="000000" w:sz="6" w:space="0"/>
              <w:tl2br w:val="nil"/>
              <w:tr2bl w:val="nil"/>
            </w:tcBorders>
            <w:vAlign w:val="top"/>
          </w:tcPr>
          <w:p>
            <w:pPr>
              <w:pStyle w:val="247"/>
              <w:kinsoku w:val="0"/>
              <w:overflowPunct w:val="0"/>
              <w:spacing w:before="112" w:beforeLines="0" w:afterLines="0"/>
              <w:ind w:left="298" w:right="278"/>
              <w:rPr>
                <w:rFonts w:hint="eastAsia"/>
                <w:color w:val="auto"/>
                <w:sz w:val="21"/>
              </w:rPr>
            </w:pPr>
            <w:r>
              <w:rPr>
                <w:rFonts w:hint="eastAsia"/>
                <w:color w:val="auto"/>
                <w:sz w:val="21"/>
              </w:rPr>
              <w:t>代号</w:t>
            </w:r>
          </w:p>
        </w:tc>
        <w:tc>
          <w:tcPr>
            <w:tcW w:w="4021" w:type="dxa"/>
            <w:tcBorders>
              <w:top w:val="single" w:color="000000" w:sz="12"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112" w:beforeLines="0" w:afterLines="0"/>
              <w:ind w:left="843" w:right="810"/>
              <w:rPr>
                <w:rFonts w:hint="eastAsia"/>
                <w:color w:val="auto"/>
                <w:sz w:val="21"/>
              </w:rPr>
            </w:pPr>
            <w:r>
              <w:rPr>
                <w:rFonts w:hint="eastAsia"/>
                <w:color w:val="auto"/>
                <w:sz w:val="21"/>
              </w:rPr>
              <w:t>监测点</w:t>
            </w:r>
          </w:p>
        </w:tc>
        <w:tc>
          <w:tcPr>
            <w:tcW w:w="2949" w:type="dxa"/>
            <w:tcBorders>
              <w:top w:val="single" w:color="000000" w:sz="12"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112" w:beforeLines="0" w:afterLines="0"/>
              <w:ind w:left="203" w:right="163"/>
              <w:rPr>
                <w:rFonts w:hint="eastAsia"/>
                <w:color w:val="auto"/>
                <w:sz w:val="21"/>
              </w:rPr>
            </w:pPr>
            <w:r>
              <w:rPr>
                <w:rFonts w:hint="eastAsia"/>
                <w:color w:val="auto"/>
                <w:sz w:val="21"/>
              </w:rPr>
              <w:t>与本项目的方向、厂界距离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3" w:hRule="atLeast"/>
        </w:trPr>
        <w:tc>
          <w:tcPr>
            <w:tcW w:w="1060" w:type="dxa"/>
            <w:tcBorders>
              <w:top w:val="single" w:color="000000" w:sz="6" w:space="0"/>
              <w:left w:val="single" w:color="000000" w:sz="12" w:space="0"/>
              <w:bottom w:val="single" w:color="000000" w:sz="6" w:space="0"/>
              <w:right w:val="single" w:color="000000" w:sz="6" w:space="0"/>
              <w:tl2br w:val="nil"/>
              <w:tr2bl w:val="nil"/>
            </w:tcBorders>
            <w:vAlign w:val="top"/>
          </w:tcPr>
          <w:p>
            <w:pPr>
              <w:pStyle w:val="247"/>
              <w:kinsoku w:val="0"/>
              <w:overflowPunct w:val="0"/>
              <w:spacing w:before="58" w:beforeLines="0" w:afterLines="0"/>
              <w:ind w:left="291" w:right="278"/>
              <w:rPr>
                <w:rFonts w:hint="default" w:ascii="Times New Roman" w:hAnsi="Times New Roman" w:eastAsia="Times New Roman"/>
                <w:color w:val="auto"/>
                <w:sz w:val="21"/>
              </w:rPr>
            </w:pPr>
            <w:r>
              <w:rPr>
                <w:rFonts w:hint="default" w:ascii="Times New Roman" w:hAnsi="Times New Roman" w:eastAsia="Times New Roman"/>
                <w:color w:val="auto"/>
                <w:sz w:val="21"/>
              </w:rPr>
              <w:t>A1</w:t>
            </w:r>
          </w:p>
        </w:tc>
        <w:tc>
          <w:tcPr>
            <w:tcW w:w="4021"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52" w:beforeLines="0" w:afterLines="0"/>
              <w:ind w:left="840" w:right="812"/>
              <w:rPr>
                <w:rFonts w:hint="default" w:ascii="Times New Roman" w:hAnsi="Times New Roman" w:eastAsia="Times New Roman"/>
                <w:color w:val="auto"/>
                <w:sz w:val="21"/>
              </w:rPr>
            </w:pPr>
            <w:r>
              <w:rPr>
                <w:rFonts w:hint="eastAsia"/>
                <w:color w:val="auto"/>
                <w:sz w:val="21"/>
              </w:rPr>
              <w:t>南岳丁家组</w:t>
            </w:r>
            <w:r>
              <w:rPr>
                <w:rFonts w:hint="default" w:ascii="Times New Roman" w:hAnsi="Times New Roman" w:eastAsia="Times New Roman"/>
                <w:color w:val="auto"/>
                <w:sz w:val="21"/>
              </w:rPr>
              <w:t>(</w:t>
            </w:r>
            <w:r>
              <w:rPr>
                <w:rFonts w:hint="eastAsia"/>
                <w:color w:val="auto"/>
                <w:sz w:val="21"/>
              </w:rPr>
              <w:t>技校西</w:t>
            </w:r>
            <w:r>
              <w:rPr>
                <w:rFonts w:hint="default" w:ascii="Times New Roman" w:hAnsi="Times New Roman" w:eastAsia="Times New Roman"/>
                <w:color w:val="auto"/>
                <w:sz w:val="21"/>
              </w:rPr>
              <w:t>)</w:t>
            </w:r>
          </w:p>
        </w:tc>
        <w:tc>
          <w:tcPr>
            <w:tcW w:w="294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52" w:beforeLines="0" w:afterLines="0"/>
              <w:ind w:left="203" w:right="158"/>
              <w:rPr>
                <w:rFonts w:hint="default" w:ascii="Times New Roman" w:hAnsi="Times New Roman" w:eastAsia="Times New Roman"/>
                <w:color w:val="auto"/>
                <w:sz w:val="21"/>
              </w:rPr>
            </w:pPr>
            <w:r>
              <w:rPr>
                <w:rFonts w:hint="eastAsia"/>
                <w:color w:val="auto"/>
                <w:sz w:val="21"/>
              </w:rPr>
              <w:t xml:space="preserve">西南，约 </w:t>
            </w:r>
            <w:r>
              <w:rPr>
                <w:rFonts w:hint="default" w:ascii="Times New Roman" w:hAnsi="Times New Roman" w:eastAsia="Times New Roman"/>
                <w:color w:val="auto"/>
                <w:sz w:val="21"/>
              </w:rPr>
              <w:t>3</w:t>
            </w:r>
            <w:r>
              <w:rPr>
                <w:rFonts w:hint="eastAsia" w:eastAsia="宋体"/>
                <w:color w:val="auto"/>
                <w:sz w:val="21"/>
                <w:lang w:val="en-US" w:eastAsia="zh-CN"/>
              </w:rPr>
              <w:t>2</w:t>
            </w:r>
            <w:r>
              <w:rPr>
                <w:rFonts w:hint="default" w:ascii="Times New Roman" w:hAnsi="Times New Roman" w:eastAsia="Times New Roman"/>
                <w:color w:val="auto"/>
                <w:sz w:val="21"/>
              </w:rPr>
              <w:t>00m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7" w:hRule="atLeast"/>
        </w:trPr>
        <w:tc>
          <w:tcPr>
            <w:tcW w:w="1060" w:type="dxa"/>
            <w:tcBorders>
              <w:top w:val="single" w:color="000000" w:sz="6" w:space="0"/>
              <w:left w:val="single" w:color="000000" w:sz="12" w:space="0"/>
              <w:bottom w:val="single" w:color="000000" w:sz="6" w:space="0"/>
              <w:right w:val="single" w:color="000000" w:sz="6" w:space="0"/>
              <w:tl2br w:val="nil"/>
              <w:tr2bl w:val="nil"/>
            </w:tcBorders>
            <w:vAlign w:val="top"/>
          </w:tcPr>
          <w:p>
            <w:pPr>
              <w:pStyle w:val="247"/>
              <w:kinsoku w:val="0"/>
              <w:overflowPunct w:val="0"/>
              <w:spacing w:before="63" w:beforeLines="0" w:afterLines="0"/>
              <w:ind w:left="291" w:right="278"/>
              <w:rPr>
                <w:rFonts w:hint="default" w:ascii="Times New Roman" w:hAnsi="Times New Roman" w:eastAsia="Times New Roman"/>
                <w:color w:val="auto"/>
                <w:sz w:val="21"/>
              </w:rPr>
            </w:pPr>
            <w:r>
              <w:rPr>
                <w:rFonts w:hint="default" w:ascii="Times New Roman" w:hAnsi="Times New Roman" w:eastAsia="Times New Roman"/>
                <w:color w:val="auto"/>
                <w:sz w:val="21"/>
              </w:rPr>
              <w:t>A2</w:t>
            </w:r>
          </w:p>
        </w:tc>
        <w:tc>
          <w:tcPr>
            <w:tcW w:w="4021"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57" w:beforeLines="0" w:afterLines="0"/>
              <w:ind w:left="841" w:right="812"/>
              <w:rPr>
                <w:rFonts w:hint="eastAsia"/>
                <w:color w:val="auto"/>
                <w:sz w:val="21"/>
              </w:rPr>
            </w:pPr>
            <w:r>
              <w:rPr>
                <w:rFonts w:hint="eastAsia"/>
                <w:color w:val="auto"/>
                <w:sz w:val="21"/>
              </w:rPr>
              <w:t>臣山村新组李家井水</w:t>
            </w:r>
          </w:p>
        </w:tc>
        <w:tc>
          <w:tcPr>
            <w:tcW w:w="294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57" w:beforeLines="0" w:afterLines="0"/>
              <w:ind w:left="203" w:right="158"/>
              <w:rPr>
                <w:rFonts w:hint="default" w:ascii="Times New Roman" w:hAnsi="Times New Roman" w:eastAsia="Times New Roman"/>
                <w:color w:val="auto"/>
                <w:sz w:val="21"/>
              </w:rPr>
            </w:pPr>
            <w:r>
              <w:rPr>
                <w:rFonts w:hint="eastAsia"/>
                <w:color w:val="auto"/>
                <w:sz w:val="21"/>
              </w:rPr>
              <w:t xml:space="preserve">西北，约 </w:t>
            </w:r>
            <w:r>
              <w:rPr>
                <w:rFonts w:hint="default" w:ascii="Times New Roman" w:hAnsi="Times New Roman" w:eastAsia="Times New Roman"/>
                <w:color w:val="auto"/>
                <w:sz w:val="21"/>
              </w:rPr>
              <w:t>3</w:t>
            </w:r>
            <w:r>
              <w:rPr>
                <w:rFonts w:hint="eastAsia" w:eastAsia="宋体"/>
                <w:color w:val="auto"/>
                <w:sz w:val="21"/>
                <w:lang w:val="en-US" w:eastAsia="zh-CN"/>
              </w:rPr>
              <w:t>2</w:t>
            </w:r>
            <w:r>
              <w:rPr>
                <w:rFonts w:hint="default" w:ascii="Times New Roman" w:hAnsi="Times New Roman" w:eastAsia="Times New Roman"/>
                <w:color w:val="auto"/>
                <w:sz w:val="21"/>
              </w:rPr>
              <w:t>00m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3" w:hRule="atLeast"/>
        </w:trPr>
        <w:tc>
          <w:tcPr>
            <w:tcW w:w="1060" w:type="dxa"/>
            <w:tcBorders>
              <w:top w:val="single" w:color="000000" w:sz="6" w:space="0"/>
              <w:left w:val="single" w:color="000000" w:sz="12" w:space="0"/>
              <w:bottom w:val="single" w:color="000000" w:sz="12" w:space="0"/>
              <w:right w:val="single" w:color="000000" w:sz="6" w:space="0"/>
              <w:tl2br w:val="nil"/>
              <w:tr2bl w:val="nil"/>
            </w:tcBorders>
            <w:vAlign w:val="top"/>
          </w:tcPr>
          <w:p>
            <w:pPr>
              <w:pStyle w:val="247"/>
              <w:kinsoku w:val="0"/>
              <w:overflowPunct w:val="0"/>
              <w:spacing w:before="62" w:beforeLines="0" w:afterLines="0"/>
              <w:ind w:left="291" w:right="278"/>
              <w:rPr>
                <w:rFonts w:hint="default" w:ascii="Times New Roman" w:hAnsi="Times New Roman" w:eastAsia="Times New Roman"/>
                <w:color w:val="auto"/>
                <w:sz w:val="21"/>
              </w:rPr>
            </w:pPr>
            <w:r>
              <w:rPr>
                <w:rFonts w:hint="default" w:ascii="Times New Roman" w:hAnsi="Times New Roman" w:eastAsia="Times New Roman"/>
                <w:color w:val="auto"/>
                <w:sz w:val="21"/>
              </w:rPr>
              <w:t>A3</w:t>
            </w:r>
          </w:p>
        </w:tc>
        <w:tc>
          <w:tcPr>
            <w:tcW w:w="4021" w:type="dxa"/>
            <w:tcBorders>
              <w:top w:val="single" w:color="000000" w:sz="6" w:space="0"/>
              <w:left w:val="single" w:color="000000" w:sz="6" w:space="0"/>
              <w:bottom w:val="single" w:color="000000" w:sz="12" w:space="0"/>
              <w:right w:val="single" w:color="000000" w:sz="6" w:space="0"/>
              <w:tl2br w:val="nil"/>
              <w:tr2bl w:val="nil"/>
            </w:tcBorders>
            <w:vAlign w:val="top"/>
          </w:tcPr>
          <w:p>
            <w:pPr>
              <w:pStyle w:val="247"/>
              <w:kinsoku w:val="0"/>
              <w:overflowPunct w:val="0"/>
              <w:spacing w:before="56" w:beforeLines="0" w:afterLines="0"/>
              <w:ind w:left="843" w:right="810"/>
              <w:rPr>
                <w:rFonts w:hint="eastAsia"/>
                <w:color w:val="auto"/>
                <w:sz w:val="21"/>
              </w:rPr>
            </w:pPr>
            <w:r>
              <w:rPr>
                <w:rFonts w:hint="eastAsia"/>
                <w:color w:val="auto"/>
                <w:sz w:val="21"/>
              </w:rPr>
              <w:t>小桥村张家井水</w:t>
            </w:r>
          </w:p>
        </w:tc>
        <w:tc>
          <w:tcPr>
            <w:tcW w:w="2949" w:type="dxa"/>
            <w:tcBorders>
              <w:top w:val="single" w:color="000000" w:sz="6" w:space="0"/>
              <w:left w:val="single" w:color="000000" w:sz="6" w:space="0"/>
              <w:bottom w:val="single" w:color="000000" w:sz="12" w:space="0"/>
              <w:right w:val="single" w:color="000000" w:sz="12" w:space="0"/>
              <w:tl2br w:val="nil"/>
              <w:tr2bl w:val="nil"/>
            </w:tcBorders>
            <w:vAlign w:val="top"/>
          </w:tcPr>
          <w:p>
            <w:pPr>
              <w:pStyle w:val="247"/>
              <w:kinsoku w:val="0"/>
              <w:overflowPunct w:val="0"/>
              <w:spacing w:before="56" w:beforeLines="0" w:afterLines="0"/>
              <w:ind w:left="203" w:right="156"/>
              <w:rPr>
                <w:rFonts w:hint="default" w:ascii="Times New Roman" w:hAnsi="Times New Roman" w:eastAsia="Times New Roman"/>
                <w:color w:val="auto"/>
                <w:sz w:val="21"/>
              </w:rPr>
            </w:pPr>
            <w:r>
              <w:rPr>
                <w:rFonts w:hint="eastAsia" w:eastAsia="宋体"/>
                <w:color w:val="auto"/>
                <w:sz w:val="21"/>
                <w:lang w:eastAsia="zh-CN"/>
              </w:rPr>
              <w:t>西</w:t>
            </w:r>
            <w:r>
              <w:rPr>
                <w:rFonts w:hint="eastAsia"/>
                <w:color w:val="auto"/>
                <w:sz w:val="21"/>
              </w:rPr>
              <w:t xml:space="preserve">北，约 </w:t>
            </w:r>
            <w:r>
              <w:rPr>
                <w:rFonts w:hint="default" w:ascii="Times New Roman" w:hAnsi="Times New Roman" w:eastAsia="Times New Roman"/>
                <w:color w:val="auto"/>
                <w:sz w:val="21"/>
              </w:rPr>
              <w:t>1</w:t>
            </w:r>
            <w:r>
              <w:rPr>
                <w:rFonts w:hint="eastAsia" w:eastAsia="宋体"/>
                <w:color w:val="auto"/>
                <w:sz w:val="21"/>
                <w:lang w:val="en-US" w:eastAsia="zh-CN"/>
              </w:rPr>
              <w:t>3</w:t>
            </w:r>
            <w:r>
              <w:rPr>
                <w:rFonts w:hint="default" w:ascii="Times New Roman" w:hAnsi="Times New Roman" w:eastAsia="Times New Roman"/>
                <w:color w:val="auto"/>
                <w:sz w:val="21"/>
              </w:rPr>
              <w:t>00m</w:t>
            </w:r>
          </w:p>
        </w:tc>
      </w:tr>
    </w:tbl>
    <w:p>
      <w:pPr>
        <w:pStyle w:val="22"/>
        <w:kinsoku w:val="0"/>
        <w:overflowPunct w:val="0"/>
        <w:spacing w:before="4" w:beforeLines="0" w:afterLines="0"/>
        <w:ind w:left="720"/>
        <w:rPr>
          <w:rFonts w:hint="eastAsia"/>
          <w:color w:val="auto"/>
          <w:sz w:val="24"/>
        </w:rPr>
      </w:pPr>
      <w:r>
        <w:rPr>
          <w:rFonts w:hint="eastAsia"/>
          <w:color w:val="auto"/>
          <w:sz w:val="24"/>
        </w:rPr>
        <w:t>（</w:t>
      </w:r>
      <w:r>
        <w:rPr>
          <w:rFonts w:hint="default" w:ascii="Times New Roman" w:hAnsi="Times New Roman" w:eastAsia="Times New Roman"/>
          <w:color w:val="auto"/>
          <w:sz w:val="24"/>
        </w:rPr>
        <w:t>2</w:t>
      </w:r>
      <w:r>
        <w:rPr>
          <w:rFonts w:hint="eastAsia"/>
          <w:color w:val="auto"/>
          <w:sz w:val="24"/>
        </w:rPr>
        <w:t>）监测项目</w:t>
      </w:r>
    </w:p>
    <w:p>
      <w:pPr>
        <w:pStyle w:val="22"/>
        <w:kinsoku w:val="0"/>
        <w:overflowPunct w:val="0"/>
        <w:spacing w:before="160" w:beforeLines="0" w:afterLines="0" w:line="364" w:lineRule="auto"/>
        <w:ind w:left="240" w:right="1440" w:firstLine="479"/>
        <w:rPr>
          <w:rFonts w:hint="eastAsia"/>
          <w:color w:val="auto"/>
          <w:sz w:val="24"/>
        </w:rPr>
      </w:pPr>
      <w:r>
        <w:rPr>
          <w:rFonts w:hint="eastAsia"/>
          <w:color w:val="auto"/>
          <w:sz w:val="24"/>
        </w:rPr>
        <w:t>具体项目为</w:t>
      </w:r>
      <w:r>
        <w:rPr>
          <w:rFonts w:hint="default" w:ascii="Times New Roman" w:hAnsi="Times New Roman" w:eastAsia="Times New Roman"/>
          <w:color w:val="auto"/>
          <w:sz w:val="24"/>
        </w:rPr>
        <w:t>pH</w:t>
      </w:r>
      <w:r>
        <w:rPr>
          <w:rFonts w:hint="eastAsia"/>
          <w:color w:val="auto"/>
          <w:sz w:val="24"/>
        </w:rPr>
        <w:t>、氨氮、氟化物、硫化物、阴离子表面活性剂、硝酸盐、亚硝酸盐。</w:t>
      </w:r>
    </w:p>
    <w:p>
      <w:pPr>
        <w:pStyle w:val="22"/>
        <w:kinsoku w:val="0"/>
        <w:overflowPunct w:val="0"/>
        <w:spacing w:before="2" w:beforeLines="0" w:afterLines="0"/>
        <w:ind w:left="720"/>
        <w:rPr>
          <w:rFonts w:hint="eastAsia"/>
          <w:color w:val="auto"/>
          <w:sz w:val="24"/>
        </w:rPr>
      </w:pPr>
      <w:r>
        <w:rPr>
          <w:rFonts w:hint="eastAsia"/>
          <w:color w:val="auto"/>
          <w:sz w:val="24"/>
        </w:rPr>
        <w:t>（</w:t>
      </w:r>
      <w:r>
        <w:rPr>
          <w:rFonts w:hint="default" w:ascii="Times New Roman" w:hAnsi="Times New Roman" w:eastAsia="Times New Roman"/>
          <w:color w:val="auto"/>
          <w:sz w:val="24"/>
        </w:rPr>
        <w:t>3</w:t>
      </w:r>
      <w:r>
        <w:rPr>
          <w:rFonts w:hint="eastAsia"/>
          <w:color w:val="auto"/>
          <w:sz w:val="24"/>
        </w:rPr>
        <w:t>）监测时间</w:t>
      </w:r>
    </w:p>
    <w:p>
      <w:pPr>
        <w:pStyle w:val="22"/>
        <w:kinsoku w:val="0"/>
        <w:overflowPunct w:val="0"/>
        <w:spacing w:before="156" w:beforeLines="0" w:afterLines="0"/>
        <w:ind w:left="720"/>
        <w:rPr>
          <w:rFonts w:hint="eastAsia"/>
          <w:color w:val="auto"/>
          <w:sz w:val="24"/>
        </w:rPr>
      </w:pPr>
      <w:r>
        <w:rPr>
          <w:rFonts w:hint="default" w:ascii="Times New Roman" w:hAnsi="Times New Roman" w:eastAsia="Times New Roman"/>
          <w:color w:val="auto"/>
          <w:sz w:val="24"/>
        </w:rPr>
        <w:t>2017</w:t>
      </w:r>
      <w:r>
        <w:rPr>
          <w:rFonts w:hint="eastAsia"/>
          <w:color w:val="auto"/>
          <w:sz w:val="24"/>
        </w:rPr>
        <w:t>年</w:t>
      </w:r>
      <w:r>
        <w:rPr>
          <w:rFonts w:hint="default" w:ascii="Times New Roman" w:hAnsi="Times New Roman" w:eastAsia="Times New Roman"/>
          <w:color w:val="auto"/>
          <w:sz w:val="24"/>
        </w:rPr>
        <w:t>4</w:t>
      </w:r>
      <w:r>
        <w:rPr>
          <w:rFonts w:hint="eastAsia"/>
          <w:color w:val="auto"/>
          <w:sz w:val="24"/>
        </w:rPr>
        <w:t>月</w:t>
      </w:r>
      <w:r>
        <w:rPr>
          <w:rFonts w:hint="default" w:ascii="Times New Roman" w:hAnsi="Times New Roman" w:eastAsia="Times New Roman"/>
          <w:color w:val="auto"/>
          <w:sz w:val="24"/>
        </w:rPr>
        <w:t>13</w:t>
      </w:r>
      <w:r>
        <w:rPr>
          <w:rFonts w:hint="eastAsia"/>
          <w:color w:val="auto"/>
          <w:sz w:val="24"/>
        </w:rPr>
        <w:t>日</w:t>
      </w:r>
    </w:p>
    <w:p>
      <w:pPr>
        <w:pStyle w:val="22"/>
        <w:kinsoku w:val="0"/>
        <w:overflowPunct w:val="0"/>
        <w:spacing w:before="161" w:beforeLines="0" w:afterLines="0"/>
        <w:ind w:left="720"/>
        <w:rPr>
          <w:rFonts w:hint="eastAsia"/>
          <w:color w:val="auto"/>
          <w:sz w:val="24"/>
        </w:rPr>
      </w:pPr>
      <w:r>
        <w:rPr>
          <w:rFonts w:hint="eastAsia"/>
          <w:color w:val="auto"/>
          <w:sz w:val="24"/>
        </w:rPr>
        <w:t>（</w:t>
      </w:r>
      <w:r>
        <w:rPr>
          <w:rFonts w:hint="default" w:ascii="Times New Roman" w:hAnsi="Times New Roman" w:eastAsia="Times New Roman"/>
          <w:color w:val="auto"/>
          <w:sz w:val="24"/>
        </w:rPr>
        <w:t>4</w:t>
      </w:r>
      <w:r>
        <w:rPr>
          <w:rFonts w:hint="eastAsia"/>
          <w:color w:val="auto"/>
          <w:sz w:val="24"/>
        </w:rPr>
        <w:t>）监测频次</w:t>
      </w:r>
    </w:p>
    <w:p>
      <w:pPr>
        <w:pStyle w:val="22"/>
        <w:kinsoku w:val="0"/>
        <w:overflowPunct w:val="0"/>
        <w:spacing w:before="161" w:beforeLines="0" w:afterLines="0"/>
        <w:ind w:left="720"/>
        <w:rPr>
          <w:rFonts w:hint="eastAsia"/>
          <w:color w:val="auto"/>
          <w:sz w:val="24"/>
        </w:rPr>
      </w:pPr>
      <w:r>
        <w:rPr>
          <w:rFonts w:hint="default" w:ascii="Times New Roman" w:hAnsi="Times New Roman" w:eastAsia="Times New Roman"/>
          <w:color w:val="auto"/>
          <w:sz w:val="24"/>
        </w:rPr>
        <w:t>1</w:t>
      </w:r>
      <w:r>
        <w:rPr>
          <w:rFonts w:hint="eastAsia"/>
          <w:color w:val="auto"/>
          <w:sz w:val="24"/>
        </w:rPr>
        <w:t>次</w:t>
      </w:r>
      <w:r>
        <w:rPr>
          <w:rFonts w:hint="default" w:ascii="Times New Roman" w:hAnsi="Times New Roman" w:eastAsia="Times New Roman"/>
          <w:color w:val="auto"/>
          <w:sz w:val="24"/>
        </w:rPr>
        <w:t>/</w:t>
      </w:r>
      <w:r>
        <w:rPr>
          <w:rFonts w:hint="eastAsia"/>
          <w:color w:val="auto"/>
          <w:sz w:val="24"/>
        </w:rPr>
        <w:t>天</w:t>
      </w:r>
      <w:r>
        <w:rPr>
          <w:rFonts w:hint="default" w:ascii="Times New Roman" w:hAnsi="Times New Roman" w:eastAsia="Times New Roman"/>
          <w:color w:val="auto"/>
          <w:sz w:val="24"/>
        </w:rPr>
        <w:t xml:space="preserve">×1 </w:t>
      </w:r>
      <w:r>
        <w:rPr>
          <w:rFonts w:hint="eastAsia"/>
          <w:color w:val="auto"/>
          <w:sz w:val="24"/>
        </w:rPr>
        <w:t>天</w:t>
      </w:r>
    </w:p>
    <w:p>
      <w:pPr>
        <w:pStyle w:val="22"/>
        <w:kinsoku w:val="0"/>
        <w:overflowPunct w:val="0"/>
        <w:spacing w:before="156" w:beforeLines="0" w:afterLines="0"/>
        <w:ind w:left="720"/>
        <w:rPr>
          <w:rFonts w:hint="eastAsia"/>
          <w:color w:val="auto"/>
          <w:sz w:val="24"/>
        </w:rPr>
      </w:pPr>
      <w:r>
        <w:rPr>
          <w:rFonts w:hint="eastAsia"/>
          <w:color w:val="auto"/>
          <w:sz w:val="24"/>
        </w:rPr>
        <w:t>（</w:t>
      </w:r>
      <w:r>
        <w:rPr>
          <w:rFonts w:hint="default" w:ascii="Times New Roman" w:hAnsi="Times New Roman" w:eastAsia="Times New Roman"/>
          <w:color w:val="auto"/>
          <w:sz w:val="24"/>
        </w:rPr>
        <w:t>5</w:t>
      </w:r>
      <w:r>
        <w:rPr>
          <w:rFonts w:hint="eastAsia"/>
          <w:color w:val="auto"/>
          <w:sz w:val="24"/>
        </w:rPr>
        <w:t>）监测结果</w:t>
      </w:r>
    </w:p>
    <w:p>
      <w:pPr>
        <w:pStyle w:val="22"/>
        <w:kinsoku w:val="0"/>
        <w:overflowPunct w:val="0"/>
        <w:spacing w:before="161" w:beforeLines="0" w:afterLines="0"/>
        <w:ind w:left="720"/>
        <w:rPr>
          <w:rFonts w:hint="eastAsia"/>
          <w:color w:val="auto"/>
          <w:sz w:val="24"/>
        </w:rPr>
      </w:pPr>
      <w:r>
        <w:rPr>
          <w:rFonts w:hint="eastAsia"/>
          <w:color w:val="auto"/>
          <w:sz w:val="24"/>
        </w:rPr>
        <w:t xml:space="preserve">地下水现状监测结果见表 </w:t>
      </w:r>
      <w:r>
        <w:rPr>
          <w:rFonts w:hint="eastAsia" w:ascii="Times New Roman" w:hAnsi="Times New Roman" w:eastAsia="宋体"/>
          <w:color w:val="auto"/>
          <w:sz w:val="24"/>
          <w:lang w:val="en-US" w:eastAsia="zh-CN"/>
        </w:rPr>
        <w:t>3.5</w:t>
      </w:r>
      <w:r>
        <w:rPr>
          <w:rFonts w:hint="default" w:ascii="Times New Roman" w:hAnsi="Times New Roman" w:eastAsia="Times New Roman"/>
          <w:color w:val="auto"/>
          <w:sz w:val="24"/>
        </w:rPr>
        <w:t>-2</w:t>
      </w:r>
      <w:r>
        <w:rPr>
          <w:rFonts w:hint="eastAsia"/>
          <w:color w:val="auto"/>
          <w:sz w:val="24"/>
        </w:rPr>
        <w:t>。</w:t>
      </w:r>
    </w:p>
    <w:p>
      <w:pPr>
        <w:pStyle w:val="22"/>
        <w:tabs>
          <w:tab w:val="left" w:pos="912"/>
        </w:tabs>
        <w:kinsoku w:val="0"/>
        <w:overflowPunct w:val="0"/>
        <w:spacing w:before="162" w:beforeLines="0" w:afterLines="0"/>
        <w:ind w:right="766"/>
        <w:jc w:val="center"/>
        <w:rPr>
          <w:rFonts w:hint="eastAsia"/>
          <w:b/>
          <w:color w:val="auto"/>
          <w:sz w:val="21"/>
        </w:rPr>
      </w:pPr>
      <w:r>
        <w:rPr>
          <w:rFonts w:hint="eastAsia"/>
          <w:b/>
          <w:color w:val="auto"/>
          <w:sz w:val="21"/>
        </w:rPr>
        <w:t>表</w:t>
      </w:r>
      <w:r>
        <w:rPr>
          <w:rFonts w:hint="eastAsia" w:ascii="Times New Roman" w:hAnsi="Times New Roman" w:eastAsia="宋体"/>
          <w:color w:val="auto"/>
          <w:sz w:val="24"/>
          <w:lang w:val="en-US" w:eastAsia="zh-CN"/>
        </w:rPr>
        <w:t>3.5</w:t>
      </w:r>
      <w:r>
        <w:rPr>
          <w:rFonts w:hint="default" w:ascii="Times New Roman" w:hAnsi="Times New Roman" w:eastAsia="Times New Roman"/>
          <w:color w:val="auto"/>
          <w:sz w:val="24"/>
        </w:rPr>
        <w:t>-2</w:t>
      </w:r>
      <w:r>
        <w:rPr>
          <w:rFonts w:hint="default" w:ascii="Times New Roman" w:hAnsi="Times New Roman" w:eastAsia="Times New Roman"/>
          <w:b/>
          <w:color w:val="auto"/>
          <w:sz w:val="21"/>
        </w:rPr>
        <w:tab/>
      </w:r>
      <w:r>
        <w:rPr>
          <w:rFonts w:hint="eastAsia"/>
          <w:b/>
          <w:color w:val="auto"/>
          <w:sz w:val="21"/>
        </w:rPr>
        <w:t>地下水</w:t>
      </w:r>
      <w:r>
        <w:rPr>
          <w:rFonts w:hint="eastAsia"/>
          <w:b/>
          <w:color w:val="auto"/>
          <w:spacing w:val="-5"/>
          <w:sz w:val="21"/>
        </w:rPr>
        <w:t>监</w:t>
      </w:r>
      <w:r>
        <w:rPr>
          <w:rFonts w:hint="eastAsia"/>
          <w:b/>
          <w:color w:val="auto"/>
          <w:sz w:val="21"/>
        </w:rPr>
        <w:t>测结果</w:t>
      </w:r>
    </w:p>
    <w:p>
      <w:pPr>
        <w:pStyle w:val="22"/>
        <w:kinsoku w:val="0"/>
        <w:overflowPunct w:val="0"/>
        <w:spacing w:before="9" w:beforeLines="0" w:afterLines="0"/>
        <w:rPr>
          <w:rFonts w:hint="eastAsia"/>
          <w:b/>
          <w:color w:val="auto"/>
          <w:sz w:val="10"/>
        </w:rPr>
      </w:pPr>
    </w:p>
    <w:tbl>
      <w:tblPr>
        <w:tblStyle w:val="45"/>
        <w:tblW w:w="8445" w:type="dxa"/>
        <w:tblInd w:w="27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97"/>
        <w:gridCol w:w="1513"/>
        <w:gridCol w:w="1997"/>
        <w:gridCol w:w="2009"/>
        <w:gridCol w:w="15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425" w:hRule="atLeast"/>
        </w:trPr>
        <w:tc>
          <w:tcPr>
            <w:tcW w:w="1397" w:type="dxa"/>
            <w:tcBorders>
              <w:top w:val="single" w:color="000000" w:sz="12" w:space="0"/>
              <w:left w:val="single" w:color="000000" w:sz="12" w:space="0"/>
              <w:bottom w:val="single" w:color="000000" w:sz="6" w:space="0"/>
              <w:right w:val="single" w:color="000000" w:sz="6" w:space="0"/>
              <w:tl2br w:val="nil"/>
              <w:tr2bl w:val="nil"/>
            </w:tcBorders>
            <w:vAlign w:val="top"/>
          </w:tcPr>
          <w:p>
            <w:pPr>
              <w:pStyle w:val="247"/>
              <w:kinsoku w:val="0"/>
              <w:overflowPunct w:val="0"/>
              <w:spacing w:before="77" w:beforeLines="0" w:afterLines="0"/>
              <w:ind w:left="277"/>
              <w:jc w:val="left"/>
              <w:rPr>
                <w:rFonts w:hint="eastAsia"/>
                <w:color w:val="auto"/>
                <w:sz w:val="21"/>
              </w:rPr>
            </w:pPr>
            <w:r>
              <w:rPr>
                <w:rFonts w:hint="eastAsia"/>
                <w:color w:val="auto"/>
                <w:sz w:val="21"/>
              </w:rPr>
              <w:t>采样时间</w:t>
            </w:r>
          </w:p>
        </w:tc>
        <w:tc>
          <w:tcPr>
            <w:tcW w:w="1513" w:type="dxa"/>
            <w:tcBorders>
              <w:top w:val="single" w:color="000000" w:sz="12"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77" w:beforeLines="0" w:afterLines="0"/>
              <w:ind w:left="343"/>
              <w:jc w:val="left"/>
              <w:rPr>
                <w:rFonts w:hint="eastAsia"/>
                <w:color w:val="auto"/>
                <w:sz w:val="21"/>
              </w:rPr>
            </w:pPr>
            <w:r>
              <w:rPr>
                <w:rFonts w:hint="eastAsia"/>
                <w:color w:val="auto"/>
                <w:sz w:val="21"/>
              </w:rPr>
              <w:t>采样位置</w:t>
            </w:r>
          </w:p>
        </w:tc>
        <w:tc>
          <w:tcPr>
            <w:tcW w:w="1997" w:type="dxa"/>
            <w:tcBorders>
              <w:top w:val="single" w:color="000000" w:sz="12"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77" w:beforeLines="0" w:afterLines="0"/>
              <w:ind w:left="145" w:right="116"/>
              <w:rPr>
                <w:rFonts w:hint="eastAsia"/>
                <w:color w:val="auto"/>
                <w:sz w:val="21"/>
              </w:rPr>
            </w:pPr>
            <w:r>
              <w:rPr>
                <w:rFonts w:hint="eastAsia"/>
                <w:color w:val="auto"/>
                <w:sz w:val="21"/>
              </w:rPr>
              <w:t>检测项目</w:t>
            </w:r>
          </w:p>
        </w:tc>
        <w:tc>
          <w:tcPr>
            <w:tcW w:w="2009" w:type="dxa"/>
            <w:tcBorders>
              <w:top w:val="single" w:color="000000" w:sz="12"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77" w:beforeLines="0" w:afterLines="0"/>
              <w:ind w:left="673" w:right="645"/>
              <w:rPr>
                <w:rFonts w:hint="eastAsia"/>
                <w:color w:val="auto"/>
                <w:sz w:val="21"/>
              </w:rPr>
            </w:pPr>
            <w:r>
              <w:rPr>
                <w:rFonts w:hint="eastAsia"/>
                <w:color w:val="auto"/>
                <w:sz w:val="21"/>
              </w:rPr>
              <w:t>单位</w:t>
            </w:r>
          </w:p>
        </w:tc>
        <w:tc>
          <w:tcPr>
            <w:tcW w:w="1529" w:type="dxa"/>
            <w:tcBorders>
              <w:top w:val="single" w:color="000000" w:sz="12"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77" w:beforeLines="0" w:afterLines="0"/>
              <w:ind w:left="332" w:right="293"/>
              <w:rPr>
                <w:rFonts w:hint="eastAsia"/>
                <w:color w:val="auto"/>
                <w:sz w:val="21"/>
              </w:rPr>
            </w:pPr>
            <w:r>
              <w:rPr>
                <w:rFonts w:hint="eastAsia"/>
                <w:color w:val="auto"/>
                <w:sz w:val="21"/>
              </w:rPr>
              <w:t>检测结果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restart"/>
            <w:tcBorders>
              <w:top w:val="single" w:color="000000" w:sz="6" w:space="0"/>
              <w:left w:val="single" w:color="000000" w:sz="12" w:space="0"/>
              <w:right w:val="single" w:color="000000" w:sz="6" w:space="0"/>
              <w:tl2br w:val="nil"/>
              <w:tr2bl w:val="nil"/>
            </w:tcBorders>
            <w:vAlign w:val="top"/>
          </w:tcPr>
          <w:p>
            <w:pPr>
              <w:pStyle w:val="247"/>
              <w:kinsoku w:val="0"/>
              <w:overflowPunct w:val="0"/>
              <w:spacing w:beforeLines="0" w:afterLines="0"/>
              <w:jc w:val="left"/>
              <w:rPr>
                <w:rFonts w:hint="eastAsia"/>
                <w:b/>
                <w:color w:val="auto"/>
                <w:sz w:val="22"/>
              </w:rPr>
            </w:pPr>
          </w:p>
          <w:p>
            <w:pPr>
              <w:pStyle w:val="247"/>
              <w:kinsoku w:val="0"/>
              <w:overflowPunct w:val="0"/>
              <w:spacing w:before="2" w:beforeLines="0" w:afterLines="0"/>
              <w:jc w:val="left"/>
              <w:rPr>
                <w:rFonts w:hint="eastAsia"/>
                <w:b/>
                <w:color w:val="auto"/>
                <w:sz w:val="25"/>
              </w:rPr>
            </w:pPr>
          </w:p>
          <w:p>
            <w:pPr>
              <w:pStyle w:val="247"/>
              <w:kinsoku w:val="0"/>
              <w:overflowPunct w:val="0"/>
              <w:spacing w:beforeLines="0" w:afterLines="0"/>
              <w:ind w:left="196"/>
              <w:jc w:val="left"/>
              <w:rPr>
                <w:rFonts w:hint="eastAsia"/>
                <w:color w:val="auto"/>
                <w:sz w:val="21"/>
              </w:rPr>
            </w:pPr>
            <w:r>
              <w:rPr>
                <w:rFonts w:hint="default" w:ascii="Times New Roman" w:hAnsi="Times New Roman" w:eastAsia="Times New Roman"/>
                <w:color w:val="auto"/>
                <w:sz w:val="21"/>
              </w:rPr>
              <w:t xml:space="preserve">04 </w:t>
            </w:r>
            <w:r>
              <w:rPr>
                <w:rFonts w:hint="eastAsia"/>
                <w:color w:val="auto"/>
                <w:sz w:val="21"/>
              </w:rPr>
              <w:t xml:space="preserve">月 </w:t>
            </w:r>
            <w:r>
              <w:rPr>
                <w:rFonts w:hint="default" w:ascii="Times New Roman" w:hAnsi="Times New Roman" w:eastAsia="Times New Roman"/>
                <w:color w:val="auto"/>
                <w:sz w:val="21"/>
              </w:rPr>
              <w:t xml:space="preserve">13 </w:t>
            </w:r>
            <w:r>
              <w:rPr>
                <w:rFonts w:hint="eastAsia"/>
                <w:color w:val="auto"/>
                <w:sz w:val="21"/>
              </w:rPr>
              <w:t>日</w:t>
            </w:r>
          </w:p>
        </w:tc>
        <w:tc>
          <w:tcPr>
            <w:tcW w:w="1513" w:type="dxa"/>
            <w:vMerge w:val="restart"/>
            <w:tcBorders>
              <w:top w:val="single" w:color="000000" w:sz="6" w:space="0"/>
              <w:left w:val="single" w:color="000000" w:sz="6" w:space="0"/>
              <w:right w:val="single" w:color="000000" w:sz="6" w:space="0"/>
              <w:tl2br w:val="nil"/>
              <w:tr2bl w:val="nil"/>
            </w:tcBorders>
            <w:vAlign w:val="top"/>
          </w:tcPr>
          <w:p>
            <w:pPr>
              <w:pStyle w:val="247"/>
              <w:kinsoku w:val="0"/>
              <w:overflowPunct w:val="0"/>
              <w:spacing w:beforeLines="0" w:afterLines="0"/>
              <w:jc w:val="left"/>
              <w:rPr>
                <w:rFonts w:hint="eastAsia"/>
                <w:b/>
                <w:color w:val="auto"/>
                <w:sz w:val="20"/>
              </w:rPr>
            </w:pPr>
          </w:p>
          <w:p>
            <w:pPr>
              <w:pStyle w:val="247"/>
              <w:kinsoku w:val="0"/>
              <w:overflowPunct w:val="0"/>
              <w:spacing w:before="2" w:beforeLines="0" w:afterLines="0"/>
              <w:jc w:val="left"/>
              <w:rPr>
                <w:rFonts w:hint="eastAsia"/>
                <w:b/>
                <w:color w:val="auto"/>
                <w:sz w:val="27"/>
              </w:rPr>
            </w:pPr>
          </w:p>
          <w:p>
            <w:pPr>
              <w:pStyle w:val="247"/>
              <w:kinsoku w:val="0"/>
              <w:overflowPunct w:val="0"/>
              <w:spacing w:beforeLines="0" w:afterLines="0"/>
              <w:ind w:left="235"/>
              <w:jc w:val="left"/>
              <w:rPr>
                <w:rFonts w:hint="eastAsia"/>
                <w:color w:val="auto"/>
                <w:sz w:val="21"/>
              </w:rPr>
            </w:pPr>
            <w:r>
              <w:rPr>
                <w:rFonts w:hint="eastAsia"/>
                <w:color w:val="auto"/>
                <w:sz w:val="21"/>
              </w:rPr>
              <w:t>南岳丁家组</w:t>
            </w: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50" w:beforeLines="0" w:afterLines="0"/>
              <w:ind w:left="145" w:right="113"/>
              <w:rPr>
                <w:rFonts w:hint="default" w:ascii="Times New Roman" w:hAnsi="Times New Roman" w:eastAsia="Times New Roman"/>
                <w:color w:val="auto"/>
                <w:sz w:val="21"/>
              </w:rPr>
            </w:pPr>
            <w:r>
              <w:rPr>
                <w:rFonts w:hint="default" w:ascii="Times New Roman" w:hAnsi="Times New Roman" w:eastAsia="Times New Roman"/>
                <w:color w:val="auto"/>
                <w:sz w:val="21"/>
              </w:rPr>
              <w:t>pH</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4" w:beforeLines="0" w:afterLines="0"/>
              <w:ind w:left="678" w:right="645"/>
              <w:rPr>
                <w:rFonts w:hint="eastAsia"/>
                <w:color w:val="auto"/>
                <w:sz w:val="21"/>
              </w:rPr>
            </w:pPr>
            <w:r>
              <w:rPr>
                <w:rFonts w:hint="eastAsia"/>
                <w:color w:val="auto"/>
                <w:sz w:val="21"/>
              </w:rPr>
              <w:t>无量纲</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50" w:beforeLines="0" w:afterLines="0"/>
              <w:ind w:left="330" w:right="293"/>
              <w:rPr>
                <w:rFonts w:hint="default" w:ascii="Times New Roman" w:hAnsi="Times New Roman" w:eastAsia="Times New Roman"/>
                <w:color w:val="auto"/>
                <w:sz w:val="21"/>
              </w:rPr>
            </w:pPr>
            <w:r>
              <w:rPr>
                <w:rFonts w:hint="default" w:ascii="Times New Roman" w:hAnsi="Times New Roman" w:eastAsia="Times New Roman"/>
                <w:color w:val="auto"/>
                <w:sz w:val="21"/>
              </w:rPr>
              <w:t>5.71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6"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1" w:beforeLines="0" w:afterLines="0"/>
              <w:ind w:left="145" w:right="112"/>
              <w:rPr>
                <w:rFonts w:hint="eastAsia"/>
                <w:color w:val="auto"/>
                <w:sz w:val="21"/>
              </w:rPr>
            </w:pPr>
            <w:r>
              <w:rPr>
                <w:rFonts w:hint="eastAsia"/>
                <w:color w:val="auto"/>
                <w:sz w:val="21"/>
              </w:rPr>
              <w:t>氨氮</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3" w:beforeLines="0" w:afterLines="0"/>
              <w:ind w:left="671" w:right="645"/>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3" w:beforeLines="0" w:afterLines="0"/>
              <w:ind w:left="330" w:right="293"/>
              <w:rPr>
                <w:rFonts w:hint="default" w:ascii="Times New Roman" w:hAnsi="Times New Roman" w:eastAsia="Times New Roman"/>
                <w:color w:val="auto"/>
                <w:sz w:val="21"/>
              </w:rPr>
            </w:pPr>
            <w:r>
              <w:rPr>
                <w:rFonts w:hint="default" w:ascii="Times New Roman" w:hAnsi="Times New Roman" w:eastAsia="Times New Roman"/>
                <w:color w:val="auto"/>
                <w:sz w:val="21"/>
              </w:rPr>
              <w:t>0.186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37" w:beforeLines="0" w:afterLines="0"/>
              <w:ind w:left="145" w:right="116"/>
              <w:rPr>
                <w:rFonts w:hint="eastAsia"/>
                <w:color w:val="auto"/>
                <w:sz w:val="21"/>
              </w:rPr>
            </w:pPr>
            <w:r>
              <w:rPr>
                <w:rFonts w:hint="eastAsia"/>
                <w:color w:val="auto"/>
                <w:sz w:val="21"/>
              </w:rPr>
              <w:t>氟化物</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3" w:beforeLines="0" w:afterLines="0"/>
              <w:ind w:left="671" w:right="645"/>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3" w:beforeLines="0" w:afterLines="0"/>
              <w:ind w:left="330" w:right="293"/>
              <w:rPr>
                <w:rFonts w:hint="default" w:ascii="Times New Roman" w:hAnsi="Times New Roman" w:eastAsia="Times New Roman"/>
                <w:color w:val="auto"/>
                <w:sz w:val="21"/>
              </w:rPr>
            </w:pPr>
            <w:r>
              <w:rPr>
                <w:rFonts w:hint="default" w:ascii="Times New Roman" w:hAnsi="Times New Roman" w:eastAsia="Times New Roman"/>
                <w:color w:val="auto"/>
                <w:sz w:val="21"/>
              </w:rPr>
              <w:t>0.15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1" w:beforeLines="0" w:afterLines="0"/>
              <w:ind w:left="145" w:right="116"/>
              <w:rPr>
                <w:rFonts w:hint="eastAsia"/>
                <w:color w:val="auto"/>
                <w:sz w:val="21"/>
              </w:rPr>
            </w:pPr>
            <w:r>
              <w:rPr>
                <w:rFonts w:hint="eastAsia"/>
                <w:color w:val="auto"/>
                <w:sz w:val="21"/>
              </w:rPr>
              <w:t>硫化物</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3" w:beforeLines="0" w:afterLines="0"/>
              <w:ind w:left="671" w:right="645"/>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3" w:beforeLines="0" w:afterLines="0"/>
              <w:ind w:left="328" w:right="293"/>
              <w:rPr>
                <w:rFonts w:hint="default" w:ascii="Times New Roman" w:hAnsi="Times New Roman" w:eastAsia="Times New Roman"/>
                <w:color w:val="auto"/>
                <w:sz w:val="21"/>
              </w:rPr>
            </w:pPr>
            <w:r>
              <w:rPr>
                <w:rFonts w:hint="default" w:ascii="Times New Roman" w:hAnsi="Times New Roman" w:eastAsia="Times New Roman"/>
                <w:color w:val="auto"/>
                <w:sz w:val="21"/>
              </w:rPr>
              <w:t>ND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4" w:beforeLines="0" w:afterLines="0"/>
              <w:ind w:left="145" w:leftChars="0" w:right="116" w:rightChars="0"/>
              <w:rPr>
                <w:rFonts w:hint="eastAsia"/>
                <w:color w:val="auto"/>
                <w:sz w:val="21"/>
              </w:rPr>
            </w:pPr>
            <w:r>
              <w:rPr>
                <w:rFonts w:hint="eastAsia"/>
                <w:color w:val="auto"/>
                <w:sz w:val="21"/>
              </w:rPr>
              <w:t>阴离子表面活性剂</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51"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51"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硝酸盐</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7"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000000" w:sz="6" w:space="0"/>
              <w:bottom w:val="single" w:color="auto" w:sz="4" w:space="0"/>
              <w:right w:val="single" w:color="000000" w:sz="6" w:space="0"/>
              <w:tl2br w:val="nil"/>
              <w:tr2bl w:val="nil"/>
            </w:tcBorders>
            <w:vAlign w:val="top"/>
          </w:tcPr>
          <w:p>
            <w:pPr>
              <w:pStyle w:val="22"/>
              <w:kinsoku w:val="0"/>
              <w:overflowPunct w:val="0"/>
              <w:spacing w:before="9" w:beforeLines="0" w:afterLines="0"/>
              <w:rPr>
                <w:rFonts w:hint="eastAsia"/>
                <w:b/>
                <w:color w:val="auto"/>
                <w:sz w:val="2"/>
              </w:rPr>
            </w:pPr>
          </w:p>
        </w:tc>
        <w:tc>
          <w:tcPr>
            <w:tcW w:w="1997" w:type="dxa"/>
            <w:tcBorders>
              <w:top w:val="single" w:color="000000" w:sz="6" w:space="0"/>
              <w:left w:val="single" w:color="000000" w:sz="6" w:space="0"/>
              <w:bottom w:val="single" w:color="auto" w:sz="4" w:space="0"/>
              <w:right w:val="single" w:color="000000" w:sz="6"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亚硝酸盐</w:t>
            </w:r>
          </w:p>
        </w:tc>
        <w:tc>
          <w:tcPr>
            <w:tcW w:w="2009" w:type="dxa"/>
            <w:tcBorders>
              <w:top w:val="single" w:color="000000" w:sz="6" w:space="0"/>
              <w:left w:val="single" w:color="000000" w:sz="6" w:space="0"/>
              <w:bottom w:val="single" w:color="auto" w:sz="4" w:space="0"/>
              <w:right w:val="single" w:color="000000" w:sz="6" w:space="0"/>
              <w:tl2br w:val="nil"/>
              <w:tr2bl w:val="nil"/>
            </w:tcBorders>
            <w:vAlign w:val="top"/>
          </w:tcPr>
          <w:p>
            <w:pPr>
              <w:pStyle w:val="247"/>
              <w:kinsoku w:val="0"/>
              <w:overflowPunct w:val="0"/>
              <w:spacing w:before="42"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2"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restart"/>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line="242" w:lineRule="auto"/>
              <w:ind w:left="447" w:leftChars="0" w:right="100" w:rightChars="0" w:hanging="316" w:firstLineChars="0"/>
              <w:jc w:val="left"/>
              <w:rPr>
                <w:rFonts w:hint="eastAsia"/>
                <w:b/>
                <w:color w:val="auto"/>
                <w:sz w:val="2"/>
              </w:rPr>
            </w:pPr>
            <w:r>
              <w:rPr>
                <w:rFonts w:hint="eastAsia"/>
                <w:color w:val="auto"/>
                <w:sz w:val="21"/>
              </w:rPr>
              <w:t>臣山村新组李家井水</w:t>
            </w: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7" w:beforeLines="0" w:afterLines="0"/>
              <w:ind w:left="145" w:leftChars="0" w:right="113" w:rightChars="0"/>
              <w:rPr>
                <w:rFonts w:hint="eastAsia"/>
                <w:color w:val="auto"/>
                <w:sz w:val="21"/>
              </w:rPr>
            </w:pPr>
            <w:r>
              <w:rPr>
                <w:rFonts w:hint="default" w:ascii="Times New Roman" w:hAnsi="Times New Roman" w:eastAsia="Times New Roman"/>
                <w:color w:val="auto"/>
                <w:sz w:val="21"/>
              </w:rPr>
              <w:t>pH</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1" w:beforeLines="0" w:afterLines="0"/>
              <w:ind w:left="678" w:leftChars="0" w:right="645" w:rightChars="0"/>
              <w:rPr>
                <w:rFonts w:hint="default" w:ascii="Times New Roman" w:hAnsi="Times New Roman" w:eastAsia="Times New Roman"/>
                <w:color w:val="auto"/>
                <w:sz w:val="21"/>
              </w:rPr>
            </w:pPr>
            <w:r>
              <w:rPr>
                <w:rFonts w:hint="eastAsia"/>
                <w:color w:val="auto"/>
                <w:sz w:val="21"/>
              </w:rPr>
              <w:t>无量纲</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7"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6.63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36" w:beforeLines="0" w:afterLines="0"/>
              <w:ind w:left="145" w:leftChars="0" w:right="112" w:rightChars="0"/>
              <w:rPr>
                <w:rFonts w:hint="eastAsia"/>
                <w:color w:val="auto"/>
                <w:sz w:val="21"/>
              </w:rPr>
            </w:pPr>
            <w:r>
              <w:rPr>
                <w:rFonts w:hint="eastAsia"/>
                <w:color w:val="auto"/>
                <w:sz w:val="21"/>
              </w:rPr>
              <w:t>氨氮</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3"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3" w:beforeLines="0" w:afterLines="0"/>
              <w:ind w:left="538"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氟化物</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7"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硫化物</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3"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3" w:beforeLines="0" w:afterLines="0"/>
              <w:ind w:left="618"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ND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阴离子表面活性剂</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7"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硝酸盐</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3"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3"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0.227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亚硝酸盐</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7"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restart"/>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jc w:val="left"/>
              <w:rPr>
                <w:rFonts w:hint="eastAsia"/>
                <w:b/>
                <w:color w:val="auto"/>
                <w:sz w:val="20"/>
              </w:rPr>
            </w:pPr>
          </w:p>
          <w:p>
            <w:pPr>
              <w:pStyle w:val="247"/>
              <w:kinsoku w:val="0"/>
              <w:overflowPunct w:val="0"/>
              <w:spacing w:beforeLines="0" w:afterLines="0" w:line="242" w:lineRule="auto"/>
              <w:ind w:left="655" w:leftChars="0" w:right="100" w:rightChars="0" w:hanging="524" w:firstLineChars="0"/>
              <w:jc w:val="left"/>
              <w:rPr>
                <w:rFonts w:hint="eastAsia"/>
                <w:b/>
                <w:color w:val="auto"/>
                <w:sz w:val="2"/>
              </w:rPr>
            </w:pPr>
            <w:r>
              <w:rPr>
                <w:rFonts w:hint="eastAsia"/>
                <w:color w:val="auto"/>
                <w:sz w:val="21"/>
              </w:rPr>
              <w:t>小桥村张家井水</w:t>
            </w: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3" w:beforeLines="0" w:afterLines="0"/>
              <w:ind w:left="145" w:leftChars="0" w:right="113" w:rightChars="0"/>
              <w:rPr>
                <w:rFonts w:hint="eastAsia"/>
                <w:color w:val="auto"/>
                <w:sz w:val="21"/>
              </w:rPr>
            </w:pPr>
            <w:r>
              <w:rPr>
                <w:rFonts w:hint="default" w:ascii="Times New Roman" w:hAnsi="Times New Roman" w:eastAsia="Times New Roman"/>
                <w:color w:val="auto"/>
                <w:sz w:val="21"/>
              </w:rPr>
              <w:t>pH</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37" w:beforeLines="0" w:afterLines="0"/>
              <w:ind w:left="678" w:leftChars="0" w:right="645" w:rightChars="0"/>
              <w:rPr>
                <w:rFonts w:hint="default" w:ascii="Times New Roman" w:hAnsi="Times New Roman" w:eastAsia="Times New Roman"/>
                <w:color w:val="auto"/>
                <w:sz w:val="21"/>
              </w:rPr>
            </w:pPr>
            <w:r>
              <w:rPr>
                <w:rFonts w:hint="eastAsia"/>
                <w:color w:val="auto"/>
                <w:sz w:val="21"/>
              </w:rPr>
              <w:t>无量纲</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3"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7.45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1" w:beforeLines="0" w:afterLines="0"/>
              <w:ind w:left="145" w:leftChars="0" w:right="112" w:rightChars="0"/>
              <w:rPr>
                <w:rFonts w:hint="eastAsia"/>
                <w:color w:val="auto"/>
                <w:sz w:val="21"/>
              </w:rPr>
            </w:pPr>
            <w:r>
              <w:rPr>
                <w:rFonts w:hint="eastAsia"/>
                <w:color w:val="auto"/>
                <w:sz w:val="21"/>
              </w:rPr>
              <w:t>氨氮</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7"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bottom w:val="single" w:color="auto" w:sz="4" w:space="0"/>
              <w:right w:val="single" w:color="auto" w:sz="4"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氟化物</w:t>
            </w:r>
          </w:p>
        </w:tc>
        <w:tc>
          <w:tcPr>
            <w:tcW w:w="2009" w:type="dxa"/>
            <w:tcBorders>
              <w:top w:val="single" w:color="auto" w:sz="4" w:space="0"/>
              <w:left w:val="single" w:color="auto" w:sz="4" w:space="0"/>
              <w:bottom w:val="single" w:color="auto" w:sz="4" w:space="0"/>
              <w:right w:val="single" w:color="auto" w:sz="4" w:space="0"/>
              <w:tl2br w:val="nil"/>
              <w:tr2bl w:val="nil"/>
            </w:tcBorders>
            <w:vAlign w:val="top"/>
          </w:tcPr>
          <w:p>
            <w:pPr>
              <w:pStyle w:val="247"/>
              <w:kinsoku w:val="0"/>
              <w:overflowPunct w:val="0"/>
              <w:spacing w:before="43"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auto" w:sz="4" w:space="0"/>
              <w:bottom w:val="single" w:color="000000" w:sz="6" w:space="0"/>
              <w:right w:val="single" w:color="000000" w:sz="12" w:space="0"/>
              <w:tl2br w:val="nil"/>
              <w:tr2bl w:val="nil"/>
            </w:tcBorders>
            <w:vAlign w:val="top"/>
          </w:tcPr>
          <w:p>
            <w:pPr>
              <w:pStyle w:val="247"/>
              <w:kinsoku w:val="0"/>
              <w:overflowPunct w:val="0"/>
              <w:spacing w:before="43" w:beforeLines="0" w:afterLines="0"/>
              <w:ind w:left="587"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top w:val="single" w:color="auto" w:sz="4" w:space="0"/>
              <w:left w:val="single" w:color="auto" w:sz="4" w:space="0"/>
              <w:right w:val="single" w:color="000000" w:sz="6"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auto" w:sz="4"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硫化物</w:t>
            </w:r>
          </w:p>
        </w:tc>
        <w:tc>
          <w:tcPr>
            <w:tcW w:w="2009" w:type="dxa"/>
            <w:tcBorders>
              <w:top w:val="single" w:color="auto" w:sz="4"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7" w:beforeLines="0" w:afterLines="0"/>
              <w:ind w:left="618"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ND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auto" w:sz="4" w:space="0"/>
              <w:right w:val="single" w:color="000000" w:sz="6"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阴离子表面活性剂</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2"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2" w:beforeLines="0" w:afterLines="0"/>
              <w:ind w:left="591"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auto" w:sz="4" w:space="0"/>
              <w:right w:val="single" w:color="000000" w:sz="6"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1" w:beforeLines="0" w:afterLines="0"/>
              <w:ind w:left="145" w:leftChars="0" w:right="116" w:rightChars="0"/>
              <w:rPr>
                <w:rFonts w:hint="eastAsia"/>
                <w:color w:val="auto"/>
                <w:sz w:val="21"/>
              </w:rPr>
            </w:pPr>
            <w:r>
              <w:rPr>
                <w:rFonts w:hint="eastAsia"/>
                <w:color w:val="auto"/>
                <w:sz w:val="21"/>
              </w:rPr>
              <w:t>硝酸盐</w:t>
            </w:r>
          </w:p>
        </w:tc>
        <w:tc>
          <w:tcPr>
            <w:tcW w:w="2009" w:type="dxa"/>
            <w:tcBorders>
              <w:top w:val="single" w:color="000000" w:sz="6"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47"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47"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0.238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9" w:hRule="atLeast"/>
        </w:trPr>
        <w:tc>
          <w:tcPr>
            <w:tcW w:w="1397" w:type="dxa"/>
            <w:vMerge w:val="continue"/>
            <w:tcBorders>
              <w:left w:val="single" w:color="000000" w:sz="12" w:space="0"/>
              <w:bottom w:val="single" w:color="000000" w:sz="12" w:space="0"/>
              <w:right w:val="single" w:color="auto" w:sz="4" w:space="0"/>
              <w:tl2br w:val="nil"/>
              <w:tr2bl w:val="nil"/>
            </w:tcBorders>
            <w:vAlign w:val="top"/>
          </w:tcPr>
          <w:p>
            <w:pPr>
              <w:pStyle w:val="22"/>
              <w:kinsoku w:val="0"/>
              <w:overflowPunct w:val="0"/>
              <w:spacing w:before="9" w:beforeLines="0" w:afterLines="0"/>
              <w:rPr>
                <w:rFonts w:hint="eastAsia"/>
                <w:b/>
                <w:color w:val="auto"/>
                <w:sz w:val="2"/>
              </w:rPr>
            </w:pPr>
          </w:p>
        </w:tc>
        <w:tc>
          <w:tcPr>
            <w:tcW w:w="1513" w:type="dxa"/>
            <w:vMerge w:val="continue"/>
            <w:tcBorders>
              <w:left w:val="single" w:color="auto" w:sz="4" w:space="0"/>
              <w:bottom w:val="single" w:color="000000" w:sz="12" w:space="0"/>
              <w:right w:val="single" w:color="000000" w:sz="6" w:space="0"/>
              <w:tl2br w:val="nil"/>
              <w:tr2bl w:val="nil"/>
            </w:tcBorders>
            <w:vAlign w:val="top"/>
          </w:tcPr>
          <w:p>
            <w:pPr>
              <w:pStyle w:val="22"/>
              <w:kinsoku w:val="0"/>
              <w:overflowPunct w:val="0"/>
              <w:spacing w:before="12" w:beforeLines="0" w:afterLines="0"/>
              <w:rPr>
                <w:rFonts w:hint="eastAsia"/>
                <w:b/>
                <w:color w:val="auto"/>
                <w:sz w:val="2"/>
              </w:rPr>
            </w:pPr>
          </w:p>
        </w:tc>
        <w:tc>
          <w:tcPr>
            <w:tcW w:w="1997" w:type="dxa"/>
            <w:tcBorders>
              <w:top w:val="single" w:color="000000" w:sz="6" w:space="0"/>
              <w:left w:val="single" w:color="000000" w:sz="6" w:space="0"/>
              <w:bottom w:val="single" w:color="000000" w:sz="12" w:space="0"/>
              <w:right w:val="single" w:color="000000" w:sz="6" w:space="0"/>
              <w:tl2br w:val="nil"/>
              <w:tr2bl w:val="nil"/>
            </w:tcBorders>
            <w:vAlign w:val="top"/>
          </w:tcPr>
          <w:p>
            <w:pPr>
              <w:pStyle w:val="247"/>
              <w:kinsoku w:val="0"/>
              <w:overflowPunct w:val="0"/>
              <w:spacing w:before="37" w:beforeLines="0" w:afterLines="0"/>
              <w:ind w:left="145" w:leftChars="0" w:right="116" w:rightChars="0"/>
              <w:rPr>
                <w:rFonts w:hint="eastAsia"/>
                <w:color w:val="auto"/>
                <w:sz w:val="21"/>
              </w:rPr>
            </w:pPr>
            <w:r>
              <w:rPr>
                <w:rFonts w:hint="eastAsia"/>
                <w:color w:val="auto"/>
                <w:sz w:val="21"/>
              </w:rPr>
              <w:t>亚硝酸盐</w:t>
            </w:r>
          </w:p>
        </w:tc>
        <w:tc>
          <w:tcPr>
            <w:tcW w:w="2009" w:type="dxa"/>
            <w:tcBorders>
              <w:top w:val="single" w:color="000000" w:sz="6" w:space="0"/>
              <w:left w:val="single" w:color="000000" w:sz="6" w:space="0"/>
              <w:bottom w:val="single" w:color="000000" w:sz="12" w:space="0"/>
              <w:right w:val="single" w:color="000000" w:sz="6" w:space="0"/>
              <w:tl2br w:val="nil"/>
              <w:tr2bl w:val="nil"/>
            </w:tcBorders>
            <w:vAlign w:val="top"/>
          </w:tcPr>
          <w:p>
            <w:pPr>
              <w:pStyle w:val="247"/>
              <w:kinsoku w:val="0"/>
              <w:overflowPunct w:val="0"/>
              <w:spacing w:before="43" w:beforeLines="0" w:afterLines="0"/>
              <w:ind w:left="671" w:leftChars="0" w:right="645" w:rightChars="0"/>
              <w:rPr>
                <w:rFonts w:hint="default" w:ascii="Times New Roman" w:hAnsi="Times New Roman" w:eastAsia="Times New Roman"/>
                <w:color w:val="auto"/>
                <w:sz w:val="21"/>
              </w:rPr>
            </w:pPr>
            <w:r>
              <w:rPr>
                <w:rFonts w:hint="default" w:ascii="Times New Roman" w:hAnsi="Times New Roman" w:eastAsia="Times New Roman"/>
                <w:color w:val="auto"/>
                <w:sz w:val="21"/>
              </w:rPr>
              <w:t>mg/L</w:t>
            </w:r>
          </w:p>
        </w:tc>
        <w:tc>
          <w:tcPr>
            <w:tcW w:w="1529" w:type="dxa"/>
            <w:tcBorders>
              <w:top w:val="single" w:color="000000" w:sz="6" w:space="0"/>
              <w:left w:val="single" w:color="000000" w:sz="6" w:space="0"/>
              <w:bottom w:val="single" w:color="000000" w:sz="12" w:space="0"/>
              <w:right w:val="single" w:color="000000" w:sz="12" w:space="0"/>
              <w:tl2br w:val="nil"/>
              <w:tr2bl w:val="nil"/>
            </w:tcBorders>
            <w:vAlign w:val="top"/>
          </w:tcPr>
          <w:p>
            <w:pPr>
              <w:pStyle w:val="247"/>
              <w:kinsoku w:val="0"/>
              <w:overflowPunct w:val="0"/>
              <w:spacing w:before="43" w:beforeLines="0" w:afterLines="0"/>
              <w:ind w:left="535" w:leftChars="0"/>
              <w:jc w:val="left"/>
              <w:rPr>
                <w:rFonts w:hint="default" w:ascii="Times New Roman" w:hAnsi="Times New Roman" w:eastAsia="Times New Roman"/>
                <w:color w:val="auto"/>
                <w:sz w:val="21"/>
              </w:rPr>
            </w:pPr>
            <w:r>
              <w:rPr>
                <w:rFonts w:hint="default" w:ascii="Times New Roman" w:hAnsi="Times New Roman" w:eastAsia="Times New Roman"/>
                <w:color w:val="auto"/>
                <w:sz w:val="21"/>
              </w:rPr>
              <w:t>0.001</w:t>
            </w:r>
          </w:p>
        </w:tc>
      </w:tr>
    </w:tbl>
    <w:p>
      <w:pPr>
        <w:pStyle w:val="22"/>
        <w:kinsoku w:val="0"/>
        <w:overflowPunct w:val="0"/>
        <w:spacing w:before="74" w:beforeLines="0" w:afterLines="0" w:line="364" w:lineRule="auto"/>
        <w:ind w:left="240" w:right="1435" w:firstLine="479"/>
        <w:jc w:val="both"/>
        <w:rPr>
          <w:rFonts w:hint="eastAsia"/>
          <w:color w:val="auto"/>
          <w:spacing w:val="1"/>
          <w:sz w:val="24"/>
          <w:u w:val="none" w:color="auto"/>
        </w:rPr>
      </w:pPr>
    </w:p>
    <w:p>
      <w:pPr>
        <w:pStyle w:val="22"/>
        <w:kinsoku w:val="0"/>
        <w:overflowPunct w:val="0"/>
        <w:spacing w:before="74" w:beforeLines="0" w:afterLines="0" w:line="364" w:lineRule="auto"/>
        <w:ind w:left="240" w:right="1435" w:firstLine="479"/>
        <w:jc w:val="both"/>
        <w:rPr>
          <w:rFonts w:hint="eastAsia"/>
          <w:color w:val="auto"/>
          <w:spacing w:val="1"/>
          <w:sz w:val="24"/>
          <w:u w:val="none" w:color="auto"/>
        </w:rPr>
      </w:pPr>
      <w:r>
        <w:rPr>
          <w:rFonts w:hint="eastAsia"/>
          <w:color w:val="auto"/>
          <w:spacing w:val="1"/>
          <w:sz w:val="24"/>
          <w:u w:val="none" w:color="auto"/>
        </w:rPr>
        <w:t>二、引用《湖南新岭化工股份有限公司</w:t>
      </w:r>
      <w:r>
        <w:rPr>
          <w:rFonts w:hint="default" w:ascii="Times New Roman" w:hAnsi="Times New Roman" w:eastAsia="Times New Roman"/>
          <w:color w:val="auto"/>
          <w:sz w:val="24"/>
          <w:u w:val="none" w:color="auto"/>
        </w:rPr>
        <w:t>4000</w:t>
      </w:r>
      <w:r>
        <w:rPr>
          <w:rFonts w:hint="eastAsia"/>
          <w:color w:val="auto"/>
          <w:spacing w:val="2"/>
          <w:sz w:val="24"/>
          <w:u w:val="none" w:color="auto"/>
        </w:rPr>
        <w:t>吨</w:t>
      </w:r>
      <w:r>
        <w:rPr>
          <w:rFonts w:hint="default" w:ascii="Times New Roman" w:hAnsi="Times New Roman" w:eastAsia="Times New Roman"/>
          <w:color w:val="auto"/>
          <w:sz w:val="24"/>
          <w:u w:val="none" w:color="auto"/>
        </w:rPr>
        <w:t>/</w:t>
      </w:r>
      <w:r>
        <w:rPr>
          <w:rFonts w:hint="eastAsia"/>
          <w:color w:val="auto"/>
          <w:spacing w:val="2"/>
          <w:sz w:val="24"/>
          <w:u w:val="none" w:color="auto"/>
        </w:rPr>
        <w:t>年</w:t>
      </w:r>
      <w:r>
        <w:rPr>
          <w:rFonts w:hint="default" w:ascii="Times New Roman" w:hAnsi="Times New Roman" w:eastAsia="Times New Roman"/>
          <w:color w:val="auto"/>
          <w:sz w:val="24"/>
          <w:u w:val="none" w:color="auto"/>
        </w:rPr>
        <w:t>2,6-</w:t>
      </w:r>
      <w:r>
        <w:rPr>
          <w:rFonts w:hint="eastAsia"/>
          <w:color w:val="auto"/>
          <w:spacing w:val="2"/>
          <w:sz w:val="24"/>
          <w:u w:val="none" w:color="auto"/>
        </w:rPr>
        <w:t>二甲酚、</w:t>
      </w:r>
      <w:r>
        <w:rPr>
          <w:rFonts w:hint="default" w:ascii="Times New Roman" w:hAnsi="Times New Roman" w:eastAsia="Times New Roman"/>
          <w:color w:val="auto"/>
          <w:sz w:val="24"/>
          <w:u w:val="none" w:color="auto"/>
        </w:rPr>
        <w:t>1800</w:t>
      </w:r>
      <w:r>
        <w:rPr>
          <w:rFonts w:hint="eastAsia"/>
          <w:color w:val="auto"/>
          <w:spacing w:val="6"/>
          <w:sz w:val="24"/>
          <w:u w:val="none" w:color="auto"/>
        </w:rPr>
        <w:t>吨</w:t>
      </w:r>
      <w:r>
        <w:rPr>
          <w:rFonts w:hint="default" w:ascii="Times New Roman" w:hAnsi="Times New Roman" w:eastAsia="Times New Roman"/>
          <w:color w:val="auto"/>
          <w:sz w:val="24"/>
          <w:u w:val="none" w:color="auto"/>
        </w:rPr>
        <w:t>/</w:t>
      </w:r>
      <w:r>
        <w:rPr>
          <w:rFonts w:hint="eastAsia"/>
          <w:color w:val="auto"/>
          <w:spacing w:val="2"/>
          <w:sz w:val="24"/>
          <w:u w:val="none" w:color="auto"/>
        </w:rPr>
        <w:t>年混</w:t>
      </w:r>
      <w:r>
        <w:rPr>
          <w:rFonts w:hint="eastAsia"/>
          <w:color w:val="auto"/>
          <w:spacing w:val="-5"/>
          <w:sz w:val="24"/>
          <w:u w:val="none" w:color="auto"/>
        </w:rPr>
        <w:t>合酚提质及技术改造项目环境影响报告书》环境影响评价时的相关地下水监测数</w:t>
      </w:r>
      <w:r>
        <w:rPr>
          <w:rFonts w:hint="eastAsia"/>
          <w:color w:val="auto"/>
          <w:spacing w:val="-240"/>
          <w:sz w:val="24"/>
          <w:u w:val="none" w:color="auto"/>
        </w:rPr>
        <w:t>据</w:t>
      </w:r>
      <w:r>
        <w:rPr>
          <w:rFonts w:hint="eastAsia"/>
          <w:color w:val="auto"/>
          <w:sz w:val="24"/>
          <w:u w:val="none" w:color="auto"/>
        </w:rPr>
        <w:t>来说明项目区地下水质量情况。监测时间为</w:t>
      </w:r>
      <w:r>
        <w:rPr>
          <w:rFonts w:hint="default" w:ascii="Times New Roman" w:hAnsi="Times New Roman" w:eastAsia="Times New Roman"/>
          <w:color w:val="auto"/>
          <w:sz w:val="24"/>
          <w:u w:val="none" w:color="auto"/>
        </w:rPr>
        <w:t>2018</w:t>
      </w:r>
      <w:r>
        <w:rPr>
          <w:rFonts w:hint="eastAsia"/>
          <w:color w:val="auto"/>
          <w:sz w:val="24"/>
          <w:u w:val="none" w:color="auto"/>
        </w:rPr>
        <w:t>年</w:t>
      </w:r>
      <w:r>
        <w:rPr>
          <w:rFonts w:hint="default" w:ascii="Times New Roman" w:hAnsi="Times New Roman" w:eastAsia="Times New Roman"/>
          <w:color w:val="auto"/>
          <w:sz w:val="24"/>
          <w:u w:val="none" w:color="auto"/>
        </w:rPr>
        <w:t>6</w:t>
      </w:r>
      <w:r>
        <w:rPr>
          <w:rFonts w:hint="eastAsia"/>
          <w:color w:val="auto"/>
          <w:sz w:val="24"/>
          <w:u w:val="none" w:color="auto"/>
        </w:rPr>
        <w:t>月</w:t>
      </w:r>
      <w:r>
        <w:rPr>
          <w:rFonts w:hint="default" w:ascii="Times New Roman" w:hAnsi="Times New Roman" w:eastAsia="Times New Roman"/>
          <w:color w:val="auto"/>
          <w:sz w:val="24"/>
          <w:u w:val="none" w:color="auto"/>
        </w:rPr>
        <w:t>25</w:t>
      </w:r>
      <w:r>
        <w:rPr>
          <w:rFonts w:hint="eastAsia"/>
          <w:color w:val="auto"/>
          <w:spacing w:val="2"/>
          <w:sz w:val="24"/>
          <w:u w:val="none" w:color="auto"/>
        </w:rPr>
        <w:t>日</w:t>
      </w:r>
      <w:r>
        <w:rPr>
          <w:rFonts w:hint="default" w:ascii="Times New Roman" w:hAnsi="Times New Roman" w:eastAsia="Times New Roman"/>
          <w:color w:val="auto"/>
          <w:sz w:val="24"/>
          <w:u w:val="none" w:color="auto"/>
        </w:rPr>
        <w:t>~6</w:t>
      </w:r>
      <w:r>
        <w:rPr>
          <w:rFonts w:hint="eastAsia"/>
          <w:color w:val="auto"/>
          <w:sz w:val="24"/>
          <w:u w:val="none" w:color="auto"/>
        </w:rPr>
        <w:t>月</w:t>
      </w:r>
      <w:r>
        <w:rPr>
          <w:rFonts w:hint="default" w:ascii="Times New Roman" w:hAnsi="Times New Roman" w:eastAsia="Times New Roman"/>
          <w:color w:val="auto"/>
          <w:sz w:val="24"/>
          <w:u w:val="none" w:color="auto"/>
        </w:rPr>
        <w:t>27</w:t>
      </w:r>
      <w:r>
        <w:rPr>
          <w:rFonts w:hint="eastAsia"/>
          <w:color w:val="auto"/>
          <w:sz w:val="24"/>
          <w:u w:val="none" w:color="auto"/>
        </w:rPr>
        <w:t>日，监测数据引用可行。</w:t>
      </w:r>
    </w:p>
    <w:p>
      <w:pPr>
        <w:pStyle w:val="22"/>
        <w:kinsoku w:val="0"/>
        <w:overflowPunct w:val="0"/>
        <w:spacing w:beforeLines="0" w:afterLines="0" w:line="306" w:lineRule="exact"/>
        <w:ind w:left="720"/>
        <w:rPr>
          <w:rFonts w:hint="eastAsia"/>
          <w:color w:val="auto"/>
          <w:sz w:val="24"/>
          <w:u w:val="none" w:color="auto"/>
        </w:rPr>
      </w:pPr>
      <w:r>
        <w:rPr>
          <w:rFonts w:hint="eastAsia"/>
          <w:color w:val="auto"/>
          <w:sz w:val="24"/>
          <w:u w:val="none" w:color="auto"/>
        </w:rPr>
        <w:t>（</w:t>
      </w:r>
      <w:r>
        <w:rPr>
          <w:rFonts w:hint="default" w:ascii="Times New Roman" w:hAnsi="Times New Roman" w:eastAsia="Times New Roman"/>
          <w:color w:val="auto"/>
          <w:sz w:val="24"/>
          <w:u w:val="none" w:color="auto"/>
        </w:rPr>
        <w:t>1</w:t>
      </w:r>
      <w:r>
        <w:rPr>
          <w:rFonts w:hint="eastAsia"/>
          <w:color w:val="auto"/>
          <w:sz w:val="24"/>
          <w:u w:val="none" w:color="auto"/>
        </w:rPr>
        <w:t>）监测因子：</w:t>
      </w:r>
      <w:r>
        <w:rPr>
          <w:rFonts w:hint="default" w:ascii="Times New Roman" w:hAnsi="Times New Roman" w:eastAsia="Times New Roman"/>
          <w:color w:val="auto"/>
          <w:sz w:val="24"/>
          <w:u w:val="none" w:color="auto"/>
        </w:rPr>
        <w:t>pH</w:t>
      </w:r>
      <w:r>
        <w:rPr>
          <w:rFonts w:hint="eastAsia"/>
          <w:color w:val="auto"/>
          <w:sz w:val="24"/>
          <w:u w:val="none" w:color="auto"/>
        </w:rPr>
        <w:t>、高锰酸盐指数、氨氮、挥发酚、硫化物。</w:t>
      </w:r>
    </w:p>
    <w:p>
      <w:pPr>
        <w:pStyle w:val="22"/>
        <w:kinsoku w:val="0"/>
        <w:overflowPunct w:val="0"/>
        <w:spacing w:before="161" w:beforeLines="0" w:afterLines="0"/>
        <w:ind w:left="720"/>
        <w:rPr>
          <w:rFonts w:hint="eastAsia"/>
          <w:color w:val="auto"/>
          <w:sz w:val="24"/>
          <w:u w:val="none" w:color="auto"/>
        </w:rPr>
      </w:pPr>
      <w:r>
        <w:rPr>
          <w:rFonts w:hint="eastAsia"/>
          <w:color w:val="auto"/>
          <w:sz w:val="24"/>
          <w:u w:val="none" w:color="auto"/>
        </w:rPr>
        <w:t>（</w:t>
      </w:r>
      <w:r>
        <w:rPr>
          <w:rFonts w:hint="default" w:ascii="Times New Roman" w:hAnsi="Times New Roman" w:eastAsia="Times New Roman"/>
          <w:color w:val="auto"/>
          <w:sz w:val="24"/>
          <w:u w:val="none" w:color="auto"/>
        </w:rPr>
        <w:t>2</w:t>
      </w:r>
      <w:r>
        <w:rPr>
          <w:rFonts w:hint="eastAsia"/>
          <w:color w:val="auto"/>
          <w:sz w:val="24"/>
          <w:u w:val="none" w:color="auto"/>
        </w:rPr>
        <w:t xml:space="preserve">）监测频次及方法：监测 </w:t>
      </w:r>
      <w:r>
        <w:rPr>
          <w:rFonts w:hint="default" w:ascii="Times New Roman" w:hAnsi="Times New Roman" w:eastAsia="Times New Roman"/>
          <w:color w:val="auto"/>
          <w:sz w:val="24"/>
          <w:u w:val="none" w:color="auto"/>
        </w:rPr>
        <w:t xml:space="preserve">3 </w:t>
      </w:r>
      <w:r>
        <w:rPr>
          <w:rFonts w:hint="eastAsia"/>
          <w:color w:val="auto"/>
          <w:sz w:val="24"/>
          <w:u w:val="none" w:color="auto"/>
        </w:rPr>
        <w:t>天、采样一次。</w:t>
      </w:r>
    </w:p>
    <w:p>
      <w:pPr>
        <w:pStyle w:val="22"/>
        <w:kinsoku w:val="0"/>
        <w:overflowPunct w:val="0"/>
        <w:spacing w:before="160" w:beforeLines="0" w:afterLines="0"/>
        <w:ind w:left="720"/>
        <w:rPr>
          <w:rFonts w:hint="eastAsia"/>
          <w:color w:val="auto"/>
          <w:sz w:val="24"/>
          <w:u w:val="none" w:color="auto"/>
        </w:rPr>
      </w:pPr>
      <w:r>
        <w:rPr>
          <w:rFonts w:hint="eastAsia"/>
          <w:color w:val="auto"/>
          <w:sz w:val="24"/>
          <w:u w:val="none" w:color="auto"/>
        </w:rPr>
        <w:t>（</w:t>
      </w:r>
      <w:r>
        <w:rPr>
          <w:rFonts w:hint="default" w:ascii="Times New Roman" w:hAnsi="Times New Roman" w:eastAsia="Times New Roman"/>
          <w:color w:val="auto"/>
          <w:sz w:val="24"/>
          <w:u w:val="none" w:color="auto"/>
        </w:rPr>
        <w:t>3</w:t>
      </w:r>
      <w:r>
        <w:rPr>
          <w:rFonts w:hint="eastAsia"/>
          <w:color w:val="auto"/>
          <w:sz w:val="24"/>
          <w:u w:val="none" w:color="auto"/>
        </w:rPr>
        <w:t xml:space="preserve">）监测点位置：设 </w:t>
      </w:r>
      <w:r>
        <w:rPr>
          <w:rFonts w:hint="default" w:ascii="Times New Roman" w:hAnsi="Times New Roman" w:eastAsia="Times New Roman"/>
          <w:color w:val="auto"/>
          <w:sz w:val="24"/>
          <w:u w:val="none" w:color="auto"/>
        </w:rPr>
        <w:t xml:space="preserve">2 </w:t>
      </w:r>
      <w:r>
        <w:rPr>
          <w:rFonts w:hint="eastAsia"/>
          <w:color w:val="auto"/>
          <w:sz w:val="24"/>
          <w:u w:val="none" w:color="auto"/>
        </w:rPr>
        <w:t>个监测点。</w:t>
      </w:r>
    </w:p>
    <w:p>
      <w:pPr>
        <w:pStyle w:val="22"/>
        <w:kinsoku w:val="0"/>
        <w:overflowPunct w:val="0"/>
        <w:spacing w:before="9" w:beforeLines="0" w:afterLines="0"/>
        <w:rPr>
          <w:rFonts w:hint="eastAsia"/>
          <w:color w:val="auto"/>
          <w:sz w:val="18"/>
          <w:u w:val="none" w:color="auto"/>
        </w:rPr>
      </w:pPr>
    </w:p>
    <w:p>
      <w:pPr>
        <w:pStyle w:val="22"/>
        <w:tabs>
          <w:tab w:val="left" w:pos="3693"/>
        </w:tabs>
        <w:kinsoku w:val="0"/>
        <w:overflowPunct w:val="0"/>
        <w:spacing w:before="79" w:beforeLines="0" w:after="6" w:afterLines="0"/>
        <w:ind w:left="2781"/>
        <w:rPr>
          <w:rFonts w:hint="eastAsia"/>
          <w:b/>
          <w:color w:val="auto"/>
          <w:sz w:val="21"/>
          <w:u w:val="none" w:color="auto"/>
        </w:rPr>
      </w:pPr>
      <w:r>
        <w:rPr>
          <w:rFonts w:hint="eastAsia"/>
          <w:b/>
          <w:color w:val="auto"/>
          <w:sz w:val="21"/>
          <w:u w:val="none" w:color="auto"/>
        </w:rPr>
        <w:t>表</w:t>
      </w:r>
      <w:r>
        <w:rPr>
          <w:rFonts w:hint="eastAsia" w:ascii="Times New Roman" w:hAnsi="Times New Roman" w:eastAsia="宋体"/>
          <w:color w:val="auto"/>
          <w:sz w:val="24"/>
          <w:u w:val="none" w:color="auto"/>
          <w:lang w:val="en-US" w:eastAsia="zh-CN"/>
        </w:rPr>
        <w:t>3.5</w:t>
      </w:r>
      <w:r>
        <w:rPr>
          <w:rFonts w:hint="default" w:ascii="Times New Roman" w:hAnsi="Times New Roman" w:eastAsia="Times New Roman"/>
          <w:color w:val="auto"/>
          <w:sz w:val="24"/>
          <w:u w:val="none" w:color="auto"/>
        </w:rPr>
        <w:t>-</w:t>
      </w:r>
      <w:r>
        <w:rPr>
          <w:rFonts w:hint="eastAsia" w:eastAsia="宋体"/>
          <w:color w:val="auto"/>
          <w:sz w:val="24"/>
          <w:u w:val="none" w:color="auto"/>
          <w:lang w:val="en-US" w:eastAsia="zh-CN"/>
        </w:rPr>
        <w:t>3</w:t>
      </w:r>
      <w:r>
        <w:rPr>
          <w:rFonts w:hint="default" w:ascii="Times New Roman" w:hAnsi="Times New Roman" w:eastAsia="Times New Roman"/>
          <w:b/>
          <w:color w:val="auto"/>
          <w:sz w:val="21"/>
          <w:u w:val="none" w:color="auto"/>
        </w:rPr>
        <w:tab/>
      </w:r>
      <w:r>
        <w:rPr>
          <w:rFonts w:hint="eastAsia"/>
          <w:b/>
          <w:color w:val="auto"/>
          <w:sz w:val="21"/>
          <w:u w:val="none" w:color="auto"/>
        </w:rPr>
        <w:t>地下水</w:t>
      </w:r>
      <w:r>
        <w:rPr>
          <w:rFonts w:hint="eastAsia"/>
          <w:b/>
          <w:color w:val="auto"/>
          <w:spacing w:val="-5"/>
          <w:sz w:val="21"/>
          <w:u w:val="none" w:color="auto"/>
        </w:rPr>
        <w:t>现</w:t>
      </w:r>
      <w:r>
        <w:rPr>
          <w:rFonts w:hint="eastAsia"/>
          <w:b/>
          <w:color w:val="auto"/>
          <w:sz w:val="21"/>
          <w:u w:val="none" w:color="auto"/>
        </w:rPr>
        <w:t>状引用</w:t>
      </w:r>
      <w:r>
        <w:rPr>
          <w:rFonts w:hint="eastAsia"/>
          <w:b/>
          <w:color w:val="auto"/>
          <w:spacing w:val="-5"/>
          <w:sz w:val="21"/>
          <w:u w:val="none" w:color="auto"/>
        </w:rPr>
        <w:t>补</w:t>
      </w:r>
      <w:r>
        <w:rPr>
          <w:rFonts w:hint="eastAsia"/>
          <w:b/>
          <w:color w:val="auto"/>
          <w:sz w:val="21"/>
          <w:u w:val="none" w:color="auto"/>
        </w:rPr>
        <w:t>充监</w:t>
      </w:r>
      <w:r>
        <w:rPr>
          <w:rFonts w:hint="eastAsia"/>
          <w:b/>
          <w:color w:val="auto"/>
          <w:spacing w:val="-4"/>
          <w:sz w:val="21"/>
          <w:u w:val="none" w:color="auto"/>
        </w:rPr>
        <w:t>测</w:t>
      </w:r>
      <w:r>
        <w:rPr>
          <w:rFonts w:hint="eastAsia"/>
          <w:b/>
          <w:color w:val="auto"/>
          <w:sz w:val="21"/>
          <w:u w:val="none" w:color="auto"/>
        </w:rPr>
        <w:t>点位</w:t>
      </w:r>
    </w:p>
    <w:tbl>
      <w:tblPr>
        <w:tblStyle w:val="45"/>
        <w:tblW w:w="8030" w:type="dxa"/>
        <w:tblInd w:w="48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60"/>
        <w:gridCol w:w="4021"/>
        <w:gridCol w:w="29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7" w:hRule="atLeast"/>
        </w:trPr>
        <w:tc>
          <w:tcPr>
            <w:tcW w:w="1060" w:type="dxa"/>
            <w:tcBorders>
              <w:top w:val="single" w:color="000000" w:sz="12" w:space="0"/>
              <w:left w:val="single" w:color="000000" w:sz="12" w:space="0"/>
              <w:bottom w:val="single" w:color="000000" w:sz="6" w:space="0"/>
              <w:right w:val="single" w:color="000000" w:sz="6" w:space="0"/>
              <w:tl2br w:val="nil"/>
              <w:tr2bl w:val="nil"/>
            </w:tcBorders>
            <w:vAlign w:val="top"/>
          </w:tcPr>
          <w:p>
            <w:pPr>
              <w:pStyle w:val="247"/>
              <w:kinsoku w:val="0"/>
              <w:overflowPunct w:val="0"/>
              <w:spacing w:before="58" w:beforeLines="0" w:afterLines="0"/>
              <w:ind w:left="296" w:right="278"/>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A4</w:t>
            </w:r>
          </w:p>
        </w:tc>
        <w:tc>
          <w:tcPr>
            <w:tcW w:w="4021" w:type="dxa"/>
            <w:tcBorders>
              <w:top w:val="single" w:color="000000" w:sz="12" w:space="0"/>
              <w:left w:val="single" w:color="000000" w:sz="6" w:space="0"/>
              <w:bottom w:val="single" w:color="000000" w:sz="6" w:space="0"/>
              <w:right w:val="single" w:color="000000" w:sz="6" w:space="0"/>
              <w:tl2br w:val="nil"/>
              <w:tr2bl w:val="nil"/>
            </w:tcBorders>
            <w:vAlign w:val="top"/>
          </w:tcPr>
          <w:p>
            <w:pPr>
              <w:pStyle w:val="247"/>
              <w:kinsoku w:val="0"/>
              <w:overflowPunct w:val="0"/>
              <w:spacing w:before="57" w:beforeLines="0" w:afterLines="0"/>
              <w:ind w:left="843" w:right="812"/>
              <w:rPr>
                <w:rFonts w:hint="eastAsia"/>
                <w:color w:val="auto"/>
                <w:sz w:val="21"/>
                <w:u w:val="none" w:color="auto"/>
              </w:rPr>
            </w:pPr>
            <w:r>
              <w:rPr>
                <w:rFonts w:hint="eastAsia"/>
                <w:color w:val="auto"/>
                <w:sz w:val="21"/>
                <w:u w:val="none" w:color="auto"/>
              </w:rPr>
              <w:t>文桥镇和平村居民点水</w:t>
            </w:r>
          </w:p>
        </w:tc>
        <w:tc>
          <w:tcPr>
            <w:tcW w:w="2949" w:type="dxa"/>
            <w:tcBorders>
              <w:top w:val="single" w:color="000000" w:sz="12" w:space="0"/>
              <w:left w:val="single" w:color="000000" w:sz="6" w:space="0"/>
              <w:bottom w:val="single" w:color="000000" w:sz="6" w:space="0"/>
              <w:right w:val="single" w:color="000000" w:sz="12" w:space="0"/>
              <w:tl2br w:val="nil"/>
              <w:tr2bl w:val="nil"/>
            </w:tcBorders>
            <w:vAlign w:val="top"/>
          </w:tcPr>
          <w:p>
            <w:pPr>
              <w:pStyle w:val="247"/>
              <w:kinsoku w:val="0"/>
              <w:overflowPunct w:val="0"/>
              <w:spacing w:before="57" w:beforeLines="0" w:afterLines="0"/>
              <w:ind w:left="849"/>
              <w:jc w:val="left"/>
              <w:rPr>
                <w:rFonts w:hint="eastAsia"/>
                <w:color w:val="auto"/>
                <w:sz w:val="21"/>
                <w:u w:val="none" w:color="auto"/>
              </w:rPr>
            </w:pPr>
            <w:r>
              <w:rPr>
                <w:rFonts w:hint="eastAsia"/>
                <w:color w:val="auto"/>
                <w:sz w:val="21"/>
                <w:u w:val="none" w:color="auto"/>
              </w:rPr>
              <w:t>东</w:t>
            </w:r>
            <w:r>
              <w:rPr>
                <w:rFonts w:hint="eastAsia" w:eastAsia="宋体"/>
                <w:color w:val="auto"/>
                <w:sz w:val="21"/>
                <w:u w:val="none" w:color="auto"/>
                <w:lang w:eastAsia="zh-CN"/>
              </w:rPr>
              <w:t>北</w:t>
            </w:r>
            <w:r>
              <w:rPr>
                <w:rFonts w:hint="eastAsia"/>
                <w:color w:val="auto"/>
                <w:sz w:val="21"/>
                <w:u w:val="none" w:color="auto"/>
              </w:rPr>
              <w:t>，约</w:t>
            </w:r>
            <w:r>
              <w:rPr>
                <w:rFonts w:hint="eastAsia" w:eastAsia="宋体"/>
                <w:color w:val="auto"/>
                <w:sz w:val="21"/>
                <w:u w:val="none" w:color="auto"/>
                <w:lang w:val="en-US" w:eastAsia="zh-CN"/>
              </w:rPr>
              <w:t>9</w:t>
            </w:r>
            <w:r>
              <w:rPr>
                <w:rFonts w:hint="default" w:ascii="Times New Roman" w:hAnsi="Times New Roman" w:eastAsia="Times New Roman"/>
                <w:color w:val="auto"/>
                <w:sz w:val="21"/>
                <w:u w:val="none" w:color="auto"/>
              </w:rPr>
              <w:t>00m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3" w:hRule="atLeast"/>
        </w:trPr>
        <w:tc>
          <w:tcPr>
            <w:tcW w:w="1060" w:type="dxa"/>
            <w:tcBorders>
              <w:top w:val="single" w:color="000000" w:sz="6" w:space="0"/>
              <w:left w:val="single" w:color="000000" w:sz="12" w:space="0"/>
              <w:bottom w:val="single" w:color="000000" w:sz="12" w:space="0"/>
              <w:right w:val="single" w:color="000000" w:sz="6" w:space="0"/>
              <w:tl2br w:val="nil"/>
              <w:tr2bl w:val="nil"/>
            </w:tcBorders>
            <w:vAlign w:val="top"/>
          </w:tcPr>
          <w:p>
            <w:pPr>
              <w:pStyle w:val="247"/>
              <w:kinsoku w:val="0"/>
              <w:overflowPunct w:val="0"/>
              <w:spacing w:before="59" w:beforeLines="0" w:afterLines="0"/>
              <w:ind w:left="296" w:right="278"/>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A5</w:t>
            </w:r>
          </w:p>
        </w:tc>
        <w:tc>
          <w:tcPr>
            <w:tcW w:w="4021" w:type="dxa"/>
            <w:tcBorders>
              <w:top w:val="single" w:color="000000" w:sz="6" w:space="0"/>
              <w:left w:val="single" w:color="000000" w:sz="6" w:space="0"/>
              <w:bottom w:val="single" w:color="000000" w:sz="12" w:space="0"/>
              <w:right w:val="single" w:color="000000" w:sz="6" w:space="0"/>
              <w:tl2br w:val="nil"/>
              <w:tr2bl w:val="nil"/>
            </w:tcBorders>
            <w:vAlign w:val="top"/>
          </w:tcPr>
          <w:p>
            <w:pPr>
              <w:pStyle w:val="247"/>
              <w:kinsoku w:val="0"/>
              <w:overflowPunct w:val="0"/>
              <w:spacing w:before="53" w:beforeLines="0" w:afterLines="0"/>
              <w:ind w:left="843" w:right="812"/>
              <w:rPr>
                <w:rFonts w:hint="eastAsia"/>
                <w:color w:val="auto"/>
                <w:sz w:val="21"/>
                <w:u w:val="none" w:color="auto"/>
              </w:rPr>
            </w:pPr>
            <w:r>
              <w:rPr>
                <w:rFonts w:hint="eastAsia"/>
                <w:color w:val="auto"/>
                <w:sz w:val="21"/>
                <w:u w:val="none" w:color="auto"/>
              </w:rPr>
              <w:t>小桥村沈家组居民点水</w:t>
            </w:r>
          </w:p>
        </w:tc>
        <w:tc>
          <w:tcPr>
            <w:tcW w:w="2949" w:type="dxa"/>
            <w:tcBorders>
              <w:top w:val="single" w:color="000000" w:sz="6" w:space="0"/>
              <w:left w:val="single" w:color="000000" w:sz="6" w:space="0"/>
              <w:bottom w:val="single" w:color="000000" w:sz="12" w:space="0"/>
              <w:right w:val="single" w:color="000000" w:sz="12" w:space="0"/>
              <w:tl2br w:val="nil"/>
              <w:tr2bl w:val="nil"/>
            </w:tcBorders>
            <w:vAlign w:val="top"/>
          </w:tcPr>
          <w:p>
            <w:pPr>
              <w:pStyle w:val="247"/>
              <w:kinsoku w:val="0"/>
              <w:overflowPunct w:val="0"/>
              <w:spacing w:before="53" w:beforeLines="0" w:afterLines="0"/>
              <w:ind w:left="901"/>
              <w:jc w:val="left"/>
              <w:rPr>
                <w:rFonts w:hint="eastAsia"/>
                <w:color w:val="auto"/>
                <w:sz w:val="21"/>
                <w:u w:val="none" w:color="auto"/>
              </w:rPr>
            </w:pPr>
            <w:r>
              <w:rPr>
                <w:rFonts w:hint="eastAsia"/>
                <w:color w:val="auto"/>
                <w:sz w:val="21"/>
                <w:u w:val="none" w:color="auto"/>
              </w:rPr>
              <w:t>西</w:t>
            </w:r>
            <w:r>
              <w:rPr>
                <w:rFonts w:hint="eastAsia" w:eastAsia="宋体"/>
                <w:color w:val="auto"/>
                <w:sz w:val="21"/>
                <w:u w:val="none" w:color="auto"/>
                <w:lang w:eastAsia="zh-CN"/>
              </w:rPr>
              <w:t>北</w:t>
            </w:r>
            <w:r>
              <w:rPr>
                <w:rFonts w:hint="eastAsia"/>
                <w:color w:val="auto"/>
                <w:sz w:val="21"/>
                <w:u w:val="none" w:color="auto"/>
              </w:rPr>
              <w:t xml:space="preserve">，约 </w:t>
            </w:r>
            <w:r>
              <w:rPr>
                <w:rFonts w:hint="eastAsia" w:eastAsia="宋体"/>
                <w:color w:val="auto"/>
                <w:sz w:val="21"/>
                <w:u w:val="none" w:color="auto"/>
                <w:lang w:val="en-US" w:eastAsia="zh-CN"/>
              </w:rPr>
              <w:t>135</w:t>
            </w:r>
            <w:r>
              <w:rPr>
                <w:rFonts w:hint="default" w:ascii="Times New Roman" w:hAnsi="Times New Roman" w:eastAsia="Times New Roman"/>
                <w:color w:val="auto"/>
                <w:sz w:val="21"/>
                <w:u w:val="none" w:color="auto"/>
              </w:rPr>
              <w:t>0m</w:t>
            </w:r>
          </w:p>
        </w:tc>
      </w:tr>
    </w:tbl>
    <w:p>
      <w:pPr>
        <w:pStyle w:val="22"/>
        <w:kinsoku w:val="0"/>
        <w:overflowPunct w:val="0"/>
        <w:spacing w:before="4" w:beforeLines="0" w:afterLines="0"/>
        <w:ind w:left="720"/>
        <w:rPr>
          <w:rFonts w:hint="eastAsia"/>
          <w:color w:val="auto"/>
          <w:sz w:val="24"/>
          <w:u w:val="none" w:color="auto"/>
        </w:rPr>
      </w:pPr>
    </w:p>
    <w:p>
      <w:pPr>
        <w:pStyle w:val="22"/>
        <w:kinsoku w:val="0"/>
        <w:overflowPunct w:val="0"/>
        <w:spacing w:before="4" w:beforeLines="0" w:afterLines="0"/>
        <w:ind w:left="720"/>
        <w:rPr>
          <w:rFonts w:hint="eastAsia"/>
          <w:b/>
          <w:color w:val="auto"/>
          <w:sz w:val="21"/>
          <w:u w:val="none" w:color="auto"/>
        </w:rPr>
      </w:pPr>
      <w:r>
        <w:rPr>
          <w:rFonts w:hint="eastAsia"/>
          <w:color w:val="auto"/>
          <w:sz w:val="24"/>
          <w:u w:val="none" w:color="auto"/>
        </w:rPr>
        <w:t>（</w:t>
      </w:r>
      <w:r>
        <w:rPr>
          <w:rFonts w:hint="default" w:ascii="Times New Roman" w:hAnsi="Times New Roman" w:eastAsia="Times New Roman"/>
          <w:color w:val="auto"/>
          <w:sz w:val="24"/>
          <w:u w:val="none" w:color="auto"/>
        </w:rPr>
        <w:t>4</w:t>
      </w:r>
      <w:r>
        <w:rPr>
          <w:rFonts w:hint="eastAsia"/>
          <w:color w:val="auto"/>
          <w:sz w:val="24"/>
          <w:u w:val="none" w:color="auto"/>
        </w:rPr>
        <w:t>）监测结果</w:t>
      </w:r>
    </w:p>
    <w:p>
      <w:pPr>
        <w:pStyle w:val="22"/>
        <w:tabs>
          <w:tab w:val="left" w:pos="912"/>
        </w:tabs>
        <w:kinsoku w:val="0"/>
        <w:overflowPunct w:val="0"/>
        <w:spacing w:before="79" w:beforeLines="0" w:afterLines="0"/>
        <w:ind w:right="766"/>
        <w:jc w:val="center"/>
        <w:rPr>
          <w:rFonts w:hint="eastAsia"/>
          <w:b/>
          <w:color w:val="auto"/>
          <w:sz w:val="21"/>
          <w:u w:val="none" w:color="auto"/>
        </w:rPr>
      </w:pPr>
    </w:p>
    <w:p>
      <w:pPr>
        <w:pStyle w:val="22"/>
        <w:tabs>
          <w:tab w:val="left" w:pos="912"/>
        </w:tabs>
        <w:kinsoku w:val="0"/>
        <w:overflowPunct w:val="0"/>
        <w:spacing w:before="79" w:beforeLines="0" w:afterLines="0"/>
        <w:ind w:right="766"/>
        <w:jc w:val="center"/>
        <w:rPr>
          <w:rFonts w:hint="eastAsia"/>
          <w:b/>
          <w:color w:val="auto"/>
          <w:sz w:val="21"/>
          <w:u w:val="none" w:color="auto"/>
        </w:rPr>
      </w:pPr>
      <w:r>
        <w:rPr>
          <w:rFonts w:hint="eastAsia"/>
          <w:b/>
          <w:color w:val="auto"/>
          <w:sz w:val="21"/>
          <w:u w:val="none" w:color="auto"/>
        </w:rPr>
        <w:t>表</w:t>
      </w:r>
      <w:r>
        <w:rPr>
          <w:rFonts w:hint="eastAsia"/>
          <w:b/>
          <w:color w:val="auto"/>
          <w:spacing w:val="-55"/>
          <w:sz w:val="21"/>
          <w:u w:val="none" w:color="auto"/>
        </w:rPr>
        <w:t xml:space="preserve"> </w:t>
      </w:r>
      <w:r>
        <w:rPr>
          <w:rFonts w:hint="eastAsia" w:ascii="Times New Roman" w:hAnsi="Times New Roman" w:eastAsia="宋体"/>
          <w:color w:val="auto"/>
          <w:sz w:val="24"/>
          <w:lang w:val="en-US" w:eastAsia="zh-CN"/>
        </w:rPr>
        <w:t>3.5</w:t>
      </w:r>
      <w:r>
        <w:rPr>
          <w:rFonts w:hint="default" w:ascii="Times New Roman" w:hAnsi="Times New Roman" w:eastAsia="Times New Roman"/>
          <w:color w:val="auto"/>
          <w:sz w:val="24"/>
        </w:rPr>
        <w:t>-</w:t>
      </w:r>
      <w:r>
        <w:rPr>
          <w:rFonts w:hint="eastAsia" w:eastAsia="宋体"/>
          <w:color w:val="auto"/>
          <w:sz w:val="24"/>
          <w:lang w:val="en-US" w:eastAsia="zh-CN"/>
        </w:rPr>
        <w:t>4</w:t>
      </w:r>
      <w:r>
        <w:rPr>
          <w:rFonts w:hint="default" w:ascii="Times New Roman" w:hAnsi="Times New Roman" w:eastAsia="Times New Roman"/>
          <w:b/>
          <w:color w:val="auto"/>
          <w:sz w:val="21"/>
          <w:u w:val="none" w:color="auto"/>
        </w:rPr>
        <w:tab/>
      </w:r>
      <w:r>
        <w:rPr>
          <w:rFonts w:hint="eastAsia"/>
          <w:b/>
          <w:color w:val="auto"/>
          <w:sz w:val="21"/>
          <w:u w:val="none" w:color="auto"/>
        </w:rPr>
        <w:t>地下水</w:t>
      </w:r>
      <w:r>
        <w:rPr>
          <w:rFonts w:hint="eastAsia"/>
          <w:b/>
          <w:color w:val="auto"/>
          <w:spacing w:val="-5"/>
          <w:sz w:val="21"/>
          <w:u w:val="none" w:color="auto"/>
        </w:rPr>
        <w:t>监</w:t>
      </w:r>
      <w:r>
        <w:rPr>
          <w:rFonts w:hint="eastAsia"/>
          <w:b/>
          <w:color w:val="auto"/>
          <w:sz w:val="21"/>
          <w:u w:val="none" w:color="auto"/>
        </w:rPr>
        <w:t>测结果</w:t>
      </w:r>
    </w:p>
    <w:tbl>
      <w:tblPr>
        <w:tblStyle w:val="45"/>
        <w:tblW w:w="8504" w:type="dxa"/>
        <w:tblInd w:w="24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18"/>
        <w:gridCol w:w="1340"/>
        <w:gridCol w:w="1500"/>
        <w:gridCol w:w="1340"/>
        <w:gridCol w:w="1544"/>
        <w:gridCol w:w="12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5" w:hRule="atLeast"/>
        </w:trPr>
        <w:tc>
          <w:tcPr>
            <w:tcW w:w="1518" w:type="dxa"/>
            <w:tcBorders>
              <w:top w:val="single" w:color="000000" w:sz="12" w:space="0"/>
              <w:left w:val="single" w:color="000000" w:sz="12" w:space="0"/>
              <w:bottom w:val="single" w:color="000000" w:sz="4" w:space="0"/>
              <w:right w:val="single" w:color="000000" w:sz="4" w:space="0"/>
              <w:tl2br w:val="nil"/>
              <w:tr2bl w:val="nil"/>
            </w:tcBorders>
            <w:vAlign w:val="top"/>
          </w:tcPr>
          <w:p>
            <w:pPr>
              <w:pStyle w:val="247"/>
              <w:kinsoku w:val="0"/>
              <w:overflowPunct w:val="0"/>
              <w:spacing w:before="141" w:beforeLines="0" w:afterLines="0"/>
              <w:ind w:left="318" w:right="295"/>
              <w:rPr>
                <w:rFonts w:hint="eastAsia"/>
                <w:b/>
                <w:color w:val="auto"/>
                <w:sz w:val="21"/>
                <w:u w:val="none" w:color="auto"/>
              </w:rPr>
            </w:pPr>
            <w:r>
              <w:rPr>
                <w:rFonts w:hint="eastAsia"/>
                <w:b/>
                <w:color w:val="auto"/>
                <w:sz w:val="21"/>
                <w:u w:val="none" w:color="auto"/>
              </w:rPr>
              <w:t>检测项目</w:t>
            </w:r>
          </w:p>
        </w:tc>
        <w:tc>
          <w:tcPr>
            <w:tcW w:w="1340"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 w:beforeLines="0" w:afterLines="0"/>
              <w:ind w:left="25"/>
              <w:rPr>
                <w:rFonts w:hint="default" w:ascii="Times New Roman" w:hAnsi="Times New Roman" w:eastAsia="Times New Roman"/>
                <w:b/>
                <w:color w:val="auto"/>
                <w:sz w:val="21"/>
                <w:u w:val="none" w:color="auto"/>
              </w:rPr>
            </w:pPr>
            <w:r>
              <w:rPr>
                <w:rFonts w:hint="default" w:ascii="Times New Roman" w:hAnsi="Times New Roman" w:eastAsia="Times New Roman"/>
                <w:b/>
                <w:color w:val="auto"/>
                <w:sz w:val="21"/>
                <w:u w:val="none" w:color="auto"/>
              </w:rPr>
              <w:t xml:space="preserve">pH </w:t>
            </w:r>
            <w:r>
              <w:rPr>
                <w:rFonts w:hint="eastAsia"/>
                <w:b/>
                <w:color w:val="auto"/>
                <w:sz w:val="21"/>
                <w:u w:val="none" w:color="auto"/>
              </w:rPr>
              <w:t>值</w:t>
            </w:r>
          </w:p>
          <w:p>
            <w:pPr>
              <w:pStyle w:val="247"/>
              <w:kinsoku w:val="0"/>
              <w:overflowPunct w:val="0"/>
              <w:spacing w:before="3" w:beforeLines="0" w:afterLines="0" w:line="249" w:lineRule="exact"/>
              <w:ind w:left="36"/>
              <w:rPr>
                <w:rFonts w:hint="default" w:ascii="Times New Roman" w:hAnsi="Times New Roman" w:eastAsia="Times New Roman"/>
                <w:b/>
                <w:color w:val="auto"/>
                <w:sz w:val="21"/>
                <w:u w:val="none" w:color="auto"/>
              </w:rPr>
            </w:pPr>
            <w:r>
              <w:rPr>
                <w:rFonts w:hint="default" w:ascii="Times New Roman" w:hAnsi="Times New Roman" w:eastAsia="Times New Roman"/>
                <w:b/>
                <w:color w:val="auto"/>
                <w:sz w:val="21"/>
                <w:u w:val="none" w:color="auto"/>
              </w:rPr>
              <w:t xml:space="preserve">  (</w:t>
            </w:r>
            <w:r>
              <w:rPr>
                <w:rFonts w:hint="eastAsia"/>
                <w:b/>
                <w:color w:val="auto"/>
                <w:sz w:val="21"/>
                <w:u w:val="none" w:color="auto"/>
              </w:rPr>
              <w:t>无量纲</w:t>
            </w:r>
            <w:r>
              <w:rPr>
                <w:rFonts w:hint="default" w:ascii="Times New Roman" w:hAnsi="Times New Roman" w:eastAsia="Times New Roman"/>
                <w:b/>
                <w:color w:val="auto"/>
                <w:sz w:val="21"/>
                <w:u w:val="none" w:color="auto"/>
              </w:rPr>
              <w:t>)</w:t>
            </w:r>
          </w:p>
        </w:tc>
        <w:tc>
          <w:tcPr>
            <w:tcW w:w="1500"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1" w:beforeLines="0" w:afterLines="0" w:line="268" w:lineRule="exact"/>
              <w:ind w:left="107" w:right="77"/>
              <w:rPr>
                <w:rFonts w:hint="eastAsia"/>
                <w:b/>
                <w:color w:val="auto"/>
                <w:sz w:val="21"/>
                <w:u w:val="none" w:color="auto"/>
              </w:rPr>
            </w:pPr>
            <w:r>
              <w:rPr>
                <w:rFonts w:hint="eastAsia"/>
                <w:b/>
                <w:color w:val="auto"/>
                <w:sz w:val="21"/>
                <w:u w:val="none" w:color="auto"/>
              </w:rPr>
              <w:t>高锰酸盐指数</w:t>
            </w:r>
          </w:p>
          <w:p>
            <w:pPr>
              <w:pStyle w:val="247"/>
              <w:kinsoku w:val="0"/>
              <w:overflowPunct w:val="0"/>
              <w:spacing w:beforeLines="0" w:afterLines="0" w:line="237" w:lineRule="exact"/>
              <w:ind w:left="104" w:right="77"/>
              <w:rPr>
                <w:rFonts w:hint="default" w:ascii="Times New Roman" w:hAnsi="Times New Roman" w:eastAsia="Times New Roman"/>
                <w:b/>
                <w:color w:val="auto"/>
                <w:sz w:val="21"/>
                <w:u w:val="none" w:color="auto"/>
              </w:rPr>
            </w:pPr>
            <w:r>
              <w:rPr>
                <w:rFonts w:hint="default" w:ascii="Times New Roman" w:hAnsi="Times New Roman" w:eastAsia="Times New Roman"/>
                <w:b/>
                <w:color w:val="auto"/>
                <w:sz w:val="21"/>
                <w:u w:val="none" w:color="auto"/>
              </w:rPr>
              <w:t>(mg/L)</w:t>
            </w:r>
          </w:p>
        </w:tc>
        <w:tc>
          <w:tcPr>
            <w:tcW w:w="1340"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1" w:beforeLines="0" w:afterLines="0"/>
              <w:ind w:left="28"/>
              <w:rPr>
                <w:rFonts w:hint="eastAsia"/>
                <w:b/>
                <w:color w:val="auto"/>
                <w:sz w:val="21"/>
                <w:u w:val="none" w:color="auto"/>
              </w:rPr>
            </w:pPr>
            <w:r>
              <w:rPr>
                <w:rFonts w:hint="eastAsia"/>
                <w:b/>
                <w:color w:val="auto"/>
                <w:sz w:val="21"/>
                <w:u w:val="none" w:color="auto"/>
              </w:rPr>
              <w:t xml:space="preserve">氨氮 </w:t>
            </w:r>
            <w:r>
              <w:rPr>
                <w:rFonts w:hint="default" w:ascii="Times New Roman" w:hAnsi="Times New Roman" w:eastAsia="Times New Roman"/>
                <w:b/>
                <w:color w:val="auto"/>
                <w:sz w:val="21"/>
                <w:u w:val="none" w:color="auto"/>
              </w:rPr>
              <w:t>(mg/L)</w:t>
            </w:r>
          </w:p>
        </w:tc>
        <w:tc>
          <w:tcPr>
            <w:tcW w:w="1544"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1" w:beforeLines="0" w:afterLines="0"/>
              <w:ind w:left="134" w:right="109"/>
              <w:rPr>
                <w:rFonts w:hint="eastAsia"/>
                <w:b/>
                <w:color w:val="auto"/>
                <w:sz w:val="21"/>
                <w:u w:val="none" w:color="auto"/>
              </w:rPr>
            </w:pPr>
            <w:r>
              <w:rPr>
                <w:rFonts w:hint="eastAsia"/>
                <w:b/>
                <w:color w:val="auto"/>
                <w:sz w:val="21"/>
                <w:u w:val="none" w:color="auto"/>
              </w:rPr>
              <w:t>挥发酚</w:t>
            </w:r>
            <w:r>
              <w:rPr>
                <w:rFonts w:hint="default" w:ascii="Times New Roman" w:hAnsi="Times New Roman" w:eastAsia="Times New Roman"/>
                <w:b/>
                <w:color w:val="auto"/>
                <w:sz w:val="21"/>
                <w:u w:val="none" w:color="auto"/>
              </w:rPr>
              <w:t>(mg/L)</w:t>
            </w:r>
          </w:p>
        </w:tc>
        <w:tc>
          <w:tcPr>
            <w:tcW w:w="1262" w:type="dxa"/>
            <w:tcBorders>
              <w:top w:val="single" w:color="000000" w:sz="12" w:space="0"/>
              <w:left w:val="single" w:color="000000" w:sz="4" w:space="0"/>
              <w:bottom w:val="single" w:color="000000" w:sz="4" w:space="0"/>
              <w:right w:val="single" w:color="000000" w:sz="12" w:space="0"/>
              <w:tl2br w:val="nil"/>
              <w:tr2bl w:val="nil"/>
            </w:tcBorders>
            <w:vAlign w:val="top"/>
          </w:tcPr>
          <w:p>
            <w:pPr>
              <w:pStyle w:val="247"/>
              <w:kinsoku w:val="0"/>
              <w:overflowPunct w:val="0"/>
              <w:spacing w:before="5" w:beforeLines="0" w:afterLines="0" w:line="268" w:lineRule="exact"/>
              <w:ind w:left="327"/>
              <w:jc w:val="left"/>
              <w:rPr>
                <w:rFonts w:hint="eastAsia"/>
                <w:b/>
                <w:color w:val="auto"/>
                <w:sz w:val="21"/>
                <w:u w:val="none" w:color="auto"/>
              </w:rPr>
            </w:pPr>
            <w:r>
              <w:rPr>
                <w:rFonts w:hint="eastAsia"/>
                <w:b/>
                <w:color w:val="auto"/>
                <w:sz w:val="21"/>
                <w:u w:val="none" w:color="auto"/>
              </w:rPr>
              <w:t>硫化物</w:t>
            </w:r>
          </w:p>
          <w:p>
            <w:pPr>
              <w:pStyle w:val="247"/>
              <w:kinsoku w:val="0"/>
              <w:overflowPunct w:val="0"/>
              <w:spacing w:beforeLines="0" w:afterLines="0" w:line="240" w:lineRule="exact"/>
              <w:ind w:left="331"/>
              <w:jc w:val="left"/>
              <w:rPr>
                <w:rFonts w:hint="default" w:ascii="Times New Roman" w:hAnsi="Times New Roman" w:eastAsia="Times New Roman"/>
                <w:b/>
                <w:color w:val="auto"/>
                <w:sz w:val="21"/>
                <w:u w:val="none" w:color="auto"/>
              </w:rPr>
            </w:pPr>
            <w:r>
              <w:rPr>
                <w:rFonts w:hint="default" w:ascii="Times New Roman" w:hAnsi="Times New Roman" w:eastAsia="Times New Roman"/>
                <w:b/>
                <w:color w:val="auto"/>
                <w:sz w:val="21"/>
                <w:u w:val="none" w:color="auto"/>
              </w:rPr>
              <w:t>(mg/L)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4" w:hRule="atLeast"/>
        </w:trPr>
        <w:tc>
          <w:tcPr>
            <w:tcW w:w="1518" w:type="dxa"/>
            <w:tcBorders>
              <w:top w:val="single" w:color="000000" w:sz="4" w:space="0"/>
              <w:left w:val="single" w:color="000000" w:sz="12" w:space="0"/>
              <w:bottom w:val="single" w:color="000000" w:sz="4" w:space="0"/>
              <w:right w:val="single" w:color="000000" w:sz="4" w:space="0"/>
              <w:tl2br w:val="nil"/>
              <w:tr2bl w:val="nil"/>
            </w:tcBorders>
            <w:vAlign w:val="top"/>
          </w:tcPr>
          <w:p>
            <w:pPr>
              <w:pStyle w:val="247"/>
              <w:kinsoku w:val="0"/>
              <w:overflowPunct w:val="0"/>
              <w:spacing w:before="33" w:beforeLines="0" w:afterLines="0"/>
              <w:ind w:left="318" w:right="291"/>
              <w:rPr>
                <w:rFonts w:hint="eastAsia"/>
                <w:color w:val="auto"/>
                <w:sz w:val="21"/>
                <w:u w:val="none" w:color="auto"/>
              </w:rPr>
            </w:pPr>
            <w:r>
              <w:rPr>
                <w:rFonts w:hint="eastAsia"/>
                <w:color w:val="auto"/>
                <w:sz w:val="21"/>
                <w:u w:val="none" w:color="auto"/>
              </w:rPr>
              <w:t>评价标准</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3" w:beforeLines="0" w:afterLines="0"/>
              <w:ind w:left="27"/>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6.5</w:t>
            </w:r>
            <w:r>
              <w:rPr>
                <w:rFonts w:hint="eastAsia"/>
                <w:color w:val="auto"/>
                <w:sz w:val="21"/>
                <w:u w:val="none" w:color="auto"/>
              </w:rPr>
              <w:t>～</w:t>
            </w:r>
            <w:r>
              <w:rPr>
                <w:rFonts w:hint="default" w:ascii="Times New Roman" w:hAnsi="Times New Roman" w:eastAsia="Times New Roman"/>
                <w:color w:val="auto"/>
                <w:sz w:val="21"/>
                <w:u w:val="none" w:color="auto"/>
              </w:rPr>
              <w:t>8.5</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9" w:beforeLines="0" w:afterLines="0"/>
              <w:ind w:left="625"/>
              <w:jc w:val="left"/>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3.0</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9" w:beforeLines="0" w:afterLines="0"/>
              <w:ind w:left="28"/>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0.5</w:t>
            </w:r>
          </w:p>
        </w:tc>
        <w:tc>
          <w:tcPr>
            <w:tcW w:w="154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9" w:beforeLines="0" w:afterLines="0"/>
              <w:ind w:left="134" w:right="100"/>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0.002</w:t>
            </w:r>
          </w:p>
        </w:tc>
        <w:tc>
          <w:tcPr>
            <w:tcW w:w="1262" w:type="dxa"/>
            <w:tcBorders>
              <w:top w:val="single" w:color="000000" w:sz="4" w:space="0"/>
              <w:left w:val="single" w:color="000000" w:sz="4" w:space="0"/>
              <w:bottom w:val="single" w:color="000000" w:sz="4" w:space="0"/>
              <w:right w:val="single" w:color="000000" w:sz="12" w:space="0"/>
              <w:tl2br w:val="nil"/>
              <w:tr2bl w:val="nil"/>
            </w:tcBorders>
            <w:vAlign w:val="top"/>
          </w:tcPr>
          <w:p>
            <w:pPr>
              <w:pStyle w:val="247"/>
              <w:kinsoku w:val="0"/>
              <w:overflowPunct w:val="0"/>
              <w:spacing w:beforeLines="0" w:afterLines="0" w:line="236" w:lineRule="exact"/>
              <w:ind w:left="78" w:right="32"/>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6" w:hRule="atLeast"/>
        </w:trPr>
        <w:tc>
          <w:tcPr>
            <w:tcW w:w="1518" w:type="dxa"/>
            <w:tcBorders>
              <w:top w:val="single" w:color="000000" w:sz="4" w:space="0"/>
              <w:left w:val="single" w:color="000000" w:sz="12" w:space="0"/>
              <w:bottom w:val="single" w:color="000000" w:sz="4" w:space="0"/>
              <w:right w:val="single" w:color="000000" w:sz="4" w:space="0"/>
              <w:tl2br w:val="nil"/>
              <w:tr2bl w:val="nil"/>
            </w:tcBorders>
            <w:vAlign w:val="top"/>
          </w:tcPr>
          <w:p>
            <w:pPr>
              <w:pStyle w:val="247"/>
              <w:kinsoku w:val="0"/>
              <w:overflowPunct w:val="0"/>
              <w:spacing w:before="4" w:beforeLines="0" w:afterLines="0" w:line="270" w:lineRule="atLeast"/>
              <w:ind w:left="233" w:right="103" w:hanging="104"/>
              <w:jc w:val="left"/>
              <w:rPr>
                <w:rFonts w:hint="eastAsia"/>
                <w:color w:val="auto"/>
                <w:spacing w:val="-212"/>
                <w:sz w:val="21"/>
                <w:u w:val="none" w:color="auto"/>
              </w:rPr>
            </w:pPr>
            <w:r>
              <w:rPr>
                <w:rFonts w:hint="eastAsia"/>
                <w:color w:val="auto"/>
                <w:spacing w:val="-3"/>
                <w:sz w:val="21"/>
                <w:u w:val="none" w:color="auto"/>
              </w:rPr>
              <w:t>文桥镇和平村</w:t>
            </w:r>
            <w:r>
              <w:rPr>
                <w:rFonts w:hint="eastAsia"/>
                <w:color w:val="auto"/>
                <w:spacing w:val="-212"/>
                <w:sz w:val="21"/>
                <w:u w:val="none" w:color="auto"/>
              </w:rPr>
              <w:t>居</w:t>
            </w:r>
          </w:p>
          <w:p>
            <w:pPr>
              <w:pStyle w:val="247"/>
              <w:kinsoku w:val="0"/>
              <w:overflowPunct w:val="0"/>
              <w:spacing w:before="4" w:beforeLines="0" w:afterLines="0" w:line="270" w:lineRule="atLeast"/>
              <w:ind w:left="233" w:right="103" w:hanging="104"/>
              <w:jc w:val="left"/>
              <w:rPr>
                <w:rFonts w:hint="eastAsia"/>
                <w:color w:val="auto"/>
                <w:spacing w:val="-3"/>
                <w:sz w:val="21"/>
                <w:u w:val="none" w:color="auto"/>
              </w:rPr>
            </w:pPr>
            <w:r>
              <w:rPr>
                <w:rFonts w:hint="eastAsia"/>
                <w:color w:val="auto"/>
                <w:spacing w:val="-2"/>
                <w:sz w:val="21"/>
                <w:u w:val="none" w:color="auto"/>
              </w:rPr>
              <w:t>民点井水</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3" w:beforeLines="0" w:afterLines="0"/>
              <w:ind w:left="26"/>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7.54</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7" w:beforeLines="0" w:afterLines="0"/>
              <w:ind w:left="610"/>
              <w:jc w:val="left"/>
              <w:rPr>
                <w:rFonts w:hint="default" w:ascii="Times New Roman" w:hAnsi="Times New Roman" w:eastAsia="Times New Roman"/>
                <w:color w:val="auto"/>
                <w:sz w:val="24"/>
                <w:u w:val="none" w:color="auto"/>
              </w:rPr>
            </w:pPr>
            <w:r>
              <w:rPr>
                <w:rFonts w:hint="default" w:ascii="Times New Roman" w:hAnsi="Times New Roman" w:eastAsia="Times New Roman"/>
                <w:color w:val="auto"/>
                <w:sz w:val="24"/>
                <w:u w:val="none" w:color="auto"/>
              </w:rPr>
              <w:t>2.4</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7" w:beforeLines="0" w:afterLines="0"/>
              <w:ind w:left="23"/>
              <w:rPr>
                <w:rFonts w:hint="default" w:ascii="Times New Roman" w:hAnsi="Times New Roman" w:eastAsia="Times New Roman"/>
                <w:color w:val="auto"/>
                <w:sz w:val="24"/>
                <w:u w:val="none" w:color="auto"/>
              </w:rPr>
            </w:pPr>
            <w:r>
              <w:rPr>
                <w:rFonts w:hint="default" w:ascii="Times New Roman" w:hAnsi="Times New Roman" w:eastAsia="Times New Roman"/>
                <w:color w:val="auto"/>
                <w:sz w:val="24"/>
                <w:u w:val="none" w:color="auto"/>
              </w:rPr>
              <w:t>1.21</w:t>
            </w:r>
          </w:p>
        </w:tc>
        <w:tc>
          <w:tcPr>
            <w:tcW w:w="154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1" w:beforeLines="0" w:afterLines="0"/>
              <w:ind w:left="134" w:right="103"/>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ND</w:t>
            </w:r>
            <w:r>
              <w:rPr>
                <w:rFonts w:hint="eastAsia"/>
                <w:color w:val="auto"/>
                <w:sz w:val="21"/>
                <w:u w:val="none" w:color="auto"/>
              </w:rPr>
              <w:t>（</w:t>
            </w:r>
            <w:r>
              <w:rPr>
                <w:rFonts w:hint="default" w:ascii="Times New Roman" w:hAnsi="Times New Roman" w:eastAsia="Times New Roman"/>
                <w:color w:val="auto"/>
                <w:sz w:val="21"/>
                <w:u w:val="none" w:color="auto"/>
              </w:rPr>
              <w:t>0.002</w:t>
            </w:r>
            <w:r>
              <w:rPr>
                <w:rFonts w:hint="eastAsia"/>
                <w:color w:val="auto"/>
                <w:sz w:val="21"/>
                <w:u w:val="none" w:color="auto"/>
              </w:rPr>
              <w:t>）</w:t>
            </w:r>
          </w:p>
        </w:tc>
        <w:tc>
          <w:tcPr>
            <w:tcW w:w="1262" w:type="dxa"/>
            <w:tcBorders>
              <w:top w:val="single" w:color="000000" w:sz="4" w:space="0"/>
              <w:left w:val="single" w:color="000000" w:sz="4" w:space="0"/>
              <w:bottom w:val="single" w:color="000000" w:sz="4" w:space="0"/>
              <w:right w:val="single" w:color="000000" w:sz="12" w:space="0"/>
              <w:tl2br w:val="nil"/>
              <w:tr2bl w:val="nil"/>
            </w:tcBorders>
            <w:vAlign w:val="top"/>
          </w:tcPr>
          <w:p>
            <w:pPr>
              <w:pStyle w:val="247"/>
              <w:kinsoku w:val="0"/>
              <w:overflowPunct w:val="0"/>
              <w:spacing w:before="141" w:beforeLines="0" w:afterLines="0"/>
              <w:ind w:left="78" w:right="33"/>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ND</w:t>
            </w:r>
            <w:r>
              <w:rPr>
                <w:rFonts w:hint="eastAsia"/>
                <w:color w:val="auto"/>
                <w:sz w:val="21"/>
                <w:u w:val="none" w:color="auto"/>
              </w:rPr>
              <w:t>（</w:t>
            </w:r>
            <w:r>
              <w:rPr>
                <w:rFonts w:hint="default" w:ascii="Times New Roman" w:hAnsi="Times New Roman" w:eastAsia="Times New Roman"/>
                <w:color w:val="auto"/>
                <w:sz w:val="21"/>
                <w:u w:val="none" w:color="auto"/>
              </w:rPr>
              <w:t>0.02</w:t>
            </w:r>
            <w:r>
              <w:rPr>
                <w:rFonts w:hint="eastAsia"/>
                <w:color w:val="auto"/>
                <w:sz w:val="21"/>
                <w:u w:val="none" w:color="auto"/>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6" w:hRule="atLeast"/>
        </w:trPr>
        <w:tc>
          <w:tcPr>
            <w:tcW w:w="1518" w:type="dxa"/>
            <w:tcBorders>
              <w:top w:val="single" w:color="000000" w:sz="4" w:space="0"/>
              <w:left w:val="single" w:color="000000" w:sz="12" w:space="0"/>
              <w:bottom w:val="single" w:color="000000" w:sz="4" w:space="0"/>
              <w:right w:val="single" w:color="000000" w:sz="4" w:space="0"/>
              <w:tl2br w:val="nil"/>
              <w:tr2bl w:val="nil"/>
            </w:tcBorders>
            <w:vAlign w:val="top"/>
          </w:tcPr>
          <w:p>
            <w:pPr>
              <w:pStyle w:val="247"/>
              <w:kinsoku w:val="0"/>
              <w:overflowPunct w:val="0"/>
              <w:spacing w:before="4" w:beforeLines="0" w:afterLines="0" w:line="270" w:lineRule="atLeast"/>
              <w:ind w:left="233" w:leftChars="0" w:right="103" w:rightChars="0" w:hanging="104" w:firstLineChars="0"/>
              <w:jc w:val="left"/>
              <w:rPr>
                <w:rFonts w:hint="eastAsia"/>
                <w:color w:val="auto"/>
                <w:spacing w:val="-3"/>
                <w:sz w:val="21"/>
                <w:u w:val="none" w:color="auto"/>
              </w:rPr>
            </w:pPr>
            <w:r>
              <w:rPr>
                <w:rFonts w:hint="eastAsia"/>
                <w:color w:val="auto"/>
                <w:spacing w:val="-3"/>
                <w:sz w:val="21"/>
                <w:u w:val="none" w:color="auto"/>
              </w:rPr>
              <w:t>小桥村沈家组</w:t>
            </w:r>
            <w:r>
              <w:rPr>
                <w:rFonts w:hint="eastAsia" w:eastAsia="宋体"/>
                <w:color w:val="auto"/>
                <w:spacing w:val="-3"/>
                <w:sz w:val="21"/>
                <w:u w:val="none" w:color="auto"/>
                <w:lang w:eastAsia="zh-CN"/>
              </w:rPr>
              <w:t>居</w:t>
            </w:r>
            <w:r>
              <w:rPr>
                <w:rFonts w:hint="eastAsia"/>
                <w:color w:val="auto"/>
                <w:spacing w:val="-2"/>
                <w:sz w:val="21"/>
                <w:u w:val="none" w:color="auto"/>
              </w:rPr>
              <w:t>民点井水</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2" w:beforeLines="0" w:afterLines="0"/>
              <w:ind w:left="26" w:leftChars="0"/>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7.62</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7" w:beforeLines="0" w:afterLines="0"/>
              <w:ind w:left="107" w:leftChars="0" w:right="77" w:rightChars="0"/>
              <w:rPr>
                <w:rFonts w:hint="default" w:ascii="Times New Roman" w:hAnsi="Times New Roman" w:eastAsia="Times New Roman"/>
                <w:color w:val="auto"/>
                <w:sz w:val="24"/>
                <w:u w:val="none" w:color="auto"/>
              </w:rPr>
            </w:pPr>
            <w:r>
              <w:rPr>
                <w:rFonts w:hint="default" w:ascii="Times New Roman" w:hAnsi="Times New Roman" w:eastAsia="Times New Roman"/>
                <w:color w:val="auto"/>
                <w:sz w:val="24"/>
                <w:u w:val="none" w:color="auto"/>
              </w:rPr>
              <w:t>0.8</w:t>
            </w:r>
          </w:p>
        </w:tc>
        <w:tc>
          <w:tcPr>
            <w:tcW w:w="134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7" w:beforeLines="0" w:afterLines="0"/>
              <w:ind w:left="23" w:leftChars="0"/>
              <w:rPr>
                <w:rFonts w:hint="default" w:ascii="Times New Roman" w:hAnsi="Times New Roman" w:eastAsia="Times New Roman"/>
                <w:color w:val="auto"/>
                <w:sz w:val="24"/>
                <w:u w:val="none" w:color="auto"/>
              </w:rPr>
            </w:pPr>
            <w:r>
              <w:rPr>
                <w:rFonts w:hint="default" w:ascii="Times New Roman" w:hAnsi="Times New Roman" w:eastAsia="Times New Roman"/>
                <w:color w:val="auto"/>
                <w:sz w:val="24"/>
                <w:u w:val="none" w:color="auto"/>
              </w:rPr>
              <w:t>0.12</w:t>
            </w:r>
          </w:p>
        </w:tc>
        <w:tc>
          <w:tcPr>
            <w:tcW w:w="154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1" w:beforeLines="0" w:afterLines="0"/>
              <w:ind w:left="182" w:leftChars="0"/>
              <w:jc w:val="left"/>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ND</w:t>
            </w:r>
            <w:r>
              <w:rPr>
                <w:rFonts w:hint="eastAsia"/>
                <w:color w:val="auto"/>
                <w:sz w:val="21"/>
                <w:u w:val="none" w:color="auto"/>
              </w:rPr>
              <w:t>（</w:t>
            </w:r>
            <w:r>
              <w:rPr>
                <w:rFonts w:hint="default" w:ascii="Times New Roman" w:hAnsi="Times New Roman" w:eastAsia="Times New Roman"/>
                <w:color w:val="auto"/>
                <w:sz w:val="21"/>
                <w:u w:val="none" w:color="auto"/>
              </w:rPr>
              <w:t>0.002</w:t>
            </w:r>
            <w:r>
              <w:rPr>
                <w:rFonts w:hint="eastAsia"/>
                <w:color w:val="auto"/>
                <w:sz w:val="21"/>
                <w:u w:val="none" w:color="auto"/>
              </w:rPr>
              <w:t>）</w:t>
            </w:r>
          </w:p>
        </w:tc>
        <w:tc>
          <w:tcPr>
            <w:tcW w:w="1262" w:type="dxa"/>
            <w:tcBorders>
              <w:top w:val="single" w:color="000000" w:sz="4" w:space="0"/>
              <w:left w:val="single" w:color="000000" w:sz="4" w:space="0"/>
              <w:bottom w:val="single" w:color="000000" w:sz="4" w:space="0"/>
              <w:right w:val="single" w:color="000000" w:sz="12" w:space="0"/>
              <w:tl2br w:val="nil"/>
              <w:tr2bl w:val="nil"/>
            </w:tcBorders>
            <w:vAlign w:val="top"/>
          </w:tcPr>
          <w:p>
            <w:pPr>
              <w:pStyle w:val="247"/>
              <w:kinsoku w:val="0"/>
              <w:overflowPunct w:val="0"/>
              <w:spacing w:before="141" w:beforeLines="0" w:afterLines="0"/>
              <w:ind w:left="95" w:leftChars="0"/>
              <w:jc w:val="left"/>
              <w:rPr>
                <w:rFonts w:hint="default" w:ascii="Times New Roman" w:hAnsi="Times New Roman" w:eastAsia="Times New Roman"/>
                <w:color w:val="auto"/>
                <w:sz w:val="21"/>
                <w:u w:val="none" w:color="auto"/>
              </w:rPr>
            </w:pPr>
            <w:r>
              <w:rPr>
                <w:rFonts w:hint="default" w:ascii="Times New Roman" w:hAnsi="Times New Roman" w:eastAsia="Times New Roman"/>
                <w:color w:val="auto"/>
                <w:sz w:val="21"/>
                <w:u w:val="none" w:color="auto"/>
              </w:rPr>
              <w:t>ND</w:t>
            </w:r>
            <w:r>
              <w:rPr>
                <w:rFonts w:hint="eastAsia"/>
                <w:color w:val="auto"/>
                <w:sz w:val="21"/>
                <w:u w:val="none" w:color="auto"/>
              </w:rPr>
              <w:t>（</w:t>
            </w:r>
            <w:r>
              <w:rPr>
                <w:rFonts w:hint="default" w:ascii="Times New Roman" w:hAnsi="Times New Roman" w:eastAsia="Times New Roman"/>
                <w:color w:val="auto"/>
                <w:sz w:val="21"/>
                <w:u w:val="none" w:color="auto"/>
              </w:rPr>
              <w:t>0.02</w:t>
            </w:r>
            <w:r>
              <w:rPr>
                <w:rFonts w:hint="eastAsia"/>
                <w:color w:val="auto"/>
                <w:sz w:val="21"/>
                <w:u w:val="none" w:color="auto"/>
              </w:rPr>
              <w:t>）</w:t>
            </w:r>
          </w:p>
        </w:tc>
      </w:tr>
    </w:tbl>
    <w:p>
      <w:pPr>
        <w:pStyle w:val="22"/>
        <w:kinsoku w:val="0"/>
        <w:overflowPunct w:val="0"/>
        <w:spacing w:before="92" w:beforeLines="0" w:afterLines="0"/>
        <w:ind w:firstLine="720" w:firstLineChars="300"/>
        <w:rPr>
          <w:rFonts w:hint="eastAsia"/>
          <w:color w:val="auto"/>
          <w:sz w:val="24"/>
          <w:u w:val="none" w:color="auto"/>
        </w:rPr>
      </w:pPr>
    </w:p>
    <w:p>
      <w:pPr>
        <w:pStyle w:val="22"/>
        <w:kinsoku w:val="0"/>
        <w:overflowPunct w:val="0"/>
        <w:spacing w:before="65" w:beforeLines="0" w:afterLines="0" w:line="364" w:lineRule="auto"/>
        <w:ind w:right="1439" w:firstLine="456" w:firstLineChars="200"/>
        <w:rPr>
          <w:rFonts w:hint="eastAsia" w:eastAsia="宋体"/>
          <w:color w:val="auto"/>
          <w:sz w:val="24"/>
          <w:u w:val="none" w:color="auto"/>
          <w:lang w:eastAsia="zh-CN"/>
        </w:rPr>
      </w:pPr>
      <w:r>
        <w:rPr>
          <w:rFonts w:hint="eastAsia"/>
          <w:color w:val="auto"/>
          <w:spacing w:val="-6"/>
          <w:sz w:val="24"/>
        </w:rPr>
        <w:t>根据监测结果，</w:t>
      </w:r>
      <w:r>
        <w:rPr>
          <w:rFonts w:hint="default"/>
          <w:color w:val="auto"/>
          <w:spacing w:val="-6"/>
          <w:sz w:val="24"/>
        </w:rPr>
        <w:t>pH</w:t>
      </w:r>
      <w:r>
        <w:rPr>
          <w:rFonts w:hint="eastAsia"/>
          <w:color w:val="auto"/>
          <w:spacing w:val="-6"/>
          <w:sz w:val="24"/>
        </w:rPr>
        <w:t>、高锰酸盐指数、氨氮和挥发酚以及硫化物的监测值均能满足《地下水质量标准》</w:t>
      </w:r>
      <w:r>
        <w:rPr>
          <w:rFonts w:hint="default"/>
          <w:color w:val="auto"/>
          <w:spacing w:val="-6"/>
          <w:sz w:val="24"/>
        </w:rPr>
        <w:t>(GB/T14848-2017)</w:t>
      </w:r>
      <w:r>
        <w:rPr>
          <w:rFonts w:hint="eastAsia"/>
          <w:color w:val="auto"/>
          <w:spacing w:val="-6"/>
          <w:sz w:val="24"/>
        </w:rPr>
        <w:t xml:space="preserve">的 </w:t>
      </w:r>
      <w:r>
        <w:rPr>
          <w:rFonts w:hint="default"/>
          <w:color w:val="auto"/>
          <w:spacing w:val="-6"/>
          <w:sz w:val="24"/>
        </w:rPr>
        <w:t xml:space="preserve">III </w:t>
      </w:r>
      <w:r>
        <w:rPr>
          <w:rFonts w:hint="eastAsia"/>
          <w:color w:val="auto"/>
          <w:spacing w:val="-6"/>
          <w:sz w:val="24"/>
        </w:rPr>
        <w:t>类标准。</w:t>
      </w:r>
    </w:p>
    <w:p>
      <w:pPr>
        <w:pStyle w:val="22"/>
        <w:kinsoku w:val="0"/>
        <w:overflowPunct w:val="0"/>
        <w:spacing w:before="181" w:beforeLines="0" w:afterLines="0" w:line="312" w:lineRule="auto"/>
        <w:ind w:left="720" w:right="3371" w:hanging="480"/>
        <w:rPr>
          <w:rFonts w:hint="eastAsia"/>
          <w:color w:val="auto"/>
          <w:sz w:val="24"/>
        </w:rPr>
      </w:pPr>
      <w:r>
        <w:rPr>
          <w:rFonts w:hint="eastAsia"/>
          <w:color w:val="auto"/>
          <w:sz w:val="24"/>
        </w:rPr>
        <w:t>三、现状监测结论</w:t>
      </w:r>
    </w:p>
    <w:p>
      <w:pPr>
        <w:pStyle w:val="22"/>
        <w:kinsoku w:val="0"/>
        <w:overflowPunct w:val="0"/>
        <w:spacing w:before="65" w:beforeLines="0" w:afterLines="0" w:line="364" w:lineRule="auto"/>
        <w:ind w:left="240" w:right="1439" w:firstLine="479"/>
        <w:rPr>
          <w:rFonts w:hint="eastAsia"/>
          <w:color w:val="auto"/>
          <w:sz w:val="24"/>
        </w:rPr>
      </w:pPr>
      <w:r>
        <w:rPr>
          <w:rFonts w:hint="eastAsia"/>
          <w:color w:val="auto"/>
          <w:spacing w:val="-6"/>
          <w:sz w:val="24"/>
        </w:rPr>
        <w:t>本项目地下水监测因子均未超过《地下水质量标准》</w:t>
      </w:r>
      <w:r>
        <w:rPr>
          <w:rFonts w:hint="default" w:ascii="Times New Roman" w:hAnsi="Times New Roman" w:eastAsia="Times New Roman"/>
          <w:color w:val="auto"/>
          <w:sz w:val="24"/>
        </w:rPr>
        <w:t>(GB/T 14848-2017)</w:t>
      </w:r>
      <w:r>
        <w:rPr>
          <w:rFonts w:hint="eastAsia"/>
          <w:color w:val="auto"/>
          <w:sz w:val="24"/>
        </w:rPr>
        <w:t>Ⅲ类水标准，项目周边地下水水质满足现状需求。</w:t>
      </w:r>
    </w:p>
    <w:p>
      <w:pPr>
        <w:pStyle w:val="22"/>
        <w:spacing w:before="4"/>
        <w:rPr>
          <w:rFonts w:hint="eastAsia"/>
          <w:b/>
          <w:color w:val="auto"/>
          <w:sz w:val="28"/>
        </w:rPr>
      </w:pPr>
    </w:p>
    <w:p>
      <w:pPr>
        <w:pStyle w:val="6"/>
        <w:numPr>
          <w:ilvl w:val="1"/>
          <w:numId w:val="0"/>
        </w:numPr>
        <w:tabs>
          <w:tab w:val="clear" w:pos="0"/>
        </w:tabs>
        <w:spacing w:before="120" w:beforeLines="0" w:after="120" w:afterLines="0"/>
        <w:ind w:leftChars="0"/>
        <w:rPr>
          <w:rFonts w:hint="eastAsia"/>
          <w:color w:val="auto"/>
          <w:sz w:val="32"/>
          <w:szCs w:val="32"/>
          <w:lang w:val="en-US" w:eastAsia="zh-CN"/>
        </w:rPr>
      </w:pPr>
      <w:bookmarkStart w:id="234" w:name="_Toc20554"/>
      <w:r>
        <w:rPr>
          <w:rFonts w:hint="eastAsia"/>
          <w:color w:val="auto"/>
          <w:sz w:val="32"/>
          <w:szCs w:val="32"/>
          <w:lang w:val="en-US" w:eastAsia="zh-CN"/>
        </w:rPr>
        <w:t>3.6. 声环境质量现状评价</w:t>
      </w:r>
      <w:bookmarkEnd w:id="234"/>
    </w:p>
    <w:p>
      <w:pPr>
        <w:pStyle w:val="22"/>
        <w:spacing w:before="2"/>
        <w:rPr>
          <w:b/>
          <w:color w:val="auto"/>
          <w:sz w:val="13"/>
        </w:rPr>
      </w:pPr>
    </w:p>
    <w:p>
      <w:pPr>
        <w:pStyle w:val="22"/>
        <w:spacing w:before="141" w:line="362" w:lineRule="auto"/>
        <w:ind w:right="313" w:firstLine="480"/>
        <w:rPr>
          <w:color w:val="auto"/>
          <w:spacing w:val="-2"/>
          <w:sz w:val="24"/>
          <w:szCs w:val="24"/>
        </w:rPr>
      </w:pPr>
      <w:r>
        <w:rPr>
          <w:color w:val="auto"/>
          <w:spacing w:val="-2"/>
          <w:sz w:val="24"/>
          <w:szCs w:val="24"/>
        </w:rPr>
        <w:t>本评价委托湖南</w:t>
      </w:r>
      <w:r>
        <w:rPr>
          <w:rFonts w:hint="eastAsia"/>
          <w:color w:val="auto"/>
          <w:spacing w:val="-2"/>
          <w:sz w:val="24"/>
          <w:szCs w:val="24"/>
          <w:lang w:eastAsia="zh-CN"/>
        </w:rPr>
        <w:t>永蓝检测技术</w:t>
      </w:r>
      <w:r>
        <w:rPr>
          <w:color w:val="auto"/>
          <w:spacing w:val="-2"/>
          <w:sz w:val="24"/>
          <w:szCs w:val="24"/>
        </w:rPr>
        <w:t>有限公司于 201</w:t>
      </w:r>
      <w:r>
        <w:rPr>
          <w:rFonts w:hint="eastAsia"/>
          <w:color w:val="auto"/>
          <w:spacing w:val="-2"/>
          <w:sz w:val="24"/>
          <w:szCs w:val="24"/>
          <w:lang w:val="en-US" w:eastAsia="zh-CN"/>
        </w:rPr>
        <w:t>9</w:t>
      </w:r>
      <w:r>
        <w:rPr>
          <w:color w:val="auto"/>
          <w:spacing w:val="-2"/>
          <w:sz w:val="24"/>
          <w:szCs w:val="24"/>
        </w:rPr>
        <w:t xml:space="preserve"> 年 </w:t>
      </w:r>
      <w:r>
        <w:rPr>
          <w:rFonts w:hint="eastAsia"/>
          <w:color w:val="auto"/>
          <w:spacing w:val="-2"/>
          <w:sz w:val="24"/>
          <w:szCs w:val="24"/>
          <w:lang w:val="en-US" w:eastAsia="zh-CN"/>
        </w:rPr>
        <w:t>5</w:t>
      </w:r>
      <w:r>
        <w:rPr>
          <w:color w:val="auto"/>
          <w:spacing w:val="-2"/>
          <w:sz w:val="24"/>
          <w:szCs w:val="24"/>
        </w:rPr>
        <w:t xml:space="preserve"> 月 2</w:t>
      </w:r>
      <w:r>
        <w:rPr>
          <w:rFonts w:hint="eastAsia"/>
          <w:color w:val="auto"/>
          <w:spacing w:val="-2"/>
          <w:sz w:val="24"/>
          <w:szCs w:val="24"/>
          <w:lang w:val="en-US" w:eastAsia="zh-CN"/>
        </w:rPr>
        <w:t>7</w:t>
      </w:r>
      <w:r>
        <w:rPr>
          <w:color w:val="auto"/>
          <w:spacing w:val="-2"/>
          <w:sz w:val="24"/>
          <w:szCs w:val="24"/>
        </w:rPr>
        <w:t xml:space="preserve"> 日~2</w:t>
      </w:r>
      <w:r>
        <w:rPr>
          <w:rFonts w:hint="eastAsia"/>
          <w:color w:val="auto"/>
          <w:spacing w:val="-2"/>
          <w:sz w:val="24"/>
          <w:szCs w:val="24"/>
          <w:lang w:val="en-US" w:eastAsia="zh-CN"/>
        </w:rPr>
        <w:t>8</w:t>
      </w:r>
      <w:r>
        <w:rPr>
          <w:color w:val="auto"/>
          <w:spacing w:val="-2"/>
          <w:sz w:val="24"/>
          <w:szCs w:val="24"/>
        </w:rPr>
        <w:t xml:space="preserve"> 日对项目区声环境进行了监测。</w:t>
      </w:r>
    </w:p>
    <w:p>
      <w:pPr>
        <w:pStyle w:val="22"/>
        <w:spacing w:before="141" w:line="362" w:lineRule="auto"/>
        <w:ind w:right="313" w:firstLine="480"/>
        <w:rPr>
          <w:b/>
          <w:bCs/>
          <w:color w:val="auto"/>
          <w:sz w:val="24"/>
          <w:szCs w:val="32"/>
        </w:rPr>
      </w:pPr>
      <w:r>
        <w:rPr>
          <w:b/>
          <w:bCs/>
          <w:color w:val="auto"/>
          <w:sz w:val="24"/>
          <w:szCs w:val="32"/>
        </w:rPr>
        <w:t>1、监测点位</w:t>
      </w:r>
    </w:p>
    <w:p>
      <w:pPr>
        <w:pStyle w:val="22"/>
        <w:spacing w:before="141" w:line="362" w:lineRule="auto"/>
        <w:ind w:right="313" w:firstLine="480"/>
        <w:rPr>
          <w:color w:val="auto"/>
          <w:spacing w:val="-2"/>
          <w:sz w:val="24"/>
          <w:szCs w:val="24"/>
        </w:rPr>
      </w:pPr>
      <w:r>
        <w:rPr>
          <w:color w:val="auto"/>
          <w:spacing w:val="-2"/>
          <w:sz w:val="24"/>
          <w:szCs w:val="24"/>
        </w:rPr>
        <w:t>在项目地</w:t>
      </w:r>
      <w:r>
        <w:rPr>
          <w:rFonts w:hint="eastAsia"/>
          <w:color w:val="auto"/>
          <w:spacing w:val="-2"/>
          <w:sz w:val="24"/>
          <w:szCs w:val="24"/>
          <w:lang w:eastAsia="zh-CN"/>
        </w:rPr>
        <w:t>四周设了</w:t>
      </w:r>
      <w:r>
        <w:rPr>
          <w:rFonts w:hint="eastAsia"/>
          <w:color w:val="auto"/>
          <w:spacing w:val="-2"/>
          <w:sz w:val="24"/>
          <w:szCs w:val="24"/>
          <w:lang w:val="en-US" w:eastAsia="zh-CN"/>
        </w:rPr>
        <w:t>4</w:t>
      </w:r>
      <w:r>
        <w:rPr>
          <w:color w:val="auto"/>
          <w:spacing w:val="-2"/>
          <w:sz w:val="24"/>
          <w:szCs w:val="24"/>
        </w:rPr>
        <w:t>个噪声监测点，监测点位布设见附图</w:t>
      </w:r>
      <w:r>
        <w:rPr>
          <w:rFonts w:hint="eastAsia"/>
          <w:color w:val="auto"/>
          <w:spacing w:val="-2"/>
          <w:sz w:val="24"/>
          <w:szCs w:val="24"/>
          <w:lang w:val="en-US" w:eastAsia="zh-CN"/>
        </w:rPr>
        <w:t>3</w:t>
      </w:r>
      <w:r>
        <w:rPr>
          <w:color w:val="auto"/>
          <w:spacing w:val="-2"/>
          <w:sz w:val="24"/>
          <w:szCs w:val="24"/>
        </w:rPr>
        <w:t>。</w:t>
      </w:r>
    </w:p>
    <w:p>
      <w:pPr>
        <w:pStyle w:val="22"/>
        <w:spacing w:before="141" w:line="362" w:lineRule="auto"/>
        <w:ind w:right="313" w:firstLine="480"/>
        <w:rPr>
          <w:b/>
          <w:bCs/>
          <w:color w:val="auto"/>
          <w:sz w:val="24"/>
          <w:szCs w:val="32"/>
        </w:rPr>
      </w:pPr>
      <w:r>
        <w:rPr>
          <w:b/>
          <w:bCs/>
          <w:color w:val="auto"/>
          <w:sz w:val="24"/>
          <w:szCs w:val="32"/>
        </w:rPr>
        <w:t>2、监测项目</w:t>
      </w:r>
    </w:p>
    <w:p>
      <w:pPr>
        <w:pStyle w:val="22"/>
        <w:spacing w:before="141" w:line="362" w:lineRule="auto"/>
        <w:ind w:right="313" w:firstLine="480"/>
        <w:rPr>
          <w:color w:val="auto"/>
          <w:spacing w:val="-2"/>
          <w:sz w:val="24"/>
          <w:szCs w:val="24"/>
        </w:rPr>
      </w:pPr>
      <w:r>
        <w:rPr>
          <w:color w:val="auto"/>
          <w:spacing w:val="-2"/>
          <w:sz w:val="24"/>
          <w:szCs w:val="24"/>
        </w:rPr>
        <w:t>等效连续 A 声级 Leq(A)。</w:t>
      </w:r>
    </w:p>
    <w:p>
      <w:pPr>
        <w:pStyle w:val="22"/>
        <w:spacing w:before="141" w:line="362" w:lineRule="auto"/>
        <w:ind w:right="313" w:firstLine="480"/>
        <w:rPr>
          <w:b/>
          <w:bCs/>
          <w:color w:val="auto"/>
          <w:sz w:val="24"/>
          <w:szCs w:val="32"/>
        </w:rPr>
      </w:pPr>
      <w:r>
        <w:rPr>
          <w:b/>
          <w:bCs/>
          <w:color w:val="auto"/>
          <w:sz w:val="24"/>
          <w:szCs w:val="32"/>
        </w:rPr>
        <w:t>3、监测时间与频次</w:t>
      </w:r>
    </w:p>
    <w:p>
      <w:pPr>
        <w:ind w:firstLine="480" w:firstLineChars="200"/>
        <w:rPr>
          <w:b w:val="0"/>
          <w:bCs w:val="0"/>
          <w:color w:val="auto"/>
          <w:sz w:val="24"/>
          <w:szCs w:val="24"/>
        </w:rPr>
      </w:pPr>
      <w:r>
        <w:rPr>
          <w:b w:val="0"/>
          <w:bCs w:val="0"/>
          <w:color w:val="auto"/>
          <w:sz w:val="24"/>
          <w:szCs w:val="24"/>
        </w:rPr>
        <w:t>监测时间为连续监测一天，昼、夜间各测 1 次，每次监测不少于 20min。</w:t>
      </w:r>
    </w:p>
    <w:p>
      <w:pPr>
        <w:pStyle w:val="22"/>
        <w:spacing w:before="141" w:line="362" w:lineRule="auto"/>
        <w:ind w:right="313" w:firstLine="480"/>
        <w:rPr>
          <w:b/>
          <w:bCs/>
          <w:color w:val="auto"/>
          <w:sz w:val="24"/>
          <w:szCs w:val="32"/>
        </w:rPr>
      </w:pPr>
      <w:r>
        <w:rPr>
          <w:b/>
          <w:bCs/>
          <w:color w:val="auto"/>
          <w:sz w:val="24"/>
          <w:szCs w:val="32"/>
        </w:rPr>
        <w:t>4、测量方法与仪器</w:t>
      </w:r>
    </w:p>
    <w:p>
      <w:pPr>
        <w:pStyle w:val="22"/>
        <w:spacing w:before="158"/>
        <w:ind w:firstLine="480" w:firstLineChars="200"/>
        <w:rPr>
          <w:color w:val="auto"/>
          <w:sz w:val="24"/>
          <w:szCs w:val="24"/>
        </w:rPr>
      </w:pPr>
      <w:r>
        <w:rPr>
          <w:color w:val="auto"/>
          <w:sz w:val="24"/>
          <w:szCs w:val="24"/>
        </w:rPr>
        <w:t>测量方法与仪器应符合《声环境质量标准》（</w:t>
      </w:r>
      <w:r>
        <w:rPr>
          <w:rFonts w:eastAsia="Times New Roman"/>
          <w:color w:val="auto"/>
          <w:sz w:val="24"/>
          <w:szCs w:val="24"/>
        </w:rPr>
        <w:t>GB3096-2008</w:t>
      </w:r>
      <w:r>
        <w:rPr>
          <w:color w:val="auto"/>
          <w:sz w:val="24"/>
          <w:szCs w:val="24"/>
        </w:rPr>
        <w:t>）中的有关规定。</w:t>
      </w:r>
    </w:p>
    <w:p>
      <w:pPr>
        <w:pStyle w:val="22"/>
        <w:spacing w:before="141" w:line="362" w:lineRule="auto"/>
        <w:ind w:right="313" w:firstLine="480"/>
        <w:rPr>
          <w:b/>
          <w:bCs/>
          <w:color w:val="auto"/>
          <w:sz w:val="24"/>
          <w:szCs w:val="32"/>
        </w:rPr>
      </w:pPr>
      <w:r>
        <w:rPr>
          <w:b/>
          <w:bCs/>
          <w:color w:val="auto"/>
          <w:sz w:val="24"/>
          <w:szCs w:val="32"/>
        </w:rPr>
        <w:t>5、监测与评价结果</w:t>
      </w:r>
    </w:p>
    <w:p>
      <w:pPr>
        <w:pStyle w:val="22"/>
        <w:spacing w:before="141" w:line="362" w:lineRule="auto"/>
        <w:ind w:right="313" w:firstLine="480"/>
        <w:rPr>
          <w:rFonts w:hint="eastAsia"/>
          <w:b/>
          <w:bCs/>
          <w:color w:val="auto"/>
          <w:sz w:val="24"/>
          <w:szCs w:val="32"/>
        </w:rPr>
        <w:sectPr>
          <w:headerReference r:id="rId22" w:type="default"/>
          <w:footerReference r:id="rId23" w:type="default"/>
          <w:pgSz w:w="11910" w:h="16840"/>
          <w:pgMar w:top="1360" w:right="360" w:bottom="1300" w:left="1560" w:header="1016" w:footer="1116" w:gutter="0"/>
          <w:lnNumType w:countBy="0" w:distance="360"/>
          <w:pgNumType w:fmt="decimal"/>
          <w:cols w:equalWidth="0" w:num="1">
            <w:col w:w="9990"/>
          </w:cols>
        </w:sectPr>
      </w:pPr>
    </w:p>
    <w:p>
      <w:pPr>
        <w:pStyle w:val="22"/>
        <w:kinsoku w:val="0"/>
        <w:overflowPunct w:val="0"/>
        <w:spacing w:before="12" w:beforeLines="0" w:afterLines="0"/>
        <w:rPr>
          <w:rFonts w:hint="eastAsia"/>
          <w:b/>
          <w:color w:val="auto"/>
          <w:sz w:val="4"/>
        </w:rPr>
      </w:pPr>
    </w:p>
    <w:p>
      <w:pPr>
        <w:pStyle w:val="22"/>
        <w:kinsoku w:val="0"/>
        <w:overflowPunct w:val="0"/>
        <w:spacing w:before="11" w:beforeLines="0" w:afterLines="0"/>
        <w:rPr>
          <w:rFonts w:hint="eastAsia"/>
          <w:b/>
          <w:color w:val="auto"/>
          <w:sz w:val="19"/>
        </w:rPr>
      </w:pPr>
    </w:p>
    <w:p>
      <w:pPr>
        <w:tabs>
          <w:tab w:val="left" w:pos="3543"/>
          <w:tab w:val="left" w:pos="6168"/>
        </w:tabs>
        <w:spacing w:before="159"/>
        <w:ind w:left="2633"/>
        <w:jc w:val="left"/>
        <w:rPr>
          <w:rFonts w:ascii="宋体" w:hAnsi="Times New Roman" w:cs="Times New Roman"/>
          <w:b/>
          <w:color w:val="auto"/>
          <w:sz w:val="24"/>
          <w:szCs w:val="24"/>
        </w:rPr>
      </w:pPr>
      <w:r>
        <w:rPr>
          <w:rFonts w:hint="eastAsia" w:ascii="宋体" w:hAnsi="Times New Roman" w:cs="Times New Roman"/>
          <w:b/>
          <w:color w:val="auto"/>
          <w:sz w:val="24"/>
          <w:szCs w:val="24"/>
        </w:rPr>
        <w:t xml:space="preserve">表 </w:t>
      </w:r>
      <w:r>
        <w:rPr>
          <w:rFonts w:hint="eastAsia" w:ascii="宋体" w:hAnsi="Times New Roman" w:cs="Times New Roman"/>
          <w:b/>
          <w:color w:val="auto"/>
          <w:sz w:val="24"/>
          <w:szCs w:val="24"/>
          <w:lang w:val="en-US" w:eastAsia="zh-CN"/>
        </w:rPr>
        <w:t>3</w:t>
      </w:r>
      <w:r>
        <w:rPr>
          <w:rFonts w:hint="eastAsia" w:ascii="宋体" w:hAnsi="Times New Roman" w:cs="Times New Roman"/>
          <w:b/>
          <w:color w:val="auto"/>
          <w:sz w:val="24"/>
          <w:szCs w:val="24"/>
        </w:rPr>
        <w:t>.</w:t>
      </w:r>
      <w:r>
        <w:rPr>
          <w:rFonts w:hint="eastAsia" w:ascii="宋体" w:hAnsi="Times New Roman" w:cs="Times New Roman"/>
          <w:b/>
          <w:color w:val="auto"/>
          <w:sz w:val="24"/>
          <w:szCs w:val="24"/>
          <w:lang w:val="en-US" w:eastAsia="zh-CN"/>
        </w:rPr>
        <w:t>6</w:t>
      </w:r>
      <w:r>
        <w:rPr>
          <w:rFonts w:hint="eastAsia" w:ascii="宋体" w:hAnsi="Times New Roman" w:cs="Times New Roman"/>
          <w:b/>
          <w:color w:val="auto"/>
          <w:sz w:val="24"/>
          <w:szCs w:val="24"/>
        </w:rPr>
        <w:t>-1声环境现状监测统计结果</w:t>
      </w:r>
      <w:r>
        <w:rPr>
          <w:rFonts w:hint="eastAsia" w:ascii="宋体" w:hAnsi="Times New Roman" w:cs="Times New Roman"/>
          <w:b/>
          <w:color w:val="auto"/>
          <w:sz w:val="24"/>
          <w:szCs w:val="24"/>
        </w:rPr>
        <w:tab/>
      </w:r>
      <w:r>
        <w:rPr>
          <w:rFonts w:hint="eastAsia" w:ascii="宋体" w:hAnsi="Times New Roman" w:cs="Times New Roman"/>
          <w:b/>
          <w:color w:val="auto"/>
          <w:sz w:val="24"/>
          <w:szCs w:val="24"/>
        </w:rPr>
        <w:t>单位：dB(A)</w:t>
      </w:r>
    </w:p>
    <w:tbl>
      <w:tblPr>
        <w:tblStyle w:val="45"/>
        <w:tblpPr w:leftFromText="180" w:rightFromText="180" w:vertAnchor="text" w:horzAnchor="page" w:tblpX="1909" w:tblpY="125"/>
        <w:tblOverlap w:val="never"/>
        <w:tblW w:w="924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2025"/>
        <w:gridCol w:w="1629"/>
        <w:gridCol w:w="2131"/>
        <w:gridCol w:w="21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restart"/>
            <w:vAlign w:val="center"/>
          </w:tcPr>
          <w:p>
            <w:pPr>
              <w:jc w:val="center"/>
              <w:rPr>
                <w:rFonts w:hint="eastAsia" w:ascii="Times New Roman" w:hAnsi="Times New Roman" w:eastAsia="宋体" w:cs="Times New Roman"/>
                <w:color w:val="auto"/>
                <w:szCs w:val="21"/>
                <w:lang w:eastAsia="zh-CN"/>
              </w:rPr>
            </w:pPr>
            <w:r>
              <w:rPr>
                <w:rFonts w:hint="default" w:ascii="Times New Roman" w:hAnsi="Times New Roman" w:cs="Times New Roman"/>
                <w:color w:val="auto"/>
                <w:sz w:val="21"/>
                <w:szCs w:val="21"/>
              </w:rPr>
              <w:t>点位序号</w:t>
            </w:r>
          </w:p>
        </w:tc>
        <w:tc>
          <w:tcPr>
            <w:tcW w:w="2025"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采样位置</w:t>
            </w:r>
          </w:p>
        </w:tc>
        <w:tc>
          <w:tcPr>
            <w:tcW w:w="1629"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采样</w:t>
            </w:r>
            <w:r>
              <w:rPr>
                <w:rFonts w:hint="default" w:ascii="Times New Roman" w:hAnsi="Times New Roman" w:cs="Times New Roman"/>
                <w:color w:val="auto"/>
                <w:sz w:val="21"/>
                <w:szCs w:val="21"/>
                <w:lang w:val="en-US" w:eastAsia="zh-CN"/>
              </w:rPr>
              <w:t>时间</w:t>
            </w:r>
          </w:p>
        </w:tc>
        <w:tc>
          <w:tcPr>
            <w:tcW w:w="4267" w:type="dxa"/>
            <w:gridSpan w:val="2"/>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检测结果dB(A)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continue"/>
            <w:vAlign w:val="center"/>
          </w:tcPr>
          <w:p>
            <w:pPr>
              <w:jc w:val="center"/>
              <w:rPr>
                <w:rFonts w:hint="default" w:ascii="Times New Roman" w:hAnsi="Times New Roman" w:cs="Times New Roman"/>
                <w:color w:val="auto"/>
                <w:szCs w:val="21"/>
              </w:rPr>
            </w:pPr>
          </w:p>
        </w:tc>
        <w:tc>
          <w:tcPr>
            <w:tcW w:w="2025" w:type="dxa"/>
            <w:vMerge w:val="continue"/>
            <w:vAlign w:val="center"/>
          </w:tcPr>
          <w:p>
            <w:pPr>
              <w:jc w:val="center"/>
              <w:rPr>
                <w:rFonts w:hint="default" w:ascii="Times New Roman" w:hAnsi="Times New Roman" w:cs="Times New Roman"/>
                <w:color w:val="auto"/>
                <w:szCs w:val="21"/>
              </w:rPr>
            </w:pPr>
          </w:p>
        </w:tc>
        <w:tc>
          <w:tcPr>
            <w:tcW w:w="1629" w:type="dxa"/>
            <w:vMerge w:val="continue"/>
            <w:vAlign w:val="center"/>
          </w:tcPr>
          <w:p>
            <w:pPr>
              <w:jc w:val="center"/>
              <w:rPr>
                <w:rFonts w:hint="default" w:ascii="Times New Roman" w:hAnsi="Times New Roman" w:cs="Times New Roman"/>
                <w:color w:val="auto"/>
                <w:szCs w:val="21"/>
              </w:rPr>
            </w:pPr>
          </w:p>
        </w:tc>
        <w:tc>
          <w:tcPr>
            <w:tcW w:w="2131"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rPr>
              <w:t xml:space="preserve"> </w:t>
            </w:r>
            <w:r>
              <w:rPr>
                <w:rFonts w:hint="default" w:ascii="Times New Roman" w:hAnsi="Times New Roman" w:cs="Times New Roman"/>
                <w:color w:val="auto"/>
                <w:sz w:val="21"/>
                <w:szCs w:val="21"/>
                <w:lang w:val="en-US" w:eastAsia="zh-CN"/>
              </w:rPr>
              <w:t>昼间</w:t>
            </w:r>
          </w:p>
        </w:tc>
        <w:tc>
          <w:tcPr>
            <w:tcW w:w="2136" w:type="dxa"/>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lang w:val="en-US"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restart"/>
            <w:vAlign w:val="center"/>
          </w:tcPr>
          <w:p>
            <w:pPr>
              <w:jc w:val="center"/>
              <w:rPr>
                <w:rFonts w:hint="eastAsia" w:ascii="Times New Roman" w:hAnsi="Times New Roman" w:eastAsia="宋体" w:cs="Times New Roman"/>
                <w:color w:val="auto"/>
                <w:szCs w:val="21"/>
                <w:lang w:val="en-US" w:eastAsia="zh-CN"/>
              </w:rPr>
            </w:pPr>
            <w:r>
              <w:rPr>
                <w:rFonts w:hint="default" w:ascii="Times New Roman" w:hAnsi="Times New Roman" w:cs="Times New Roman"/>
                <w:color w:val="auto"/>
                <w:sz w:val="21"/>
                <w:szCs w:val="21"/>
                <w:lang w:val="en-US" w:eastAsia="zh-CN"/>
              </w:rPr>
              <w:t>N1</w:t>
            </w:r>
          </w:p>
        </w:tc>
        <w:tc>
          <w:tcPr>
            <w:tcW w:w="2025" w:type="dxa"/>
            <w:vMerge w:val="restart"/>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 w:val="21"/>
                <w:szCs w:val="21"/>
                <w:lang w:eastAsia="zh-CN"/>
              </w:rPr>
              <w:t>项目</w:t>
            </w:r>
            <w:r>
              <w:rPr>
                <w:rFonts w:hint="default" w:ascii="Times New Roman" w:hAnsi="Times New Roman" w:cs="Times New Roman"/>
                <w:color w:val="auto"/>
                <w:sz w:val="21"/>
                <w:szCs w:val="21"/>
                <w:lang w:eastAsia="zh-CN"/>
              </w:rPr>
              <w:t>东</w:t>
            </w:r>
            <w:r>
              <w:rPr>
                <w:rFonts w:hint="default" w:ascii="Times New Roman" w:hAnsi="Times New Roman" w:cs="Times New Roman"/>
                <w:color w:val="auto"/>
                <w:sz w:val="21"/>
                <w:szCs w:val="21"/>
              </w:rPr>
              <w:t>侧</w:t>
            </w: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05月27日</w:t>
            </w:r>
          </w:p>
        </w:tc>
        <w:tc>
          <w:tcPr>
            <w:tcW w:w="2131"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52.3</w:t>
            </w:r>
          </w:p>
        </w:tc>
        <w:tc>
          <w:tcPr>
            <w:tcW w:w="2136" w:type="dxa"/>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b w:val="0"/>
                <w:bCs w:val="0"/>
                <w:color w:val="auto"/>
                <w:sz w:val="21"/>
                <w:szCs w:val="21"/>
                <w:lang w:val="en-US" w:eastAsia="zh-CN"/>
              </w:rPr>
              <w:t>42.7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continue"/>
            <w:vAlign w:val="center"/>
          </w:tcPr>
          <w:p>
            <w:pPr>
              <w:jc w:val="center"/>
              <w:rPr>
                <w:rFonts w:hint="default" w:ascii="Times New Roman" w:hAnsi="Times New Roman" w:cs="Times New Roman"/>
                <w:color w:val="auto"/>
              </w:rPr>
            </w:pPr>
          </w:p>
        </w:tc>
        <w:tc>
          <w:tcPr>
            <w:tcW w:w="2025" w:type="dxa"/>
            <w:vMerge w:val="continue"/>
            <w:vAlign w:val="center"/>
          </w:tcPr>
          <w:p>
            <w:pPr>
              <w:jc w:val="center"/>
              <w:rPr>
                <w:rFonts w:hint="default" w:ascii="Times New Roman" w:hAnsi="Times New Roman" w:cs="Times New Roman"/>
                <w:color w:val="auto"/>
                <w:szCs w:val="21"/>
              </w:rPr>
            </w:pP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05月28日</w:t>
            </w:r>
          </w:p>
        </w:tc>
        <w:tc>
          <w:tcPr>
            <w:tcW w:w="2131"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52.2</w:t>
            </w:r>
          </w:p>
        </w:tc>
        <w:tc>
          <w:tcPr>
            <w:tcW w:w="2136" w:type="dxa"/>
            <w:vAlign w:val="center"/>
          </w:tcPr>
          <w:p>
            <w:pPr>
              <w:jc w:val="center"/>
              <w:rPr>
                <w:rFonts w:hint="eastAsia" w:ascii="Times New Roman" w:hAnsi="Times New Roman" w:eastAsia="宋体" w:cs="Times New Roman"/>
                <w:color w:val="auto"/>
                <w:szCs w:val="21"/>
                <w:highlight w:val="none"/>
                <w:lang w:val="en-US" w:eastAsia="zh-CN"/>
              </w:rPr>
            </w:pPr>
            <w:r>
              <w:rPr>
                <w:rFonts w:hint="eastAsia" w:cs="Times New Roman"/>
                <w:b w:val="0"/>
                <w:bCs w:val="0"/>
                <w:color w:val="auto"/>
                <w:sz w:val="21"/>
                <w:szCs w:val="21"/>
                <w:lang w:val="en-US" w:eastAsia="zh-CN"/>
              </w:rPr>
              <w:t>42.6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restar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 w:val="21"/>
                <w:szCs w:val="21"/>
                <w:lang w:val="en-US" w:eastAsia="zh-CN"/>
              </w:rPr>
              <w:t>N2</w:t>
            </w:r>
          </w:p>
        </w:tc>
        <w:tc>
          <w:tcPr>
            <w:tcW w:w="2025" w:type="dxa"/>
            <w:vMerge w:val="restart"/>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 w:val="21"/>
                <w:szCs w:val="21"/>
                <w:lang w:eastAsia="zh-CN"/>
              </w:rPr>
              <w:t>项目</w:t>
            </w:r>
            <w:r>
              <w:rPr>
                <w:rFonts w:hint="default" w:ascii="Times New Roman" w:hAnsi="Times New Roman" w:cs="Times New Roman"/>
                <w:color w:val="auto"/>
                <w:sz w:val="21"/>
                <w:szCs w:val="21"/>
              </w:rPr>
              <w:t>西侧</w:t>
            </w: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05月27日</w:t>
            </w:r>
          </w:p>
        </w:tc>
        <w:tc>
          <w:tcPr>
            <w:tcW w:w="2131"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55.1</w:t>
            </w:r>
          </w:p>
        </w:tc>
        <w:tc>
          <w:tcPr>
            <w:tcW w:w="2136"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45.3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continue"/>
            <w:vAlign w:val="center"/>
          </w:tcPr>
          <w:p>
            <w:pPr>
              <w:jc w:val="center"/>
              <w:rPr>
                <w:rFonts w:hint="default" w:ascii="Times New Roman" w:hAnsi="Times New Roman" w:cs="Times New Roman"/>
                <w:color w:val="auto"/>
              </w:rPr>
            </w:pPr>
          </w:p>
        </w:tc>
        <w:tc>
          <w:tcPr>
            <w:tcW w:w="2025" w:type="dxa"/>
            <w:vMerge w:val="continue"/>
            <w:vAlign w:val="center"/>
          </w:tcPr>
          <w:p>
            <w:pPr>
              <w:jc w:val="center"/>
              <w:rPr>
                <w:rFonts w:hint="default" w:ascii="Times New Roman" w:hAnsi="Times New Roman" w:cs="Times New Roman"/>
                <w:color w:val="auto"/>
                <w:szCs w:val="21"/>
              </w:rPr>
            </w:pP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05月28日</w:t>
            </w:r>
          </w:p>
        </w:tc>
        <w:tc>
          <w:tcPr>
            <w:tcW w:w="2131"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55.0</w:t>
            </w:r>
          </w:p>
        </w:tc>
        <w:tc>
          <w:tcPr>
            <w:tcW w:w="2136"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color w:val="auto"/>
                <w:sz w:val="21"/>
                <w:szCs w:val="21"/>
                <w:lang w:val="en-US" w:eastAsia="zh-CN"/>
              </w:rPr>
              <w:t>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restart"/>
            <w:vAlign w:val="center"/>
          </w:tcPr>
          <w:p>
            <w:pPr>
              <w:jc w:val="center"/>
              <w:rPr>
                <w:rFonts w:hint="default" w:ascii="Times New Roman" w:hAnsi="Times New Roman" w:cs="Times New Roman"/>
                <w:color w:val="auto"/>
              </w:rPr>
            </w:pPr>
            <w:r>
              <w:rPr>
                <w:rFonts w:hint="default" w:ascii="Times New Roman" w:hAnsi="Times New Roman" w:cs="Times New Roman"/>
                <w:color w:val="auto"/>
                <w:sz w:val="21"/>
                <w:szCs w:val="21"/>
                <w:lang w:val="en-US" w:eastAsia="zh-CN"/>
              </w:rPr>
              <w:t>N3</w:t>
            </w:r>
          </w:p>
        </w:tc>
        <w:tc>
          <w:tcPr>
            <w:tcW w:w="2025" w:type="dxa"/>
            <w:vMerge w:val="restart"/>
            <w:vAlign w:val="center"/>
          </w:tcPr>
          <w:p>
            <w:pPr>
              <w:jc w:val="center"/>
              <w:rPr>
                <w:rFonts w:hint="default" w:ascii="Times New Roman" w:hAnsi="Times New Roman" w:cs="Times New Roman"/>
                <w:color w:val="auto"/>
                <w:kern w:val="0"/>
                <w:szCs w:val="21"/>
              </w:rPr>
            </w:pPr>
            <w:r>
              <w:rPr>
                <w:rFonts w:hint="eastAsia" w:ascii="Times New Roman" w:hAnsi="Times New Roman" w:cs="Times New Roman"/>
                <w:color w:val="auto"/>
                <w:sz w:val="21"/>
                <w:szCs w:val="21"/>
                <w:lang w:eastAsia="zh-CN"/>
              </w:rPr>
              <w:t>项目</w:t>
            </w:r>
            <w:r>
              <w:rPr>
                <w:rFonts w:hint="eastAsia" w:cs="Times New Roman"/>
                <w:color w:val="auto"/>
                <w:sz w:val="21"/>
                <w:szCs w:val="21"/>
                <w:lang w:eastAsia="zh-CN"/>
              </w:rPr>
              <w:t>南</w:t>
            </w:r>
            <w:r>
              <w:rPr>
                <w:rFonts w:hint="default" w:ascii="Times New Roman" w:hAnsi="Times New Roman" w:cs="Times New Roman"/>
                <w:color w:val="auto"/>
                <w:sz w:val="21"/>
                <w:szCs w:val="21"/>
              </w:rPr>
              <w:t>侧</w:t>
            </w: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05月27日</w:t>
            </w:r>
          </w:p>
        </w:tc>
        <w:tc>
          <w:tcPr>
            <w:tcW w:w="2131"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58.2</w:t>
            </w:r>
          </w:p>
        </w:tc>
        <w:tc>
          <w:tcPr>
            <w:tcW w:w="2136" w:type="dxa"/>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b w:val="0"/>
                <w:bCs w:val="0"/>
                <w:color w:val="auto"/>
                <w:sz w:val="21"/>
                <w:szCs w:val="21"/>
                <w:lang w:val="en-US" w:eastAsia="zh-CN"/>
              </w:rPr>
              <w:t>47.1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continue"/>
            <w:vAlign w:val="center"/>
          </w:tcPr>
          <w:p>
            <w:pPr>
              <w:jc w:val="center"/>
              <w:rPr>
                <w:rFonts w:hint="default" w:ascii="Times New Roman" w:hAnsi="Times New Roman" w:cs="Times New Roman"/>
                <w:color w:val="auto"/>
              </w:rPr>
            </w:pPr>
          </w:p>
        </w:tc>
        <w:tc>
          <w:tcPr>
            <w:tcW w:w="2025" w:type="dxa"/>
            <w:vMerge w:val="continue"/>
            <w:vAlign w:val="center"/>
          </w:tcPr>
          <w:p>
            <w:pPr>
              <w:jc w:val="center"/>
              <w:rPr>
                <w:rFonts w:hint="default" w:ascii="Times New Roman" w:hAnsi="Times New Roman" w:cs="Times New Roman"/>
                <w:color w:val="auto"/>
                <w:szCs w:val="21"/>
              </w:rPr>
            </w:pP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05月28日</w:t>
            </w:r>
          </w:p>
        </w:tc>
        <w:tc>
          <w:tcPr>
            <w:tcW w:w="2131"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58.0</w:t>
            </w:r>
          </w:p>
        </w:tc>
        <w:tc>
          <w:tcPr>
            <w:tcW w:w="2136" w:type="dxa"/>
            <w:vAlign w:val="center"/>
          </w:tcPr>
          <w:p>
            <w:pPr>
              <w:jc w:val="center"/>
              <w:rPr>
                <w:rFonts w:hint="eastAsia" w:ascii="Times New Roman" w:hAnsi="Times New Roman" w:eastAsia="宋体" w:cs="Times New Roman"/>
                <w:color w:val="auto"/>
                <w:szCs w:val="21"/>
                <w:highlight w:val="none"/>
                <w:lang w:val="en-US" w:eastAsia="zh-CN"/>
              </w:rPr>
            </w:pPr>
            <w:r>
              <w:rPr>
                <w:rFonts w:hint="eastAsia" w:cs="Times New Roman"/>
                <w:b w:val="0"/>
                <w:bCs w:val="0"/>
                <w:color w:val="auto"/>
                <w:sz w:val="21"/>
                <w:szCs w:val="21"/>
                <w:lang w:val="en-US" w:eastAsia="zh-CN"/>
              </w:rPr>
              <w:t>47.3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restart"/>
            <w:vAlign w:val="center"/>
          </w:tcPr>
          <w:p>
            <w:pPr>
              <w:jc w:val="center"/>
              <w:rPr>
                <w:rFonts w:hint="default" w:ascii="Times New Roman" w:hAnsi="Times New Roman" w:cs="Times New Roman"/>
                <w:color w:val="auto"/>
              </w:rPr>
            </w:pPr>
            <w:r>
              <w:rPr>
                <w:rFonts w:hint="default" w:ascii="Times New Roman" w:hAnsi="Times New Roman" w:cs="Times New Roman"/>
                <w:color w:val="auto"/>
                <w:sz w:val="21"/>
                <w:szCs w:val="21"/>
                <w:lang w:val="en-US" w:eastAsia="zh-CN"/>
              </w:rPr>
              <w:t>N</w:t>
            </w:r>
            <w:r>
              <w:rPr>
                <w:rFonts w:hint="eastAsia" w:cs="Times New Roman"/>
                <w:color w:val="auto"/>
                <w:sz w:val="21"/>
                <w:szCs w:val="21"/>
                <w:lang w:val="en-US" w:eastAsia="zh-CN"/>
              </w:rPr>
              <w:t>4</w:t>
            </w:r>
          </w:p>
        </w:tc>
        <w:tc>
          <w:tcPr>
            <w:tcW w:w="2025" w:type="dxa"/>
            <w:vMerge w:val="restart"/>
            <w:vAlign w:val="center"/>
          </w:tcPr>
          <w:p>
            <w:pPr>
              <w:jc w:val="center"/>
              <w:rPr>
                <w:rFonts w:hint="default" w:ascii="Times New Roman" w:hAnsi="Times New Roman" w:cs="Times New Roman"/>
                <w:color w:val="auto"/>
                <w:kern w:val="0"/>
                <w:szCs w:val="21"/>
              </w:rPr>
            </w:pPr>
            <w:r>
              <w:rPr>
                <w:rFonts w:hint="eastAsia" w:ascii="Times New Roman" w:hAnsi="Times New Roman" w:cs="Times New Roman"/>
                <w:color w:val="auto"/>
                <w:sz w:val="21"/>
                <w:szCs w:val="21"/>
                <w:lang w:eastAsia="zh-CN"/>
              </w:rPr>
              <w:t>项目</w:t>
            </w:r>
            <w:r>
              <w:rPr>
                <w:rFonts w:hint="default" w:ascii="Times New Roman" w:hAnsi="Times New Roman" w:cs="Times New Roman"/>
                <w:color w:val="auto"/>
                <w:sz w:val="21"/>
                <w:szCs w:val="21"/>
                <w:lang w:eastAsia="zh-CN"/>
              </w:rPr>
              <w:t>北</w:t>
            </w:r>
            <w:r>
              <w:rPr>
                <w:rFonts w:hint="default" w:ascii="Times New Roman" w:hAnsi="Times New Roman" w:cs="Times New Roman"/>
                <w:color w:val="auto"/>
                <w:sz w:val="21"/>
                <w:szCs w:val="21"/>
              </w:rPr>
              <w:t>侧</w:t>
            </w: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05月27日</w:t>
            </w:r>
          </w:p>
        </w:tc>
        <w:tc>
          <w:tcPr>
            <w:tcW w:w="2131"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55.3</w:t>
            </w:r>
          </w:p>
        </w:tc>
        <w:tc>
          <w:tcPr>
            <w:tcW w:w="2136" w:type="dxa"/>
            <w:vAlign w:val="center"/>
          </w:tcPr>
          <w:p>
            <w:pPr>
              <w:jc w:val="center"/>
              <w:rPr>
                <w:rFonts w:hint="default"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45.1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319" w:type="dxa"/>
            <w:vMerge w:val="continue"/>
            <w:vAlign w:val="center"/>
          </w:tcPr>
          <w:p>
            <w:pPr>
              <w:jc w:val="center"/>
              <w:rPr>
                <w:rFonts w:hint="default" w:ascii="Times New Roman" w:hAnsi="Times New Roman" w:cs="Times New Roman"/>
                <w:color w:val="auto"/>
              </w:rPr>
            </w:pPr>
          </w:p>
        </w:tc>
        <w:tc>
          <w:tcPr>
            <w:tcW w:w="2025" w:type="dxa"/>
            <w:vMerge w:val="continue"/>
            <w:vAlign w:val="center"/>
          </w:tcPr>
          <w:p>
            <w:pPr>
              <w:jc w:val="center"/>
              <w:rPr>
                <w:rFonts w:hint="default" w:ascii="Times New Roman" w:hAnsi="Times New Roman" w:cs="Times New Roman"/>
                <w:color w:val="auto"/>
                <w:szCs w:val="21"/>
              </w:rPr>
            </w:pPr>
          </w:p>
        </w:tc>
        <w:tc>
          <w:tcPr>
            <w:tcW w:w="1629" w:type="dxa"/>
            <w:vAlign w:val="center"/>
          </w:tcPr>
          <w:p>
            <w:pPr>
              <w:jc w:val="center"/>
              <w:rPr>
                <w:rFonts w:hint="default" w:ascii="Times New Roman" w:hAnsi="Times New Roman" w:cs="Times New Roman"/>
                <w:color w:val="auto"/>
                <w:szCs w:val="21"/>
              </w:rPr>
            </w:pPr>
            <w:r>
              <w:rPr>
                <w:rFonts w:hint="eastAsia" w:cs="Times New Roman"/>
                <w:color w:val="auto"/>
                <w:sz w:val="21"/>
                <w:szCs w:val="21"/>
                <w:lang w:val="en-US" w:eastAsia="zh-CN"/>
              </w:rPr>
              <w:t>05月28日</w:t>
            </w:r>
          </w:p>
        </w:tc>
        <w:tc>
          <w:tcPr>
            <w:tcW w:w="2131"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55.1</w:t>
            </w:r>
          </w:p>
        </w:tc>
        <w:tc>
          <w:tcPr>
            <w:tcW w:w="2136" w:type="dxa"/>
            <w:vAlign w:val="center"/>
          </w:tcPr>
          <w:p>
            <w:pPr>
              <w:jc w:val="center"/>
              <w:rPr>
                <w:rFonts w:hint="eastAsia" w:ascii="Times New Roman" w:hAnsi="Times New Roman" w:eastAsia="宋体" w:cs="Times New Roman"/>
                <w:color w:val="auto"/>
                <w:szCs w:val="21"/>
                <w:lang w:val="en-US" w:eastAsia="zh-CN"/>
              </w:rPr>
            </w:pPr>
            <w:r>
              <w:rPr>
                <w:rFonts w:hint="eastAsia" w:cs="Times New Roman"/>
                <w:b w:val="0"/>
                <w:bCs w:val="0"/>
                <w:color w:val="auto"/>
                <w:sz w:val="21"/>
                <w:szCs w:val="21"/>
                <w:lang w:val="en-US" w:eastAsia="zh-CN"/>
              </w:rPr>
              <w:t>45.3</w:t>
            </w:r>
          </w:p>
        </w:tc>
      </w:tr>
    </w:tbl>
    <w:p>
      <w:pPr>
        <w:pStyle w:val="22"/>
        <w:rPr>
          <w:color w:val="auto"/>
          <w:sz w:val="12"/>
        </w:rPr>
      </w:pPr>
    </w:p>
    <w:p>
      <w:pPr>
        <w:pStyle w:val="22"/>
        <w:spacing w:before="158" w:line="360" w:lineRule="auto"/>
        <w:ind w:firstLine="480" w:firstLineChars="200"/>
        <w:rPr>
          <w:rFonts w:hint="eastAsia"/>
          <w:b/>
          <w:color w:val="auto"/>
          <w:sz w:val="21"/>
        </w:rPr>
        <w:sectPr>
          <w:pgSz w:w="11910" w:h="16840"/>
          <w:pgMar w:top="1360" w:right="360" w:bottom="1300" w:left="1560" w:header="1016" w:footer="1116" w:gutter="0"/>
          <w:lnNumType w:countBy="0" w:distance="360"/>
          <w:pgNumType w:fmt="decimal"/>
          <w:cols w:space="720" w:num="1"/>
        </w:sectPr>
      </w:pPr>
      <w:r>
        <w:rPr>
          <w:color w:val="auto"/>
          <w:sz w:val="24"/>
          <w:szCs w:val="24"/>
        </w:rPr>
        <w:t>根据上表监测结果，项目区各监测点昼夜声环境均能满足《声环境质量标准》(GB 3096-2008)中的</w:t>
      </w:r>
      <w:r>
        <w:rPr>
          <w:rFonts w:hint="eastAsia"/>
          <w:color w:val="auto"/>
          <w:sz w:val="24"/>
          <w:szCs w:val="24"/>
        </w:rPr>
        <w:t>3</w:t>
      </w:r>
      <w:r>
        <w:rPr>
          <w:color w:val="auto"/>
          <w:sz w:val="24"/>
          <w:szCs w:val="24"/>
        </w:rPr>
        <w:t>类标准要求。</w:t>
      </w:r>
    </w:p>
    <w:bookmarkEnd w:id="134"/>
    <w:bookmarkEnd w:id="135"/>
    <w:bookmarkEnd w:id="136"/>
    <w:p>
      <w:pPr>
        <w:pStyle w:val="4"/>
        <w:numPr>
          <w:ilvl w:val="0"/>
          <w:numId w:val="0"/>
        </w:numPr>
        <w:tabs>
          <w:tab w:val="clear" w:pos="0"/>
        </w:tabs>
        <w:ind w:leftChars="0"/>
        <w:jc w:val="both"/>
        <w:rPr>
          <w:color w:val="auto"/>
        </w:rPr>
      </w:pPr>
      <w:bookmarkStart w:id="235" w:name="第四章__环境影响预测与评价"/>
      <w:bookmarkEnd w:id="235"/>
      <w:bookmarkStart w:id="236" w:name="_Toc15632"/>
      <w:bookmarkStart w:id="237" w:name="_Toc14720"/>
      <w:bookmarkStart w:id="238" w:name="_Toc19177"/>
      <w:bookmarkStart w:id="239" w:name="_Toc30618"/>
      <w:r>
        <w:rPr>
          <w:rFonts w:hint="eastAsia"/>
          <w:color w:val="auto"/>
          <w:lang w:val="en-US" w:eastAsia="zh-CN"/>
        </w:rPr>
        <w:t xml:space="preserve">4. </w:t>
      </w:r>
      <w:r>
        <w:rPr>
          <w:color w:val="auto"/>
        </w:rPr>
        <w:t>施工期环境影响分析</w:t>
      </w:r>
      <w:bookmarkEnd w:id="236"/>
      <w:bookmarkEnd w:id="237"/>
      <w:bookmarkEnd w:id="238"/>
      <w:bookmarkEnd w:id="239"/>
    </w:p>
    <w:p>
      <w:pPr>
        <w:pStyle w:val="6"/>
        <w:numPr>
          <w:ilvl w:val="1"/>
          <w:numId w:val="0"/>
        </w:numPr>
        <w:spacing w:before="120" w:beforeLines="0" w:after="120" w:afterLines="0"/>
        <w:ind w:leftChars="0"/>
        <w:rPr>
          <w:color w:val="auto"/>
        </w:rPr>
      </w:pPr>
      <w:bookmarkStart w:id="240" w:name="_Toc6712"/>
      <w:bookmarkStart w:id="241" w:name="_Toc2640"/>
      <w:bookmarkStart w:id="242" w:name="_Toc8254"/>
      <w:bookmarkStart w:id="243" w:name="_Toc7575"/>
      <w:r>
        <w:rPr>
          <w:rFonts w:hint="eastAsia"/>
          <w:color w:val="auto"/>
          <w:lang w:val="en-US" w:eastAsia="zh-CN"/>
        </w:rPr>
        <w:t xml:space="preserve">4.1 </w:t>
      </w:r>
      <w:r>
        <w:rPr>
          <w:color w:val="auto"/>
        </w:rPr>
        <w:t>施工期大气环境影响分析</w:t>
      </w:r>
      <w:bookmarkEnd w:id="240"/>
      <w:bookmarkEnd w:id="241"/>
      <w:bookmarkEnd w:id="242"/>
      <w:bookmarkEnd w:id="243"/>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施工期间对环境空气产生的污染主要是施工扬尘，对区域造成暂时性不利影响，这些污染会随着施工期的结束而消失。</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扬尘产生的主要环节为：土方挖掘、土方回填、灰土拌和、沙石等装卸及拌和过程，建筑材料的运输等。扬尘量的大小与施工现场条件、管理水平、机械化程度及天气诸多因素有关，是一个复杂、较难定的问题。因此本次评价采用类比资料进行综合分析，施工场地的扬尘情况类比北京市环科所对施工扬尘所做的实测资料对施工场地扬尘进行的实测资料。扬尘情况见表4.-1。</w:t>
      </w:r>
    </w:p>
    <w:p>
      <w:pPr>
        <w:pStyle w:val="18"/>
        <w:spacing w:line="480" w:lineRule="exact"/>
        <w:ind w:firstLine="460" w:firstLineChars="191"/>
        <w:rPr>
          <w:snapToGrid w:val="0"/>
          <w:color w:val="auto"/>
          <w:spacing w:val="9"/>
          <w:kern w:val="24"/>
          <w:szCs w:val="21"/>
        </w:rPr>
      </w:pPr>
      <w:r>
        <w:rPr>
          <w:color w:val="auto"/>
        </w:rPr>
        <w:t xml:space="preserve">表 </w:t>
      </w:r>
      <w:r>
        <w:rPr>
          <w:rFonts w:hint="eastAsia"/>
          <w:color w:val="auto"/>
          <w:lang w:val="en-US" w:eastAsia="zh-CN"/>
        </w:rPr>
        <w:t>4.1</w:t>
      </w:r>
      <w:r>
        <w:rPr>
          <w:color w:val="auto"/>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snapToGrid w:val="0"/>
          <w:color w:val="auto"/>
          <w:spacing w:val="9"/>
          <w:kern w:val="24"/>
          <w:szCs w:val="21"/>
        </w:rPr>
        <w:t>　　</w:t>
      </w:r>
      <w:r>
        <w:rPr>
          <w:color w:val="auto"/>
        </w:rPr>
        <w:t>北京建筑施工工地扬尘污染情况  单位：mg/m</w:t>
      </w:r>
      <w:r>
        <w:rPr>
          <w:snapToGrid w:val="0"/>
          <w:color w:val="auto"/>
          <w:spacing w:val="9"/>
          <w:kern w:val="24"/>
          <w:szCs w:val="21"/>
          <w:vertAlign w:val="superscript"/>
        </w:rPr>
        <w:t>3</w:t>
      </w:r>
    </w:p>
    <w:tbl>
      <w:tblPr>
        <w:tblStyle w:val="45"/>
        <w:tblW w:w="9287"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086"/>
        <w:gridCol w:w="1348"/>
        <w:gridCol w:w="1348"/>
        <w:gridCol w:w="1439"/>
        <w:gridCol w:w="1449"/>
        <w:gridCol w:w="1490"/>
        <w:gridCol w:w="112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atLeast"/>
        </w:trPr>
        <w:tc>
          <w:tcPr>
            <w:tcW w:w="1086" w:type="dxa"/>
            <w:vMerge w:val="restart"/>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监测范围</w:t>
            </w:r>
          </w:p>
        </w:tc>
        <w:tc>
          <w:tcPr>
            <w:tcW w:w="1348" w:type="dxa"/>
            <w:vMerge w:val="restart"/>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工地上风向50m</w:t>
            </w:r>
          </w:p>
        </w:tc>
        <w:tc>
          <w:tcPr>
            <w:tcW w:w="1348" w:type="dxa"/>
            <w:vMerge w:val="restart"/>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工地内</w:t>
            </w:r>
          </w:p>
        </w:tc>
        <w:tc>
          <w:tcPr>
            <w:tcW w:w="4378" w:type="dxa"/>
            <w:gridSpan w:val="3"/>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工地下风向</w:t>
            </w:r>
          </w:p>
        </w:tc>
        <w:tc>
          <w:tcPr>
            <w:tcW w:w="1127" w:type="dxa"/>
            <w:vMerge w:val="restart"/>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13" w:hRule="atLeast"/>
        </w:trPr>
        <w:tc>
          <w:tcPr>
            <w:tcW w:w="1086" w:type="dxa"/>
            <w:vMerge w:val="continue"/>
          </w:tcPr>
          <w:p>
            <w:pPr>
              <w:rPr>
                <w:rFonts w:ascii="Times New Roman" w:hAnsi="Times New Roman" w:cs="Times New Roman"/>
                <w:color w:val="auto"/>
              </w:rPr>
            </w:pPr>
          </w:p>
        </w:tc>
        <w:tc>
          <w:tcPr>
            <w:tcW w:w="1348" w:type="dxa"/>
            <w:vMerge w:val="continue"/>
          </w:tcPr>
          <w:p>
            <w:pPr>
              <w:rPr>
                <w:rFonts w:ascii="Times New Roman" w:hAnsi="Times New Roman" w:cs="Times New Roman"/>
                <w:color w:val="auto"/>
              </w:rPr>
            </w:pPr>
          </w:p>
        </w:tc>
        <w:tc>
          <w:tcPr>
            <w:tcW w:w="1348" w:type="dxa"/>
            <w:vMerge w:val="continue"/>
          </w:tcPr>
          <w:p>
            <w:pPr>
              <w:rPr>
                <w:rFonts w:ascii="Times New Roman" w:hAnsi="Times New Roman" w:cs="Times New Roman"/>
                <w:color w:val="auto"/>
              </w:rPr>
            </w:pPr>
          </w:p>
        </w:tc>
        <w:tc>
          <w:tcPr>
            <w:tcW w:w="1439" w:type="dxa"/>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50m</w:t>
            </w:r>
          </w:p>
        </w:tc>
        <w:tc>
          <w:tcPr>
            <w:tcW w:w="1449" w:type="dxa"/>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100m</w:t>
            </w:r>
          </w:p>
        </w:tc>
        <w:tc>
          <w:tcPr>
            <w:tcW w:w="1490" w:type="dxa"/>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150m</w:t>
            </w:r>
          </w:p>
        </w:tc>
        <w:tc>
          <w:tcPr>
            <w:tcW w:w="1127" w:type="dxa"/>
            <w:vMerge w:val="continue"/>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086"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范围值</w:t>
            </w:r>
          </w:p>
        </w:tc>
        <w:tc>
          <w:tcPr>
            <w:tcW w:w="1348" w:type="dxa"/>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0.303～0.328</w:t>
            </w:r>
          </w:p>
        </w:tc>
        <w:tc>
          <w:tcPr>
            <w:tcW w:w="1348" w:type="dxa"/>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0.408～0.759</w:t>
            </w:r>
          </w:p>
        </w:tc>
        <w:tc>
          <w:tcPr>
            <w:tcW w:w="1439" w:type="dxa"/>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0.343～0.538</w:t>
            </w:r>
          </w:p>
        </w:tc>
        <w:tc>
          <w:tcPr>
            <w:tcW w:w="1449" w:type="dxa"/>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0.356～0.465</w:t>
            </w:r>
          </w:p>
        </w:tc>
        <w:tc>
          <w:tcPr>
            <w:tcW w:w="1490" w:type="dxa"/>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0.309～0.336</w:t>
            </w:r>
          </w:p>
        </w:tc>
        <w:tc>
          <w:tcPr>
            <w:tcW w:w="1127" w:type="dxa"/>
            <w:vMerge w:val="restart"/>
            <w:tcMar>
              <w:left w:w="0" w:type="dxa"/>
              <w:right w:w="0" w:type="dxa"/>
            </w:tcMa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平均风速2.5m/s</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086"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均值</w:t>
            </w:r>
          </w:p>
        </w:tc>
        <w:tc>
          <w:tcPr>
            <w:tcW w:w="1348"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0.317</w:t>
            </w:r>
          </w:p>
        </w:tc>
        <w:tc>
          <w:tcPr>
            <w:tcW w:w="1348"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0.596</w:t>
            </w:r>
          </w:p>
        </w:tc>
        <w:tc>
          <w:tcPr>
            <w:tcW w:w="1439"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0.487</w:t>
            </w:r>
          </w:p>
        </w:tc>
        <w:tc>
          <w:tcPr>
            <w:tcW w:w="1449"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0.390</w:t>
            </w:r>
          </w:p>
        </w:tc>
        <w:tc>
          <w:tcPr>
            <w:tcW w:w="1490" w:type="dxa"/>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0.322</w:t>
            </w:r>
          </w:p>
        </w:tc>
        <w:tc>
          <w:tcPr>
            <w:tcW w:w="1127" w:type="dxa"/>
            <w:vMerge w:val="continue"/>
          </w:tcPr>
          <w:p>
            <w:pPr>
              <w:rPr>
                <w:rFonts w:ascii="Times New Roman" w:hAnsi="Times New Roman" w:cs="Times New Roman"/>
                <w:color w:val="auto"/>
              </w:rPr>
            </w:pPr>
          </w:p>
        </w:tc>
      </w:tr>
    </w:tbl>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由表</w:t>
      </w:r>
      <w:r>
        <w:rPr>
          <w:rFonts w:hint="eastAsia" w:ascii="Times New Roman" w:hAnsi="Times New Roman" w:cs="Times New Roman"/>
          <w:color w:val="auto"/>
          <w:sz w:val="24"/>
          <w:szCs w:val="24"/>
          <w:lang w:val="en-US" w:eastAsia="zh-CN"/>
        </w:rPr>
        <w:t>4.1</w:t>
      </w:r>
      <w:r>
        <w:rPr>
          <w:rFonts w:ascii="Times New Roman" w:hAnsi="Times New Roman" w:cs="Times New Roman"/>
          <w:color w:val="auto"/>
          <w:sz w:val="24"/>
          <w:szCs w:val="24"/>
        </w:rPr>
        <w:t>-1可知：</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（1）建筑施工扬尘较严重，当风速为2.5m/s时，工地内TSP浓度为上风向对照点的1.9倍。</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（2）由于项目所在区域年平均风速为1.51m/s，对比表5.1-1可知，施工扬尘随风速的增加其影响范围有所增加，影响范围一般在其下风向约150m以内。</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为有效控制施工期间的扬尘影响，根据本项目具体情况，结合《国务院关于印发大气污染防治行动计划的通知》(国发[2013]37号)和《防治城市扬尘污染防治技术规范》(HJ/T393-2007)要求，同时根据类比调查结果及其它施工场地采取的抑尘措施，对本项目施工期提出以下要求：</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建设单位应将建设工程施工现场扬尘污染防治专项费用列入工程概算，并于工程开工之日5日内足额支付给施工单位；施工单位在投标文件中应有扬尘污染防治实施方案，方案应明确扬尘防治工作目标、扬尘防治技术措施、责任人等；</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每天定时对施工现场各扬尘点及道路洒水，安排专人定期对施工场地清扫、洒水，以减轻扬尘的飞扬。洒水次数根据天气状况而定，一般每天洒水1-2次，若遇大风或干燥天气，可适当增加洒水次数。施工场地洒水扬尘量将降低28%-75%，可极大减少其对环境的影响；同时遇有四级以上大风天气预报或市政府发布空气质量预警时，不得进行土方及拆除作业；</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③现场搅拌应封闭作业，水泥、石灰粉等建筑材料存放于库房或严密遮盖，砂石、土方等散体材料必须覆盖，场内装卸、搬运物料应遮盖、封闭或洒水，不得凌空抛掷、抛洒；</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④地基挖掘产生的弃土应及时用于厂区平整，并压实；</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⑤材料运输中要采取遮盖措施或利用密闭性运输车，运输车辆行驶路线要避开居民区等环境敏感点，并限制运输车辆的车速。</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kern w:val="0"/>
          <w:sz w:val="24"/>
          <w:szCs w:val="24"/>
        </w:rPr>
        <w:t>在采取上述措施的前提下，施工期产生的扬尘对周围环境的影响可以定位到有效控制。</w:t>
      </w:r>
      <w:r>
        <w:rPr>
          <w:rFonts w:ascii="Times New Roman" w:hAnsi="Times New Roman" w:cs="Times New Roman"/>
          <w:color w:val="auto"/>
          <w:sz w:val="24"/>
          <w:szCs w:val="24"/>
        </w:rPr>
        <w:t>施工作业属短期行为，施工期结束，施工扬尘影响随之不复存在。</w:t>
      </w:r>
    </w:p>
    <w:p>
      <w:pPr>
        <w:pStyle w:val="6"/>
        <w:numPr>
          <w:ilvl w:val="1"/>
          <w:numId w:val="0"/>
        </w:numPr>
        <w:spacing w:before="120" w:beforeLines="0" w:after="120" w:afterLines="0"/>
        <w:ind w:leftChars="0"/>
        <w:rPr>
          <w:color w:val="auto"/>
        </w:rPr>
      </w:pPr>
      <w:bookmarkStart w:id="244" w:name="_Toc30090"/>
      <w:bookmarkStart w:id="245" w:name="_Toc30661"/>
      <w:bookmarkStart w:id="246" w:name="_Toc11214"/>
      <w:bookmarkStart w:id="247" w:name="_Toc310"/>
      <w:r>
        <w:rPr>
          <w:rFonts w:hint="eastAsia"/>
          <w:color w:val="auto"/>
          <w:lang w:val="en-US" w:eastAsia="zh-CN"/>
        </w:rPr>
        <w:t xml:space="preserve">4.2 </w:t>
      </w:r>
      <w:r>
        <w:rPr>
          <w:color w:val="auto"/>
        </w:rPr>
        <w:t>施工废水影响分析</w:t>
      </w:r>
      <w:bookmarkEnd w:id="244"/>
      <w:bookmarkEnd w:id="245"/>
      <w:bookmarkEnd w:id="246"/>
      <w:bookmarkEnd w:id="247"/>
    </w:p>
    <w:p>
      <w:pPr>
        <w:ind w:firstLine="480" w:firstLineChars="200"/>
        <w:rPr>
          <w:rFonts w:ascii="Times New Roman" w:hAnsi="Times New Roman" w:cs="Times New Roman"/>
          <w:color w:val="auto"/>
          <w:kern w:val="24"/>
          <w:sz w:val="24"/>
          <w:szCs w:val="24"/>
        </w:rPr>
      </w:pPr>
      <w:bookmarkStart w:id="248" w:name="_Toc338230629"/>
      <w:r>
        <w:rPr>
          <w:rFonts w:ascii="Times New Roman" w:hAnsi="Times New Roman" w:cs="Times New Roman"/>
          <w:color w:val="auto"/>
          <w:kern w:val="24"/>
          <w:sz w:val="24"/>
          <w:szCs w:val="24"/>
        </w:rPr>
        <w:t>施工期排放的废水主要有施工废水和施工人员产生的生活污水。</w:t>
      </w:r>
    </w:p>
    <w:p>
      <w:pPr>
        <w:tabs>
          <w:tab w:val="left" w:pos="900"/>
        </w:tabs>
        <w:spacing w:line="480" w:lineRule="exact"/>
        <w:ind w:firstLine="480" w:firstLineChars="200"/>
        <w:rPr>
          <w:rFonts w:ascii="Times New Roman" w:hAnsi="Times New Roman" w:cs="Times New Roman"/>
          <w:color w:val="auto"/>
          <w:kern w:val="24"/>
          <w:sz w:val="24"/>
          <w:szCs w:val="24"/>
        </w:rPr>
      </w:pPr>
      <w:r>
        <w:rPr>
          <w:rFonts w:ascii="Times New Roman" w:hAnsi="Times New Roman" w:cs="Times New Roman"/>
          <w:color w:val="auto"/>
          <w:kern w:val="24"/>
          <w:sz w:val="24"/>
          <w:szCs w:val="24"/>
        </w:rPr>
        <w:t>（1）施工废水</w:t>
      </w:r>
    </w:p>
    <w:p>
      <w:pPr>
        <w:tabs>
          <w:tab w:val="left" w:pos="900"/>
        </w:tabs>
        <w:spacing w:line="480" w:lineRule="exact"/>
        <w:ind w:firstLine="480" w:firstLineChars="200"/>
        <w:rPr>
          <w:rFonts w:ascii="Times New Roman" w:hAnsi="Times New Roman" w:cs="Times New Roman"/>
          <w:color w:val="auto"/>
          <w:kern w:val="24"/>
          <w:sz w:val="24"/>
          <w:szCs w:val="24"/>
        </w:rPr>
      </w:pPr>
      <w:r>
        <w:rPr>
          <w:rFonts w:ascii="Times New Roman" w:hAnsi="Times New Roman" w:cs="Times New Roman"/>
          <w:color w:val="auto"/>
          <w:kern w:val="24"/>
          <w:sz w:val="24"/>
          <w:szCs w:val="24"/>
        </w:rPr>
        <w:t>施工期产生的施工废水有：各种施工机械设备产生的带有油污的冷却及洗涤用水；施工现场清洗废水；罐体、管道试压废水。由于施工活动内容不同，所排废水中的污染物不同。清洗废水、试压废水中的主要污染物是悬浮物，基本上不含有害物质。废水中悬浮物的收集在沉淀池后就可以除去，经沉淀处理后可以重复利用或外排；机械设备产生的废水中的主要污染物是石油类，对这类废水应减少排放量，并将产生的含油废水集中收集后，</w:t>
      </w:r>
      <w:r>
        <w:rPr>
          <w:rFonts w:hint="eastAsia" w:ascii="Times New Roman" w:hAnsi="Times New Roman" w:cs="Times New Roman"/>
          <w:color w:val="auto"/>
          <w:kern w:val="24"/>
          <w:sz w:val="24"/>
          <w:szCs w:val="24"/>
          <w:lang w:eastAsia="zh-CN"/>
        </w:rPr>
        <w:t>送公司污水处理场处理后达标排放</w:t>
      </w:r>
      <w:r>
        <w:rPr>
          <w:rFonts w:ascii="Times New Roman" w:hAnsi="Times New Roman" w:cs="Times New Roman"/>
          <w:color w:val="auto"/>
          <w:kern w:val="24"/>
          <w:sz w:val="24"/>
          <w:szCs w:val="24"/>
        </w:rPr>
        <w:t>。则施工废水可得到妥善处理和达标排放，对周边水体影响小。</w:t>
      </w:r>
    </w:p>
    <w:p>
      <w:pPr>
        <w:tabs>
          <w:tab w:val="left" w:pos="900"/>
        </w:tabs>
        <w:spacing w:line="480" w:lineRule="exact"/>
        <w:ind w:firstLine="480" w:firstLineChars="200"/>
        <w:rPr>
          <w:rFonts w:ascii="Times New Roman" w:hAnsi="Times New Roman" w:cs="Times New Roman"/>
          <w:color w:val="auto"/>
          <w:kern w:val="24"/>
          <w:sz w:val="24"/>
          <w:szCs w:val="24"/>
        </w:rPr>
      </w:pPr>
      <w:r>
        <w:rPr>
          <w:rFonts w:ascii="Times New Roman" w:hAnsi="Times New Roman" w:cs="Times New Roman"/>
          <w:color w:val="auto"/>
          <w:kern w:val="24"/>
          <w:sz w:val="24"/>
          <w:szCs w:val="24"/>
        </w:rPr>
        <w:t>（2）生活污水</w:t>
      </w:r>
    </w:p>
    <w:p>
      <w:pPr>
        <w:tabs>
          <w:tab w:val="left" w:pos="900"/>
        </w:tabs>
        <w:spacing w:line="480" w:lineRule="exact"/>
        <w:ind w:firstLine="480" w:firstLineChars="200"/>
        <w:rPr>
          <w:rFonts w:ascii="Times New Roman" w:hAnsi="Times New Roman" w:cs="Times New Roman"/>
          <w:color w:val="auto"/>
          <w:kern w:val="24"/>
          <w:sz w:val="24"/>
          <w:szCs w:val="24"/>
        </w:rPr>
      </w:pPr>
      <w:r>
        <w:rPr>
          <w:rFonts w:ascii="Times New Roman" w:hAnsi="Times New Roman" w:cs="Times New Roman"/>
          <w:color w:val="auto"/>
          <w:kern w:val="24"/>
          <w:sz w:val="24"/>
          <w:szCs w:val="24"/>
        </w:rPr>
        <w:t>施工期生活污水包括洗涤废水和冲厕水。本项目施工期产生的生活污水量为3m</w:t>
      </w:r>
      <w:r>
        <w:rPr>
          <w:rFonts w:ascii="Times New Roman" w:hAnsi="Times New Roman" w:cs="Times New Roman"/>
          <w:color w:val="auto"/>
          <w:kern w:val="24"/>
          <w:sz w:val="24"/>
          <w:szCs w:val="24"/>
          <w:vertAlign w:val="superscript"/>
        </w:rPr>
        <w:t>3</w:t>
      </w:r>
      <w:r>
        <w:rPr>
          <w:rFonts w:ascii="Times New Roman" w:hAnsi="Times New Roman" w:cs="Times New Roman"/>
          <w:color w:val="auto"/>
          <w:kern w:val="24"/>
          <w:sz w:val="24"/>
          <w:szCs w:val="24"/>
        </w:rPr>
        <w:t>/d。参考同类工程生活污水的排放浓度，生活污水中主要污染物COD为350mg/L，氨氮为32mg/L。</w:t>
      </w:r>
      <w:r>
        <w:rPr>
          <w:rFonts w:hint="eastAsia" w:ascii="Times New Roman" w:hAnsi="Times New Roman" w:cs="Times New Roman"/>
          <w:color w:val="auto"/>
          <w:kern w:val="24"/>
          <w:sz w:val="24"/>
          <w:szCs w:val="24"/>
          <w:lang w:eastAsia="zh-CN"/>
        </w:rPr>
        <w:t>项目在公司装置区内，各装置均有厕所，经化粪池处理后</w:t>
      </w:r>
      <w:r>
        <w:rPr>
          <w:rFonts w:ascii="Times New Roman" w:hAnsi="Times New Roman" w:cs="Times New Roman"/>
          <w:color w:val="auto"/>
          <w:kern w:val="24"/>
          <w:sz w:val="24"/>
          <w:szCs w:val="24"/>
        </w:rPr>
        <w:t>过污水管道或依托园区污水管网排入云溪污水处理厂处理，可以避免对附近地表水的影响。</w:t>
      </w:r>
    </w:p>
    <w:bookmarkEnd w:id="248"/>
    <w:p>
      <w:pPr>
        <w:pStyle w:val="6"/>
        <w:numPr>
          <w:ilvl w:val="1"/>
          <w:numId w:val="0"/>
        </w:numPr>
        <w:spacing w:before="120" w:beforeLines="0" w:after="120" w:afterLines="0"/>
        <w:ind w:leftChars="0"/>
        <w:rPr>
          <w:color w:val="auto"/>
        </w:rPr>
      </w:pPr>
      <w:bookmarkStart w:id="249" w:name="_Toc17601"/>
      <w:bookmarkStart w:id="250" w:name="_Toc29815"/>
      <w:bookmarkStart w:id="251" w:name="_Toc6662"/>
      <w:bookmarkStart w:id="252" w:name="_Toc13373"/>
      <w:bookmarkStart w:id="253" w:name="_Toc338230630"/>
      <w:r>
        <w:rPr>
          <w:rFonts w:hint="eastAsia"/>
          <w:color w:val="auto"/>
          <w:lang w:val="en-US" w:eastAsia="zh-CN"/>
        </w:rPr>
        <w:t xml:space="preserve">4.3 </w:t>
      </w:r>
      <w:r>
        <w:rPr>
          <w:color w:val="auto"/>
        </w:rPr>
        <w:t>施工噪声预测与评价</w:t>
      </w:r>
      <w:bookmarkEnd w:id="249"/>
      <w:bookmarkEnd w:id="250"/>
      <w:bookmarkEnd w:id="251"/>
      <w:bookmarkEnd w:id="252"/>
    </w:p>
    <w:p>
      <w:pPr>
        <w:pStyle w:val="7"/>
        <w:numPr>
          <w:ilvl w:val="2"/>
          <w:numId w:val="0"/>
        </w:numPr>
        <w:spacing w:before="120" w:beforeLines="0" w:after="120" w:afterLines="0"/>
        <w:rPr>
          <w:color w:val="auto"/>
        </w:rPr>
      </w:pPr>
      <w:bookmarkStart w:id="254" w:name="_Toc213649127"/>
      <w:bookmarkStart w:id="255" w:name="_Toc214678259"/>
      <w:bookmarkStart w:id="256" w:name="_Toc30257"/>
      <w:bookmarkStart w:id="257" w:name="_Toc5897"/>
      <w:bookmarkStart w:id="258" w:name="_Toc213298395"/>
      <w:bookmarkStart w:id="259" w:name="_Toc20355"/>
      <w:bookmarkStart w:id="260" w:name="_Toc213297746"/>
      <w:r>
        <w:rPr>
          <w:rFonts w:hint="eastAsia"/>
          <w:color w:val="auto"/>
          <w:lang w:val="en-US" w:eastAsia="zh-CN"/>
        </w:rPr>
        <w:t xml:space="preserve">4.3.1 </w:t>
      </w:r>
      <w:r>
        <w:rPr>
          <w:color w:val="auto"/>
        </w:rPr>
        <w:t>噪声源强</w:t>
      </w:r>
      <w:bookmarkEnd w:id="254"/>
      <w:bookmarkEnd w:id="255"/>
      <w:bookmarkEnd w:id="256"/>
      <w:bookmarkEnd w:id="257"/>
      <w:bookmarkEnd w:id="258"/>
      <w:bookmarkEnd w:id="259"/>
      <w:bookmarkEnd w:id="260"/>
    </w:p>
    <w:p>
      <w:pPr>
        <w:spacing w:line="44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施工产生的噪声主要来自于各种施工机械和车辆及推土机、挖掘机、装卸机、基础阶段的打桩机和混凝土振捣过程。根据类比调查和资料分析，各类建筑施工机械产噪值见表4</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w:t>
      </w:r>
    </w:p>
    <w:p>
      <w:pPr>
        <w:pStyle w:val="18"/>
        <w:spacing w:line="440" w:lineRule="exact"/>
        <w:ind w:firstLine="482" w:firstLineChars="200"/>
        <w:rPr>
          <w:color w:val="auto"/>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val="en-US" w:eastAsia="zh-CN"/>
        </w:rPr>
        <w:t>.3</w:t>
      </w:r>
      <w:r>
        <w:rPr>
          <w:color w:val="auto"/>
        </w:rPr>
        <w:t>-</w:t>
      </w:r>
      <w:r>
        <w:rPr>
          <w:rFonts w:hint="eastAsia"/>
          <w:color w:val="auto"/>
          <w:lang w:val="en-US" w:eastAsia="zh-CN"/>
        </w:rPr>
        <w:t>1</w:t>
      </w:r>
      <w:r>
        <w:rPr>
          <w:color w:val="auto"/>
          <w:szCs w:val="21"/>
        </w:rPr>
        <w:t>　　施工机械产噪值一览表  单位：dB（A）</w:t>
      </w:r>
    </w:p>
    <w:tbl>
      <w:tblPr>
        <w:tblStyle w:val="45"/>
        <w:tblW w:w="9127"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526"/>
        <w:gridCol w:w="1522"/>
        <w:gridCol w:w="2517"/>
        <w:gridCol w:w="526"/>
        <w:gridCol w:w="1718"/>
        <w:gridCol w:w="23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c>
          <w:tcPr>
            <w:tcW w:w="52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522"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设备名称</w:t>
            </w:r>
          </w:p>
        </w:tc>
        <w:tc>
          <w:tcPr>
            <w:tcW w:w="25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声级/距离（dB（A）/m）</w:t>
            </w:r>
          </w:p>
        </w:tc>
        <w:tc>
          <w:tcPr>
            <w:tcW w:w="52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7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设备名称</w:t>
            </w:r>
          </w:p>
        </w:tc>
        <w:tc>
          <w:tcPr>
            <w:tcW w:w="2318"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声级/距离（dB（A）/m）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52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装载机</w:t>
            </w:r>
          </w:p>
        </w:tc>
        <w:tc>
          <w:tcPr>
            <w:tcW w:w="25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85.7/5</w:t>
            </w:r>
          </w:p>
        </w:tc>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17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混凝土振捣器</w:t>
            </w:r>
          </w:p>
        </w:tc>
        <w:tc>
          <w:tcPr>
            <w:tcW w:w="23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79/5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152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挖掘机</w:t>
            </w:r>
          </w:p>
        </w:tc>
        <w:tc>
          <w:tcPr>
            <w:tcW w:w="25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84/5</w:t>
            </w:r>
          </w:p>
        </w:tc>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17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电锯、电刨</w:t>
            </w:r>
          </w:p>
        </w:tc>
        <w:tc>
          <w:tcPr>
            <w:tcW w:w="23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89/5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152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推土机</w:t>
            </w:r>
          </w:p>
        </w:tc>
        <w:tc>
          <w:tcPr>
            <w:tcW w:w="25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83.6/5</w:t>
            </w:r>
          </w:p>
        </w:tc>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17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运输车辆</w:t>
            </w:r>
          </w:p>
        </w:tc>
        <w:tc>
          <w:tcPr>
            <w:tcW w:w="231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79.2/5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c>
          <w:tcPr>
            <w:tcW w:w="5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152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夯土机</w:t>
            </w:r>
          </w:p>
        </w:tc>
        <w:tc>
          <w:tcPr>
            <w:tcW w:w="25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82/5</w:t>
            </w:r>
          </w:p>
        </w:tc>
        <w:tc>
          <w:tcPr>
            <w:tcW w:w="526" w:type="dxa"/>
            <w:vAlign w:val="center"/>
          </w:tcPr>
          <w:p>
            <w:pPr>
              <w:spacing w:line="360" w:lineRule="exact"/>
              <w:jc w:val="center"/>
              <w:rPr>
                <w:rFonts w:ascii="Times New Roman" w:hAnsi="Times New Roman" w:cs="Times New Roman"/>
                <w:color w:val="auto"/>
                <w:szCs w:val="21"/>
              </w:rPr>
            </w:pPr>
          </w:p>
        </w:tc>
        <w:tc>
          <w:tcPr>
            <w:tcW w:w="1718" w:type="dxa"/>
            <w:vAlign w:val="center"/>
          </w:tcPr>
          <w:p>
            <w:pPr>
              <w:spacing w:line="360" w:lineRule="exact"/>
              <w:jc w:val="center"/>
              <w:rPr>
                <w:rFonts w:ascii="Times New Roman" w:hAnsi="Times New Roman" w:cs="Times New Roman"/>
                <w:color w:val="auto"/>
                <w:szCs w:val="21"/>
              </w:rPr>
            </w:pPr>
          </w:p>
        </w:tc>
        <w:tc>
          <w:tcPr>
            <w:tcW w:w="2318" w:type="dxa"/>
            <w:vAlign w:val="center"/>
          </w:tcPr>
          <w:p>
            <w:pPr>
              <w:spacing w:line="360" w:lineRule="exact"/>
              <w:jc w:val="center"/>
              <w:rPr>
                <w:rFonts w:ascii="Times New Roman" w:hAnsi="Times New Roman" w:cs="Times New Roman"/>
                <w:color w:val="auto"/>
                <w:szCs w:val="21"/>
              </w:rPr>
            </w:pPr>
          </w:p>
        </w:tc>
      </w:tr>
    </w:tbl>
    <w:p>
      <w:pPr>
        <w:pStyle w:val="7"/>
        <w:numPr>
          <w:ilvl w:val="2"/>
          <w:numId w:val="0"/>
        </w:numPr>
        <w:spacing w:before="120" w:beforeLines="0" w:after="120" w:afterLines="0"/>
        <w:rPr>
          <w:color w:val="auto"/>
        </w:rPr>
      </w:pPr>
      <w:bookmarkStart w:id="261" w:name="_Toc28098"/>
      <w:bookmarkStart w:id="262" w:name="_Toc213649128"/>
      <w:bookmarkStart w:id="263" w:name="_Toc214678260"/>
      <w:bookmarkStart w:id="264" w:name="_Toc13975"/>
      <w:bookmarkStart w:id="265" w:name="_Toc213297747"/>
      <w:bookmarkStart w:id="266" w:name="_Toc8053"/>
      <w:bookmarkStart w:id="267" w:name="_Toc213298396"/>
      <w:r>
        <w:rPr>
          <w:rFonts w:hint="eastAsia"/>
          <w:color w:val="auto"/>
          <w:lang w:val="en-US" w:eastAsia="zh-CN"/>
        </w:rPr>
        <w:t xml:space="preserve">4.3.2 </w:t>
      </w:r>
      <w:r>
        <w:rPr>
          <w:color w:val="auto"/>
        </w:rPr>
        <w:t>预测计算</w:t>
      </w:r>
      <w:bookmarkEnd w:id="261"/>
      <w:bookmarkEnd w:id="262"/>
      <w:bookmarkEnd w:id="263"/>
      <w:bookmarkEnd w:id="264"/>
      <w:bookmarkEnd w:id="265"/>
      <w:bookmarkEnd w:id="266"/>
      <w:bookmarkEnd w:id="267"/>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本次评价采用点源衰减模式，预测计算声源至受声点的几何发散衰减，计算中不考虑声屏障、空气吸收等衰减。预测公式如下：</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Lr=Lro-20lg（r/ro）</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式中：Lr——距声源r处的A声压级，dB（A）；</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 xml:space="preserve">      Lr</w:t>
      </w:r>
      <w:r>
        <w:rPr>
          <w:rFonts w:ascii="Times New Roman" w:hAnsi="Times New Roman" w:cs="Times New Roman"/>
          <w:color w:val="auto"/>
          <w:sz w:val="24"/>
          <w:szCs w:val="24"/>
          <w:vertAlign w:val="subscript"/>
        </w:rPr>
        <w:t>o</w:t>
      </w:r>
      <w:r>
        <w:rPr>
          <w:rFonts w:ascii="Times New Roman" w:hAnsi="Times New Roman" w:cs="Times New Roman"/>
          <w:color w:val="auto"/>
          <w:sz w:val="24"/>
          <w:szCs w:val="24"/>
        </w:rPr>
        <w:t>——距声源r</w:t>
      </w:r>
      <w:r>
        <w:rPr>
          <w:rFonts w:ascii="Times New Roman" w:hAnsi="Times New Roman" w:cs="Times New Roman"/>
          <w:color w:val="auto"/>
          <w:sz w:val="24"/>
          <w:szCs w:val="24"/>
          <w:vertAlign w:val="subscript"/>
        </w:rPr>
        <w:t>o</w:t>
      </w:r>
      <w:r>
        <w:rPr>
          <w:rFonts w:ascii="Times New Roman" w:hAnsi="Times New Roman" w:cs="Times New Roman"/>
          <w:color w:val="auto"/>
          <w:sz w:val="24"/>
          <w:szCs w:val="24"/>
        </w:rPr>
        <w:t>处的A声压级，dB（A）；</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 xml:space="preserve">      r ——预测点与声源的距离，m；</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 xml:space="preserve">      r</w:t>
      </w:r>
      <w:r>
        <w:rPr>
          <w:rFonts w:ascii="Times New Roman" w:hAnsi="Times New Roman" w:cs="Times New Roman"/>
          <w:color w:val="auto"/>
          <w:sz w:val="24"/>
          <w:szCs w:val="24"/>
          <w:vertAlign w:val="subscript"/>
        </w:rPr>
        <w:t>o</w:t>
      </w:r>
      <w:r>
        <w:rPr>
          <w:rFonts w:ascii="Times New Roman" w:hAnsi="Times New Roman" w:cs="Times New Roman"/>
          <w:color w:val="auto"/>
          <w:sz w:val="24"/>
          <w:szCs w:val="24"/>
        </w:rPr>
        <w:t>——监测设备噪声时的距离，m。</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利用上述公式，预测计算主要施工机械在不同距离处的衰减值，预测计算结果见表4</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w:t>
      </w:r>
    </w:p>
    <w:p>
      <w:pPr>
        <w:pStyle w:val="18"/>
        <w:spacing w:line="440" w:lineRule="exact"/>
        <w:ind w:firstLine="482" w:firstLineChars="200"/>
        <w:rPr>
          <w:color w:val="auto"/>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4</w:t>
      </w:r>
      <w:r>
        <w:rPr>
          <w:color w:val="auto"/>
        </w:rPr>
        <w:fldChar w:fldCharType="end"/>
      </w:r>
      <w:r>
        <w:rPr>
          <w:rFonts w:hint="eastAsia"/>
          <w:color w:val="auto"/>
          <w:lang w:val="en-US" w:eastAsia="zh-CN"/>
        </w:rPr>
        <w:t>.3</w:t>
      </w:r>
      <w:r>
        <w:rPr>
          <w:color w:val="auto"/>
        </w:rPr>
        <w:t>-</w:t>
      </w:r>
      <w:r>
        <w:rPr>
          <w:rFonts w:hint="eastAsia"/>
          <w:color w:val="auto"/>
          <w:lang w:val="en-US" w:eastAsia="zh-CN"/>
        </w:rPr>
        <w:t>2</w:t>
      </w:r>
      <w:r>
        <w:rPr>
          <w:color w:val="auto"/>
          <w:szCs w:val="21"/>
        </w:rPr>
        <w:t>　　主要施工机械在不同距离处的噪声贡献值</w:t>
      </w:r>
    </w:p>
    <w:tbl>
      <w:tblPr>
        <w:tblStyle w:val="45"/>
        <w:tblW w:w="9156"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528"/>
        <w:gridCol w:w="1678"/>
        <w:gridCol w:w="778"/>
        <w:gridCol w:w="778"/>
        <w:gridCol w:w="778"/>
        <w:gridCol w:w="780"/>
        <w:gridCol w:w="778"/>
        <w:gridCol w:w="778"/>
        <w:gridCol w:w="778"/>
        <w:gridCol w:w="786"/>
        <w:gridCol w:w="71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序号</w:t>
            </w:r>
          </w:p>
        </w:tc>
        <w:tc>
          <w:tcPr>
            <w:tcW w:w="1678" w:type="dxa"/>
            <w:vMerge w:val="restart"/>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机  械</w:t>
            </w:r>
          </w:p>
        </w:tc>
        <w:tc>
          <w:tcPr>
            <w:tcW w:w="6234" w:type="dxa"/>
            <w:gridSpan w:val="8"/>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不同距离处的噪声贡献值[dB（A）]</w:t>
            </w:r>
          </w:p>
        </w:tc>
        <w:tc>
          <w:tcPr>
            <w:tcW w:w="716" w:type="dxa"/>
            <w:vMerge w:val="restart"/>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施工</w:t>
            </w:r>
          </w:p>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阶段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Merge w:val="continue"/>
            <w:vAlign w:val="center"/>
          </w:tcPr>
          <w:p>
            <w:pPr>
              <w:rPr>
                <w:rFonts w:ascii="Times New Roman" w:hAnsi="Times New Roman" w:cs="Times New Roman"/>
                <w:color w:val="auto"/>
              </w:rPr>
            </w:pPr>
          </w:p>
        </w:tc>
        <w:tc>
          <w:tcPr>
            <w:tcW w:w="1678" w:type="dxa"/>
            <w:vMerge w:val="continue"/>
            <w:vAlign w:val="center"/>
          </w:tcPr>
          <w:p>
            <w:pPr>
              <w:rPr>
                <w:rFonts w:ascii="Times New Roman" w:hAnsi="Times New Roman" w:cs="Times New Roman"/>
                <w:color w:val="auto"/>
              </w:rPr>
            </w:pP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40m</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60m</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100m</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200m</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250m</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w w:val="90"/>
                <w:szCs w:val="21"/>
              </w:rPr>
              <w:t>300m</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400m</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500m</w:t>
            </w:r>
          </w:p>
        </w:tc>
        <w:tc>
          <w:tcPr>
            <w:tcW w:w="716" w:type="dxa"/>
            <w:vMerge w:val="continue"/>
            <w:tcMar>
              <w:left w:w="57" w:type="dxa"/>
              <w:right w:w="57" w:type="dxa"/>
            </w:tcMar>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装载机</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67.6</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64.1</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59.7</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53.7</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51.7</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50.1</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47.6</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45.7</w:t>
            </w:r>
          </w:p>
        </w:tc>
        <w:tc>
          <w:tcPr>
            <w:tcW w:w="716" w:type="dxa"/>
            <w:vMerge w:val="restart"/>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地基</w:t>
            </w:r>
          </w:p>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挖掘</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挖掘机</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65.9</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62.4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58.0</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52.0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48.4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45.9</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44.0</w:t>
            </w:r>
          </w:p>
        </w:tc>
        <w:tc>
          <w:tcPr>
            <w:tcW w:w="716" w:type="dxa"/>
            <w:vMerge w:val="continue"/>
            <w:tcMar>
              <w:left w:w="57" w:type="dxa"/>
              <w:right w:w="57" w:type="dxa"/>
            </w:tcMar>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推土机</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65.5</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62.0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57.6</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51.6</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49.6</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48.0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45.5</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43.6</w:t>
            </w:r>
          </w:p>
        </w:tc>
        <w:tc>
          <w:tcPr>
            <w:tcW w:w="716" w:type="dxa"/>
            <w:vMerge w:val="continue"/>
            <w:tcMar>
              <w:left w:w="57" w:type="dxa"/>
              <w:right w:w="57" w:type="dxa"/>
            </w:tcMar>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混凝土振捣器</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60.9</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57.4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53.0</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47.0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45.0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43.4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40.9</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39.0</w:t>
            </w:r>
          </w:p>
        </w:tc>
        <w:tc>
          <w:tcPr>
            <w:tcW w:w="716" w:type="dxa"/>
            <w:vMerge w:val="restart"/>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结构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电  锯</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70.9</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67.4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63.0</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57.0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55.0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53.4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50.9</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49.0</w:t>
            </w:r>
          </w:p>
        </w:tc>
        <w:tc>
          <w:tcPr>
            <w:tcW w:w="716" w:type="dxa"/>
            <w:vMerge w:val="continue"/>
            <w:tcMar>
              <w:left w:w="57" w:type="dxa"/>
              <w:right w:w="57" w:type="dxa"/>
            </w:tcMar>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夯土机</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63.9</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60.4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56.0</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50.0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48.0</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46.4</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43.9</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42.0</w:t>
            </w:r>
          </w:p>
        </w:tc>
        <w:tc>
          <w:tcPr>
            <w:tcW w:w="716" w:type="dxa"/>
            <w:vMerge w:val="continue"/>
            <w:tcMar>
              <w:left w:w="57" w:type="dxa"/>
              <w:right w:w="57" w:type="dxa"/>
            </w:tcMar>
            <w:vAlign w:val="center"/>
          </w:tcPr>
          <w:p>
            <w:pPr>
              <w:rPr>
                <w:rFonts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Ex>
        <w:trPr>
          <w:cantSplit/>
          <w:jc w:val="center"/>
        </w:trPr>
        <w:tc>
          <w:tcPr>
            <w:tcW w:w="52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1678"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运输卡车</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61.1</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57.6</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53.2</w:t>
            </w:r>
          </w:p>
        </w:tc>
        <w:tc>
          <w:tcPr>
            <w:tcW w:w="780"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47.2</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45.2</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43.6</w:t>
            </w:r>
          </w:p>
        </w:tc>
        <w:tc>
          <w:tcPr>
            <w:tcW w:w="778"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41.1</w:t>
            </w:r>
          </w:p>
        </w:tc>
        <w:tc>
          <w:tcPr>
            <w:tcW w:w="78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39.2</w:t>
            </w:r>
          </w:p>
        </w:tc>
        <w:tc>
          <w:tcPr>
            <w:tcW w:w="716" w:type="dxa"/>
            <w:tcMar>
              <w:left w:w="57" w:type="dxa"/>
              <w:right w:w="57" w:type="dxa"/>
            </w:tcMar>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w:t>
            </w:r>
          </w:p>
        </w:tc>
      </w:tr>
    </w:tbl>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从表4</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可以看出，施工机械噪声较高，昼间施工噪声超过《建筑施工场界环境噪声排放标准》（GB12523－2011）的情况出现在距声源60m范围内，夜间施工噪声超标情况出现在300m以上范围，而且在施工现场往往是几种机械同时作业，综合噪声较高，特别是在连续浇注时间。根据项目施工特点，项目通过采用低噪声机械设备、合理安排施工计划和时间以及距离防护和隔声等措施减少施工噪声对区域声环境的影响，结合施工进展，具体采取如下防治措施：</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建设单位与施工单位签订合同的同时，应要求其使用的主要机械设备为低噪声机械设备，并在施工中应有专人对其进行保养维护，施工单位应对现场使用设备的人员进行培训，严格按操作规范使用各类机械。</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（2）尽可能利用距离衰减措施，在不影响施工情况下将强噪声设备如混凝土制备设施移至厂址中部距离居民点相对较远的地方，同时对相对固定的机械设备尽量采取入棚操作。</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（3）在施工的结构阶段和装修阶段，对建筑物的外部采用围档，减轻施工噪声对外环境的影响。</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（4）运载建筑材料及建筑垃圾的车辆要选择合时的时间、路线进行运输，运输车辆行驶路线尽量避开居民点和环境敏感点。</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在采取上述防治措施后，施工噪声对周围声环境不会产生明显的影响。</w:t>
      </w:r>
    </w:p>
    <w:p>
      <w:pPr>
        <w:pStyle w:val="7"/>
        <w:numPr>
          <w:ilvl w:val="2"/>
          <w:numId w:val="0"/>
        </w:numPr>
        <w:spacing w:before="120" w:beforeLines="0" w:after="120" w:afterLines="0"/>
        <w:rPr>
          <w:rFonts w:hint="eastAsia"/>
          <w:color w:val="auto"/>
          <w:lang w:val="en-US" w:eastAsia="zh-CN"/>
        </w:rPr>
      </w:pPr>
      <w:bookmarkStart w:id="268" w:name="_Toc4775"/>
      <w:bookmarkStart w:id="269" w:name="_Toc21502"/>
      <w:bookmarkStart w:id="270" w:name="_Toc5026"/>
      <w:bookmarkStart w:id="271" w:name="_Toc5593"/>
      <w:r>
        <w:rPr>
          <w:rFonts w:hint="eastAsia"/>
          <w:color w:val="auto"/>
          <w:lang w:val="en-US" w:eastAsia="zh-CN"/>
        </w:rPr>
        <w:t>4.3.3 施工期固废环境影响分析</w:t>
      </w:r>
      <w:bookmarkEnd w:id="268"/>
      <w:bookmarkEnd w:id="269"/>
      <w:bookmarkEnd w:id="270"/>
      <w:bookmarkEnd w:id="271"/>
    </w:p>
    <w:p>
      <w:pPr>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本项目建设用地为三通一平场地，施工期主要固体废物为建筑垃圾，少量弃土和生活垃圾。</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（1）建筑垃圾和弃土</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本项目建筑施工垃圾包括结构工程阶段产生的混凝土碎块、废弃钢筋、施工下脚料、废弃建筑包装材料等。</w:t>
      </w:r>
    </w:p>
    <w:p>
      <w:pPr>
        <w:spacing w:line="480" w:lineRule="exact"/>
        <w:ind w:firstLine="480" w:firstLineChars="200"/>
        <w:rPr>
          <w:rFonts w:hint="eastAsia" w:ascii="Times New Roman" w:hAnsi="Times New Roman" w:eastAsia="宋体" w:cs="Times New Roman"/>
          <w:color w:val="auto"/>
          <w:sz w:val="24"/>
          <w:szCs w:val="24"/>
          <w:lang w:eastAsia="zh-CN"/>
        </w:rPr>
      </w:pPr>
      <w:r>
        <w:rPr>
          <w:rFonts w:ascii="Times New Roman" w:hAnsi="Times New Roman" w:cs="Times New Roman"/>
          <w:color w:val="auto"/>
          <w:sz w:val="24"/>
          <w:szCs w:val="24"/>
        </w:rPr>
        <w:t>对于可以回收的建筑垃圾如废钢、铁等，应集中收集送到回收站；不能回收利用的，不得随意堆放，应按有关规定报地方建设主管部门，将建筑废弃物堆放至指定地点；严禁将危险废物混入建筑垃圾中，也不允许将建筑垃圾混入生活垃圾。施工中产生的少量弃土可用于回填地基，剩余部分用于厂区沟坑的填埋及厂区的平整，</w:t>
      </w:r>
      <w:r>
        <w:rPr>
          <w:rFonts w:ascii="Times New Roman" w:hAnsi="Times New Roman" w:cs="Times New Roman"/>
          <w:color w:val="auto"/>
          <w:sz w:val="24"/>
        </w:rPr>
        <w:t>施工期土石方</w:t>
      </w:r>
      <w:r>
        <w:rPr>
          <w:rFonts w:ascii="Times New Roman" w:hAnsi="Times New Roman" w:cs="Times New Roman"/>
          <w:color w:val="auto"/>
          <w:sz w:val="24"/>
          <w:szCs w:val="24"/>
        </w:rPr>
        <w:t>厂区内基本上可实现就得平衡，无需场外调配，如有多余应交城管部门处理。其余建筑垃圾可送环卫部门指定地点堆存，基本上不会对环境产生明显影响</w:t>
      </w:r>
      <w:r>
        <w:rPr>
          <w:rFonts w:hint="eastAsia" w:ascii="Times New Roman" w:hAnsi="Times New Roman" w:cs="Times New Roman"/>
          <w:color w:val="auto"/>
          <w:sz w:val="24"/>
          <w:szCs w:val="24"/>
          <w:lang w:eastAsia="zh-CN"/>
        </w:rPr>
        <w:t>。</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（2）生活垃圾</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人员产生的生活垃圾主要以有机类废物为主，主要包括易拉罐、矿泉水瓶、塑料袋、一次性饭盒、剩余食品等。由于这些生活垃圾的污染物含量很高，如处置不当，将会影响景观，散发恶臭，对周围环境造成不良影响。</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施工人员的以上生活垃圾，须统一集中收集起来，交由环卫部门定期清运。</w:t>
      </w:r>
    </w:p>
    <w:bookmarkEnd w:id="253"/>
    <w:p>
      <w:pPr>
        <w:pStyle w:val="4"/>
        <w:numPr>
          <w:ilvl w:val="0"/>
          <w:numId w:val="0"/>
        </w:numPr>
        <w:tabs>
          <w:tab w:val="clear" w:pos="0"/>
        </w:tabs>
        <w:ind w:leftChars="0"/>
        <w:jc w:val="both"/>
        <w:rPr>
          <w:color w:val="auto"/>
        </w:rPr>
      </w:pPr>
      <w:bookmarkStart w:id="272" w:name="_Toc6710"/>
      <w:bookmarkStart w:id="273" w:name="_Toc15625"/>
      <w:bookmarkStart w:id="274" w:name="_Toc11552"/>
      <w:bookmarkStart w:id="275" w:name="_Toc304810303"/>
      <w:bookmarkStart w:id="276" w:name="_Toc12549"/>
      <w:bookmarkStart w:id="277" w:name="_Toc280188843"/>
      <w:bookmarkStart w:id="278" w:name="_Toc306034553"/>
      <w:bookmarkStart w:id="279" w:name="_Toc260215160"/>
      <w:bookmarkStart w:id="280" w:name="_Toc220122818"/>
      <w:bookmarkStart w:id="281" w:name="_Toc219258532"/>
      <w:r>
        <w:rPr>
          <w:rFonts w:hint="eastAsia"/>
          <w:color w:val="auto"/>
          <w:lang w:val="en-US" w:eastAsia="zh-CN"/>
        </w:rPr>
        <w:t xml:space="preserve">5. </w:t>
      </w:r>
      <w:r>
        <w:rPr>
          <w:color w:val="auto"/>
        </w:rPr>
        <w:t>运营期环境影响预测与评价</w:t>
      </w:r>
      <w:bookmarkEnd w:id="272"/>
      <w:bookmarkEnd w:id="273"/>
      <w:bookmarkEnd w:id="274"/>
      <w:bookmarkEnd w:id="275"/>
      <w:bookmarkEnd w:id="276"/>
      <w:bookmarkEnd w:id="277"/>
      <w:bookmarkEnd w:id="278"/>
      <w:bookmarkEnd w:id="279"/>
    </w:p>
    <w:p>
      <w:pPr>
        <w:pStyle w:val="6"/>
        <w:numPr>
          <w:ilvl w:val="1"/>
          <w:numId w:val="0"/>
        </w:numPr>
        <w:spacing w:before="120" w:beforeLines="0" w:after="120" w:afterLines="0"/>
        <w:ind w:leftChars="0"/>
        <w:rPr>
          <w:color w:val="auto"/>
        </w:rPr>
      </w:pPr>
      <w:bookmarkStart w:id="282" w:name="_Toc280188851"/>
      <w:bookmarkStart w:id="283" w:name="_Toc15853"/>
      <w:bookmarkStart w:id="284" w:name="_Toc27845"/>
      <w:bookmarkStart w:id="285" w:name="_Toc292806833"/>
      <w:bookmarkStart w:id="286" w:name="_Toc12613"/>
      <w:bookmarkStart w:id="287" w:name="_Toc1062"/>
      <w:r>
        <w:rPr>
          <w:rFonts w:hint="eastAsia"/>
          <w:color w:val="auto"/>
          <w:lang w:val="en-US" w:eastAsia="zh-CN"/>
        </w:rPr>
        <w:t xml:space="preserve">5.1 </w:t>
      </w:r>
      <w:r>
        <w:rPr>
          <w:color w:val="auto"/>
        </w:rPr>
        <w:t>大气环境影响预测评价</w:t>
      </w:r>
      <w:bookmarkEnd w:id="282"/>
      <w:bookmarkEnd w:id="283"/>
      <w:bookmarkEnd w:id="284"/>
      <w:bookmarkEnd w:id="285"/>
      <w:bookmarkEnd w:id="286"/>
      <w:bookmarkEnd w:id="287"/>
    </w:p>
    <w:p>
      <w:pPr>
        <w:pStyle w:val="7"/>
        <w:numPr>
          <w:ilvl w:val="2"/>
          <w:numId w:val="0"/>
        </w:numPr>
        <w:spacing w:before="120" w:beforeLines="0" w:after="120" w:afterLines="0"/>
        <w:rPr>
          <w:color w:val="auto"/>
        </w:rPr>
      </w:pPr>
      <w:bookmarkStart w:id="288" w:name="_Toc32490"/>
      <w:bookmarkStart w:id="289" w:name="_Toc29098"/>
      <w:bookmarkStart w:id="290" w:name="_Toc11546"/>
      <w:r>
        <w:rPr>
          <w:rFonts w:hint="eastAsia"/>
          <w:color w:val="auto"/>
          <w:lang w:val="en-US" w:eastAsia="zh-CN"/>
        </w:rPr>
        <w:t xml:space="preserve">5.1.1 </w:t>
      </w:r>
      <w:r>
        <w:rPr>
          <w:color w:val="auto"/>
        </w:rPr>
        <w:t>地面常规气象资料</w:t>
      </w:r>
      <w:bookmarkEnd w:id="288"/>
      <w:bookmarkEnd w:id="289"/>
      <w:bookmarkEnd w:id="290"/>
    </w:p>
    <w:p>
      <w:pPr>
        <w:spacing w:line="480" w:lineRule="exact"/>
        <w:ind w:firstLine="360" w:firstLineChars="150"/>
        <w:jc w:val="left"/>
        <w:rPr>
          <w:rFonts w:ascii="Times New Roman" w:hAnsi="Times New Roman" w:cs="Times New Roman"/>
          <w:color w:val="auto"/>
          <w:sz w:val="24"/>
          <w:szCs w:val="24"/>
        </w:rPr>
      </w:pPr>
      <w:r>
        <w:rPr>
          <w:rFonts w:ascii="Times New Roman" w:hAnsi="Times New Roman" w:cs="Times New Roman"/>
          <w:color w:val="auto"/>
          <w:sz w:val="24"/>
          <w:szCs w:val="24"/>
        </w:rPr>
        <w:t>（1）气象资料来源</w:t>
      </w:r>
    </w:p>
    <w:p>
      <w:pPr>
        <w:autoSpaceDE w:val="0"/>
        <w:autoSpaceDN w:val="0"/>
        <w:adjustRightInd w:val="0"/>
        <w:spacing w:line="480" w:lineRule="exact"/>
        <w:ind w:firstLine="480"/>
        <w:rPr>
          <w:rFonts w:ascii="Times New Roman" w:hAnsi="Times New Roman" w:cs="Times New Roman"/>
          <w:color w:val="auto"/>
          <w:kern w:val="0"/>
          <w:sz w:val="24"/>
        </w:rPr>
      </w:pPr>
      <w:r>
        <w:rPr>
          <w:rFonts w:ascii="Times New Roman" w:hAnsi="Times New Roman" w:cs="Times New Roman"/>
          <w:color w:val="auto"/>
          <w:kern w:val="0"/>
          <w:sz w:val="24"/>
        </w:rPr>
        <w:t>岳阳市气象站在评价区域内。地址位于岳阳市洞庭北路，北纬29°23′，东经113°05′，观测场海拔高度：51.6m。本次环评收集了该气象观测站近20年来气象资料。</w:t>
      </w:r>
    </w:p>
    <w:p>
      <w:pPr>
        <w:spacing w:line="480" w:lineRule="exact"/>
        <w:ind w:firstLine="360" w:firstLineChars="150"/>
        <w:jc w:val="left"/>
        <w:rPr>
          <w:rFonts w:ascii="Times New Roman" w:hAnsi="Times New Roman" w:cs="Times New Roman"/>
          <w:color w:val="auto"/>
          <w:sz w:val="24"/>
          <w:szCs w:val="24"/>
        </w:rPr>
      </w:pPr>
      <w:r>
        <w:rPr>
          <w:rFonts w:ascii="Times New Roman" w:hAnsi="Times New Roman" w:cs="Times New Roman"/>
          <w:color w:val="auto"/>
          <w:sz w:val="24"/>
          <w:szCs w:val="24"/>
        </w:rPr>
        <w:t>（2）气候特征</w:t>
      </w:r>
    </w:p>
    <w:p>
      <w:pPr>
        <w:pStyle w:val="43"/>
        <w:spacing w:before="0" w:beforeAutospacing="0" w:after="0" w:afterAutospacing="0" w:line="480" w:lineRule="exact"/>
        <w:ind w:firstLine="480" w:firstLineChars="200"/>
        <w:jc w:val="both"/>
        <w:rPr>
          <w:rFonts w:ascii="Times New Roman" w:hAnsi="Times New Roman"/>
          <w:color w:val="auto"/>
        </w:rPr>
      </w:pPr>
      <w:r>
        <w:rPr>
          <w:rFonts w:ascii="Times New Roman" w:hAnsi="Times New Roman"/>
          <w:color w:val="auto"/>
        </w:rPr>
        <w:t>该区域属亚热带湿润气候，冬季寒冷，夏季炎热，春季多雨，秋季干旱，四季分明，常年多雾。年平均气温为17.1℃；最高气温39.3℃；最低气温为-11.8℃。年平均相对湿度78%；年平均降雨量为1295.1mm；常年主导风向为NNE，频率为18%；冬季主导风向为NNE（22%），夏季主导风向为SSE（15%），年平均风速为2.9m/s。</w:t>
      </w:r>
    </w:p>
    <w:p>
      <w:pPr>
        <w:spacing w:line="480" w:lineRule="exact"/>
        <w:ind w:firstLine="360" w:firstLineChars="150"/>
        <w:jc w:val="left"/>
        <w:rPr>
          <w:rFonts w:ascii="Times New Roman" w:hAnsi="Times New Roman" w:cs="Times New Roman"/>
          <w:color w:val="auto"/>
          <w:sz w:val="24"/>
          <w:szCs w:val="24"/>
        </w:rPr>
      </w:pPr>
      <w:r>
        <w:rPr>
          <w:rFonts w:ascii="Times New Roman" w:hAnsi="Times New Roman" w:cs="Times New Roman"/>
          <w:color w:val="auto"/>
          <w:sz w:val="24"/>
          <w:szCs w:val="24"/>
        </w:rPr>
        <w:t>（3）地面气象要素</w:t>
      </w:r>
    </w:p>
    <w:p>
      <w:pPr>
        <w:pStyle w:val="5"/>
        <w:spacing w:line="480" w:lineRule="exact"/>
        <w:ind w:firstLine="480"/>
        <w:rPr>
          <w:color w:val="auto"/>
        </w:rPr>
      </w:pPr>
      <w:r>
        <w:rPr>
          <w:color w:val="auto"/>
        </w:rPr>
        <w:t>表5.</w:t>
      </w:r>
      <w:r>
        <w:rPr>
          <w:rFonts w:hint="eastAsia"/>
          <w:color w:val="auto"/>
          <w:lang w:val="en-US" w:eastAsia="zh-CN"/>
        </w:rPr>
        <w:t>1</w:t>
      </w:r>
      <w:r>
        <w:rPr>
          <w:color w:val="auto"/>
        </w:rPr>
        <w:t>-1给出了岳阳市气象站近20年的气温、气压、湿度、降水量、蒸发量等地面气象要素的统计结果。</w:t>
      </w:r>
    </w:p>
    <w:p>
      <w:pPr>
        <w:pStyle w:val="18"/>
        <w:spacing w:line="480" w:lineRule="exact"/>
        <w:rPr>
          <w:color w:val="auto"/>
          <w:sz w:val="21"/>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5</w:t>
      </w:r>
      <w:r>
        <w:rPr>
          <w:color w:val="auto"/>
        </w:rPr>
        <w:fldChar w:fldCharType="end"/>
      </w:r>
      <w:r>
        <w:rPr>
          <w:rFonts w:hint="eastAsia"/>
          <w:color w:val="auto"/>
          <w:lang w:val="en-US" w:eastAsia="zh-CN"/>
        </w:rPr>
        <w:t>.1</w:t>
      </w:r>
      <w:r>
        <w:rPr>
          <w:color w:val="auto"/>
        </w:rPr>
        <w:t>-</w:t>
      </w:r>
      <w:r>
        <w:rPr>
          <w:color w:val="auto"/>
        </w:rPr>
        <w:fldChar w:fldCharType="begin"/>
      </w:r>
      <w:r>
        <w:rPr>
          <w:color w:val="auto"/>
        </w:rPr>
        <w:instrText xml:space="preserve"> SEQ 表 \* ARABIC \s 1 </w:instrText>
      </w:r>
      <w:r>
        <w:rPr>
          <w:color w:val="auto"/>
        </w:rPr>
        <w:fldChar w:fldCharType="separate"/>
      </w:r>
      <w:r>
        <w:rPr>
          <w:color w:val="auto"/>
        </w:rPr>
        <w:t>1</w:t>
      </w:r>
      <w:r>
        <w:rPr>
          <w:color w:val="auto"/>
        </w:rPr>
        <w:fldChar w:fldCharType="end"/>
      </w:r>
      <w:r>
        <w:rPr>
          <w:color w:val="auto"/>
          <w:sz w:val="21"/>
          <w:szCs w:val="21"/>
        </w:rPr>
        <w:t xml:space="preserve">    </w:t>
      </w:r>
      <w:r>
        <w:rPr>
          <w:color w:val="auto"/>
        </w:rPr>
        <w:t>常规气象要素统计值</w:t>
      </w:r>
    </w:p>
    <w:tbl>
      <w:tblPr>
        <w:tblStyle w:val="45"/>
        <w:tblW w:w="9287"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27"/>
        <w:gridCol w:w="1326"/>
        <w:gridCol w:w="1328"/>
        <w:gridCol w:w="1326"/>
        <w:gridCol w:w="1328"/>
        <w:gridCol w:w="1326"/>
        <w:gridCol w:w="132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right"/>
              <w:rPr>
                <w:rFonts w:ascii="Times New Roman" w:hAnsi="Times New Roman" w:cs="Times New Roman"/>
                <w:b/>
                <w:color w:val="auto"/>
                <w:spacing w:val="-20"/>
                <w:szCs w:val="21"/>
              </w:rPr>
            </w:pPr>
            <w:r>
              <w:rPr>
                <w:rFonts w:ascii="Times New Roman" w:hAnsi="Times New Roman" w:cs="Times New Roman"/>
                <w:b/>
                <w:color w:val="auto"/>
                <w:spacing w:val="-20"/>
                <w:szCs w:val="21"/>
              </w:rPr>
              <w:t>项目</w:t>
            </w:r>
          </w:p>
          <w:p>
            <w:pPr>
              <w:spacing w:line="320" w:lineRule="exact"/>
              <w:rPr>
                <w:rFonts w:ascii="Times New Roman" w:hAnsi="Times New Roman" w:cs="Times New Roman"/>
                <w:b/>
                <w:color w:val="auto"/>
                <w:spacing w:val="-20"/>
                <w:szCs w:val="21"/>
              </w:rPr>
            </w:pPr>
            <w:r>
              <w:rPr>
                <w:rFonts w:ascii="Times New Roman" w:hAnsi="Times New Roman" w:cs="Times New Roman"/>
                <w:b/>
                <w:color w:val="auto"/>
                <w:spacing w:val="-20"/>
                <w:szCs w:val="21"/>
              </w:rPr>
              <w:t>月份</w:t>
            </w:r>
          </w:p>
        </w:tc>
        <w:tc>
          <w:tcPr>
            <w:tcW w:w="1326"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平均气温</w:t>
            </w:r>
          </w:p>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w:t>
            </w:r>
          </w:p>
        </w:tc>
        <w:tc>
          <w:tcPr>
            <w:tcW w:w="1328"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平均气压</w:t>
            </w:r>
          </w:p>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hpa</w:t>
            </w:r>
          </w:p>
        </w:tc>
        <w:tc>
          <w:tcPr>
            <w:tcW w:w="1326"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平均相对湿度%</w:t>
            </w:r>
          </w:p>
        </w:tc>
        <w:tc>
          <w:tcPr>
            <w:tcW w:w="1328"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平均降水量</w:t>
            </w:r>
          </w:p>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mm</w:t>
            </w:r>
          </w:p>
        </w:tc>
        <w:tc>
          <w:tcPr>
            <w:tcW w:w="1326"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平均蒸发量</w:t>
            </w:r>
          </w:p>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mm</w:t>
            </w:r>
          </w:p>
        </w:tc>
        <w:tc>
          <w:tcPr>
            <w:tcW w:w="1326" w:type="dxa"/>
            <w:vAlign w:val="center"/>
          </w:tcPr>
          <w:p>
            <w:pPr>
              <w:spacing w:line="320" w:lineRule="exact"/>
              <w:jc w:val="center"/>
              <w:rPr>
                <w:rFonts w:ascii="Times New Roman" w:hAnsi="Times New Roman" w:cs="Times New Roman"/>
                <w:b/>
                <w:color w:val="auto"/>
                <w:spacing w:val="-20"/>
                <w:szCs w:val="21"/>
              </w:rPr>
            </w:pPr>
            <w:r>
              <w:rPr>
                <w:rFonts w:ascii="Times New Roman" w:hAnsi="Times New Roman" w:cs="Times New Roman"/>
                <w:b/>
                <w:color w:val="auto"/>
                <w:spacing w:val="-20"/>
                <w:szCs w:val="21"/>
              </w:rPr>
              <w:t>平均风速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5.3</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985.9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85</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79.3</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45.1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7.1</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983.6</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85</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110.5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51.3</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11.1</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980.4</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86</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151.4</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73.9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17.5</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976.2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83</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190.1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113.0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22.0</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972.9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82</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212.7</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142.0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25.7</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969.2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80</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175.4</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179.2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28.2</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968.3</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72</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116.8</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252.0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3.0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27.2</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969.2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77</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155.5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203.9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23.5</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975.0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80</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82.0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137.1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18.4</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980.7</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80</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91.2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107.9</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12.9</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984.5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78</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62.6</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79.6</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12</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7.9</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986.6</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78</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44.1</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64.5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357" w:hRule="atLeast"/>
          <w:jc w:val="center"/>
        </w:trPr>
        <w:tc>
          <w:tcPr>
            <w:tcW w:w="1327"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全年</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17.2</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977.7</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81</w:t>
            </w:r>
          </w:p>
        </w:tc>
        <w:tc>
          <w:tcPr>
            <w:tcW w:w="1328"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1471.7</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1449.5</w:t>
            </w:r>
          </w:p>
        </w:tc>
        <w:tc>
          <w:tcPr>
            <w:tcW w:w="1326" w:type="dxa"/>
            <w:vAlign w:val="center"/>
          </w:tcPr>
          <w:p>
            <w:pPr>
              <w:spacing w:line="320" w:lineRule="exact"/>
              <w:jc w:val="center"/>
              <w:rPr>
                <w:rFonts w:ascii="Times New Roman" w:hAnsi="Times New Roman" w:cs="Times New Roman"/>
                <w:color w:val="auto"/>
                <w:szCs w:val="21"/>
              </w:rPr>
            </w:pPr>
            <w:r>
              <w:rPr>
                <w:rFonts w:ascii="Times New Roman" w:hAnsi="Times New Roman" w:cs="Times New Roman"/>
                <w:color w:val="auto"/>
                <w:szCs w:val="21"/>
              </w:rPr>
              <w:t>2.4</w:t>
            </w:r>
          </w:p>
        </w:tc>
      </w:tr>
    </w:tbl>
    <w:p>
      <w:pPr>
        <w:spacing w:before="120" w:beforeLines="50" w:line="360" w:lineRule="auto"/>
        <w:ind w:firstLine="360" w:firstLineChars="150"/>
        <w:jc w:val="left"/>
        <w:rPr>
          <w:rFonts w:ascii="Times New Roman" w:hAnsi="Times New Roman" w:cs="Times New Roman"/>
          <w:color w:val="auto"/>
          <w:sz w:val="24"/>
          <w:szCs w:val="24"/>
        </w:rPr>
      </w:pPr>
      <w:r>
        <w:rPr>
          <w:rFonts w:ascii="Times New Roman" w:hAnsi="Times New Roman" w:cs="Times New Roman"/>
          <w:color w:val="auto"/>
          <w:sz w:val="24"/>
          <w:szCs w:val="24"/>
        </w:rPr>
        <w:t>（4）风速、风向</w:t>
      </w:r>
    </w:p>
    <w:p>
      <w:pPr>
        <w:pStyle w:val="5"/>
        <w:ind w:firstLine="480"/>
        <w:rPr>
          <w:color w:val="auto"/>
        </w:rPr>
      </w:pPr>
      <w:r>
        <w:rPr>
          <w:color w:val="auto"/>
        </w:rPr>
        <w:t>表5.</w:t>
      </w:r>
      <w:r>
        <w:rPr>
          <w:rFonts w:hint="eastAsia"/>
          <w:color w:val="auto"/>
          <w:lang w:val="en-US" w:eastAsia="zh-CN"/>
        </w:rPr>
        <w:t>1</w:t>
      </w:r>
      <w:r>
        <w:rPr>
          <w:color w:val="auto"/>
        </w:rPr>
        <w:t>-2是岳阳市气象站近20年来风向频率统计表，图5</w:t>
      </w:r>
      <w:r>
        <w:rPr>
          <w:rFonts w:hint="eastAsia"/>
          <w:color w:val="auto"/>
          <w:lang w:val="en-US" w:eastAsia="zh-CN"/>
        </w:rPr>
        <w:t>.1</w:t>
      </w:r>
      <w:r>
        <w:rPr>
          <w:color w:val="auto"/>
        </w:rPr>
        <w:t>-1是相应的风向频率玫瑰图。</w:t>
      </w:r>
    </w:p>
    <w:p>
      <w:pPr>
        <w:pStyle w:val="18"/>
        <w:rPr>
          <w:color w:val="auto"/>
          <w:sz w:val="21"/>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5</w:t>
      </w:r>
      <w:r>
        <w:rPr>
          <w:color w:val="auto"/>
        </w:rPr>
        <w:fldChar w:fldCharType="end"/>
      </w:r>
      <w:r>
        <w:rPr>
          <w:rFonts w:hint="eastAsia"/>
          <w:color w:val="auto"/>
          <w:lang w:val="en-US" w:eastAsia="zh-CN"/>
        </w:rPr>
        <w:t>.1</w:t>
      </w:r>
      <w:r>
        <w:rPr>
          <w:color w:val="auto"/>
        </w:rPr>
        <w:t>-</w:t>
      </w:r>
      <w:r>
        <w:rPr>
          <w:color w:val="auto"/>
        </w:rPr>
        <w:fldChar w:fldCharType="begin"/>
      </w:r>
      <w:r>
        <w:rPr>
          <w:color w:val="auto"/>
        </w:rPr>
        <w:instrText xml:space="preserve"> SEQ 表 \* ARABIC \s 1 </w:instrText>
      </w:r>
      <w:r>
        <w:rPr>
          <w:color w:val="auto"/>
        </w:rPr>
        <w:fldChar w:fldCharType="separate"/>
      </w:r>
      <w:r>
        <w:rPr>
          <w:color w:val="auto"/>
        </w:rPr>
        <w:t>2</w:t>
      </w:r>
      <w:r>
        <w:rPr>
          <w:color w:val="auto"/>
        </w:rPr>
        <w:fldChar w:fldCharType="end"/>
      </w:r>
      <w:r>
        <w:rPr>
          <w:color w:val="auto"/>
          <w:sz w:val="21"/>
          <w:szCs w:val="21"/>
        </w:rPr>
        <w:t xml:space="preserve">  </w:t>
      </w:r>
      <w:r>
        <w:rPr>
          <w:color w:val="auto"/>
        </w:rPr>
        <w:t>岳阳市气象站全年及四季风向频率（%）分布</w:t>
      </w:r>
    </w:p>
    <w:tbl>
      <w:tblPr>
        <w:tblStyle w:val="45"/>
        <w:tblW w:w="9357" w:type="dxa"/>
        <w:tblInd w:w="-3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714"/>
        <w:gridCol w:w="396"/>
        <w:gridCol w:w="586"/>
        <w:gridCol w:w="456"/>
        <w:gridCol w:w="566"/>
        <w:gridCol w:w="326"/>
        <w:gridCol w:w="537"/>
        <w:gridCol w:w="427"/>
        <w:gridCol w:w="527"/>
        <w:gridCol w:w="317"/>
        <w:gridCol w:w="587"/>
        <w:gridCol w:w="486"/>
        <w:gridCol w:w="656"/>
        <w:gridCol w:w="486"/>
        <w:gridCol w:w="656"/>
        <w:gridCol w:w="516"/>
        <w:gridCol w:w="646"/>
        <w:gridCol w:w="47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时间</w:t>
            </w:r>
          </w:p>
        </w:tc>
        <w:tc>
          <w:tcPr>
            <w:tcW w:w="39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N</w:t>
            </w:r>
          </w:p>
        </w:tc>
        <w:tc>
          <w:tcPr>
            <w:tcW w:w="58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NNE</w:t>
            </w:r>
          </w:p>
        </w:tc>
        <w:tc>
          <w:tcPr>
            <w:tcW w:w="45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NE</w:t>
            </w:r>
          </w:p>
        </w:tc>
        <w:tc>
          <w:tcPr>
            <w:tcW w:w="56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ENE</w:t>
            </w:r>
          </w:p>
        </w:tc>
        <w:tc>
          <w:tcPr>
            <w:tcW w:w="32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E</w:t>
            </w:r>
          </w:p>
        </w:tc>
        <w:tc>
          <w:tcPr>
            <w:tcW w:w="53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ESE</w:t>
            </w:r>
          </w:p>
        </w:tc>
        <w:tc>
          <w:tcPr>
            <w:tcW w:w="42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SE</w:t>
            </w:r>
          </w:p>
        </w:tc>
        <w:tc>
          <w:tcPr>
            <w:tcW w:w="52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SSE</w:t>
            </w:r>
          </w:p>
        </w:tc>
        <w:tc>
          <w:tcPr>
            <w:tcW w:w="31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w:t>
            </w:r>
          </w:p>
        </w:tc>
        <w:tc>
          <w:tcPr>
            <w:tcW w:w="587"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SSW</w:t>
            </w:r>
          </w:p>
        </w:tc>
        <w:tc>
          <w:tcPr>
            <w:tcW w:w="48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SW</w:t>
            </w:r>
          </w:p>
        </w:tc>
        <w:tc>
          <w:tcPr>
            <w:tcW w:w="65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WSW</w:t>
            </w:r>
          </w:p>
        </w:tc>
        <w:tc>
          <w:tcPr>
            <w:tcW w:w="48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SW</w:t>
            </w:r>
          </w:p>
        </w:tc>
        <w:tc>
          <w:tcPr>
            <w:tcW w:w="65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WSW</w:t>
            </w:r>
          </w:p>
        </w:tc>
        <w:tc>
          <w:tcPr>
            <w:tcW w:w="51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NW</w:t>
            </w:r>
          </w:p>
        </w:tc>
        <w:tc>
          <w:tcPr>
            <w:tcW w:w="646"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NNW</w:t>
            </w:r>
          </w:p>
        </w:tc>
        <w:tc>
          <w:tcPr>
            <w:tcW w:w="472" w:type="dxa"/>
            <w:vAlign w:val="center"/>
          </w:tcPr>
          <w:p>
            <w:pPr>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C</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春</w:t>
            </w:r>
          </w:p>
        </w:tc>
        <w:tc>
          <w:tcPr>
            <w:tcW w:w="39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11</w:t>
            </w:r>
          </w:p>
        </w:tc>
        <w:tc>
          <w:tcPr>
            <w:tcW w:w="5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17</w:t>
            </w:r>
          </w:p>
        </w:tc>
        <w:tc>
          <w:tcPr>
            <w:tcW w:w="4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15</w:t>
            </w:r>
          </w:p>
        </w:tc>
        <w:tc>
          <w:tcPr>
            <w:tcW w:w="56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3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53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4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w:t>
            </w:r>
          </w:p>
        </w:tc>
        <w:tc>
          <w:tcPr>
            <w:tcW w:w="5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3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58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5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64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47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9</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夏</w:t>
            </w:r>
          </w:p>
        </w:tc>
        <w:tc>
          <w:tcPr>
            <w:tcW w:w="39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13</w:t>
            </w:r>
          </w:p>
        </w:tc>
        <w:tc>
          <w:tcPr>
            <w:tcW w:w="5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w:t>
            </w:r>
          </w:p>
        </w:tc>
        <w:tc>
          <w:tcPr>
            <w:tcW w:w="4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w:t>
            </w:r>
          </w:p>
        </w:tc>
        <w:tc>
          <w:tcPr>
            <w:tcW w:w="56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3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3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4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5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15</w:t>
            </w:r>
          </w:p>
        </w:tc>
        <w:tc>
          <w:tcPr>
            <w:tcW w:w="3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58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7</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64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47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秋</w:t>
            </w:r>
          </w:p>
        </w:tc>
        <w:tc>
          <w:tcPr>
            <w:tcW w:w="39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14</w:t>
            </w:r>
          </w:p>
        </w:tc>
        <w:tc>
          <w:tcPr>
            <w:tcW w:w="5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20</w:t>
            </w:r>
          </w:p>
        </w:tc>
        <w:tc>
          <w:tcPr>
            <w:tcW w:w="4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18</w:t>
            </w:r>
          </w:p>
        </w:tc>
        <w:tc>
          <w:tcPr>
            <w:tcW w:w="56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3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3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4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3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8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0</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64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47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冬</w:t>
            </w:r>
          </w:p>
        </w:tc>
        <w:tc>
          <w:tcPr>
            <w:tcW w:w="39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9</w:t>
            </w:r>
          </w:p>
        </w:tc>
        <w:tc>
          <w:tcPr>
            <w:tcW w:w="5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22</w:t>
            </w:r>
          </w:p>
        </w:tc>
        <w:tc>
          <w:tcPr>
            <w:tcW w:w="4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17</w:t>
            </w:r>
          </w:p>
        </w:tc>
        <w:tc>
          <w:tcPr>
            <w:tcW w:w="56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11</w:t>
            </w:r>
          </w:p>
        </w:tc>
        <w:tc>
          <w:tcPr>
            <w:tcW w:w="3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3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4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3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8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64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47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0" w:hRule="exact"/>
        </w:trPr>
        <w:tc>
          <w:tcPr>
            <w:tcW w:w="714"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全年</w:t>
            </w:r>
          </w:p>
        </w:tc>
        <w:tc>
          <w:tcPr>
            <w:tcW w:w="39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11</w:t>
            </w:r>
          </w:p>
        </w:tc>
        <w:tc>
          <w:tcPr>
            <w:tcW w:w="5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18</w:t>
            </w:r>
          </w:p>
        </w:tc>
        <w:tc>
          <w:tcPr>
            <w:tcW w:w="4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16</w:t>
            </w:r>
          </w:p>
        </w:tc>
        <w:tc>
          <w:tcPr>
            <w:tcW w:w="56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32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53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4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2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6</w:t>
            </w:r>
          </w:p>
        </w:tc>
        <w:tc>
          <w:tcPr>
            <w:tcW w:w="31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587"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5</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3</w:t>
            </w:r>
          </w:p>
        </w:tc>
        <w:tc>
          <w:tcPr>
            <w:tcW w:w="48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65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1</w:t>
            </w:r>
          </w:p>
        </w:tc>
        <w:tc>
          <w:tcPr>
            <w:tcW w:w="51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2</w:t>
            </w:r>
          </w:p>
        </w:tc>
        <w:tc>
          <w:tcPr>
            <w:tcW w:w="646"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472" w:type="dxa"/>
            <w:vAlign w:val="center"/>
          </w:tcPr>
          <w:p>
            <w:pPr>
              <w:spacing w:line="360" w:lineRule="exact"/>
              <w:jc w:val="center"/>
              <w:rPr>
                <w:rFonts w:ascii="Times New Roman" w:hAnsi="Times New Roman" w:cs="Times New Roman"/>
                <w:color w:val="auto"/>
                <w:szCs w:val="21"/>
              </w:rPr>
            </w:pPr>
            <w:r>
              <w:rPr>
                <w:rFonts w:ascii="Times New Roman" w:hAnsi="Times New Roman" w:cs="Times New Roman"/>
                <w:color w:val="auto"/>
                <w:szCs w:val="21"/>
              </w:rPr>
              <w:t>8</w:t>
            </w:r>
          </w:p>
        </w:tc>
      </w:tr>
    </w:tbl>
    <w:p>
      <w:pPr>
        <w:pStyle w:val="38"/>
        <w:spacing w:line="240" w:lineRule="auto"/>
        <w:ind w:firstLine="482"/>
        <w:rPr>
          <w:color w:val="auto"/>
          <w:sz w:val="15"/>
          <w:szCs w:val="15"/>
        </w:rPr>
      </w:pPr>
    </w:p>
    <w:p>
      <w:pPr>
        <w:pStyle w:val="18"/>
        <w:tabs>
          <w:tab w:val="left" w:pos="210"/>
        </w:tabs>
        <w:rPr>
          <w:color w:val="auto"/>
          <w:sz w:val="21"/>
          <w:szCs w:val="21"/>
        </w:rPr>
      </w:pPr>
      <w:bookmarkStart w:id="291" w:name="_Ref237162563"/>
      <w:r>
        <w:rPr>
          <w:b w:val="0"/>
          <w:color w:val="auto"/>
        </w:rPr>
        <w:drawing>
          <wp:inline distT="0" distB="0" distL="0" distR="0">
            <wp:extent cx="6070600" cy="6045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070600" cy="6045200"/>
                    </a:xfrm>
                    <a:prstGeom prst="rect">
                      <a:avLst/>
                    </a:prstGeom>
                    <a:noFill/>
                    <a:ln>
                      <a:noFill/>
                    </a:ln>
                  </pic:spPr>
                </pic:pic>
              </a:graphicData>
            </a:graphic>
          </wp:inline>
        </w:drawing>
      </w:r>
      <w:r>
        <w:rPr>
          <w:color w:val="auto"/>
        </w:rPr>
        <w:t>图</w:t>
      </w:r>
      <w:bookmarkEnd w:id="291"/>
      <w:r>
        <w:rPr>
          <w:color w:val="auto"/>
        </w:rPr>
        <w:t>5</w:t>
      </w:r>
      <w:r>
        <w:rPr>
          <w:rFonts w:hint="eastAsia"/>
          <w:color w:val="auto"/>
          <w:lang w:val="en-US" w:eastAsia="zh-CN"/>
        </w:rPr>
        <w:t>.1</w:t>
      </w:r>
      <w:r>
        <w:rPr>
          <w:color w:val="auto"/>
        </w:rPr>
        <w:t>-1   岳阳全年及四季风频玫瑰图</w:t>
      </w:r>
    </w:p>
    <w:p>
      <w:pPr>
        <w:pStyle w:val="18"/>
        <w:rPr>
          <w:color w:val="auto"/>
          <w:sz w:val="21"/>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5</w:t>
      </w:r>
      <w:r>
        <w:rPr>
          <w:color w:val="auto"/>
        </w:rPr>
        <w:fldChar w:fldCharType="end"/>
      </w:r>
      <w:r>
        <w:rPr>
          <w:rFonts w:hint="eastAsia"/>
          <w:color w:val="auto"/>
          <w:lang w:val="en-US" w:eastAsia="zh-CN"/>
        </w:rPr>
        <w:t>.1</w:t>
      </w:r>
      <w:r>
        <w:rPr>
          <w:color w:val="auto"/>
        </w:rPr>
        <w:t>-</w:t>
      </w:r>
      <w:r>
        <w:rPr>
          <w:color w:val="auto"/>
        </w:rPr>
        <w:fldChar w:fldCharType="begin"/>
      </w:r>
      <w:r>
        <w:rPr>
          <w:color w:val="auto"/>
        </w:rPr>
        <w:instrText xml:space="preserve"> SEQ 表 \* ARABIC \s 1 </w:instrText>
      </w:r>
      <w:r>
        <w:rPr>
          <w:color w:val="auto"/>
        </w:rPr>
        <w:fldChar w:fldCharType="separate"/>
      </w:r>
      <w:r>
        <w:rPr>
          <w:color w:val="auto"/>
        </w:rPr>
        <w:t>3</w:t>
      </w:r>
      <w:r>
        <w:rPr>
          <w:color w:val="auto"/>
        </w:rPr>
        <w:fldChar w:fldCharType="end"/>
      </w:r>
      <w:r>
        <w:rPr>
          <w:color w:val="auto"/>
          <w:sz w:val="21"/>
          <w:szCs w:val="21"/>
        </w:rPr>
        <w:t xml:space="preserve">  </w:t>
      </w:r>
      <w:r>
        <w:rPr>
          <w:color w:val="auto"/>
        </w:rPr>
        <w:t>岳阳市气象站近20年风速统计（单位：m/s）</w:t>
      </w:r>
    </w:p>
    <w:tbl>
      <w:tblPr>
        <w:tblStyle w:val="45"/>
        <w:tblW w:w="9287"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991"/>
        <w:gridCol w:w="612"/>
        <w:gridCol w:w="613"/>
        <w:gridCol w:w="613"/>
        <w:gridCol w:w="613"/>
        <w:gridCol w:w="613"/>
        <w:gridCol w:w="613"/>
        <w:gridCol w:w="613"/>
        <w:gridCol w:w="613"/>
        <w:gridCol w:w="613"/>
        <w:gridCol w:w="613"/>
        <w:gridCol w:w="814"/>
        <w:gridCol w:w="814"/>
        <w:gridCol w:w="53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540" w:hRule="atLeast"/>
        </w:trPr>
        <w:tc>
          <w:tcPr>
            <w:tcW w:w="991"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 xml:space="preserve">  时间</w:t>
            </w:r>
          </w:p>
          <w:p>
            <w:pPr>
              <w:spacing w:line="280" w:lineRule="exact"/>
              <w:rPr>
                <w:rFonts w:ascii="Times New Roman" w:hAnsi="Times New Roman" w:cs="Times New Roman"/>
                <w:b/>
                <w:color w:val="auto"/>
                <w:szCs w:val="21"/>
              </w:rPr>
            </w:pPr>
            <w:r>
              <w:rPr>
                <w:rFonts w:ascii="Times New Roman" w:hAnsi="Times New Roman" w:cs="Times New Roman"/>
                <w:b/>
                <w:color w:val="auto"/>
                <w:szCs w:val="21"/>
              </w:rPr>
              <w:t>风速</w:t>
            </w:r>
          </w:p>
        </w:tc>
        <w:tc>
          <w:tcPr>
            <w:tcW w:w="612"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一</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二</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三</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四</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五</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六</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七</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八</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九</w:t>
            </w:r>
          </w:p>
        </w:tc>
        <w:tc>
          <w:tcPr>
            <w:tcW w:w="613"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十</w:t>
            </w:r>
          </w:p>
        </w:tc>
        <w:tc>
          <w:tcPr>
            <w:tcW w:w="814"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十一</w:t>
            </w:r>
          </w:p>
        </w:tc>
        <w:tc>
          <w:tcPr>
            <w:tcW w:w="814"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十二</w:t>
            </w:r>
          </w:p>
        </w:tc>
        <w:tc>
          <w:tcPr>
            <w:tcW w:w="539" w:type="dxa"/>
            <w:vAlign w:val="center"/>
          </w:tcPr>
          <w:p>
            <w:pPr>
              <w:spacing w:line="280" w:lineRule="exact"/>
              <w:jc w:val="center"/>
              <w:rPr>
                <w:rFonts w:ascii="Times New Roman" w:hAnsi="Times New Roman" w:cs="Times New Roman"/>
                <w:b/>
                <w:color w:val="auto"/>
                <w:szCs w:val="21"/>
              </w:rPr>
            </w:pPr>
            <w:r>
              <w:rPr>
                <w:rFonts w:ascii="Times New Roman" w:hAnsi="Times New Roman" w:cs="Times New Roman"/>
                <w:b/>
                <w:color w:val="auto"/>
                <w:szCs w:val="21"/>
              </w:rPr>
              <w:t>全年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c>
          <w:tcPr>
            <w:tcW w:w="991"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全年</w:t>
            </w:r>
          </w:p>
        </w:tc>
        <w:tc>
          <w:tcPr>
            <w:tcW w:w="612"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2.8</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2.9</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3.1</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3.1</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2.7</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2.8</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3.5</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2.9</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2.8</w:t>
            </w:r>
          </w:p>
        </w:tc>
        <w:tc>
          <w:tcPr>
            <w:tcW w:w="613"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2.6</w:t>
            </w:r>
          </w:p>
        </w:tc>
        <w:tc>
          <w:tcPr>
            <w:tcW w:w="814"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2.8</w:t>
            </w:r>
          </w:p>
        </w:tc>
        <w:tc>
          <w:tcPr>
            <w:tcW w:w="814"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2.8</w:t>
            </w:r>
          </w:p>
        </w:tc>
        <w:tc>
          <w:tcPr>
            <w:tcW w:w="539" w:type="dxa"/>
            <w:vAlign w:val="center"/>
          </w:tcPr>
          <w:p>
            <w:pPr>
              <w:spacing w:line="280" w:lineRule="exact"/>
              <w:jc w:val="center"/>
              <w:rPr>
                <w:rFonts w:ascii="Times New Roman" w:hAnsi="Times New Roman" w:cs="Times New Roman"/>
                <w:color w:val="auto"/>
                <w:szCs w:val="21"/>
              </w:rPr>
            </w:pPr>
            <w:r>
              <w:rPr>
                <w:rFonts w:ascii="Times New Roman" w:hAnsi="Times New Roman" w:cs="Times New Roman"/>
                <w:color w:val="auto"/>
                <w:szCs w:val="21"/>
              </w:rPr>
              <w:t>2.9</w:t>
            </w:r>
          </w:p>
        </w:tc>
      </w:tr>
    </w:tbl>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从图表中可以看出：该区域常年主导风向为NNE，频率为18%，春季主导风向为NNE风，频率高达17%，夏季主导风向为SSE风，频率高达15%，秋季主导风向为NNE风，频率为20%，冬季主导风向为NNE，频率为22%，年平均风速为2.9m/s。</w:t>
      </w:r>
    </w:p>
    <w:p>
      <w:pPr>
        <w:pStyle w:val="22"/>
        <w:rPr>
          <w:color w:val="auto"/>
        </w:rPr>
      </w:pPr>
    </w:p>
    <w:p>
      <w:pPr>
        <w:pStyle w:val="7"/>
        <w:numPr>
          <w:ilvl w:val="2"/>
          <w:numId w:val="0"/>
        </w:numPr>
        <w:spacing w:before="120" w:beforeLines="0" w:after="120" w:afterLines="0"/>
        <w:rPr>
          <w:color w:val="auto"/>
        </w:rPr>
      </w:pPr>
      <w:bookmarkStart w:id="292" w:name="_Toc13550"/>
      <w:bookmarkStart w:id="293" w:name="_Toc13255"/>
      <w:bookmarkStart w:id="294" w:name="_Toc11821"/>
      <w:bookmarkStart w:id="295" w:name="_Toc280188857"/>
      <w:bookmarkStart w:id="296" w:name="_Toc219258527"/>
      <w:bookmarkStart w:id="297" w:name="_Toc13123"/>
      <w:bookmarkStart w:id="298" w:name="_Toc4589"/>
      <w:bookmarkStart w:id="299" w:name="_Toc220122813"/>
      <w:bookmarkStart w:id="300" w:name="_Toc12516"/>
      <w:r>
        <w:rPr>
          <w:rFonts w:hint="eastAsia"/>
          <w:color w:val="auto"/>
          <w:lang w:val="en-US" w:eastAsia="zh-CN"/>
        </w:rPr>
        <w:t xml:space="preserve">5.1.2 </w:t>
      </w:r>
      <w:r>
        <w:rPr>
          <w:rFonts w:hint="eastAsia"/>
          <w:color w:val="auto"/>
        </w:rPr>
        <w:t>预测模式及参数</w:t>
      </w:r>
      <w:bookmarkEnd w:id="292"/>
      <w:bookmarkEnd w:id="293"/>
      <w:bookmarkEnd w:id="294"/>
    </w:p>
    <w:p>
      <w:pPr>
        <w:widowControl/>
        <w:spacing w:line="360" w:lineRule="auto"/>
        <w:ind w:firstLine="480" w:firstLineChars="200"/>
        <w:jc w:val="left"/>
        <w:rPr>
          <w:rFonts w:ascii="Times New Roman" w:hAnsi="Times New Roman"/>
          <w:color w:val="auto"/>
          <w:kern w:val="0"/>
          <w:sz w:val="24"/>
          <w:szCs w:val="24"/>
          <w:u w:val="none"/>
        </w:rPr>
      </w:pPr>
      <w:r>
        <w:rPr>
          <w:rFonts w:ascii="Times New Roman" w:hAnsi="Times New Roman"/>
          <w:color w:val="auto"/>
          <w:kern w:val="0"/>
          <w:sz w:val="24"/>
          <w:szCs w:val="24"/>
          <w:u w:val="none"/>
        </w:rPr>
        <w:t>根据工程分析计算，本次环评大气评价的等级为</w:t>
      </w:r>
      <w:r>
        <w:rPr>
          <w:rFonts w:hint="eastAsia" w:ascii="Times New Roman" w:hAnsi="Times New Roman"/>
          <w:color w:val="auto"/>
          <w:kern w:val="0"/>
          <w:sz w:val="24"/>
          <w:szCs w:val="24"/>
          <w:u w:val="none"/>
          <w:lang w:eastAsia="zh-CN"/>
        </w:rPr>
        <w:t>三</w:t>
      </w:r>
      <w:r>
        <w:rPr>
          <w:rFonts w:ascii="Times New Roman" w:hAnsi="Times New Roman"/>
          <w:color w:val="auto"/>
          <w:kern w:val="0"/>
          <w:sz w:val="24"/>
          <w:szCs w:val="24"/>
          <w:u w:val="none"/>
        </w:rPr>
        <w:t>级，根据《环境影响评价技术导则 大气环境》（HJ2.2-2018）中的规定，大气预测利用导则推荐的估算模式计算本项目的大气影响范围和程度，并估算本项目的大气环境防护距离。</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（1）预测因子：</w:t>
      </w:r>
      <w:r>
        <w:rPr>
          <w:rFonts w:hint="eastAsia" w:ascii="Times New Roman" w:hAnsi="Times New Roman"/>
          <w:color w:val="auto"/>
          <w:sz w:val="24"/>
          <w:szCs w:val="24"/>
          <w:u w:val="none"/>
          <w:lang w:eastAsia="zh-CN"/>
        </w:rPr>
        <w:t>氨</w:t>
      </w:r>
      <w:r>
        <w:rPr>
          <w:rFonts w:hint="eastAsia" w:ascii="Times New Roman" w:hAnsi="Times New Roman"/>
          <w:color w:val="auto"/>
          <w:sz w:val="24"/>
          <w:szCs w:val="24"/>
          <w:u w:val="none"/>
        </w:rPr>
        <w:t>。</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（2）预测范围：考虑项目周围环境特征和气象条件，本次大气预测范围确定为以</w:t>
      </w:r>
      <w:r>
        <w:rPr>
          <w:rFonts w:hint="eastAsia" w:ascii="Times New Roman" w:hAnsi="Times New Roman"/>
          <w:color w:val="auto"/>
          <w:sz w:val="24"/>
          <w:szCs w:val="24"/>
          <w:u w:val="none"/>
          <w:lang w:eastAsia="zh-CN"/>
        </w:rPr>
        <w:t>液氨输送管廓</w:t>
      </w:r>
      <w:r>
        <w:rPr>
          <w:rFonts w:hint="eastAsia" w:ascii="Times New Roman" w:hAnsi="Times New Roman"/>
          <w:color w:val="auto"/>
          <w:sz w:val="24"/>
          <w:szCs w:val="24"/>
          <w:u w:val="none"/>
        </w:rPr>
        <w:t>为中心，边长为5km的矩形区域。</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（3）预测内容：</w:t>
      </w:r>
      <w:r>
        <w:rPr>
          <w:rFonts w:ascii="Times New Roman" w:hAnsi="Times New Roman"/>
          <w:color w:val="auto"/>
          <w:sz w:val="24"/>
          <w:szCs w:val="24"/>
          <w:u w:val="none"/>
        </w:rPr>
        <w:t>采用《环境影响评价技术导则</w:t>
      </w:r>
      <w:r>
        <w:rPr>
          <w:rFonts w:hint="eastAsia" w:ascii="Times New Roman" w:hAnsi="Times New Roman"/>
          <w:color w:val="auto"/>
          <w:sz w:val="24"/>
          <w:szCs w:val="24"/>
          <w:u w:val="none"/>
        </w:rPr>
        <w:t>-</w:t>
      </w:r>
      <w:r>
        <w:rPr>
          <w:rFonts w:ascii="Times New Roman" w:hAnsi="Times New Roman"/>
          <w:color w:val="auto"/>
          <w:sz w:val="24"/>
          <w:szCs w:val="24"/>
          <w:u w:val="none"/>
        </w:rPr>
        <w:t>大气环境》(HJ2.2-2018)推荐的估算模式，计算距项目污染源下向风不同距离处的污染物浓度、最大落地浓度P</w:t>
      </w:r>
      <w:r>
        <w:rPr>
          <w:rFonts w:ascii="Times New Roman" w:hAnsi="Times New Roman"/>
          <w:color w:val="auto"/>
          <w:sz w:val="24"/>
          <w:szCs w:val="24"/>
          <w:u w:val="none"/>
          <w:vertAlign w:val="subscript"/>
        </w:rPr>
        <w:t>max</w:t>
      </w:r>
      <w:r>
        <w:rPr>
          <w:rFonts w:ascii="Times New Roman" w:hAnsi="Times New Roman"/>
          <w:color w:val="auto"/>
          <w:sz w:val="24"/>
          <w:szCs w:val="24"/>
          <w:u w:val="none"/>
        </w:rPr>
        <w:t>及占标率</w:t>
      </w:r>
      <w:r>
        <w:rPr>
          <w:rFonts w:hint="eastAsia" w:ascii="Times New Roman" w:hAnsi="Times New Roman"/>
          <w:color w:val="auto"/>
          <w:sz w:val="24"/>
          <w:szCs w:val="24"/>
          <w:u w:val="none"/>
        </w:rPr>
        <w:t>。</w:t>
      </w:r>
    </w:p>
    <w:p>
      <w:pPr>
        <w:spacing w:line="360" w:lineRule="auto"/>
        <w:ind w:firstLine="480" w:firstLineChars="200"/>
        <w:rPr>
          <w:rFonts w:ascii="Times New Roman" w:hAnsi="Times New Roman"/>
          <w:color w:val="auto"/>
          <w:sz w:val="24"/>
          <w:szCs w:val="24"/>
          <w:u w:val="none"/>
        </w:rPr>
      </w:pPr>
      <w:r>
        <w:rPr>
          <w:rFonts w:ascii="Times New Roman" w:hAnsi="Times New Roman"/>
          <w:color w:val="auto"/>
          <w:sz w:val="24"/>
          <w:szCs w:val="24"/>
          <w:u w:val="none"/>
        </w:rPr>
        <w:t>（</w:t>
      </w:r>
      <w:r>
        <w:rPr>
          <w:rFonts w:hint="eastAsia" w:ascii="Times New Roman" w:hAnsi="Times New Roman"/>
          <w:color w:val="auto"/>
          <w:sz w:val="24"/>
          <w:szCs w:val="24"/>
          <w:u w:val="none"/>
        </w:rPr>
        <w:t>4</w:t>
      </w:r>
      <w:r>
        <w:rPr>
          <w:rFonts w:ascii="Times New Roman" w:hAnsi="Times New Roman"/>
          <w:color w:val="auto"/>
          <w:sz w:val="24"/>
          <w:szCs w:val="24"/>
          <w:u w:val="none"/>
        </w:rPr>
        <w:t>）</w:t>
      </w:r>
      <w:r>
        <w:rPr>
          <w:rFonts w:hint="eastAsia" w:ascii="Times New Roman" w:hAnsi="Times New Roman"/>
          <w:color w:val="auto"/>
          <w:sz w:val="24"/>
          <w:szCs w:val="24"/>
          <w:u w:val="none"/>
        </w:rPr>
        <w:t>污染源</w:t>
      </w:r>
      <w:r>
        <w:rPr>
          <w:rFonts w:ascii="Times New Roman" w:hAnsi="Times New Roman"/>
          <w:color w:val="auto"/>
          <w:sz w:val="24"/>
          <w:szCs w:val="24"/>
          <w:u w:val="none"/>
        </w:rPr>
        <w:t>：</w:t>
      </w:r>
      <w:r>
        <w:rPr>
          <w:rFonts w:hint="eastAsia" w:ascii="Times New Roman" w:hAnsi="Times New Roman"/>
          <w:color w:val="auto"/>
          <w:sz w:val="24"/>
          <w:szCs w:val="24"/>
          <w:u w:val="none"/>
        </w:rPr>
        <w:t>本项目排放的大气污染源详见下表。</w:t>
      </w:r>
    </w:p>
    <w:p>
      <w:pPr>
        <w:pStyle w:val="18"/>
        <w:spacing w:line="440" w:lineRule="exact"/>
        <w:ind w:firstLine="482" w:firstLineChars="200"/>
        <w:rPr>
          <w:color w:val="auto"/>
          <w:szCs w:val="21"/>
          <w:u w:val="none"/>
        </w:rPr>
      </w:pPr>
      <w:r>
        <w:rPr>
          <w:color w:val="auto"/>
          <w:u w:val="none"/>
        </w:rPr>
        <w:t xml:space="preserve">表 </w:t>
      </w:r>
      <w:r>
        <w:rPr>
          <w:color w:val="auto"/>
          <w:u w:val="none"/>
        </w:rPr>
        <w:fldChar w:fldCharType="begin"/>
      </w:r>
      <w:r>
        <w:rPr>
          <w:color w:val="auto"/>
          <w:u w:val="none"/>
        </w:rPr>
        <w:instrText xml:space="preserve"> STYLEREF 1 \s </w:instrText>
      </w:r>
      <w:r>
        <w:rPr>
          <w:color w:val="auto"/>
          <w:u w:val="none"/>
        </w:rPr>
        <w:fldChar w:fldCharType="separate"/>
      </w:r>
      <w:r>
        <w:rPr>
          <w:color w:val="auto"/>
          <w:u w:val="none"/>
        </w:rPr>
        <w:t>5</w:t>
      </w:r>
      <w:r>
        <w:rPr>
          <w:color w:val="auto"/>
          <w:u w:val="none"/>
        </w:rPr>
        <w:fldChar w:fldCharType="end"/>
      </w:r>
      <w:r>
        <w:rPr>
          <w:rFonts w:hint="eastAsia"/>
          <w:color w:val="auto"/>
          <w:u w:val="none"/>
          <w:lang w:val="en-US" w:eastAsia="zh-CN"/>
        </w:rPr>
        <w:t>.1</w:t>
      </w:r>
      <w:r>
        <w:rPr>
          <w:rFonts w:hint="eastAsia"/>
          <w:color w:val="auto"/>
          <w:u w:val="none"/>
        </w:rPr>
        <w:t>-</w:t>
      </w:r>
      <w:r>
        <w:rPr>
          <w:rFonts w:hint="eastAsia"/>
          <w:color w:val="auto"/>
          <w:u w:val="none"/>
          <w:lang w:val="en-US" w:eastAsia="zh-CN"/>
        </w:rPr>
        <w:t>4</w:t>
      </w:r>
      <w:r>
        <w:rPr>
          <w:color w:val="auto"/>
          <w:szCs w:val="21"/>
          <w:u w:val="none"/>
        </w:rPr>
        <w:t xml:space="preserve">  </w:t>
      </w:r>
      <w:r>
        <w:rPr>
          <w:rFonts w:hint="eastAsia"/>
          <w:color w:val="auto"/>
          <w:szCs w:val="21"/>
          <w:u w:val="none"/>
          <w:lang w:eastAsia="zh-CN"/>
        </w:rPr>
        <w:t>液氨输送管廊</w:t>
      </w:r>
      <w:r>
        <w:rPr>
          <w:rFonts w:hint="eastAsia"/>
          <w:color w:val="auto"/>
          <w:szCs w:val="21"/>
          <w:u w:val="none"/>
        </w:rPr>
        <w:t>面源</w:t>
      </w:r>
      <w:r>
        <w:rPr>
          <w:color w:val="auto"/>
          <w:szCs w:val="21"/>
          <w:u w:val="none"/>
        </w:rPr>
        <w:t>污染源估算模式参数取值一览表</w:t>
      </w:r>
    </w:p>
    <w:tbl>
      <w:tblPr>
        <w:tblStyle w:val="45"/>
        <w:tblW w:w="843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0"/>
        <w:gridCol w:w="1080"/>
        <w:gridCol w:w="1731"/>
        <w:gridCol w:w="1297"/>
        <w:gridCol w:w="1189"/>
        <w:gridCol w:w="21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 w:hRule="atLeast"/>
          <w:jc w:val="center"/>
        </w:trPr>
        <w:tc>
          <w:tcPr>
            <w:tcW w:w="1030" w:type="dxa"/>
            <w:vMerge w:val="restart"/>
            <w:vAlign w:val="center"/>
          </w:tcPr>
          <w:p>
            <w:pPr>
              <w:pStyle w:val="5"/>
              <w:spacing w:line="240" w:lineRule="auto"/>
              <w:ind w:firstLine="0" w:firstLineChars="0"/>
              <w:jc w:val="center"/>
              <w:rPr>
                <w:color w:val="auto"/>
                <w:szCs w:val="21"/>
                <w:u w:val="none"/>
              </w:rPr>
            </w:pPr>
            <w:r>
              <w:rPr>
                <w:color w:val="auto"/>
                <w:szCs w:val="21"/>
                <w:u w:val="none"/>
              </w:rPr>
              <w:t>面源长度</w:t>
            </w:r>
          </w:p>
        </w:tc>
        <w:tc>
          <w:tcPr>
            <w:tcW w:w="1080" w:type="dxa"/>
            <w:vMerge w:val="restart"/>
            <w:vAlign w:val="center"/>
          </w:tcPr>
          <w:p>
            <w:pPr>
              <w:pStyle w:val="5"/>
              <w:spacing w:line="240" w:lineRule="auto"/>
              <w:ind w:firstLine="0" w:firstLineChars="0"/>
              <w:jc w:val="center"/>
              <w:rPr>
                <w:color w:val="auto"/>
                <w:szCs w:val="21"/>
                <w:u w:val="none"/>
              </w:rPr>
            </w:pPr>
            <w:r>
              <w:rPr>
                <w:color w:val="auto"/>
                <w:szCs w:val="21"/>
                <w:u w:val="none"/>
              </w:rPr>
              <w:t>面源宽度</w:t>
            </w:r>
          </w:p>
        </w:tc>
        <w:tc>
          <w:tcPr>
            <w:tcW w:w="1731" w:type="dxa"/>
            <w:vMerge w:val="restart"/>
            <w:vAlign w:val="center"/>
          </w:tcPr>
          <w:p>
            <w:pPr>
              <w:pStyle w:val="5"/>
              <w:spacing w:line="240" w:lineRule="auto"/>
              <w:ind w:firstLine="0" w:firstLineChars="0"/>
              <w:jc w:val="center"/>
              <w:rPr>
                <w:color w:val="auto"/>
                <w:spacing w:val="-6"/>
                <w:szCs w:val="21"/>
                <w:u w:val="none"/>
              </w:rPr>
            </w:pPr>
            <w:r>
              <w:rPr>
                <w:color w:val="auto"/>
                <w:spacing w:val="-6"/>
                <w:szCs w:val="21"/>
                <w:u w:val="none"/>
              </w:rPr>
              <w:t>面源初始排放高度</w:t>
            </w:r>
          </w:p>
        </w:tc>
        <w:tc>
          <w:tcPr>
            <w:tcW w:w="1297" w:type="dxa"/>
            <w:vMerge w:val="restart"/>
            <w:vAlign w:val="center"/>
          </w:tcPr>
          <w:p>
            <w:pPr>
              <w:pStyle w:val="5"/>
              <w:spacing w:line="240" w:lineRule="auto"/>
              <w:ind w:firstLine="0" w:firstLineChars="0"/>
              <w:jc w:val="center"/>
              <w:rPr>
                <w:color w:val="auto"/>
                <w:spacing w:val="-6"/>
                <w:szCs w:val="21"/>
                <w:u w:val="none"/>
              </w:rPr>
            </w:pPr>
            <w:r>
              <w:rPr>
                <w:color w:val="auto"/>
                <w:spacing w:val="-6"/>
                <w:szCs w:val="21"/>
                <w:u w:val="none"/>
              </w:rPr>
              <w:t>年排放小时数</w:t>
            </w:r>
          </w:p>
        </w:tc>
        <w:tc>
          <w:tcPr>
            <w:tcW w:w="1189" w:type="dxa"/>
            <w:vMerge w:val="restart"/>
            <w:vAlign w:val="center"/>
          </w:tcPr>
          <w:p>
            <w:pPr>
              <w:pStyle w:val="5"/>
              <w:spacing w:line="240" w:lineRule="auto"/>
              <w:ind w:firstLine="0" w:firstLineChars="0"/>
              <w:jc w:val="center"/>
              <w:rPr>
                <w:color w:val="auto"/>
                <w:szCs w:val="21"/>
                <w:u w:val="none"/>
              </w:rPr>
            </w:pPr>
            <w:r>
              <w:rPr>
                <w:color w:val="auto"/>
                <w:szCs w:val="21"/>
                <w:u w:val="none"/>
              </w:rPr>
              <w:t>排放工况</w:t>
            </w:r>
          </w:p>
        </w:tc>
        <w:tc>
          <w:tcPr>
            <w:tcW w:w="2109" w:type="dxa"/>
            <w:vAlign w:val="center"/>
          </w:tcPr>
          <w:p>
            <w:pPr>
              <w:adjustRightInd w:val="0"/>
              <w:jc w:val="center"/>
              <w:rPr>
                <w:rFonts w:ascii="Times New Roman" w:hAnsi="Times New Roman"/>
                <w:color w:val="auto"/>
                <w:szCs w:val="21"/>
                <w:u w:val="none"/>
              </w:rPr>
            </w:pPr>
            <w:r>
              <w:rPr>
                <w:rFonts w:ascii="Times New Roman" w:hAnsi="Times New Roman"/>
                <w:color w:val="auto"/>
                <w:szCs w:val="21"/>
                <w:u w:val="none"/>
              </w:rPr>
              <w:t>评价源强因子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 w:hRule="atLeast"/>
          <w:jc w:val="center"/>
        </w:trPr>
        <w:tc>
          <w:tcPr>
            <w:tcW w:w="1030" w:type="dxa"/>
            <w:vMerge w:val="continue"/>
            <w:vAlign w:val="center"/>
          </w:tcPr>
          <w:p>
            <w:pPr>
              <w:rPr>
                <w:color w:val="auto"/>
                <w:u w:val="none"/>
              </w:rPr>
            </w:pPr>
          </w:p>
        </w:tc>
        <w:tc>
          <w:tcPr>
            <w:tcW w:w="1080" w:type="dxa"/>
            <w:vMerge w:val="continue"/>
            <w:vAlign w:val="center"/>
          </w:tcPr>
          <w:p>
            <w:pPr>
              <w:rPr>
                <w:color w:val="auto"/>
                <w:u w:val="none"/>
              </w:rPr>
            </w:pPr>
          </w:p>
        </w:tc>
        <w:tc>
          <w:tcPr>
            <w:tcW w:w="1731" w:type="dxa"/>
            <w:vMerge w:val="continue"/>
            <w:vAlign w:val="center"/>
          </w:tcPr>
          <w:p>
            <w:pPr>
              <w:rPr>
                <w:color w:val="auto"/>
                <w:u w:val="none"/>
              </w:rPr>
            </w:pPr>
          </w:p>
        </w:tc>
        <w:tc>
          <w:tcPr>
            <w:tcW w:w="1297" w:type="dxa"/>
            <w:vMerge w:val="continue"/>
            <w:vAlign w:val="center"/>
          </w:tcPr>
          <w:p>
            <w:pPr>
              <w:rPr>
                <w:color w:val="auto"/>
                <w:u w:val="none"/>
              </w:rPr>
            </w:pPr>
          </w:p>
        </w:tc>
        <w:tc>
          <w:tcPr>
            <w:tcW w:w="1189" w:type="dxa"/>
            <w:vMerge w:val="continue"/>
            <w:vAlign w:val="center"/>
          </w:tcPr>
          <w:p>
            <w:pPr>
              <w:rPr>
                <w:color w:val="auto"/>
                <w:u w:val="none"/>
              </w:rPr>
            </w:pPr>
          </w:p>
        </w:tc>
        <w:tc>
          <w:tcPr>
            <w:tcW w:w="2109" w:type="dxa"/>
            <w:vAlign w:val="center"/>
          </w:tcPr>
          <w:p>
            <w:pPr>
              <w:adjustRightInd w:val="0"/>
              <w:jc w:val="center"/>
              <w:rPr>
                <w:rFonts w:hint="eastAsia" w:ascii="Times New Roman" w:hAnsi="Times New Roman" w:eastAsia="宋体"/>
                <w:color w:val="auto"/>
                <w:szCs w:val="21"/>
                <w:u w:val="none"/>
                <w:lang w:eastAsia="zh-CN"/>
              </w:rPr>
            </w:pPr>
            <w:r>
              <w:rPr>
                <w:rFonts w:hint="eastAsia" w:ascii="Times New Roman" w:hAnsi="Times New Roman"/>
                <w:color w:val="auto"/>
                <w:szCs w:val="21"/>
                <w:u w:val="none"/>
                <w:lang w:eastAsia="zh-CN"/>
              </w:rPr>
              <w:t>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 w:hRule="atLeast"/>
          <w:jc w:val="center"/>
        </w:trPr>
        <w:tc>
          <w:tcPr>
            <w:tcW w:w="1030" w:type="dxa"/>
            <w:vAlign w:val="center"/>
          </w:tcPr>
          <w:p>
            <w:pPr>
              <w:jc w:val="center"/>
              <w:rPr>
                <w:rFonts w:ascii="Times New Roman" w:hAnsi="Times New Roman"/>
                <w:color w:val="auto"/>
                <w:szCs w:val="21"/>
                <w:u w:val="none"/>
              </w:rPr>
            </w:pPr>
            <w:r>
              <w:rPr>
                <w:rFonts w:ascii="Times New Roman" w:hAnsi="Times New Roman"/>
                <w:color w:val="auto"/>
                <w:szCs w:val="21"/>
                <w:u w:val="none"/>
              </w:rPr>
              <w:t>L</w:t>
            </w:r>
            <w:r>
              <w:rPr>
                <w:rFonts w:ascii="Times New Roman" w:hAnsi="Times New Roman"/>
                <w:color w:val="auto"/>
                <w:szCs w:val="21"/>
                <w:u w:val="none"/>
                <w:vertAlign w:val="subscript"/>
              </w:rPr>
              <w:t>1</w:t>
            </w:r>
          </w:p>
        </w:tc>
        <w:tc>
          <w:tcPr>
            <w:tcW w:w="1080" w:type="dxa"/>
            <w:vAlign w:val="center"/>
          </w:tcPr>
          <w:p>
            <w:pPr>
              <w:jc w:val="center"/>
              <w:rPr>
                <w:rFonts w:ascii="Times New Roman" w:hAnsi="Times New Roman"/>
                <w:color w:val="auto"/>
                <w:szCs w:val="21"/>
                <w:u w:val="none"/>
              </w:rPr>
            </w:pPr>
            <w:r>
              <w:rPr>
                <w:rFonts w:ascii="Times New Roman" w:hAnsi="Times New Roman"/>
                <w:color w:val="auto"/>
                <w:szCs w:val="21"/>
                <w:u w:val="none"/>
              </w:rPr>
              <w:t>L</w:t>
            </w:r>
            <w:r>
              <w:rPr>
                <w:rFonts w:ascii="Times New Roman" w:hAnsi="Times New Roman"/>
                <w:color w:val="auto"/>
                <w:szCs w:val="21"/>
                <w:u w:val="none"/>
                <w:vertAlign w:val="subscript"/>
              </w:rPr>
              <w:t>W</w:t>
            </w:r>
          </w:p>
        </w:tc>
        <w:tc>
          <w:tcPr>
            <w:tcW w:w="1731" w:type="dxa"/>
            <w:vAlign w:val="center"/>
          </w:tcPr>
          <w:p>
            <w:pPr>
              <w:jc w:val="center"/>
              <w:rPr>
                <w:rFonts w:ascii="Times New Roman" w:hAnsi="Times New Roman"/>
                <w:color w:val="auto"/>
                <w:szCs w:val="21"/>
                <w:u w:val="none"/>
              </w:rPr>
            </w:pPr>
            <w:r>
              <w:rPr>
                <w:rFonts w:ascii="Times New Roman" w:hAnsi="Times New Roman"/>
                <w:color w:val="auto"/>
                <w:szCs w:val="21"/>
                <w:u w:val="none"/>
              </w:rPr>
              <w:t>H</w:t>
            </w:r>
          </w:p>
        </w:tc>
        <w:tc>
          <w:tcPr>
            <w:tcW w:w="1297" w:type="dxa"/>
            <w:vAlign w:val="center"/>
          </w:tcPr>
          <w:p>
            <w:pPr>
              <w:jc w:val="center"/>
              <w:rPr>
                <w:rFonts w:ascii="Times New Roman" w:hAnsi="Times New Roman"/>
                <w:color w:val="auto"/>
                <w:szCs w:val="21"/>
                <w:u w:val="none"/>
                <w:vertAlign w:val="subscript"/>
              </w:rPr>
            </w:pPr>
            <w:r>
              <w:rPr>
                <w:rFonts w:ascii="Times New Roman" w:hAnsi="Times New Roman"/>
                <w:color w:val="auto"/>
                <w:szCs w:val="21"/>
                <w:u w:val="none"/>
              </w:rPr>
              <w:t>H</w:t>
            </w:r>
            <w:r>
              <w:rPr>
                <w:rFonts w:ascii="Times New Roman" w:hAnsi="Times New Roman"/>
                <w:color w:val="auto"/>
                <w:szCs w:val="21"/>
                <w:u w:val="none"/>
                <w:vertAlign w:val="subscript"/>
              </w:rPr>
              <w:t>r</w:t>
            </w:r>
          </w:p>
        </w:tc>
        <w:tc>
          <w:tcPr>
            <w:tcW w:w="1189" w:type="dxa"/>
            <w:vAlign w:val="center"/>
          </w:tcPr>
          <w:p>
            <w:pPr>
              <w:jc w:val="center"/>
              <w:rPr>
                <w:rFonts w:ascii="Times New Roman" w:hAnsi="Times New Roman"/>
                <w:color w:val="auto"/>
                <w:szCs w:val="21"/>
                <w:u w:val="none"/>
              </w:rPr>
            </w:pPr>
            <w:r>
              <w:rPr>
                <w:rFonts w:ascii="Times New Roman" w:hAnsi="Times New Roman"/>
                <w:color w:val="auto"/>
                <w:szCs w:val="21"/>
                <w:u w:val="none"/>
              </w:rPr>
              <w:t>Cond</w:t>
            </w:r>
          </w:p>
        </w:tc>
        <w:tc>
          <w:tcPr>
            <w:tcW w:w="2109" w:type="dxa"/>
            <w:vAlign w:val="center"/>
          </w:tcPr>
          <w:p>
            <w:pPr>
              <w:adjustRightInd w:val="0"/>
              <w:jc w:val="center"/>
              <w:rPr>
                <w:rFonts w:hint="eastAsia" w:ascii="Times New Roman" w:hAnsi="Times New Roman" w:eastAsia="宋体"/>
                <w:color w:val="auto"/>
                <w:szCs w:val="21"/>
                <w:u w:val="none"/>
                <w:lang w:eastAsia="zh-CN"/>
              </w:rPr>
            </w:pPr>
            <w:r>
              <w:rPr>
                <w:rFonts w:ascii="Times New Roman" w:hAnsi="Times New Roman"/>
                <w:color w:val="auto"/>
                <w:szCs w:val="21"/>
                <w:u w:val="none"/>
              </w:rPr>
              <w:t>Q</w:t>
            </w:r>
            <w:r>
              <w:rPr>
                <w:rFonts w:hint="eastAsia" w:ascii="Times New Roman" w:hAnsi="Times New Roman"/>
                <w:color w:val="auto"/>
                <w:szCs w:val="21"/>
                <w:u w:val="none"/>
                <w:vertAlign w:val="subscript"/>
                <w:lang w:eastAsia="zh-CN"/>
              </w:rPr>
              <w:t>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 w:hRule="atLeast"/>
          <w:jc w:val="center"/>
        </w:trPr>
        <w:tc>
          <w:tcPr>
            <w:tcW w:w="1030" w:type="dxa"/>
            <w:vAlign w:val="center"/>
          </w:tcPr>
          <w:p>
            <w:pPr>
              <w:pStyle w:val="5"/>
              <w:spacing w:line="240" w:lineRule="auto"/>
              <w:ind w:firstLine="0" w:firstLineChars="0"/>
              <w:jc w:val="center"/>
              <w:rPr>
                <w:color w:val="auto"/>
                <w:szCs w:val="21"/>
                <w:u w:val="none"/>
              </w:rPr>
            </w:pPr>
            <w:r>
              <w:rPr>
                <w:color w:val="auto"/>
                <w:szCs w:val="21"/>
                <w:u w:val="none"/>
              </w:rPr>
              <w:t>m</w:t>
            </w:r>
          </w:p>
        </w:tc>
        <w:tc>
          <w:tcPr>
            <w:tcW w:w="1080" w:type="dxa"/>
            <w:vAlign w:val="center"/>
          </w:tcPr>
          <w:p>
            <w:pPr>
              <w:pStyle w:val="5"/>
              <w:spacing w:line="240" w:lineRule="auto"/>
              <w:ind w:firstLine="0" w:firstLineChars="0"/>
              <w:jc w:val="center"/>
              <w:rPr>
                <w:color w:val="auto"/>
                <w:szCs w:val="21"/>
                <w:u w:val="none"/>
              </w:rPr>
            </w:pPr>
            <w:r>
              <w:rPr>
                <w:color w:val="auto"/>
                <w:szCs w:val="21"/>
                <w:u w:val="none"/>
              </w:rPr>
              <w:t>m</w:t>
            </w:r>
          </w:p>
        </w:tc>
        <w:tc>
          <w:tcPr>
            <w:tcW w:w="1731" w:type="dxa"/>
            <w:vAlign w:val="center"/>
          </w:tcPr>
          <w:p>
            <w:pPr>
              <w:pStyle w:val="5"/>
              <w:spacing w:line="240" w:lineRule="auto"/>
              <w:ind w:firstLine="0" w:firstLineChars="0"/>
              <w:jc w:val="center"/>
              <w:rPr>
                <w:color w:val="auto"/>
                <w:szCs w:val="21"/>
                <w:u w:val="none"/>
              </w:rPr>
            </w:pPr>
            <w:r>
              <w:rPr>
                <w:color w:val="auto"/>
                <w:szCs w:val="21"/>
                <w:u w:val="none"/>
              </w:rPr>
              <w:t>m</w:t>
            </w:r>
          </w:p>
        </w:tc>
        <w:tc>
          <w:tcPr>
            <w:tcW w:w="1297" w:type="dxa"/>
            <w:vAlign w:val="center"/>
          </w:tcPr>
          <w:p>
            <w:pPr>
              <w:pStyle w:val="5"/>
              <w:spacing w:line="240" w:lineRule="auto"/>
              <w:ind w:firstLine="0" w:firstLineChars="0"/>
              <w:jc w:val="center"/>
              <w:rPr>
                <w:color w:val="auto"/>
                <w:szCs w:val="21"/>
                <w:u w:val="none"/>
              </w:rPr>
            </w:pPr>
            <w:r>
              <w:rPr>
                <w:color w:val="auto"/>
                <w:szCs w:val="21"/>
                <w:u w:val="none"/>
              </w:rPr>
              <w:t>h</w:t>
            </w:r>
          </w:p>
        </w:tc>
        <w:tc>
          <w:tcPr>
            <w:tcW w:w="1189" w:type="dxa"/>
            <w:vAlign w:val="center"/>
          </w:tcPr>
          <w:p>
            <w:pPr>
              <w:pStyle w:val="5"/>
              <w:spacing w:line="240" w:lineRule="auto"/>
              <w:ind w:firstLine="0" w:firstLineChars="0"/>
              <w:jc w:val="center"/>
              <w:rPr>
                <w:color w:val="auto"/>
                <w:szCs w:val="21"/>
                <w:u w:val="none"/>
              </w:rPr>
            </w:pPr>
          </w:p>
        </w:tc>
        <w:tc>
          <w:tcPr>
            <w:tcW w:w="2109" w:type="dxa"/>
            <w:vAlign w:val="center"/>
          </w:tcPr>
          <w:p>
            <w:pPr>
              <w:pStyle w:val="5"/>
              <w:spacing w:line="240" w:lineRule="auto"/>
              <w:ind w:firstLine="0" w:firstLineChars="0"/>
              <w:jc w:val="center"/>
              <w:rPr>
                <w:color w:val="auto"/>
                <w:szCs w:val="21"/>
                <w:u w:val="none"/>
              </w:rPr>
            </w:pPr>
            <w:r>
              <w:rPr>
                <w:color w:val="auto"/>
                <w:szCs w:val="21"/>
                <w:u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 w:hRule="atLeast"/>
          <w:jc w:val="center"/>
        </w:trPr>
        <w:tc>
          <w:tcPr>
            <w:tcW w:w="1030" w:type="dxa"/>
            <w:vAlign w:val="center"/>
          </w:tcPr>
          <w:p>
            <w:pPr>
              <w:pStyle w:val="5"/>
              <w:spacing w:line="240" w:lineRule="auto"/>
              <w:ind w:firstLine="0" w:firstLineChars="0"/>
              <w:jc w:val="center"/>
              <w:rPr>
                <w:rFonts w:hint="default" w:eastAsia="宋体"/>
                <w:color w:val="auto"/>
                <w:szCs w:val="21"/>
                <w:u w:val="none"/>
                <w:lang w:val="en-US" w:eastAsia="zh-CN"/>
              </w:rPr>
            </w:pPr>
            <w:r>
              <w:rPr>
                <w:rFonts w:hint="eastAsia"/>
                <w:color w:val="auto"/>
                <w:szCs w:val="21"/>
                <w:u w:val="none"/>
                <w:lang w:val="en-US" w:eastAsia="zh-CN"/>
              </w:rPr>
              <w:t>1950</w:t>
            </w:r>
          </w:p>
        </w:tc>
        <w:tc>
          <w:tcPr>
            <w:tcW w:w="1080" w:type="dxa"/>
            <w:vAlign w:val="center"/>
          </w:tcPr>
          <w:p>
            <w:pPr>
              <w:pStyle w:val="5"/>
              <w:spacing w:line="240" w:lineRule="auto"/>
              <w:ind w:firstLine="0" w:firstLineChars="0"/>
              <w:jc w:val="center"/>
              <w:rPr>
                <w:rFonts w:hint="eastAsia" w:eastAsia="宋体"/>
                <w:color w:val="auto"/>
                <w:szCs w:val="21"/>
                <w:u w:val="none"/>
                <w:lang w:eastAsia="zh-CN"/>
              </w:rPr>
            </w:pPr>
            <w:r>
              <w:rPr>
                <w:rFonts w:hint="eastAsia"/>
                <w:color w:val="auto"/>
                <w:szCs w:val="21"/>
                <w:u w:val="none"/>
                <w:lang w:val="en-US" w:eastAsia="zh-CN"/>
              </w:rPr>
              <w:t>1</w:t>
            </w:r>
          </w:p>
        </w:tc>
        <w:tc>
          <w:tcPr>
            <w:tcW w:w="1731" w:type="dxa"/>
            <w:vAlign w:val="center"/>
          </w:tcPr>
          <w:p>
            <w:pPr>
              <w:pStyle w:val="5"/>
              <w:spacing w:line="240" w:lineRule="auto"/>
              <w:ind w:firstLine="0" w:firstLineChars="0"/>
              <w:jc w:val="center"/>
              <w:rPr>
                <w:color w:val="auto"/>
                <w:szCs w:val="21"/>
                <w:u w:val="none"/>
              </w:rPr>
            </w:pPr>
            <w:r>
              <w:rPr>
                <w:rFonts w:hint="eastAsia"/>
                <w:color w:val="auto"/>
                <w:szCs w:val="21"/>
                <w:u w:val="none"/>
              </w:rPr>
              <w:t>7.5</w:t>
            </w:r>
          </w:p>
        </w:tc>
        <w:tc>
          <w:tcPr>
            <w:tcW w:w="1297" w:type="dxa"/>
            <w:vAlign w:val="center"/>
          </w:tcPr>
          <w:p>
            <w:pPr>
              <w:pStyle w:val="5"/>
              <w:spacing w:line="240" w:lineRule="auto"/>
              <w:ind w:firstLine="0" w:firstLineChars="0"/>
              <w:jc w:val="center"/>
              <w:rPr>
                <w:rFonts w:hint="default" w:eastAsia="宋体"/>
                <w:color w:val="auto"/>
                <w:szCs w:val="21"/>
                <w:u w:val="none"/>
                <w:lang w:val="en-US" w:eastAsia="zh-CN"/>
              </w:rPr>
            </w:pPr>
            <w:r>
              <w:rPr>
                <w:rFonts w:hint="eastAsia"/>
                <w:color w:val="auto"/>
                <w:szCs w:val="21"/>
                <w:u w:val="none"/>
                <w:lang w:val="en-US" w:eastAsia="zh-CN"/>
              </w:rPr>
              <w:t>700</w:t>
            </w:r>
          </w:p>
        </w:tc>
        <w:tc>
          <w:tcPr>
            <w:tcW w:w="1189" w:type="dxa"/>
            <w:vAlign w:val="center"/>
          </w:tcPr>
          <w:p>
            <w:pPr>
              <w:pStyle w:val="5"/>
              <w:spacing w:line="240" w:lineRule="auto"/>
              <w:ind w:firstLine="0" w:firstLineChars="0"/>
              <w:jc w:val="center"/>
              <w:rPr>
                <w:color w:val="auto"/>
                <w:szCs w:val="21"/>
                <w:u w:val="none"/>
              </w:rPr>
            </w:pPr>
            <w:r>
              <w:rPr>
                <w:color w:val="auto"/>
                <w:szCs w:val="21"/>
                <w:u w:val="none"/>
              </w:rPr>
              <w:t>正常</w:t>
            </w:r>
          </w:p>
        </w:tc>
        <w:tc>
          <w:tcPr>
            <w:tcW w:w="2109" w:type="dxa"/>
            <w:vAlign w:val="center"/>
          </w:tcPr>
          <w:p>
            <w:pPr>
              <w:pStyle w:val="5"/>
              <w:spacing w:line="240" w:lineRule="auto"/>
              <w:ind w:firstLine="0" w:firstLineChars="0"/>
              <w:jc w:val="center"/>
              <w:rPr>
                <w:rFonts w:hint="default" w:eastAsia="宋体"/>
                <w:color w:val="auto"/>
                <w:szCs w:val="21"/>
                <w:u w:val="none"/>
                <w:lang w:val="en-US" w:eastAsia="zh-CN"/>
              </w:rPr>
            </w:pPr>
            <w:r>
              <w:rPr>
                <w:color w:val="auto"/>
                <w:szCs w:val="21"/>
                <w:u w:val="none"/>
              </w:rPr>
              <w:t>0.0</w:t>
            </w:r>
            <w:r>
              <w:rPr>
                <w:rFonts w:hint="eastAsia"/>
                <w:color w:val="auto"/>
                <w:szCs w:val="21"/>
                <w:u w:val="none"/>
              </w:rPr>
              <w:t>0</w:t>
            </w:r>
            <w:r>
              <w:rPr>
                <w:rFonts w:hint="eastAsia"/>
                <w:color w:val="auto"/>
                <w:szCs w:val="21"/>
                <w:u w:val="none"/>
                <w:lang w:val="en-US" w:eastAsia="zh-CN"/>
              </w:rPr>
              <w:t>114</w:t>
            </w:r>
          </w:p>
        </w:tc>
      </w:tr>
    </w:tbl>
    <w:p>
      <w:pPr>
        <w:pStyle w:val="7"/>
        <w:numPr>
          <w:ilvl w:val="2"/>
          <w:numId w:val="0"/>
        </w:numPr>
        <w:spacing w:before="120" w:beforeLines="0" w:after="120" w:afterLines="0"/>
        <w:ind w:left="142" w:leftChars="0"/>
        <w:rPr>
          <w:color w:val="auto"/>
          <w:u w:val="none"/>
        </w:rPr>
      </w:pPr>
      <w:bookmarkStart w:id="301" w:name="_Toc28280"/>
      <w:bookmarkStart w:id="302" w:name="_Toc20319"/>
      <w:bookmarkStart w:id="303" w:name="_Toc4782"/>
      <w:r>
        <w:rPr>
          <w:rFonts w:hint="eastAsia"/>
          <w:color w:val="auto"/>
          <w:u w:val="none"/>
          <w:lang w:val="en-US" w:eastAsia="zh-CN"/>
        </w:rPr>
        <w:t xml:space="preserve">5.1.3 </w:t>
      </w:r>
      <w:r>
        <w:rPr>
          <w:rFonts w:hint="eastAsia"/>
          <w:color w:val="auto"/>
          <w:u w:val="none"/>
        </w:rPr>
        <w:t>估算模式预测结果与评价</w:t>
      </w:r>
      <w:bookmarkEnd w:id="301"/>
      <w:bookmarkEnd w:id="302"/>
      <w:bookmarkEnd w:id="303"/>
    </w:p>
    <w:p>
      <w:pPr>
        <w:spacing w:line="360" w:lineRule="auto"/>
        <w:ind w:firstLine="480" w:firstLineChars="200"/>
        <w:rPr>
          <w:rFonts w:ascii="Times New Roman" w:hAnsi="Times New Roman"/>
          <w:color w:val="auto"/>
          <w:sz w:val="24"/>
          <w:szCs w:val="24"/>
          <w:u w:val="none"/>
        </w:rPr>
      </w:pPr>
      <w:bookmarkStart w:id="304" w:name="_Toc280188853"/>
      <w:bookmarkStart w:id="305" w:name="_Toc244655395"/>
      <w:r>
        <w:rPr>
          <w:rFonts w:ascii="Times New Roman" w:hAnsi="Times New Roman"/>
          <w:color w:val="auto"/>
          <w:sz w:val="24"/>
          <w:szCs w:val="24"/>
          <w:u w:val="none"/>
        </w:rPr>
        <w:t>采用HJ2.2-2018推荐模式清单中的估算模式</w:t>
      </w:r>
      <w:r>
        <w:rPr>
          <w:rFonts w:hint="eastAsia" w:ascii="Times New Roman" w:hAnsi="Times New Roman"/>
          <w:color w:val="auto"/>
          <w:sz w:val="24"/>
          <w:szCs w:val="24"/>
          <w:u w:val="none"/>
        </w:rPr>
        <w:t>进行预测。</w:t>
      </w:r>
    </w:p>
    <w:p>
      <w:pPr>
        <w:spacing w:line="360" w:lineRule="auto"/>
        <w:ind w:firstLine="480" w:firstLineChars="200"/>
        <w:rPr>
          <w:rFonts w:hint="eastAsia" w:ascii="Times New Roman" w:hAnsi="Times New Roman"/>
          <w:color w:val="auto"/>
          <w:sz w:val="24"/>
          <w:szCs w:val="24"/>
          <w:u w:val="none"/>
        </w:rPr>
      </w:pPr>
      <w:r>
        <w:rPr>
          <w:rFonts w:hint="eastAsia" w:ascii="Times New Roman" w:hAnsi="Times New Roman"/>
          <w:color w:val="auto"/>
          <w:sz w:val="24"/>
          <w:szCs w:val="24"/>
          <w:u w:val="none"/>
          <w:lang w:eastAsia="zh-CN"/>
        </w:rPr>
        <w:t>液氨输送管廊</w:t>
      </w:r>
      <w:r>
        <w:rPr>
          <w:rFonts w:hint="eastAsia" w:ascii="Times New Roman" w:hAnsi="Times New Roman"/>
          <w:color w:val="auto"/>
          <w:sz w:val="24"/>
          <w:szCs w:val="24"/>
          <w:u w:val="none"/>
        </w:rPr>
        <w:t>无组织排放对周边环境污染影响估算预测见表5</w:t>
      </w:r>
      <w:r>
        <w:rPr>
          <w:rFonts w:hint="eastAsia" w:ascii="Times New Roman" w:hAnsi="Times New Roman"/>
          <w:color w:val="auto"/>
          <w:sz w:val="24"/>
          <w:szCs w:val="24"/>
          <w:u w:val="none"/>
          <w:lang w:val="en-US" w:eastAsia="zh-CN"/>
        </w:rPr>
        <w:t>.1-5</w:t>
      </w:r>
      <w:r>
        <w:rPr>
          <w:rFonts w:hint="eastAsia" w:ascii="Times New Roman" w:hAnsi="Times New Roman"/>
          <w:color w:val="auto"/>
          <w:sz w:val="24"/>
          <w:szCs w:val="24"/>
          <w:u w:val="none"/>
        </w:rPr>
        <w:t>：</w:t>
      </w:r>
    </w:p>
    <w:p>
      <w:pPr>
        <w:pStyle w:val="22"/>
        <w:rPr>
          <w:color w:val="auto"/>
        </w:rPr>
      </w:pPr>
    </w:p>
    <w:p>
      <w:pPr>
        <w:pStyle w:val="18"/>
        <w:rPr>
          <w:color w:val="auto"/>
          <w:u w:val="none"/>
        </w:rPr>
      </w:pPr>
      <w:r>
        <w:rPr>
          <w:color w:val="auto"/>
          <w:u w:val="none"/>
        </w:rPr>
        <w:t xml:space="preserve">表 </w:t>
      </w:r>
      <w:r>
        <w:rPr>
          <w:color w:val="auto"/>
          <w:u w:val="none"/>
        </w:rPr>
        <w:fldChar w:fldCharType="begin"/>
      </w:r>
      <w:r>
        <w:rPr>
          <w:color w:val="auto"/>
          <w:u w:val="none"/>
        </w:rPr>
        <w:instrText xml:space="preserve"> STYLEREF 1 \s </w:instrText>
      </w:r>
      <w:r>
        <w:rPr>
          <w:color w:val="auto"/>
          <w:u w:val="none"/>
        </w:rPr>
        <w:fldChar w:fldCharType="separate"/>
      </w:r>
      <w:r>
        <w:rPr>
          <w:color w:val="auto"/>
          <w:u w:val="none"/>
        </w:rPr>
        <w:t>5</w:t>
      </w:r>
      <w:r>
        <w:rPr>
          <w:color w:val="auto"/>
          <w:u w:val="none"/>
        </w:rPr>
        <w:fldChar w:fldCharType="end"/>
      </w:r>
      <w:r>
        <w:rPr>
          <w:rFonts w:hint="eastAsia"/>
          <w:color w:val="auto"/>
          <w:u w:val="none"/>
          <w:lang w:val="en-US" w:eastAsia="zh-CN"/>
        </w:rPr>
        <w:t>.1</w:t>
      </w:r>
      <w:r>
        <w:rPr>
          <w:rFonts w:hint="eastAsia"/>
          <w:color w:val="auto"/>
          <w:u w:val="none"/>
        </w:rPr>
        <w:t>-</w:t>
      </w:r>
      <w:r>
        <w:rPr>
          <w:rFonts w:hint="eastAsia"/>
          <w:color w:val="auto"/>
          <w:u w:val="none"/>
          <w:lang w:val="en-US" w:eastAsia="zh-CN"/>
        </w:rPr>
        <w:t>5</w:t>
      </w:r>
      <w:r>
        <w:rPr>
          <w:color w:val="auto"/>
          <w:u w:val="none"/>
        </w:rPr>
        <w:t xml:space="preserve">  </w:t>
      </w:r>
      <w:r>
        <w:rPr>
          <w:rFonts w:hint="eastAsia"/>
          <w:color w:val="auto"/>
          <w:u w:val="none"/>
          <w:lang w:eastAsia="zh-CN"/>
        </w:rPr>
        <w:t>液氨输送管廊</w:t>
      </w:r>
      <w:r>
        <w:rPr>
          <w:color w:val="auto"/>
          <w:u w:val="none"/>
        </w:rPr>
        <w:t>无组织</w:t>
      </w:r>
      <w:r>
        <w:rPr>
          <w:rFonts w:hint="eastAsia"/>
          <w:color w:val="auto"/>
          <w:u w:val="none"/>
        </w:rPr>
        <w:t>排放的</w:t>
      </w:r>
      <w:r>
        <w:rPr>
          <w:rFonts w:hint="eastAsia"/>
          <w:color w:val="auto"/>
          <w:szCs w:val="21"/>
          <w:u w:val="none"/>
          <w:lang w:eastAsia="zh-CN"/>
        </w:rPr>
        <w:t>氨</w:t>
      </w:r>
      <w:r>
        <w:rPr>
          <w:color w:val="auto"/>
          <w:u w:val="none"/>
        </w:rPr>
        <w:t>废气</w:t>
      </w:r>
      <w:r>
        <w:rPr>
          <w:rFonts w:hint="eastAsia"/>
          <w:color w:val="auto"/>
          <w:u w:val="none"/>
        </w:rPr>
        <w:t>影响预测</w:t>
      </w:r>
      <w:r>
        <w:rPr>
          <w:color w:val="auto"/>
          <w:u w:val="none"/>
        </w:rPr>
        <w:t>估算结果</w:t>
      </w:r>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8"/>
        <w:gridCol w:w="3049"/>
        <w:gridCol w:w="3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trPr>
        <w:tc>
          <w:tcPr>
            <w:tcW w:w="3188" w:type="dxa"/>
            <w:vMerge w:val="restart"/>
            <w:vAlign w:val="center"/>
          </w:tcPr>
          <w:p>
            <w:pPr>
              <w:jc w:val="center"/>
              <w:rPr>
                <w:color w:val="auto"/>
              </w:rPr>
            </w:pPr>
            <w:r>
              <w:rPr>
                <w:color w:val="auto"/>
              </w:rPr>
              <w:t>下方向距离(m)</w:t>
            </w:r>
          </w:p>
        </w:tc>
        <w:tc>
          <w:tcPr>
            <w:tcW w:w="6098" w:type="dxa"/>
            <w:gridSpan w:val="2"/>
            <w:vAlign w:val="center"/>
          </w:tcPr>
          <w:p>
            <w:pPr>
              <w:jc w:val="center"/>
              <w:rPr>
                <w:color w:val="auto"/>
              </w:rPr>
            </w:pPr>
            <w:r>
              <w:rPr>
                <w:color w:val="auto"/>
              </w:rPr>
              <w:t>矩形面源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1" w:hRule="atLeast"/>
        </w:trPr>
        <w:tc>
          <w:tcPr>
            <w:tcW w:w="3188" w:type="dxa"/>
            <w:vMerge w:val="continue"/>
            <w:vAlign w:val="center"/>
          </w:tcPr>
          <w:p>
            <w:pPr>
              <w:jc w:val="center"/>
              <w:rPr>
                <w:rFonts w:ascii="Times New Roman" w:hAnsi="Times New Roman" w:cs="Times New Roman"/>
                <w:color w:val="auto"/>
                <w:szCs w:val="21"/>
              </w:rPr>
            </w:pPr>
          </w:p>
        </w:tc>
        <w:tc>
          <w:tcPr>
            <w:tcW w:w="3049" w:type="dxa"/>
            <w:vAlign w:val="center"/>
          </w:tcPr>
          <w:p>
            <w:pPr>
              <w:jc w:val="center"/>
              <w:rPr>
                <w:color w:val="auto"/>
              </w:rPr>
            </w:pPr>
            <w:r>
              <w:rPr>
                <w:color w:val="auto"/>
              </w:rPr>
              <w:t>NH</w:t>
            </w:r>
            <w:r>
              <w:rPr>
                <w:color w:val="auto"/>
                <w:vertAlign w:val="subscript"/>
              </w:rPr>
              <w:t>3</w:t>
            </w:r>
            <w:r>
              <w:rPr>
                <w:color w:val="auto"/>
              </w:rPr>
              <w:t>浓度（ug/m3）</w:t>
            </w:r>
          </w:p>
        </w:tc>
        <w:tc>
          <w:tcPr>
            <w:tcW w:w="3049" w:type="dxa"/>
            <w:vAlign w:val="center"/>
          </w:tcPr>
          <w:p>
            <w:pPr>
              <w:jc w:val="center"/>
              <w:rPr>
                <w:color w:val="auto"/>
              </w:rPr>
            </w:pPr>
            <w:r>
              <w:rPr>
                <w:color w:val="auto"/>
              </w:rPr>
              <w:t>NH</w:t>
            </w:r>
            <w:r>
              <w:rPr>
                <w:color w:val="auto"/>
                <w:vertAlign w:val="subscript"/>
              </w:rPr>
              <w:t>3</w:t>
            </w:r>
            <w:r>
              <w:rPr>
                <w:color w:val="auto"/>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50.0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75.0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100.0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200.0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300.0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400.0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444.0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500.0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600.0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700.0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800.0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900.0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1000.0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1500.0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2000.0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2500.0</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下风向最大浓度</w:t>
            </w:r>
          </w:p>
        </w:tc>
        <w:tc>
          <w:tcPr>
            <w:tcW w:w="3049" w:type="dxa"/>
            <w:vAlign w:val="center"/>
          </w:tcPr>
          <w:p>
            <w:pPr>
              <w:jc w:val="center"/>
              <w:rPr>
                <w:color w:val="auto"/>
              </w:rPr>
            </w:pPr>
            <w:r>
              <w:rPr>
                <w:color w:val="auto"/>
              </w:rPr>
              <w:t>0.0</w:t>
            </w:r>
          </w:p>
        </w:tc>
        <w:tc>
          <w:tcPr>
            <w:tcW w:w="3049" w:type="dxa"/>
            <w:vAlign w:val="center"/>
          </w:tcPr>
          <w:p>
            <w:pPr>
              <w:jc w:val="center"/>
              <w:rPr>
                <w:color w:val="auto"/>
              </w:rPr>
            </w:pP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下风向最大浓度出现距离</w:t>
            </w:r>
          </w:p>
        </w:tc>
        <w:tc>
          <w:tcPr>
            <w:tcW w:w="3049" w:type="dxa"/>
            <w:vAlign w:val="center"/>
          </w:tcPr>
          <w:p>
            <w:pPr>
              <w:jc w:val="center"/>
              <w:rPr>
                <w:color w:val="auto"/>
              </w:rPr>
            </w:pPr>
            <w:r>
              <w:rPr>
                <w:color w:val="auto"/>
              </w:rPr>
              <w:t>444.0</w:t>
            </w:r>
          </w:p>
        </w:tc>
        <w:tc>
          <w:tcPr>
            <w:tcW w:w="3049" w:type="dxa"/>
            <w:vAlign w:val="center"/>
          </w:tcPr>
          <w:p>
            <w:pPr>
              <w:jc w:val="center"/>
              <w:rPr>
                <w:color w:val="auto"/>
              </w:rPr>
            </w:pPr>
            <w:r>
              <w:rPr>
                <w:color w:val="auto"/>
              </w:rPr>
              <w:t>444.0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3188" w:type="dxa"/>
            <w:vAlign w:val="center"/>
          </w:tcPr>
          <w:p>
            <w:pPr>
              <w:jc w:val="center"/>
              <w:rPr>
                <w:color w:val="auto"/>
              </w:rPr>
            </w:pPr>
            <w:r>
              <w:rPr>
                <w:color w:val="auto"/>
              </w:rPr>
              <w:t>D10%最远距离</w:t>
            </w:r>
          </w:p>
        </w:tc>
        <w:tc>
          <w:tcPr>
            <w:tcW w:w="3049" w:type="dxa"/>
            <w:vAlign w:val="center"/>
          </w:tcPr>
          <w:p>
            <w:pPr>
              <w:jc w:val="center"/>
              <w:rPr>
                <w:color w:val="auto"/>
              </w:rPr>
            </w:pPr>
            <w:r>
              <w:rPr>
                <w:color w:val="auto"/>
              </w:rPr>
              <w:t>/</w:t>
            </w:r>
          </w:p>
        </w:tc>
        <w:tc>
          <w:tcPr>
            <w:tcW w:w="3049" w:type="dxa"/>
            <w:vAlign w:val="center"/>
          </w:tcPr>
          <w:p>
            <w:pPr>
              <w:jc w:val="center"/>
              <w:rPr>
                <w:color w:val="auto"/>
              </w:rPr>
            </w:pPr>
            <w:r>
              <w:rPr>
                <w:color w:val="auto"/>
              </w:rPr>
              <w:t>/</w:t>
            </w:r>
          </w:p>
        </w:tc>
      </w:tr>
    </w:tbl>
    <w:p>
      <w:pPr>
        <w:rPr>
          <w:color w:val="auto"/>
        </w:rPr>
      </w:pPr>
    </w:p>
    <w:p>
      <w:pPr>
        <w:pStyle w:val="175"/>
        <w:tabs>
          <w:tab w:val="clear" w:pos="0"/>
        </w:tabs>
        <w:spacing w:line="360" w:lineRule="auto"/>
        <w:ind w:firstLine="480" w:firstLineChars="200"/>
        <w:jc w:val="both"/>
        <w:rPr>
          <w:rFonts w:ascii="Times New Roman" w:hAnsi="Times New Roman"/>
          <w:b w:val="0"/>
          <w:bCs/>
          <w:color w:val="auto"/>
          <w:sz w:val="24"/>
          <w:u w:val="none"/>
        </w:rPr>
      </w:pPr>
      <w:r>
        <w:rPr>
          <w:rFonts w:ascii="Times New Roman" w:hAnsi="Times New Roman"/>
          <w:b w:val="0"/>
          <w:bCs/>
          <w:color w:val="auto"/>
          <w:sz w:val="24"/>
          <w:u w:val="none"/>
        </w:rPr>
        <w:t>由</w:t>
      </w:r>
      <w:r>
        <w:rPr>
          <w:rFonts w:hint="eastAsia" w:ascii="Times New Roman" w:hAnsi="Times New Roman"/>
          <w:b w:val="0"/>
          <w:bCs/>
          <w:color w:val="auto"/>
          <w:sz w:val="24"/>
          <w:u w:val="none"/>
        </w:rPr>
        <w:t>估算结果</w:t>
      </w:r>
      <w:r>
        <w:rPr>
          <w:rFonts w:ascii="Times New Roman" w:hAnsi="Times New Roman"/>
          <w:b w:val="0"/>
          <w:bCs/>
          <w:color w:val="auto"/>
          <w:sz w:val="24"/>
          <w:u w:val="none"/>
        </w:rPr>
        <w:t>可知</w:t>
      </w:r>
      <w:r>
        <w:rPr>
          <w:rFonts w:hint="eastAsia" w:ascii="Times New Roman" w:hAnsi="Times New Roman"/>
          <w:b w:val="0"/>
          <w:bCs/>
          <w:color w:val="auto"/>
          <w:sz w:val="24"/>
          <w:u w:val="none"/>
        </w:rPr>
        <w:t>：</w:t>
      </w:r>
    </w:p>
    <w:p>
      <w:pPr>
        <w:pStyle w:val="175"/>
        <w:tabs>
          <w:tab w:val="clear" w:pos="0"/>
        </w:tabs>
        <w:spacing w:line="360" w:lineRule="auto"/>
        <w:ind w:firstLine="480" w:firstLineChars="200"/>
        <w:jc w:val="both"/>
        <w:rPr>
          <w:rFonts w:ascii="Times New Roman" w:hAnsi="Times New Roman"/>
          <w:b w:val="0"/>
          <w:bCs/>
          <w:color w:val="auto"/>
          <w:sz w:val="24"/>
          <w:u w:val="none"/>
        </w:rPr>
      </w:pPr>
      <w:r>
        <w:rPr>
          <w:rFonts w:hint="eastAsia" w:ascii="Times New Roman" w:hAnsi="Times New Roman"/>
          <w:b w:val="0"/>
          <w:bCs/>
          <w:color w:val="auto"/>
          <w:sz w:val="24"/>
          <w:u w:val="none"/>
        </w:rPr>
        <w:t>（1）</w:t>
      </w:r>
      <w:r>
        <w:rPr>
          <w:rFonts w:ascii="Times New Roman" w:hAnsi="Times New Roman"/>
          <w:b w:val="0"/>
          <w:bCs/>
          <w:color w:val="auto"/>
          <w:sz w:val="24"/>
          <w:u w:val="none"/>
        </w:rPr>
        <w:t>拟</w:t>
      </w:r>
      <w:r>
        <w:rPr>
          <w:rFonts w:hint="eastAsia" w:ascii="Times New Roman" w:hAnsi="Times New Roman"/>
          <w:b w:val="0"/>
          <w:bCs/>
          <w:color w:val="auto"/>
          <w:sz w:val="24"/>
          <w:u w:val="none"/>
        </w:rPr>
        <w:t>建工程实施</w:t>
      </w:r>
      <w:r>
        <w:rPr>
          <w:rFonts w:ascii="Times New Roman" w:hAnsi="Times New Roman"/>
          <w:b w:val="0"/>
          <w:bCs/>
          <w:color w:val="auto"/>
          <w:sz w:val="24"/>
          <w:u w:val="none"/>
        </w:rPr>
        <w:t>后，</w:t>
      </w:r>
      <w:r>
        <w:rPr>
          <w:rFonts w:hint="eastAsia" w:ascii="Times New Roman" w:hAnsi="Times New Roman"/>
          <w:b w:val="0"/>
          <w:bCs/>
          <w:color w:val="auto"/>
          <w:sz w:val="24"/>
          <w:u w:val="none"/>
          <w:lang w:eastAsia="zh-CN"/>
        </w:rPr>
        <w:t>液氨输送过程</w:t>
      </w:r>
      <w:r>
        <w:rPr>
          <w:rFonts w:hint="eastAsia" w:ascii="Times New Roman" w:hAnsi="Times New Roman"/>
          <w:b w:val="0"/>
          <w:bCs/>
          <w:color w:val="auto"/>
          <w:sz w:val="24"/>
          <w:u w:val="none"/>
        </w:rPr>
        <w:t>产生的无组织排放源</w:t>
      </w:r>
      <w:r>
        <w:rPr>
          <w:rFonts w:ascii="Times New Roman" w:hAnsi="Times New Roman"/>
          <w:b w:val="0"/>
          <w:bCs/>
          <w:color w:val="auto"/>
          <w:sz w:val="24"/>
          <w:u w:val="none"/>
        </w:rPr>
        <w:t>排放</w:t>
      </w:r>
      <w:r>
        <w:rPr>
          <w:rFonts w:hint="eastAsia" w:ascii="Times New Roman" w:hAnsi="Times New Roman"/>
          <w:b w:val="0"/>
          <w:bCs/>
          <w:color w:val="auto"/>
          <w:sz w:val="24"/>
          <w:u w:val="none"/>
        </w:rPr>
        <w:t>的主要</w:t>
      </w:r>
      <w:r>
        <w:rPr>
          <w:rFonts w:ascii="Times New Roman" w:hAnsi="Times New Roman"/>
          <w:b w:val="0"/>
          <w:bCs/>
          <w:color w:val="auto"/>
          <w:sz w:val="24"/>
          <w:u w:val="none"/>
        </w:rPr>
        <w:t>污染物</w:t>
      </w:r>
      <w:r>
        <w:rPr>
          <w:rFonts w:hint="eastAsia" w:ascii="Times New Roman" w:hAnsi="Times New Roman"/>
          <w:b w:val="0"/>
          <w:bCs/>
          <w:color w:val="auto"/>
          <w:sz w:val="24"/>
          <w:u w:val="none"/>
          <w:lang w:eastAsia="zh-CN"/>
        </w:rPr>
        <w:t>氨</w:t>
      </w:r>
      <w:r>
        <w:rPr>
          <w:rFonts w:hint="eastAsia" w:ascii="Times New Roman" w:hAnsi="Times New Roman"/>
          <w:b w:val="0"/>
          <w:bCs/>
          <w:color w:val="auto"/>
          <w:sz w:val="24"/>
          <w:u w:val="none"/>
        </w:rPr>
        <w:t>，正常排放情况下，其排放的</w:t>
      </w:r>
      <w:r>
        <w:rPr>
          <w:rFonts w:ascii="Times New Roman" w:hAnsi="Times New Roman"/>
          <w:b w:val="0"/>
          <w:bCs/>
          <w:color w:val="auto"/>
          <w:sz w:val="24"/>
          <w:u w:val="none"/>
        </w:rPr>
        <w:t>最大地面浓度为</w:t>
      </w:r>
      <w:r>
        <w:rPr>
          <w:rFonts w:hint="eastAsia" w:ascii="Times New Roman" w:hAnsi="Times New Roman"/>
          <w:b w:val="0"/>
          <w:bCs/>
          <w:color w:val="auto"/>
          <w:sz w:val="24"/>
          <w:u w:val="none"/>
          <w:lang w:val="en-US" w:eastAsia="zh-CN"/>
        </w:rPr>
        <w:t>0</w:t>
      </w:r>
      <w:r>
        <w:rPr>
          <w:rFonts w:ascii="Times New Roman" w:hAnsi="Times New Roman"/>
          <w:b w:val="0"/>
          <w:bCs/>
          <w:color w:val="auto"/>
          <w:sz w:val="24"/>
          <w:u w:val="none"/>
        </w:rPr>
        <w:t>mg/m</w:t>
      </w:r>
      <w:r>
        <w:rPr>
          <w:rFonts w:ascii="Times New Roman" w:hAnsi="Times New Roman"/>
          <w:b w:val="0"/>
          <w:bCs/>
          <w:color w:val="auto"/>
          <w:sz w:val="24"/>
          <w:u w:val="none"/>
          <w:vertAlign w:val="superscript"/>
        </w:rPr>
        <w:t>3</w:t>
      </w:r>
      <w:r>
        <w:rPr>
          <w:rFonts w:hint="eastAsia" w:ascii="Times New Roman" w:hAnsi="Times New Roman"/>
          <w:b w:val="0"/>
          <w:bCs/>
          <w:color w:val="auto"/>
          <w:sz w:val="24"/>
          <w:u w:val="none"/>
        </w:rPr>
        <w:t>，</w:t>
      </w:r>
      <w:r>
        <w:rPr>
          <w:rFonts w:ascii="Times New Roman" w:hAnsi="Times New Roman"/>
          <w:b w:val="0"/>
          <w:bCs/>
          <w:color w:val="auto"/>
          <w:sz w:val="24"/>
          <w:u w:val="none"/>
        </w:rPr>
        <w:t>占标率为</w:t>
      </w:r>
      <w:r>
        <w:rPr>
          <w:rFonts w:hint="eastAsia" w:ascii="Times New Roman" w:hAnsi="Times New Roman"/>
          <w:b w:val="0"/>
          <w:bCs/>
          <w:color w:val="auto"/>
          <w:sz w:val="24"/>
          <w:u w:val="none"/>
          <w:lang w:val="en-US" w:eastAsia="zh-CN"/>
        </w:rPr>
        <w:t>0</w:t>
      </w:r>
      <w:r>
        <w:rPr>
          <w:rFonts w:ascii="Times New Roman" w:hAnsi="Times New Roman"/>
          <w:b w:val="0"/>
          <w:bCs/>
          <w:color w:val="auto"/>
          <w:sz w:val="24"/>
          <w:u w:val="none"/>
        </w:rPr>
        <w:t>%</w:t>
      </w:r>
      <w:r>
        <w:rPr>
          <w:rFonts w:hint="eastAsia" w:ascii="Times New Roman" w:hAnsi="Times New Roman"/>
          <w:b w:val="0"/>
          <w:bCs/>
          <w:color w:val="auto"/>
          <w:sz w:val="24"/>
          <w:u w:val="none"/>
        </w:rPr>
        <w:t>，最大浓度距</w:t>
      </w:r>
      <w:r>
        <w:rPr>
          <w:rFonts w:hint="eastAsia" w:ascii="Times New Roman" w:hAnsi="Times New Roman"/>
          <w:b w:val="0"/>
          <w:bCs/>
          <w:color w:val="auto"/>
          <w:sz w:val="24"/>
          <w:u w:val="none"/>
          <w:lang w:eastAsia="zh-CN"/>
        </w:rPr>
        <w:t>项目</w:t>
      </w:r>
      <w:r>
        <w:rPr>
          <w:rFonts w:hint="eastAsia" w:ascii="Times New Roman" w:hAnsi="Times New Roman"/>
          <w:b w:val="0"/>
          <w:bCs/>
          <w:color w:val="auto"/>
          <w:sz w:val="24"/>
          <w:u w:val="none"/>
        </w:rPr>
        <w:t>边界</w:t>
      </w:r>
      <w:r>
        <w:rPr>
          <w:rFonts w:hint="eastAsia" w:ascii="Times New Roman" w:hAnsi="Times New Roman"/>
          <w:b w:val="0"/>
          <w:bCs/>
          <w:color w:val="auto"/>
          <w:sz w:val="24"/>
          <w:u w:val="none"/>
          <w:lang w:val="en-US" w:eastAsia="zh-CN"/>
        </w:rPr>
        <w:t>444</w:t>
      </w:r>
      <w:r>
        <w:rPr>
          <w:rFonts w:hint="eastAsia" w:ascii="Times New Roman" w:hAnsi="Times New Roman"/>
          <w:b w:val="0"/>
          <w:bCs/>
          <w:color w:val="auto"/>
          <w:sz w:val="24"/>
          <w:u w:val="none"/>
        </w:rPr>
        <w:t>米。</w:t>
      </w:r>
    </w:p>
    <w:p>
      <w:pPr>
        <w:pStyle w:val="175"/>
        <w:tabs>
          <w:tab w:val="clear" w:pos="0"/>
        </w:tabs>
        <w:spacing w:line="360" w:lineRule="auto"/>
        <w:ind w:firstLine="480" w:firstLineChars="200"/>
        <w:jc w:val="both"/>
        <w:rPr>
          <w:rFonts w:ascii="Times New Roman" w:hAnsi="Times New Roman"/>
          <w:b w:val="0"/>
          <w:bCs/>
          <w:color w:val="auto"/>
          <w:sz w:val="24"/>
          <w:u w:val="none"/>
        </w:rPr>
      </w:pPr>
      <w:r>
        <w:rPr>
          <w:rFonts w:hint="eastAsia" w:ascii="Times New Roman" w:hAnsi="Times New Roman"/>
          <w:b w:val="0"/>
          <w:bCs/>
          <w:color w:val="auto"/>
          <w:sz w:val="24"/>
          <w:u w:val="none"/>
        </w:rPr>
        <w:t>（3）上述结果可以看出，</w:t>
      </w:r>
      <w:r>
        <w:rPr>
          <w:rFonts w:hint="eastAsia" w:ascii="Times New Roman" w:hAnsi="Times New Roman"/>
          <w:b w:val="0"/>
          <w:bCs/>
          <w:color w:val="auto"/>
          <w:sz w:val="24"/>
          <w:u w:val="none"/>
          <w:lang w:eastAsia="zh-CN"/>
        </w:rPr>
        <w:t>氨的</w:t>
      </w:r>
      <w:r>
        <w:rPr>
          <w:rFonts w:hint="eastAsia" w:ascii="Times New Roman" w:hAnsi="Times New Roman"/>
          <w:b w:val="0"/>
          <w:bCs/>
          <w:color w:val="auto"/>
          <w:sz w:val="24"/>
          <w:u w:val="none"/>
        </w:rPr>
        <w:t>厂界最大浓度贡献为</w:t>
      </w:r>
      <w:r>
        <w:rPr>
          <w:rFonts w:hint="eastAsia" w:ascii="Times New Roman" w:hAnsi="Times New Roman"/>
          <w:b w:val="0"/>
          <w:bCs/>
          <w:color w:val="auto"/>
          <w:sz w:val="24"/>
          <w:u w:val="none"/>
          <w:lang w:val="en-US" w:eastAsia="zh-CN"/>
        </w:rPr>
        <w:t>0</w:t>
      </w:r>
      <w:r>
        <w:rPr>
          <w:rFonts w:ascii="Times New Roman" w:hAnsi="Times New Roman"/>
          <w:b w:val="0"/>
          <w:bCs/>
          <w:color w:val="auto"/>
          <w:sz w:val="24"/>
          <w:u w:val="none"/>
        </w:rPr>
        <w:t xml:space="preserve"> mg/m</w:t>
      </w:r>
      <w:r>
        <w:rPr>
          <w:rFonts w:ascii="Times New Roman" w:hAnsi="Times New Roman"/>
          <w:b w:val="0"/>
          <w:bCs/>
          <w:color w:val="auto"/>
          <w:sz w:val="24"/>
          <w:u w:val="none"/>
          <w:vertAlign w:val="superscript"/>
        </w:rPr>
        <w:t>3</w:t>
      </w:r>
      <w:r>
        <w:rPr>
          <w:rFonts w:hint="eastAsia" w:ascii="Times New Roman" w:hAnsi="Times New Roman"/>
          <w:b w:val="0"/>
          <w:bCs/>
          <w:color w:val="auto"/>
          <w:sz w:val="24"/>
          <w:u w:val="none"/>
        </w:rPr>
        <w:t>，叠加最大背景监测浓度，厂界最大浓度为0.028</w:t>
      </w:r>
      <w:r>
        <w:rPr>
          <w:rFonts w:ascii="Times New Roman" w:hAnsi="Times New Roman"/>
          <w:b w:val="0"/>
          <w:bCs/>
          <w:color w:val="auto"/>
          <w:sz w:val="24"/>
          <w:u w:val="none"/>
        </w:rPr>
        <w:t xml:space="preserve"> mg/m</w:t>
      </w:r>
      <w:r>
        <w:rPr>
          <w:rFonts w:ascii="Times New Roman" w:hAnsi="Times New Roman"/>
          <w:b w:val="0"/>
          <w:bCs/>
          <w:color w:val="auto"/>
          <w:sz w:val="24"/>
          <w:u w:val="none"/>
          <w:vertAlign w:val="superscript"/>
        </w:rPr>
        <w:t>3</w:t>
      </w:r>
      <w:r>
        <w:rPr>
          <w:rFonts w:hint="eastAsia" w:ascii="Times New Roman" w:hAnsi="Times New Roman"/>
          <w:b w:val="0"/>
          <w:bCs/>
          <w:color w:val="auto"/>
          <w:sz w:val="24"/>
          <w:u w:val="none"/>
        </w:rPr>
        <w:t>，远小于环境标准限值</w:t>
      </w:r>
      <w:r>
        <w:rPr>
          <w:rFonts w:hint="eastAsia" w:ascii="Times New Roman" w:hAnsi="Times New Roman"/>
          <w:b w:val="0"/>
          <w:bCs/>
          <w:color w:val="auto"/>
          <w:sz w:val="24"/>
          <w:u w:val="none"/>
          <w:lang w:val="en-US" w:eastAsia="zh-CN"/>
        </w:rPr>
        <w:t>0.2</w:t>
      </w:r>
      <w:r>
        <w:rPr>
          <w:rFonts w:ascii="Times New Roman" w:hAnsi="Times New Roman"/>
          <w:b w:val="0"/>
          <w:bCs/>
          <w:color w:val="auto"/>
          <w:sz w:val="24"/>
          <w:u w:val="none"/>
        </w:rPr>
        <w:t>mg/m</w:t>
      </w:r>
      <w:r>
        <w:rPr>
          <w:rFonts w:ascii="Times New Roman" w:hAnsi="Times New Roman"/>
          <w:b w:val="0"/>
          <w:bCs/>
          <w:color w:val="auto"/>
          <w:sz w:val="24"/>
          <w:u w:val="none"/>
          <w:vertAlign w:val="superscript"/>
        </w:rPr>
        <w:t>3</w:t>
      </w:r>
      <w:r>
        <w:rPr>
          <w:rFonts w:hint="eastAsia" w:ascii="Times New Roman" w:hAnsi="Times New Roman"/>
          <w:b w:val="0"/>
          <w:bCs/>
          <w:color w:val="auto"/>
          <w:sz w:val="24"/>
          <w:u w:val="none"/>
        </w:rPr>
        <w:t>。说明，拟建项目排放的大气污染物满足达标排放要求。</w:t>
      </w:r>
    </w:p>
    <w:p>
      <w:pPr>
        <w:pStyle w:val="7"/>
        <w:numPr>
          <w:ilvl w:val="2"/>
          <w:numId w:val="0"/>
        </w:numPr>
        <w:spacing w:before="120" w:beforeLines="0" w:after="120" w:afterLines="0"/>
        <w:rPr>
          <w:color w:val="auto"/>
          <w:u w:val="none"/>
        </w:rPr>
      </w:pPr>
      <w:bookmarkStart w:id="306" w:name="_Toc3146"/>
      <w:bookmarkStart w:id="307" w:name="_Toc7602"/>
      <w:bookmarkStart w:id="308" w:name="_Toc10493"/>
      <w:r>
        <w:rPr>
          <w:rFonts w:hint="eastAsia"/>
          <w:color w:val="auto"/>
          <w:u w:val="none"/>
          <w:lang w:val="en-US" w:eastAsia="zh-CN"/>
        </w:rPr>
        <w:t xml:space="preserve">5.1.4 </w:t>
      </w:r>
      <w:r>
        <w:rPr>
          <w:rFonts w:hint="eastAsia"/>
          <w:color w:val="auto"/>
          <w:u w:val="none"/>
        </w:rPr>
        <w:t>大气环境防护距离</w:t>
      </w:r>
      <w:bookmarkEnd w:id="306"/>
      <w:bookmarkEnd w:id="307"/>
      <w:bookmarkEnd w:id="308"/>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lang w:eastAsia="zh-CN"/>
        </w:rPr>
        <w:t>本项目大气评价等级为三级，</w:t>
      </w:r>
      <w:r>
        <w:rPr>
          <w:rFonts w:hint="eastAsia" w:ascii="Times New Roman" w:hAnsi="Times New Roman"/>
          <w:color w:val="auto"/>
          <w:sz w:val="24"/>
          <w:szCs w:val="24"/>
          <w:u w:val="none"/>
        </w:rPr>
        <w:t>不需设置大气环境防护距离。</w:t>
      </w:r>
    </w:p>
    <w:p>
      <w:pPr>
        <w:pStyle w:val="7"/>
        <w:numPr>
          <w:ilvl w:val="2"/>
          <w:numId w:val="0"/>
        </w:numPr>
        <w:spacing w:before="120" w:beforeLines="0" w:after="120" w:afterLines="0"/>
        <w:rPr>
          <w:color w:val="auto"/>
        </w:rPr>
      </w:pPr>
      <w:bookmarkStart w:id="309" w:name="_Toc31733"/>
      <w:bookmarkStart w:id="310" w:name="_Toc17407"/>
      <w:bookmarkStart w:id="311" w:name="_Toc24680"/>
      <w:r>
        <w:rPr>
          <w:rFonts w:hint="eastAsia"/>
          <w:color w:val="auto"/>
          <w:lang w:val="en-US" w:eastAsia="zh-CN"/>
        </w:rPr>
        <w:t xml:space="preserve">5.1.5 </w:t>
      </w:r>
      <w:r>
        <w:rPr>
          <w:rFonts w:hint="eastAsia"/>
          <w:color w:val="auto"/>
        </w:rPr>
        <w:t>卫生防护距离</w:t>
      </w:r>
      <w:bookmarkEnd w:id="309"/>
      <w:bookmarkEnd w:id="310"/>
      <w:bookmarkEnd w:id="311"/>
    </w:p>
    <w:p>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根据《制定地方大气污染物排放标准的技术方法》（</w:t>
      </w:r>
      <w:r>
        <w:rPr>
          <w:rFonts w:ascii="Times New Roman" w:hAnsi="Times New Roman"/>
          <w:color w:val="auto"/>
          <w:sz w:val="24"/>
          <w:szCs w:val="24"/>
        </w:rPr>
        <w:t>GB/T13201-91</w:t>
      </w:r>
      <w:r>
        <w:rPr>
          <w:rFonts w:hint="eastAsia" w:ascii="Times New Roman" w:hAnsi="Times New Roman"/>
          <w:color w:val="auto"/>
          <w:sz w:val="24"/>
          <w:szCs w:val="24"/>
        </w:rPr>
        <w:t>），污染物排放源所在生产单元与居住区之间应设置卫生防护距离。</w:t>
      </w:r>
    </w:p>
    <w:p>
      <w:pPr>
        <w:pStyle w:val="17"/>
        <w:spacing w:line="360" w:lineRule="auto"/>
        <w:rPr>
          <w:color w:val="auto"/>
          <w:sz w:val="24"/>
          <w:szCs w:val="24"/>
        </w:rPr>
      </w:pPr>
      <w:r>
        <w:rPr>
          <w:color w:val="auto"/>
          <w:sz w:val="24"/>
          <w:szCs w:val="24"/>
        </w:rPr>
        <w:t>(1)</w:t>
      </w:r>
      <w:r>
        <w:rPr>
          <w:rFonts w:hint="eastAsia"/>
          <w:color w:val="auto"/>
          <w:sz w:val="24"/>
          <w:szCs w:val="24"/>
        </w:rPr>
        <w:t>计算模式</w:t>
      </w:r>
    </w:p>
    <w:p>
      <w:pPr>
        <w:pStyle w:val="17"/>
        <w:spacing w:line="360" w:lineRule="auto"/>
        <w:rPr>
          <w:color w:val="auto"/>
          <w:sz w:val="24"/>
          <w:szCs w:val="24"/>
        </w:rPr>
      </w:pPr>
      <w:r>
        <w:rPr>
          <w:rFonts w:hint="eastAsia"/>
          <w:color w:val="auto"/>
          <w:sz w:val="24"/>
          <w:szCs w:val="24"/>
        </w:rPr>
        <w:t>计算模式采用《制定地方大气污染物排放标准的技术方法》</w:t>
      </w:r>
      <w:r>
        <w:rPr>
          <w:color w:val="auto"/>
          <w:sz w:val="24"/>
          <w:szCs w:val="24"/>
        </w:rPr>
        <w:t>(GB/T13201-91)</w:t>
      </w:r>
      <w:r>
        <w:rPr>
          <w:rFonts w:hint="eastAsia"/>
          <w:color w:val="auto"/>
          <w:sz w:val="24"/>
          <w:szCs w:val="24"/>
        </w:rPr>
        <w:t>中给出的卫生防护距离计算公式：</w:t>
      </w:r>
    </w:p>
    <w:p>
      <w:pPr>
        <w:pStyle w:val="17"/>
        <w:spacing w:line="360" w:lineRule="auto"/>
        <w:ind w:firstLine="480"/>
        <w:rPr>
          <w:b/>
          <w:color w:val="auto"/>
          <w:sz w:val="24"/>
          <w:szCs w:val="24"/>
        </w:rPr>
      </w:pPr>
      <w:r>
        <w:rPr>
          <w:color w:val="auto"/>
          <w:sz w:val="24"/>
          <w:szCs w:val="24"/>
        </w:rPr>
        <w:drawing>
          <wp:anchor distT="0" distB="0" distL="114300" distR="114300" simplePos="0" relativeHeight="251711488" behindDoc="0" locked="0" layoutInCell="1" allowOverlap="1">
            <wp:simplePos x="0" y="0"/>
            <wp:positionH relativeFrom="column">
              <wp:posOffset>1866900</wp:posOffset>
            </wp:positionH>
            <wp:positionV relativeFrom="paragraph">
              <wp:posOffset>91440</wp:posOffset>
            </wp:positionV>
            <wp:extent cx="1857375" cy="390525"/>
            <wp:effectExtent l="0" t="0" r="0" b="8890"/>
            <wp:wrapNone/>
            <wp:docPr id="4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57375" cy="390525"/>
                    </a:xfrm>
                    <a:prstGeom prst="rect">
                      <a:avLst/>
                    </a:prstGeom>
                    <a:noFill/>
                  </pic:spPr>
                </pic:pic>
              </a:graphicData>
            </a:graphic>
          </wp:anchor>
        </w:drawing>
      </w:r>
    </w:p>
    <w:p>
      <w:pPr>
        <w:pStyle w:val="17"/>
        <w:spacing w:line="360" w:lineRule="auto"/>
        <w:ind w:firstLine="482"/>
        <w:rPr>
          <w:b/>
          <w:color w:val="auto"/>
          <w:sz w:val="24"/>
          <w:szCs w:val="24"/>
        </w:rPr>
      </w:pPr>
    </w:p>
    <w:p>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式中：</w:t>
      </w:r>
      <w:r>
        <w:rPr>
          <w:rFonts w:ascii="Times New Roman" w:hAnsi="Times New Roman"/>
          <w:color w:val="auto"/>
          <w:sz w:val="24"/>
          <w:szCs w:val="24"/>
        </w:rPr>
        <w:t>L----</w:t>
      </w:r>
      <w:r>
        <w:rPr>
          <w:rFonts w:hint="eastAsia" w:ascii="Times New Roman" w:hAnsi="Times New Roman"/>
          <w:color w:val="auto"/>
          <w:sz w:val="24"/>
          <w:szCs w:val="24"/>
        </w:rPr>
        <w:t>所需卫生防护距离，</w:t>
      </w:r>
      <w:r>
        <w:rPr>
          <w:rFonts w:ascii="Times New Roman" w:hAnsi="Times New Roman"/>
          <w:color w:val="auto"/>
          <w:sz w:val="24"/>
          <w:szCs w:val="24"/>
        </w:rPr>
        <w:t>m</w:t>
      </w:r>
      <w:r>
        <w:rPr>
          <w:rFonts w:hint="eastAsia" w:ascii="Times New Roman" w:hAnsi="Times New Roman"/>
          <w:color w:val="auto"/>
          <w:sz w:val="24"/>
          <w:szCs w:val="24"/>
        </w:rPr>
        <w:t>；</w:t>
      </w:r>
    </w:p>
    <w:p>
      <w:pPr>
        <w:spacing w:line="360" w:lineRule="auto"/>
        <w:ind w:firstLine="1200" w:firstLineChars="500"/>
        <w:rPr>
          <w:rFonts w:ascii="Times New Roman" w:hAnsi="Times New Roman"/>
          <w:color w:val="auto"/>
          <w:sz w:val="24"/>
          <w:szCs w:val="24"/>
        </w:rPr>
      </w:pPr>
      <w:r>
        <w:rPr>
          <w:rFonts w:ascii="Times New Roman" w:hAnsi="Times New Roman"/>
          <w:color w:val="auto"/>
          <w:sz w:val="24"/>
          <w:szCs w:val="24"/>
        </w:rPr>
        <w:t>Qc-----</w:t>
      </w:r>
      <w:r>
        <w:rPr>
          <w:rFonts w:hint="eastAsia" w:ascii="Times New Roman" w:hAnsi="Times New Roman"/>
          <w:color w:val="auto"/>
          <w:sz w:val="24"/>
          <w:szCs w:val="24"/>
        </w:rPr>
        <w:t>无组织排放可以达到的控制水平，</w:t>
      </w:r>
      <w:r>
        <w:rPr>
          <w:rFonts w:ascii="Times New Roman" w:hAnsi="Times New Roman"/>
          <w:color w:val="auto"/>
          <w:sz w:val="24"/>
          <w:szCs w:val="24"/>
        </w:rPr>
        <w:t>kg/h</w:t>
      </w:r>
      <w:r>
        <w:rPr>
          <w:rFonts w:hint="eastAsia" w:ascii="Times New Roman" w:hAnsi="Times New Roman"/>
          <w:color w:val="auto"/>
          <w:sz w:val="24"/>
          <w:szCs w:val="24"/>
        </w:rPr>
        <w:t>；</w:t>
      </w:r>
    </w:p>
    <w:p>
      <w:pPr>
        <w:spacing w:line="360" w:lineRule="auto"/>
        <w:ind w:firstLine="1200" w:firstLineChars="500"/>
        <w:rPr>
          <w:rFonts w:ascii="Times New Roman" w:hAnsi="Times New Roman"/>
          <w:color w:val="auto"/>
          <w:sz w:val="24"/>
          <w:szCs w:val="24"/>
        </w:rPr>
      </w:pPr>
      <w:r>
        <w:rPr>
          <w:rFonts w:ascii="Times New Roman" w:hAnsi="Times New Roman"/>
          <w:color w:val="auto"/>
          <w:sz w:val="24"/>
          <w:szCs w:val="24"/>
        </w:rPr>
        <w:t>r-----</w:t>
      </w:r>
      <w:r>
        <w:rPr>
          <w:rFonts w:hint="eastAsia" w:ascii="Times New Roman" w:hAnsi="Times New Roman"/>
          <w:color w:val="auto"/>
          <w:sz w:val="24"/>
          <w:szCs w:val="24"/>
        </w:rPr>
        <w:t>有害气体无组织排放源所在单元的等效半径，</w:t>
      </w:r>
      <w:r>
        <w:rPr>
          <w:rFonts w:ascii="Times New Roman" w:hAnsi="Times New Roman"/>
          <w:color w:val="auto"/>
          <w:sz w:val="24"/>
          <w:szCs w:val="24"/>
        </w:rPr>
        <w:t>m</w:t>
      </w:r>
      <w:r>
        <w:rPr>
          <w:rFonts w:hint="eastAsia" w:ascii="Times New Roman" w:hAnsi="Times New Roman"/>
          <w:color w:val="auto"/>
          <w:sz w:val="24"/>
          <w:szCs w:val="24"/>
        </w:rPr>
        <w:t>；</w:t>
      </w:r>
    </w:p>
    <w:p>
      <w:pPr>
        <w:spacing w:line="360" w:lineRule="auto"/>
        <w:ind w:firstLine="1200" w:firstLineChars="500"/>
        <w:rPr>
          <w:rFonts w:ascii="Times New Roman" w:hAnsi="Times New Roman"/>
          <w:color w:val="auto"/>
          <w:sz w:val="24"/>
          <w:szCs w:val="24"/>
        </w:rPr>
      </w:pPr>
      <w:r>
        <w:rPr>
          <w:rFonts w:ascii="Times New Roman" w:hAnsi="Times New Roman"/>
          <w:color w:val="auto"/>
          <w:sz w:val="24"/>
          <w:szCs w:val="24"/>
        </w:rPr>
        <w:t>Cm-----</w:t>
      </w:r>
      <w:r>
        <w:rPr>
          <w:rFonts w:hint="eastAsia" w:ascii="Times New Roman" w:hAnsi="Times New Roman"/>
          <w:color w:val="auto"/>
          <w:sz w:val="24"/>
          <w:szCs w:val="24"/>
        </w:rPr>
        <w:t>标准浓度限值；</w:t>
      </w:r>
    </w:p>
    <w:p>
      <w:pPr>
        <w:spacing w:line="360" w:lineRule="auto"/>
        <w:ind w:firstLine="1200" w:firstLineChars="500"/>
        <w:rPr>
          <w:rFonts w:ascii="Times New Roman" w:hAnsi="Times New Roman"/>
          <w:color w:val="auto"/>
          <w:sz w:val="24"/>
          <w:szCs w:val="24"/>
        </w:rPr>
      </w:pPr>
      <w:r>
        <w:rPr>
          <w:rFonts w:ascii="Times New Roman" w:hAnsi="Times New Roman"/>
          <w:color w:val="auto"/>
          <w:sz w:val="24"/>
          <w:szCs w:val="24"/>
        </w:rPr>
        <w:t>A</w:t>
      </w:r>
      <w:r>
        <w:rPr>
          <w:rFonts w:hint="eastAsia" w:ascii="Times New Roman" w:hAnsi="Times New Roman"/>
          <w:color w:val="auto"/>
          <w:sz w:val="24"/>
          <w:szCs w:val="24"/>
        </w:rPr>
        <w:t>、</w:t>
      </w:r>
      <w:r>
        <w:rPr>
          <w:rFonts w:ascii="Times New Roman" w:hAnsi="Times New Roman"/>
          <w:color w:val="auto"/>
          <w:sz w:val="24"/>
          <w:szCs w:val="24"/>
        </w:rPr>
        <w:t>B</w:t>
      </w:r>
      <w:r>
        <w:rPr>
          <w:rFonts w:hint="eastAsia" w:ascii="Times New Roman" w:hAnsi="Times New Roman"/>
          <w:color w:val="auto"/>
          <w:sz w:val="24"/>
          <w:szCs w:val="24"/>
        </w:rPr>
        <w:t>、</w:t>
      </w:r>
      <w:r>
        <w:rPr>
          <w:rFonts w:ascii="Times New Roman" w:hAnsi="Times New Roman"/>
          <w:color w:val="auto"/>
          <w:sz w:val="24"/>
          <w:szCs w:val="24"/>
        </w:rPr>
        <w:t>C</w:t>
      </w:r>
      <w:r>
        <w:rPr>
          <w:rFonts w:hint="eastAsia" w:ascii="Times New Roman" w:hAnsi="Times New Roman"/>
          <w:color w:val="auto"/>
          <w:sz w:val="24"/>
          <w:szCs w:val="24"/>
        </w:rPr>
        <w:t>、</w:t>
      </w:r>
      <w:r>
        <w:rPr>
          <w:rFonts w:ascii="Times New Roman" w:hAnsi="Times New Roman"/>
          <w:color w:val="auto"/>
          <w:sz w:val="24"/>
          <w:szCs w:val="24"/>
        </w:rPr>
        <w:t>D----</w:t>
      </w:r>
      <w:r>
        <w:rPr>
          <w:rFonts w:hint="eastAsia" w:ascii="Times New Roman" w:hAnsi="Times New Roman"/>
          <w:color w:val="auto"/>
          <w:sz w:val="24"/>
          <w:szCs w:val="24"/>
        </w:rPr>
        <w:t>根据污染源类别和企业所在地五年平均风速选取</w:t>
      </w:r>
    </w:p>
    <w:p>
      <w:pPr>
        <w:pStyle w:val="17"/>
        <w:spacing w:line="360" w:lineRule="auto"/>
        <w:rPr>
          <w:color w:val="auto"/>
          <w:sz w:val="24"/>
          <w:szCs w:val="24"/>
        </w:rPr>
      </w:pPr>
      <w:r>
        <w:rPr>
          <w:color w:val="auto"/>
          <w:sz w:val="24"/>
          <w:szCs w:val="24"/>
        </w:rPr>
        <w:t>(2)</w:t>
      </w:r>
      <w:r>
        <w:rPr>
          <w:rFonts w:hint="eastAsia"/>
          <w:color w:val="auto"/>
          <w:sz w:val="24"/>
          <w:szCs w:val="24"/>
        </w:rPr>
        <w:t>计算结果及分析</w:t>
      </w:r>
    </w:p>
    <w:p>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根据本工程的面源排放情况，采用当地常年平均风速2.9</w:t>
      </w:r>
      <w:r>
        <w:rPr>
          <w:rFonts w:ascii="Times New Roman" w:hAnsi="Times New Roman"/>
          <w:color w:val="auto"/>
          <w:sz w:val="24"/>
          <w:szCs w:val="24"/>
        </w:rPr>
        <w:t>m/s</w:t>
      </w:r>
      <w:r>
        <w:rPr>
          <w:rFonts w:hint="eastAsia" w:ascii="Times New Roman" w:hAnsi="Times New Roman"/>
          <w:color w:val="auto"/>
          <w:sz w:val="24"/>
          <w:szCs w:val="24"/>
        </w:rPr>
        <w:t>，参照相应的要求标准，计算出本工程主要面源装置的卫生防护距离见表5-13。</w:t>
      </w:r>
    </w:p>
    <w:p>
      <w:pPr>
        <w:spacing w:line="360" w:lineRule="auto"/>
        <w:ind w:firstLine="482"/>
        <w:rPr>
          <w:rFonts w:ascii="Times New Roman" w:hAnsi="Times New Roman"/>
          <w:color w:val="auto"/>
          <w:sz w:val="24"/>
        </w:rPr>
      </w:pPr>
      <w:r>
        <w:rPr>
          <w:rFonts w:hint="eastAsia" w:ascii="Times New Roman" w:hAnsi="Times New Roman"/>
          <w:snapToGrid w:val="0"/>
          <w:color w:val="auto"/>
          <w:kern w:val="0"/>
          <w:sz w:val="24"/>
          <w:szCs w:val="24"/>
        </w:rPr>
        <w:t>根据卫生防护距离取值规定：</w:t>
      </w:r>
      <w:r>
        <w:rPr>
          <w:rFonts w:hint="eastAsia" w:ascii="Times New Roman" w:hAnsi="Times New Roman"/>
          <w:color w:val="auto"/>
          <w:sz w:val="24"/>
        </w:rPr>
        <w:t>卫生防护距离均小于50m，取50m，</w:t>
      </w:r>
      <w:r>
        <w:rPr>
          <w:rFonts w:ascii="Times New Roman" w:hAnsi="Times New Roman"/>
          <w:color w:val="auto"/>
          <w:sz w:val="24"/>
        </w:rPr>
        <w:t>卫生防护距离在100米以内时，级差为50米；超过100米，但小于或等于1000米时，级差为100米；超过1000米时，级差为200米。</w:t>
      </w:r>
      <w:r>
        <w:rPr>
          <w:rFonts w:hint="eastAsia" w:ascii="Times New Roman" w:hAnsi="Times New Roman"/>
          <w:color w:val="auto"/>
          <w:sz w:val="24"/>
        </w:rPr>
        <w:t>因此，</w:t>
      </w:r>
      <w:r>
        <w:rPr>
          <w:rFonts w:hint="eastAsia" w:ascii="Times New Roman" w:hAnsi="Times New Roman"/>
          <w:color w:val="auto"/>
          <w:sz w:val="24"/>
          <w:szCs w:val="24"/>
        </w:rPr>
        <w:t>确定本项目卫生防护距离为50m。</w:t>
      </w:r>
    </w:p>
    <w:p>
      <w:pPr>
        <w:pStyle w:val="18"/>
        <w:spacing w:line="440" w:lineRule="exact"/>
        <w:ind w:firstLine="482"/>
        <w:rPr>
          <w:color w:val="auto"/>
          <w:sz w:val="21"/>
          <w:szCs w:val="21"/>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5</w:t>
      </w:r>
      <w:r>
        <w:rPr>
          <w:color w:val="auto"/>
        </w:rPr>
        <w:fldChar w:fldCharType="end"/>
      </w:r>
      <w:r>
        <w:rPr>
          <w:rFonts w:hint="eastAsia"/>
          <w:color w:val="auto"/>
          <w:lang w:val="en-US" w:eastAsia="zh-CN"/>
        </w:rPr>
        <w:t>.1-6</w:t>
      </w:r>
      <w:r>
        <w:rPr>
          <w:color w:val="auto"/>
          <w:sz w:val="21"/>
          <w:szCs w:val="21"/>
        </w:rPr>
        <w:t xml:space="preserve">  </w:t>
      </w:r>
      <w:r>
        <w:rPr>
          <w:color w:val="auto"/>
        </w:rPr>
        <w:t xml:space="preserve"> </w:t>
      </w:r>
      <w:r>
        <w:rPr>
          <w:rFonts w:hint="eastAsia"/>
          <w:color w:val="auto"/>
        </w:rPr>
        <w:t>无组织排放气体卫生防护距离计算结果</w:t>
      </w:r>
    </w:p>
    <w:tbl>
      <w:tblPr>
        <w:tblStyle w:val="45"/>
        <w:tblW w:w="875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253"/>
        <w:gridCol w:w="1493"/>
        <w:gridCol w:w="756"/>
        <w:gridCol w:w="682"/>
        <w:gridCol w:w="884"/>
        <w:gridCol w:w="749"/>
        <w:gridCol w:w="749"/>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atLeast"/>
          <w:jc w:val="center"/>
        </w:trPr>
        <w:tc>
          <w:tcPr>
            <w:tcW w:w="1360"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hint="eastAsia" w:ascii="Times New Roman" w:hAnsi="Times New Roman"/>
                <w:b/>
                <w:color w:val="auto"/>
                <w:sz w:val="21"/>
                <w:szCs w:val="21"/>
              </w:rPr>
              <w:t>项目</w:t>
            </w:r>
          </w:p>
        </w:tc>
        <w:tc>
          <w:tcPr>
            <w:tcW w:w="1253"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Q</w:t>
            </w:r>
            <w:r>
              <w:rPr>
                <w:rFonts w:ascii="Times New Roman" w:hAnsi="Times New Roman"/>
                <w:b/>
                <w:color w:val="auto"/>
                <w:sz w:val="21"/>
                <w:szCs w:val="21"/>
                <w:vertAlign w:val="subscript"/>
              </w:rPr>
              <w:t>C</w:t>
            </w:r>
            <w:r>
              <w:rPr>
                <w:rFonts w:ascii="Times New Roman" w:hAnsi="Times New Roman"/>
                <w:b/>
                <w:color w:val="auto"/>
                <w:sz w:val="21"/>
                <w:szCs w:val="21"/>
              </w:rPr>
              <w:t>(kg/h)</w:t>
            </w:r>
          </w:p>
        </w:tc>
        <w:tc>
          <w:tcPr>
            <w:tcW w:w="1493"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C</w:t>
            </w:r>
            <w:r>
              <w:rPr>
                <w:rFonts w:ascii="Times New Roman" w:hAnsi="Times New Roman"/>
                <w:b/>
                <w:color w:val="auto"/>
                <w:sz w:val="21"/>
                <w:szCs w:val="21"/>
                <w:vertAlign w:val="subscript"/>
              </w:rPr>
              <w:t>m</w:t>
            </w:r>
            <w:r>
              <w:rPr>
                <w:rFonts w:ascii="Times New Roman" w:hAnsi="Times New Roman"/>
                <w:b/>
                <w:color w:val="auto"/>
                <w:sz w:val="21"/>
                <w:szCs w:val="21"/>
              </w:rPr>
              <w:t>(mg/m</w:t>
            </w:r>
            <w:r>
              <w:rPr>
                <w:rFonts w:ascii="Times New Roman" w:hAnsi="Times New Roman"/>
                <w:b/>
                <w:color w:val="auto"/>
                <w:sz w:val="21"/>
                <w:szCs w:val="21"/>
                <w:vertAlign w:val="superscript"/>
              </w:rPr>
              <w:t>3</w:t>
            </w:r>
            <w:r>
              <w:rPr>
                <w:rFonts w:ascii="Times New Roman" w:hAnsi="Times New Roman"/>
                <w:b/>
                <w:color w:val="auto"/>
                <w:sz w:val="21"/>
                <w:szCs w:val="21"/>
              </w:rPr>
              <w:t>)</w:t>
            </w:r>
          </w:p>
        </w:tc>
        <w:tc>
          <w:tcPr>
            <w:tcW w:w="756"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r(m)</w:t>
            </w:r>
          </w:p>
        </w:tc>
        <w:tc>
          <w:tcPr>
            <w:tcW w:w="682"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A</w:t>
            </w:r>
          </w:p>
        </w:tc>
        <w:tc>
          <w:tcPr>
            <w:tcW w:w="884"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B</w:t>
            </w:r>
          </w:p>
        </w:tc>
        <w:tc>
          <w:tcPr>
            <w:tcW w:w="749"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C</w:t>
            </w:r>
          </w:p>
        </w:tc>
        <w:tc>
          <w:tcPr>
            <w:tcW w:w="749"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D</w:t>
            </w:r>
          </w:p>
        </w:tc>
        <w:tc>
          <w:tcPr>
            <w:tcW w:w="827" w:type="dxa"/>
            <w:tcBorders>
              <w:top w:val="single" w:color="auto" w:sz="4" w:space="0"/>
              <w:left w:val="single" w:color="auto" w:sz="4" w:space="0"/>
              <w:bottom w:val="single" w:color="auto" w:sz="4" w:space="0"/>
              <w:right w:val="single" w:color="auto" w:sz="4" w:space="0"/>
            </w:tcBorders>
            <w:vAlign w:val="center"/>
          </w:tcPr>
          <w:p>
            <w:pPr>
              <w:pStyle w:val="160"/>
              <w:tabs>
                <w:tab w:val="left" w:pos="0"/>
              </w:tabs>
              <w:spacing w:line="360" w:lineRule="exact"/>
              <w:ind w:firstLine="0" w:firstLineChars="0"/>
              <w:jc w:val="center"/>
              <w:rPr>
                <w:rFonts w:ascii="Times New Roman" w:hAnsi="Times New Roman"/>
                <w:b/>
                <w:color w:val="auto"/>
                <w:sz w:val="21"/>
                <w:szCs w:val="21"/>
              </w:rPr>
            </w:pPr>
            <w:r>
              <w:rPr>
                <w:rFonts w:ascii="Times New Roman" w:hAnsi="Times New Roman"/>
                <w:b/>
                <w:color w:val="auto"/>
                <w:sz w:val="21"/>
                <w:szCs w:val="21"/>
              </w:rPr>
              <w:t>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60" w:type="dxa"/>
            <w:tcBorders>
              <w:top w:val="single" w:color="auto" w:sz="4" w:space="0"/>
              <w:left w:val="single" w:color="auto" w:sz="4" w:space="0"/>
              <w:bottom w:val="single" w:color="auto" w:sz="4" w:space="0"/>
              <w:right w:val="single" w:color="auto" w:sz="4" w:space="0"/>
            </w:tcBorders>
            <w:vAlign w:val="center"/>
          </w:tcPr>
          <w:p>
            <w:pPr>
              <w:pStyle w:val="158"/>
              <w:spacing w:line="360" w:lineRule="exact"/>
              <w:ind w:firstLine="0" w:firstLineChars="0"/>
              <w:jc w:val="center"/>
              <w:rPr>
                <w:rFonts w:hint="eastAsia" w:eastAsia="宋体"/>
                <w:color w:val="auto"/>
                <w:sz w:val="21"/>
                <w:szCs w:val="21"/>
                <w:lang w:eastAsia="zh-CN"/>
              </w:rPr>
            </w:pPr>
            <w:r>
              <w:rPr>
                <w:rFonts w:hint="eastAsia"/>
                <w:color w:val="auto"/>
                <w:sz w:val="21"/>
                <w:szCs w:val="21"/>
                <w:lang w:eastAsia="zh-CN"/>
              </w:rPr>
              <w:t>氨</w:t>
            </w:r>
          </w:p>
        </w:tc>
        <w:tc>
          <w:tcPr>
            <w:tcW w:w="1253"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rFonts w:hint="default" w:eastAsia="宋体"/>
                <w:color w:val="auto"/>
                <w:sz w:val="21"/>
                <w:szCs w:val="21"/>
                <w:lang w:val="en-US" w:eastAsia="zh-CN"/>
              </w:rPr>
            </w:pPr>
            <w:r>
              <w:rPr>
                <w:rFonts w:hint="eastAsia"/>
                <w:color w:val="auto"/>
                <w:sz w:val="21"/>
                <w:szCs w:val="21"/>
                <w:lang w:val="en-US" w:eastAsia="zh-CN"/>
              </w:rPr>
              <w:t>0.00114</w:t>
            </w:r>
          </w:p>
        </w:tc>
        <w:tc>
          <w:tcPr>
            <w:tcW w:w="1493"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rFonts w:hint="default" w:eastAsia="宋体"/>
                <w:color w:val="auto"/>
                <w:sz w:val="21"/>
                <w:szCs w:val="21"/>
                <w:lang w:val="en-US" w:eastAsia="zh-CN"/>
              </w:rPr>
            </w:pPr>
            <w:r>
              <w:rPr>
                <w:rFonts w:hint="eastAsia"/>
                <w:color w:val="auto"/>
                <w:sz w:val="21"/>
                <w:szCs w:val="21"/>
                <w:lang w:val="en-US" w:eastAsia="zh-CN"/>
              </w:rPr>
              <w:t>0.2</w:t>
            </w:r>
          </w:p>
        </w:tc>
        <w:tc>
          <w:tcPr>
            <w:tcW w:w="756"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color w:val="auto"/>
                <w:sz w:val="21"/>
                <w:szCs w:val="21"/>
              </w:rPr>
            </w:pPr>
            <w:r>
              <w:rPr>
                <w:rFonts w:hint="eastAsia"/>
                <w:color w:val="auto"/>
                <w:sz w:val="21"/>
                <w:szCs w:val="21"/>
              </w:rPr>
              <w:t>25</w:t>
            </w:r>
          </w:p>
        </w:tc>
        <w:tc>
          <w:tcPr>
            <w:tcW w:w="682"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color w:val="auto"/>
                <w:sz w:val="21"/>
                <w:szCs w:val="21"/>
              </w:rPr>
            </w:pPr>
            <w:r>
              <w:rPr>
                <w:color w:val="auto"/>
                <w:sz w:val="21"/>
                <w:szCs w:val="21"/>
              </w:rPr>
              <w:t>400</w:t>
            </w:r>
          </w:p>
        </w:tc>
        <w:tc>
          <w:tcPr>
            <w:tcW w:w="884"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color w:val="auto"/>
                <w:sz w:val="21"/>
                <w:szCs w:val="21"/>
              </w:rPr>
            </w:pPr>
            <w:r>
              <w:rPr>
                <w:color w:val="auto"/>
                <w:sz w:val="21"/>
                <w:szCs w:val="21"/>
              </w:rPr>
              <w:t>0.010</w:t>
            </w:r>
          </w:p>
        </w:tc>
        <w:tc>
          <w:tcPr>
            <w:tcW w:w="749"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color w:val="auto"/>
                <w:sz w:val="21"/>
                <w:szCs w:val="21"/>
              </w:rPr>
            </w:pPr>
            <w:r>
              <w:rPr>
                <w:color w:val="auto"/>
                <w:sz w:val="21"/>
                <w:szCs w:val="21"/>
              </w:rPr>
              <w:t>1.85</w:t>
            </w:r>
          </w:p>
        </w:tc>
        <w:tc>
          <w:tcPr>
            <w:tcW w:w="749"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color w:val="auto"/>
                <w:sz w:val="21"/>
                <w:szCs w:val="21"/>
              </w:rPr>
            </w:pPr>
            <w:r>
              <w:rPr>
                <w:color w:val="auto"/>
                <w:sz w:val="21"/>
                <w:szCs w:val="21"/>
              </w:rPr>
              <w:t>0.78</w:t>
            </w:r>
          </w:p>
        </w:tc>
        <w:tc>
          <w:tcPr>
            <w:tcW w:w="827" w:type="dxa"/>
            <w:tcBorders>
              <w:top w:val="single" w:color="auto" w:sz="4" w:space="0"/>
              <w:left w:val="single" w:color="auto" w:sz="4" w:space="0"/>
              <w:bottom w:val="single" w:color="auto" w:sz="4" w:space="0"/>
              <w:right w:val="single" w:color="auto" w:sz="4" w:space="0"/>
            </w:tcBorders>
            <w:vAlign w:val="center"/>
          </w:tcPr>
          <w:p>
            <w:pPr>
              <w:pStyle w:val="17"/>
              <w:spacing w:line="360" w:lineRule="exact"/>
              <w:ind w:firstLine="0"/>
              <w:jc w:val="center"/>
              <w:rPr>
                <w:rFonts w:hint="default" w:eastAsia="宋体"/>
                <w:color w:val="auto"/>
                <w:sz w:val="21"/>
                <w:szCs w:val="21"/>
                <w:lang w:val="en-US" w:eastAsia="zh-CN"/>
              </w:rPr>
            </w:pPr>
            <w:r>
              <w:rPr>
                <w:rFonts w:hint="eastAsia"/>
                <w:color w:val="auto"/>
                <w:sz w:val="21"/>
                <w:szCs w:val="21"/>
                <w:lang w:val="en-US" w:eastAsia="zh-CN"/>
              </w:rPr>
              <w:t>0.113</w:t>
            </w:r>
          </w:p>
        </w:tc>
      </w:tr>
    </w:tbl>
    <w:p>
      <w:pPr>
        <w:pStyle w:val="2"/>
        <w:ind w:left="420" w:firstLine="420"/>
        <w:rPr>
          <w:rFonts w:hint="eastAsia"/>
          <w:color w:val="auto"/>
          <w:spacing w:val="-6"/>
          <w:sz w:val="24"/>
        </w:rPr>
      </w:pPr>
    </w:p>
    <w:p>
      <w:pPr>
        <w:pStyle w:val="2"/>
        <w:ind w:left="420" w:firstLine="420"/>
        <w:rPr>
          <w:rFonts w:ascii="Times New Roman" w:hAnsi="Times New Roman" w:eastAsia="宋体" w:cs="Arial"/>
          <w:color w:val="auto"/>
          <w:spacing w:val="0"/>
          <w:kern w:val="24"/>
          <w:sz w:val="24"/>
          <w:szCs w:val="24"/>
          <w:lang w:val="en-US" w:eastAsia="zh-CN" w:bidi="ar-SA"/>
        </w:rPr>
      </w:pPr>
      <w:r>
        <w:rPr>
          <w:rFonts w:hint="eastAsia" w:ascii="Times New Roman" w:hAnsi="Times New Roman" w:eastAsia="宋体" w:cs="Arial"/>
          <w:color w:val="auto"/>
          <w:spacing w:val="0"/>
          <w:kern w:val="24"/>
          <w:sz w:val="24"/>
          <w:szCs w:val="24"/>
          <w:lang w:val="en-US" w:eastAsia="zh-CN" w:bidi="ar-SA"/>
        </w:rPr>
        <w:t>根据调查目前卫生防护距离内无敏感目标。项目卫生防护内不得建设居民区、学校、医院等环境敏感建筑物。</w:t>
      </w:r>
    </w:p>
    <w:p>
      <w:pPr>
        <w:pStyle w:val="6"/>
        <w:numPr>
          <w:ilvl w:val="1"/>
          <w:numId w:val="0"/>
        </w:numPr>
        <w:spacing w:before="120" w:beforeLines="0" w:after="120" w:afterLines="0"/>
        <w:ind w:leftChars="0"/>
        <w:rPr>
          <w:color w:val="auto"/>
        </w:rPr>
      </w:pPr>
      <w:bookmarkStart w:id="312" w:name="_Toc20743"/>
      <w:bookmarkStart w:id="313" w:name="_Toc306034555"/>
      <w:bookmarkStart w:id="314" w:name="_Toc26683"/>
      <w:bookmarkStart w:id="315" w:name="_Toc293042231"/>
      <w:bookmarkStart w:id="316" w:name="_Toc1451"/>
      <w:bookmarkStart w:id="317" w:name="_Toc6205"/>
      <w:bookmarkStart w:id="318" w:name="_Toc304810305"/>
      <w:r>
        <w:rPr>
          <w:rFonts w:hint="eastAsia"/>
          <w:color w:val="auto"/>
          <w:lang w:val="en-US" w:eastAsia="zh-CN"/>
        </w:rPr>
        <w:t xml:space="preserve">5.2 </w:t>
      </w:r>
      <w:r>
        <w:rPr>
          <w:rFonts w:hint="eastAsia"/>
          <w:color w:val="auto"/>
        </w:rPr>
        <w:t>地表水</w:t>
      </w:r>
      <w:r>
        <w:rPr>
          <w:color w:val="auto"/>
        </w:rPr>
        <w:t>环境影响分析</w:t>
      </w:r>
      <w:bookmarkEnd w:id="312"/>
      <w:bookmarkEnd w:id="313"/>
      <w:bookmarkEnd w:id="314"/>
      <w:bookmarkEnd w:id="315"/>
      <w:bookmarkEnd w:id="316"/>
      <w:bookmarkEnd w:id="317"/>
      <w:bookmarkEnd w:id="318"/>
    </w:p>
    <w:bookmarkEnd w:id="304"/>
    <w:bookmarkEnd w:id="305"/>
    <w:p>
      <w:pPr>
        <w:adjustRightInd w:val="0"/>
        <w:snapToGrid w:val="0"/>
        <w:spacing w:line="360" w:lineRule="auto"/>
        <w:ind w:firstLine="480" w:firstLineChars="200"/>
        <w:rPr>
          <w:rFonts w:ascii="Times New Roman" w:hAnsi="Times New Roman"/>
          <w:color w:val="auto"/>
          <w:sz w:val="24"/>
          <w:szCs w:val="24"/>
        </w:rPr>
      </w:pPr>
      <w:r>
        <w:rPr>
          <w:rFonts w:ascii="Times New Roman" w:hAnsi="Times New Roman"/>
          <w:color w:val="auto"/>
          <w:kern w:val="24"/>
          <w:sz w:val="24"/>
          <w:szCs w:val="24"/>
        </w:rPr>
        <w:t>根据</w:t>
      </w:r>
      <w:r>
        <w:rPr>
          <w:rFonts w:hint="eastAsia" w:ascii="Times New Roman" w:hAnsi="Times New Roman"/>
          <w:color w:val="auto"/>
          <w:kern w:val="24"/>
          <w:sz w:val="24"/>
          <w:szCs w:val="24"/>
        </w:rPr>
        <w:t>本项目建设方案和</w:t>
      </w:r>
      <w:r>
        <w:rPr>
          <w:rFonts w:ascii="Times New Roman" w:hAnsi="Times New Roman"/>
          <w:color w:val="auto"/>
          <w:kern w:val="24"/>
          <w:sz w:val="24"/>
          <w:szCs w:val="24"/>
        </w:rPr>
        <w:t>工程分析，</w:t>
      </w:r>
      <w:r>
        <w:rPr>
          <w:rFonts w:hint="eastAsia" w:ascii="Times New Roman" w:hAnsi="Times New Roman"/>
          <w:color w:val="auto"/>
          <w:sz w:val="24"/>
          <w:szCs w:val="24"/>
        </w:rPr>
        <w:t>拟建项目实施清污分流，后期雨水可从雨水管网排出，污水通过污水管网进入公司现有</w:t>
      </w:r>
      <w:r>
        <w:rPr>
          <w:rFonts w:hint="eastAsia" w:ascii="Times New Roman" w:hAnsi="Times New Roman"/>
          <w:color w:val="auto"/>
          <w:sz w:val="24"/>
          <w:szCs w:val="24"/>
          <w:lang w:eastAsia="zh-CN"/>
        </w:rPr>
        <w:t>污水处理场</w:t>
      </w:r>
      <w:r>
        <w:rPr>
          <w:rFonts w:hint="eastAsia" w:ascii="Times New Roman" w:hAnsi="Times New Roman"/>
          <w:color w:val="auto"/>
          <w:sz w:val="24"/>
          <w:szCs w:val="24"/>
        </w:rPr>
        <w:t>，处理达标后排放。</w:t>
      </w:r>
    </w:p>
    <w:p>
      <w:pPr>
        <w:adjustRightInd w:val="0"/>
        <w:snapToGrid w:val="0"/>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拟建工程废水主要来自</w:t>
      </w:r>
      <w:r>
        <w:rPr>
          <w:rFonts w:hint="eastAsia" w:ascii="Times New Roman" w:hAnsi="Times New Roman"/>
          <w:color w:val="auto"/>
          <w:sz w:val="24"/>
          <w:szCs w:val="24"/>
          <w:lang w:eastAsia="zh-CN"/>
        </w:rPr>
        <w:t>机泵冷却不</w:t>
      </w:r>
      <w:r>
        <w:rPr>
          <w:rFonts w:hint="eastAsia" w:ascii="Times New Roman" w:hAnsi="Times New Roman"/>
          <w:color w:val="auto"/>
          <w:sz w:val="24"/>
          <w:szCs w:val="24"/>
        </w:rPr>
        <w:t>及地面清洗冲洗废水、初期雨水，</w:t>
      </w:r>
      <w:r>
        <w:rPr>
          <w:rFonts w:ascii="Times New Roman" w:hAnsi="Times New Roman"/>
          <w:color w:val="auto"/>
          <w:kern w:val="24"/>
          <w:sz w:val="24"/>
          <w:szCs w:val="24"/>
        </w:rPr>
        <w:t>总废水排放量</w:t>
      </w:r>
      <w:r>
        <w:rPr>
          <w:rFonts w:hint="eastAsia" w:ascii="Times New Roman" w:hAnsi="Times New Roman"/>
          <w:color w:val="auto"/>
          <w:kern w:val="24"/>
          <w:sz w:val="24"/>
          <w:szCs w:val="24"/>
        </w:rPr>
        <w:t>（含初期雨水）</w:t>
      </w:r>
      <w:r>
        <w:rPr>
          <w:rFonts w:ascii="Times New Roman" w:hAnsi="Times New Roman"/>
          <w:color w:val="auto"/>
          <w:kern w:val="24"/>
          <w:sz w:val="24"/>
          <w:szCs w:val="24"/>
        </w:rPr>
        <w:t>为</w:t>
      </w:r>
      <w:r>
        <w:rPr>
          <w:rFonts w:hint="eastAsia" w:ascii="Times New Roman" w:hAnsi="Times New Roman"/>
          <w:color w:val="auto"/>
          <w:kern w:val="24"/>
          <w:sz w:val="24"/>
          <w:szCs w:val="24"/>
          <w:lang w:val="en-US" w:eastAsia="zh-CN"/>
        </w:rPr>
        <w:t>700</w:t>
      </w:r>
      <w:r>
        <w:rPr>
          <w:rFonts w:ascii="Times New Roman" w:hAnsi="Times New Roman"/>
          <w:color w:val="auto"/>
          <w:sz w:val="24"/>
          <w:szCs w:val="24"/>
        </w:rPr>
        <w:t xml:space="preserve"> m</w:t>
      </w:r>
      <w:r>
        <w:rPr>
          <w:rFonts w:ascii="Times New Roman" w:hAnsi="Times New Roman"/>
          <w:color w:val="auto"/>
          <w:sz w:val="24"/>
          <w:szCs w:val="24"/>
          <w:vertAlign w:val="superscript"/>
        </w:rPr>
        <w:t>3</w:t>
      </w:r>
      <w:r>
        <w:rPr>
          <w:rFonts w:ascii="Times New Roman" w:hAnsi="Times New Roman"/>
          <w:color w:val="auto"/>
          <w:sz w:val="24"/>
          <w:szCs w:val="24"/>
        </w:rPr>
        <w:t>/</w:t>
      </w:r>
      <w:r>
        <w:rPr>
          <w:rFonts w:hint="eastAsia" w:ascii="Times New Roman" w:hAnsi="Times New Roman"/>
          <w:color w:val="auto"/>
          <w:sz w:val="24"/>
          <w:szCs w:val="24"/>
        </w:rPr>
        <w:t>a，平均约</w:t>
      </w:r>
      <w:r>
        <w:rPr>
          <w:rFonts w:hint="eastAsia" w:ascii="Times New Roman" w:hAnsi="Times New Roman"/>
          <w:color w:val="auto"/>
          <w:sz w:val="24"/>
          <w:szCs w:val="24"/>
          <w:lang w:val="en-US" w:eastAsia="zh-CN"/>
        </w:rPr>
        <w:t>0.1</w:t>
      </w:r>
      <w:r>
        <w:rPr>
          <w:rFonts w:ascii="Times New Roman" w:hAnsi="Times New Roman"/>
          <w:color w:val="auto"/>
          <w:sz w:val="24"/>
          <w:szCs w:val="24"/>
        </w:rPr>
        <w:t>m</w:t>
      </w:r>
      <w:r>
        <w:rPr>
          <w:rFonts w:ascii="Times New Roman" w:hAnsi="Times New Roman"/>
          <w:color w:val="auto"/>
          <w:sz w:val="24"/>
          <w:szCs w:val="24"/>
          <w:vertAlign w:val="superscript"/>
        </w:rPr>
        <w:t>3</w:t>
      </w:r>
      <w:r>
        <w:rPr>
          <w:rFonts w:ascii="Times New Roman" w:hAnsi="Times New Roman"/>
          <w:color w:val="auto"/>
          <w:sz w:val="24"/>
          <w:szCs w:val="24"/>
        </w:rPr>
        <w:t>/</w:t>
      </w:r>
      <w:r>
        <w:rPr>
          <w:rFonts w:hint="eastAsia" w:ascii="Times New Roman" w:hAnsi="Times New Roman"/>
          <w:color w:val="auto"/>
          <w:sz w:val="24"/>
          <w:szCs w:val="24"/>
          <w:lang w:val="en-US" w:eastAsia="zh-CN"/>
        </w:rPr>
        <w:t>h</w:t>
      </w:r>
      <w:r>
        <w:rPr>
          <w:rFonts w:ascii="Times New Roman" w:hAnsi="Times New Roman"/>
          <w:color w:val="auto"/>
          <w:kern w:val="24"/>
          <w:sz w:val="24"/>
          <w:szCs w:val="24"/>
        </w:rPr>
        <w:t>，</w:t>
      </w:r>
      <w:r>
        <w:rPr>
          <w:rFonts w:ascii="Times New Roman" w:hAnsi="Times New Roman"/>
          <w:color w:val="auto"/>
          <w:sz w:val="24"/>
          <w:szCs w:val="24"/>
        </w:rPr>
        <w:t>外排废水中主要污染物为COD</w:t>
      </w:r>
      <w:r>
        <w:rPr>
          <w:rFonts w:hint="eastAsia" w:ascii="Times New Roman" w:hAnsi="Times New Roman"/>
          <w:color w:val="auto"/>
          <w:sz w:val="24"/>
          <w:szCs w:val="24"/>
        </w:rPr>
        <w:t>，有少量的</w:t>
      </w:r>
      <w:r>
        <w:rPr>
          <w:rFonts w:ascii="Times New Roman" w:hAnsi="Times New Roman"/>
          <w:color w:val="auto"/>
          <w:sz w:val="24"/>
          <w:szCs w:val="24"/>
        </w:rPr>
        <w:t>SS、氨氮和石油类等</w:t>
      </w:r>
      <w:r>
        <w:rPr>
          <w:rFonts w:hint="eastAsia" w:ascii="Times New Roman" w:hAnsi="Times New Roman"/>
          <w:color w:val="auto"/>
          <w:sz w:val="24"/>
          <w:szCs w:val="24"/>
        </w:rPr>
        <w:t>。废水经处理后，</w:t>
      </w:r>
      <w:r>
        <w:rPr>
          <w:rFonts w:ascii="Times New Roman" w:hAnsi="Times New Roman"/>
          <w:color w:val="auto"/>
          <w:sz w:val="24"/>
          <w:szCs w:val="24"/>
        </w:rPr>
        <w:t>污染物</w:t>
      </w:r>
      <w:r>
        <w:rPr>
          <w:rFonts w:hint="eastAsia" w:ascii="Times New Roman" w:hAnsi="Times New Roman"/>
          <w:color w:val="auto"/>
          <w:sz w:val="24"/>
          <w:szCs w:val="24"/>
        </w:rPr>
        <w:t>排放</w:t>
      </w:r>
      <w:r>
        <w:rPr>
          <w:rFonts w:ascii="Times New Roman" w:hAnsi="Times New Roman"/>
          <w:color w:val="auto"/>
          <w:sz w:val="24"/>
          <w:szCs w:val="24"/>
        </w:rPr>
        <w:t>浓度均能满足</w:t>
      </w:r>
      <w:r>
        <w:rPr>
          <w:rFonts w:ascii="Times New Roman" w:hAnsi="Times New Roman"/>
          <w:color w:val="auto"/>
          <w:sz w:val="24"/>
        </w:rPr>
        <w:t>《</w:t>
      </w:r>
      <w:r>
        <w:rPr>
          <w:rFonts w:hint="eastAsia" w:ascii="Times New Roman" w:hAnsi="Times New Roman"/>
          <w:color w:val="auto"/>
          <w:sz w:val="24"/>
        </w:rPr>
        <w:t>石油化学工业污染物排放标准</w:t>
      </w:r>
      <w:r>
        <w:rPr>
          <w:rFonts w:ascii="Times New Roman" w:hAnsi="Times New Roman"/>
          <w:color w:val="auto"/>
          <w:sz w:val="24"/>
        </w:rPr>
        <w:t>》</w:t>
      </w:r>
      <w:r>
        <w:rPr>
          <w:rFonts w:hint="eastAsia" w:ascii="Times New Roman" w:hAnsi="Times New Roman"/>
          <w:color w:val="auto"/>
          <w:sz w:val="24"/>
        </w:rPr>
        <w:t>（GB31571-2015）要求</w:t>
      </w:r>
      <w:r>
        <w:rPr>
          <w:rFonts w:ascii="Times New Roman" w:hAnsi="Times New Roman"/>
          <w:color w:val="auto"/>
          <w:kern w:val="24"/>
          <w:sz w:val="24"/>
          <w:szCs w:val="24"/>
        </w:rPr>
        <w:t>。</w:t>
      </w:r>
      <w:r>
        <w:rPr>
          <w:rFonts w:hint="eastAsia" w:ascii="Times New Roman" w:hAnsi="Times New Roman"/>
          <w:color w:val="auto"/>
          <w:kern w:val="24"/>
          <w:sz w:val="24"/>
          <w:szCs w:val="24"/>
          <w:lang w:eastAsia="zh-CN"/>
        </w:rPr>
        <w:t>公司</w:t>
      </w:r>
      <w:r>
        <w:rPr>
          <w:rFonts w:hint="eastAsia" w:ascii="Times New Roman" w:hAnsi="Times New Roman"/>
          <w:color w:val="auto"/>
          <w:sz w:val="24"/>
          <w:szCs w:val="24"/>
        </w:rPr>
        <w:t>污水处理厂</w:t>
      </w:r>
      <w:r>
        <w:rPr>
          <w:rFonts w:ascii="Times New Roman" w:hAnsi="Times New Roman"/>
          <w:color w:val="auto"/>
          <w:sz w:val="24"/>
          <w:szCs w:val="24"/>
        </w:rPr>
        <w:t>现接纳污水</w:t>
      </w:r>
      <w:r>
        <w:rPr>
          <w:rFonts w:hint="eastAsia" w:ascii="Times New Roman" w:hAnsi="Times New Roman"/>
          <w:color w:val="auto"/>
          <w:sz w:val="24"/>
          <w:szCs w:val="24"/>
          <w:lang w:val="en-US" w:eastAsia="zh-CN"/>
        </w:rPr>
        <w:t>850</w:t>
      </w:r>
      <w:r>
        <w:rPr>
          <w:rFonts w:hint="eastAsia" w:ascii="Times New Roman" w:hAnsi="Times New Roman"/>
          <w:color w:val="auto"/>
          <w:sz w:val="24"/>
          <w:szCs w:val="24"/>
        </w:rPr>
        <w:t>m</w:t>
      </w:r>
      <w:r>
        <w:rPr>
          <w:rFonts w:hint="eastAsia" w:ascii="Times New Roman" w:hAnsi="Times New Roman"/>
          <w:color w:val="auto"/>
          <w:sz w:val="24"/>
          <w:szCs w:val="24"/>
          <w:vertAlign w:val="superscript"/>
        </w:rPr>
        <w:t>3</w:t>
      </w:r>
      <w:r>
        <w:rPr>
          <w:rFonts w:ascii="Times New Roman" w:hAnsi="Times New Roman"/>
          <w:color w:val="auto"/>
          <w:sz w:val="24"/>
          <w:szCs w:val="24"/>
        </w:rPr>
        <w:t>/</w:t>
      </w:r>
      <w:r>
        <w:rPr>
          <w:rFonts w:hint="eastAsia" w:ascii="Times New Roman" w:hAnsi="Times New Roman"/>
          <w:color w:val="auto"/>
          <w:sz w:val="24"/>
          <w:szCs w:val="24"/>
          <w:lang w:val="en-US" w:eastAsia="zh-CN"/>
        </w:rPr>
        <w:t>h</w:t>
      </w:r>
      <w:r>
        <w:rPr>
          <w:rFonts w:ascii="Times New Roman" w:hAnsi="Times New Roman"/>
          <w:color w:val="auto"/>
          <w:sz w:val="24"/>
          <w:szCs w:val="24"/>
        </w:rPr>
        <w:t>，还剩余</w:t>
      </w:r>
      <w:r>
        <w:rPr>
          <w:rFonts w:hint="eastAsia" w:ascii="Times New Roman" w:hAnsi="Times New Roman"/>
          <w:color w:val="auto"/>
          <w:sz w:val="24"/>
          <w:szCs w:val="24"/>
        </w:rPr>
        <w:t>较多废水处理余量，可接纳本项目排水。</w:t>
      </w:r>
    </w:p>
    <w:p>
      <w:pPr>
        <w:adjustRightInd w:val="0"/>
        <w:snapToGrid w:val="0"/>
        <w:spacing w:line="360" w:lineRule="auto"/>
        <w:ind w:firstLine="480" w:firstLineChars="200"/>
        <w:rPr>
          <w:rFonts w:ascii="Times New Roman" w:hAnsi="Times New Roman"/>
          <w:color w:val="auto"/>
          <w:kern w:val="24"/>
          <w:szCs w:val="24"/>
        </w:rPr>
      </w:pPr>
      <w:r>
        <w:rPr>
          <w:rFonts w:hint="eastAsia" w:ascii="Times New Roman" w:hAnsi="Times New Roman"/>
          <w:color w:val="auto"/>
          <w:kern w:val="24"/>
          <w:sz w:val="24"/>
          <w:szCs w:val="24"/>
        </w:rPr>
        <w:t>综上所述，本</w:t>
      </w:r>
      <w:r>
        <w:rPr>
          <w:rFonts w:ascii="Times New Roman" w:hAnsi="Times New Roman"/>
          <w:color w:val="auto"/>
          <w:kern w:val="24"/>
          <w:sz w:val="24"/>
          <w:szCs w:val="24"/>
        </w:rPr>
        <w:t>项目废水</w:t>
      </w:r>
      <w:r>
        <w:rPr>
          <w:rFonts w:hint="eastAsia" w:ascii="Times New Roman" w:hAnsi="Times New Roman"/>
          <w:color w:val="auto"/>
          <w:kern w:val="24"/>
          <w:sz w:val="24"/>
          <w:szCs w:val="24"/>
        </w:rPr>
        <w:t>排放量小，</w:t>
      </w:r>
      <w:r>
        <w:rPr>
          <w:rFonts w:hint="eastAsia" w:ascii="Times New Roman" w:hAnsi="Times New Roman"/>
          <w:color w:val="auto"/>
          <w:kern w:val="24"/>
          <w:sz w:val="24"/>
          <w:szCs w:val="24"/>
          <w:lang w:eastAsia="zh-CN"/>
        </w:rPr>
        <w:t>污染物浓度满足公司污水场进水指标，经公司污水场处理后能达标排放</w:t>
      </w:r>
      <w:r>
        <w:rPr>
          <w:rFonts w:hint="eastAsia" w:ascii="Times New Roman" w:hAnsi="Times New Roman"/>
          <w:color w:val="auto"/>
          <w:sz w:val="24"/>
          <w:szCs w:val="24"/>
        </w:rPr>
        <w:t>。</w:t>
      </w:r>
    </w:p>
    <w:p>
      <w:pPr>
        <w:pStyle w:val="6"/>
        <w:numPr>
          <w:ilvl w:val="1"/>
          <w:numId w:val="0"/>
        </w:numPr>
        <w:spacing w:before="120" w:beforeLines="0" w:after="120" w:afterLines="0"/>
        <w:ind w:leftChars="0"/>
        <w:rPr>
          <w:color w:val="auto"/>
          <w:u w:val="single"/>
        </w:rPr>
      </w:pPr>
      <w:bookmarkStart w:id="319" w:name="_Toc11919"/>
      <w:bookmarkStart w:id="320" w:name="_Toc20343"/>
      <w:bookmarkStart w:id="321" w:name="_Toc16270"/>
      <w:bookmarkStart w:id="322" w:name="_Toc28023"/>
      <w:r>
        <w:rPr>
          <w:rFonts w:hint="eastAsia"/>
          <w:color w:val="auto"/>
          <w:u w:val="single"/>
          <w:lang w:val="en-US" w:eastAsia="zh-CN"/>
        </w:rPr>
        <w:t xml:space="preserve">5.3 </w:t>
      </w:r>
      <w:r>
        <w:rPr>
          <w:rFonts w:hint="eastAsia"/>
          <w:color w:val="auto"/>
          <w:u w:val="single"/>
        </w:rPr>
        <w:t>地下水</w:t>
      </w:r>
      <w:r>
        <w:rPr>
          <w:color w:val="auto"/>
          <w:u w:val="single"/>
        </w:rPr>
        <w:t>环境影响</w:t>
      </w:r>
      <w:r>
        <w:rPr>
          <w:rFonts w:hint="eastAsia"/>
          <w:color w:val="auto"/>
          <w:u w:val="single"/>
        </w:rPr>
        <w:t>评价</w:t>
      </w:r>
      <w:bookmarkEnd w:id="319"/>
      <w:bookmarkEnd w:id="320"/>
      <w:bookmarkEnd w:id="321"/>
      <w:bookmarkEnd w:id="322"/>
    </w:p>
    <w:p>
      <w:pPr>
        <w:pStyle w:val="7"/>
        <w:numPr>
          <w:ilvl w:val="2"/>
          <w:numId w:val="0"/>
        </w:numPr>
        <w:spacing w:before="120" w:beforeLines="0" w:after="120" w:afterLines="0"/>
        <w:rPr>
          <w:color w:val="auto"/>
          <w:u w:val="single"/>
        </w:rPr>
      </w:pPr>
      <w:bookmarkStart w:id="323" w:name="_Toc6449"/>
      <w:bookmarkStart w:id="324" w:name="_Toc27590"/>
      <w:bookmarkStart w:id="325" w:name="_Toc25709"/>
      <w:r>
        <w:rPr>
          <w:rFonts w:hint="eastAsia"/>
          <w:color w:val="auto"/>
          <w:u w:val="single"/>
          <w:lang w:val="en-US" w:eastAsia="zh-CN"/>
        </w:rPr>
        <w:t xml:space="preserve">5.3.1 </w:t>
      </w:r>
      <w:r>
        <w:rPr>
          <w:rFonts w:hint="eastAsia"/>
          <w:color w:val="auto"/>
          <w:u w:val="single"/>
        </w:rPr>
        <w:t>地下水敏感程度</w:t>
      </w:r>
      <w:bookmarkEnd w:id="323"/>
      <w:bookmarkEnd w:id="324"/>
      <w:bookmarkEnd w:id="325"/>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根据现场调查，项目区域水文地质单元内不存在集中式饮用水源地或分散式饮用水源，地下水环境不敏感。</w:t>
      </w:r>
      <w:bookmarkStart w:id="326" w:name="_Toc23647"/>
      <w:bookmarkStart w:id="327" w:name="_Toc16981"/>
    </w:p>
    <w:p>
      <w:pPr>
        <w:pStyle w:val="7"/>
        <w:numPr>
          <w:ilvl w:val="2"/>
          <w:numId w:val="0"/>
        </w:numPr>
        <w:spacing w:before="120" w:beforeLines="0" w:after="120" w:afterLines="0"/>
        <w:rPr>
          <w:rFonts w:hint="eastAsia"/>
          <w:color w:val="auto"/>
          <w:u w:val="single"/>
          <w:lang w:val="en-US" w:eastAsia="zh-CN"/>
        </w:rPr>
      </w:pPr>
      <w:bookmarkStart w:id="328" w:name="_Toc12588"/>
      <w:r>
        <w:rPr>
          <w:rFonts w:hint="eastAsia"/>
          <w:color w:val="auto"/>
          <w:u w:val="single"/>
          <w:lang w:val="en-US" w:eastAsia="zh-CN"/>
        </w:rPr>
        <w:t>5.3.2 水文地质条件</w:t>
      </w:r>
      <w:bookmarkEnd w:id="326"/>
      <w:bookmarkEnd w:id="327"/>
      <w:bookmarkEnd w:id="328"/>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项目所在区域地下水类型主要松散岩类孔隙水、基岩裂隙水，含水量贫乏，地下水枯季径流模数＜6L/S·km</w:t>
      </w:r>
      <w:r>
        <w:rPr>
          <w:rFonts w:ascii="Times New Roman" w:hAnsi="Times New Roman"/>
          <w:color w:val="auto"/>
          <w:sz w:val="24"/>
          <w:u w:val="single"/>
          <w:vertAlign w:val="superscript"/>
        </w:rPr>
        <w:t>2</w:t>
      </w:r>
      <w:r>
        <w:rPr>
          <w:rFonts w:ascii="Times New Roman" w:hAnsi="Times New Roman"/>
          <w:color w:val="auto"/>
          <w:sz w:val="24"/>
          <w:u w:val="single"/>
        </w:rPr>
        <w:t>。所在区域地下水以降雨补给为主，年降雨量1660毫米，风化层厚度一般为20~40m，降雨后一部分渗入地下，储存于岩石的裂隙中。地下水径流缓慢，没有泉出露。</w:t>
      </w:r>
      <w:r>
        <w:rPr>
          <w:rFonts w:ascii="Times New Roman" w:hAnsi="Times New Roman"/>
          <w:color w:val="auto"/>
          <w:kern w:val="0"/>
          <w:sz w:val="24"/>
          <w:u w:val="single"/>
        </w:rPr>
        <w:t>勘察时场区</w:t>
      </w:r>
      <w:r>
        <w:rPr>
          <w:rFonts w:ascii="Times New Roman" w:hAnsi="Times New Roman"/>
          <w:color w:val="auto"/>
          <w:sz w:val="24"/>
          <w:u w:val="single"/>
        </w:rPr>
        <w:t>钻孔在勘察深度内未发现稳定地下水位（仅存在包气带上层滞水）。</w:t>
      </w:r>
    </w:p>
    <w:p>
      <w:pPr>
        <w:pStyle w:val="7"/>
        <w:numPr>
          <w:ilvl w:val="2"/>
          <w:numId w:val="0"/>
        </w:numPr>
        <w:spacing w:before="120" w:beforeLines="0" w:after="120" w:afterLines="0"/>
        <w:rPr>
          <w:color w:val="auto"/>
          <w:u w:val="single"/>
        </w:rPr>
      </w:pPr>
      <w:bookmarkStart w:id="329" w:name="_Toc5572"/>
      <w:bookmarkStart w:id="330" w:name="_Toc10213"/>
      <w:bookmarkStart w:id="331" w:name="_Toc12984"/>
      <w:r>
        <w:rPr>
          <w:rFonts w:hint="eastAsia"/>
          <w:color w:val="auto"/>
          <w:u w:val="single"/>
          <w:lang w:val="en-US" w:eastAsia="zh-CN"/>
        </w:rPr>
        <w:t xml:space="preserve">5.3.3 </w:t>
      </w:r>
      <w:r>
        <w:rPr>
          <w:rFonts w:hint="eastAsia"/>
          <w:color w:val="auto"/>
          <w:u w:val="single"/>
        </w:rPr>
        <w:t>污染物特征</w:t>
      </w:r>
      <w:bookmarkEnd w:id="329"/>
      <w:bookmarkEnd w:id="330"/>
      <w:bookmarkEnd w:id="331"/>
    </w:p>
    <w:p>
      <w:pPr>
        <w:adjustRightInd w:val="0"/>
        <w:snapToGri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根据工程分析可知，项目污水</w:t>
      </w:r>
      <w:r>
        <w:rPr>
          <w:rFonts w:hint="eastAsia" w:ascii="Times New Roman" w:hAnsi="Times New Roman"/>
          <w:color w:val="auto"/>
          <w:sz w:val="24"/>
          <w:u w:val="single"/>
        </w:rPr>
        <w:t>量较少，</w:t>
      </w:r>
      <w:r>
        <w:rPr>
          <w:rFonts w:ascii="Times New Roman" w:hAnsi="Times New Roman"/>
          <w:color w:val="auto"/>
          <w:sz w:val="24"/>
          <w:u w:val="single"/>
        </w:rPr>
        <w:t>主要污染因子包括pH、COD、NH</w:t>
      </w:r>
      <w:r>
        <w:rPr>
          <w:rFonts w:ascii="Times New Roman" w:hAnsi="Times New Roman"/>
          <w:color w:val="auto"/>
          <w:sz w:val="24"/>
          <w:u w:val="single"/>
          <w:vertAlign w:val="subscript"/>
        </w:rPr>
        <w:t>3</w:t>
      </w:r>
      <w:r>
        <w:rPr>
          <w:rFonts w:ascii="Times New Roman" w:hAnsi="Times New Roman"/>
          <w:color w:val="auto"/>
          <w:sz w:val="24"/>
          <w:u w:val="single"/>
        </w:rPr>
        <w:t>-N、悬浮物，</w:t>
      </w:r>
      <w:r>
        <w:rPr>
          <w:rFonts w:hint="eastAsia" w:ascii="Times New Roman" w:hAnsi="Times New Roman"/>
          <w:color w:val="auto"/>
          <w:sz w:val="24"/>
          <w:u w:val="single"/>
        </w:rPr>
        <w:t>不</w:t>
      </w:r>
      <w:r>
        <w:rPr>
          <w:rFonts w:ascii="Times New Roman" w:hAnsi="Times New Roman"/>
          <w:color w:val="auto"/>
          <w:sz w:val="24"/>
          <w:u w:val="single"/>
        </w:rPr>
        <w:t>涉及镉、六价铬、汞、铅等重金属污染物。</w:t>
      </w:r>
    </w:p>
    <w:p>
      <w:pPr>
        <w:pStyle w:val="7"/>
        <w:numPr>
          <w:ilvl w:val="2"/>
          <w:numId w:val="0"/>
        </w:numPr>
        <w:spacing w:before="120" w:beforeLines="0" w:after="120" w:afterLines="0"/>
        <w:rPr>
          <w:color w:val="auto"/>
          <w:u w:val="single"/>
        </w:rPr>
      </w:pPr>
      <w:bookmarkStart w:id="332" w:name="_Toc31797"/>
      <w:bookmarkStart w:id="333" w:name="_Toc25197"/>
      <w:bookmarkStart w:id="334" w:name="_Toc5806"/>
      <w:r>
        <w:rPr>
          <w:rFonts w:hint="eastAsia"/>
          <w:color w:val="auto"/>
          <w:u w:val="single"/>
          <w:lang w:val="en-US" w:eastAsia="zh-CN"/>
        </w:rPr>
        <w:t xml:space="preserve">5.3.4 </w:t>
      </w:r>
      <w:r>
        <w:rPr>
          <w:rFonts w:hint="eastAsia"/>
          <w:color w:val="auto"/>
          <w:u w:val="single"/>
        </w:rPr>
        <w:t>地下水环境影响预测</w:t>
      </w:r>
      <w:bookmarkEnd w:id="332"/>
      <w:bookmarkEnd w:id="333"/>
      <w:bookmarkEnd w:id="334"/>
    </w:p>
    <w:p>
      <w:pPr>
        <w:pStyle w:val="8"/>
        <w:numPr>
          <w:ilvl w:val="3"/>
          <w:numId w:val="0"/>
        </w:numPr>
        <w:ind w:leftChars="0"/>
        <w:rPr>
          <w:color w:val="auto"/>
          <w:u w:val="single"/>
        </w:rPr>
      </w:pPr>
      <w:r>
        <w:rPr>
          <w:rFonts w:hint="eastAsia"/>
          <w:color w:val="auto"/>
          <w:u w:val="single"/>
          <w:lang w:val="en-US" w:eastAsia="zh-CN"/>
        </w:rPr>
        <w:t xml:space="preserve">5.3.4.1 </w:t>
      </w:r>
      <w:r>
        <w:rPr>
          <w:rFonts w:hint="eastAsia"/>
          <w:color w:val="auto"/>
          <w:u w:val="single"/>
        </w:rPr>
        <w:t>地下水污染类型</w:t>
      </w:r>
    </w:p>
    <w:p>
      <w:pPr>
        <w:adjustRightInd w:val="0"/>
        <w:snapToGrid w:val="0"/>
        <w:spacing w:line="360" w:lineRule="auto"/>
        <w:ind w:firstLine="480"/>
        <w:rPr>
          <w:rFonts w:ascii="Times New Roman" w:hAnsi="Times New Roman"/>
          <w:color w:val="auto"/>
          <w:sz w:val="24"/>
          <w:u w:val="single"/>
        </w:rPr>
      </w:pPr>
      <w:r>
        <w:rPr>
          <w:rFonts w:ascii="Times New Roman" w:hAnsi="Times New Roman"/>
          <w:color w:val="auto"/>
          <w:sz w:val="24"/>
          <w:u w:val="single"/>
        </w:rPr>
        <w:t>项目正常生产过程中，所有废水经管道有组织收集后入污水处理</w:t>
      </w:r>
      <w:r>
        <w:rPr>
          <w:rFonts w:hint="eastAsia" w:ascii="Times New Roman" w:hAnsi="Times New Roman"/>
          <w:color w:val="auto"/>
          <w:sz w:val="24"/>
          <w:u w:val="single"/>
          <w:lang w:eastAsia="zh-CN"/>
        </w:rPr>
        <w:t>场</w:t>
      </w:r>
      <w:r>
        <w:rPr>
          <w:rFonts w:ascii="Times New Roman" w:hAnsi="Times New Roman"/>
          <w:color w:val="auto"/>
          <w:sz w:val="24"/>
          <w:u w:val="single"/>
        </w:rPr>
        <w:t>处理，经处理达标后外排。由此可知，最可能产生地下水污染的区域为污水</w:t>
      </w:r>
      <w:r>
        <w:rPr>
          <w:rFonts w:hint="eastAsia" w:ascii="Times New Roman" w:hAnsi="Times New Roman"/>
          <w:color w:val="auto"/>
          <w:sz w:val="24"/>
          <w:u w:val="single"/>
          <w:lang w:eastAsia="zh-CN"/>
        </w:rPr>
        <w:t>收集管道</w:t>
      </w:r>
      <w:r>
        <w:rPr>
          <w:rFonts w:ascii="Times New Roman" w:hAnsi="Times New Roman"/>
          <w:color w:val="auto"/>
          <w:sz w:val="24"/>
          <w:u w:val="single"/>
        </w:rPr>
        <w:t>，若发生</w:t>
      </w:r>
      <w:r>
        <w:rPr>
          <w:rFonts w:hint="eastAsia" w:ascii="Times New Roman" w:hAnsi="Times New Roman"/>
          <w:color w:val="auto"/>
          <w:sz w:val="24"/>
          <w:u w:val="single"/>
          <w:lang w:eastAsia="zh-CN"/>
        </w:rPr>
        <w:t>管道渗</w:t>
      </w:r>
      <w:r>
        <w:rPr>
          <w:rFonts w:ascii="Times New Roman" w:hAnsi="Times New Roman"/>
          <w:color w:val="auto"/>
          <w:sz w:val="24"/>
          <w:u w:val="single"/>
        </w:rPr>
        <w:t>缝，未处理废水将直接进入地下水系统，主要污染因子为：COD</w:t>
      </w:r>
      <w:r>
        <w:rPr>
          <w:rFonts w:ascii="Times New Roman" w:hAnsi="Times New Roman"/>
          <w:color w:val="auto"/>
          <w:sz w:val="24"/>
          <w:u w:val="single"/>
          <w:vertAlign w:val="subscript"/>
        </w:rPr>
        <w:t>cr</w:t>
      </w:r>
      <w:r>
        <w:rPr>
          <w:rFonts w:ascii="Times New Roman" w:hAnsi="Times New Roman"/>
          <w:color w:val="auto"/>
          <w:sz w:val="24"/>
          <w:u w:val="single"/>
        </w:rPr>
        <w:t>、NH</w:t>
      </w:r>
      <w:r>
        <w:rPr>
          <w:rFonts w:ascii="Times New Roman" w:hAnsi="Times New Roman"/>
          <w:color w:val="auto"/>
          <w:sz w:val="24"/>
          <w:u w:val="single"/>
          <w:vertAlign w:val="subscript"/>
        </w:rPr>
        <w:t>3</w:t>
      </w:r>
      <w:r>
        <w:rPr>
          <w:rFonts w:ascii="Times New Roman" w:hAnsi="Times New Roman"/>
          <w:color w:val="auto"/>
          <w:sz w:val="24"/>
          <w:u w:val="single"/>
        </w:rPr>
        <w:t>-N等。</w:t>
      </w:r>
    </w:p>
    <w:p>
      <w:pPr>
        <w:pStyle w:val="8"/>
        <w:numPr>
          <w:ilvl w:val="3"/>
          <w:numId w:val="0"/>
        </w:numPr>
        <w:ind w:leftChars="0"/>
        <w:rPr>
          <w:color w:val="auto"/>
          <w:u w:val="single"/>
        </w:rPr>
      </w:pPr>
      <w:r>
        <w:rPr>
          <w:rFonts w:hint="eastAsia"/>
          <w:color w:val="auto"/>
          <w:u w:val="single"/>
          <w:lang w:val="en-US" w:eastAsia="zh-CN"/>
        </w:rPr>
        <w:t xml:space="preserve">5.3.4.2 </w:t>
      </w:r>
      <w:r>
        <w:rPr>
          <w:rFonts w:hint="eastAsia"/>
          <w:color w:val="auto"/>
          <w:u w:val="single"/>
        </w:rPr>
        <w:t>影响范围</w:t>
      </w:r>
    </w:p>
    <w:p>
      <w:pPr>
        <w:adjustRightInd w:val="0"/>
        <w:snapToGrid w:val="0"/>
        <w:spacing w:line="360" w:lineRule="auto"/>
        <w:ind w:firstLine="480" w:firstLineChars="200"/>
        <w:rPr>
          <w:rFonts w:ascii="Times New Roman" w:hAnsi="Times New Roman"/>
          <w:color w:val="auto"/>
          <w:kern w:val="24"/>
          <w:sz w:val="24"/>
          <w:szCs w:val="24"/>
          <w:u w:val="single"/>
          <w:lang w:val="zh-CN"/>
        </w:rPr>
      </w:pPr>
      <w:r>
        <w:rPr>
          <w:rFonts w:ascii="Times New Roman" w:hAnsi="Times New Roman"/>
          <w:bCs/>
          <w:color w:val="auto"/>
          <w:sz w:val="24"/>
          <w:u w:val="single"/>
        </w:rPr>
        <w:t>本项目区内污染源主要为生产废水，为点源</w:t>
      </w:r>
      <w:r>
        <w:rPr>
          <w:rFonts w:hint="eastAsia" w:ascii="Times New Roman" w:hAnsi="Times New Roman"/>
          <w:bCs/>
          <w:color w:val="auto"/>
          <w:sz w:val="24"/>
          <w:u w:val="single"/>
          <w:lang w:eastAsia="zh-CN"/>
        </w:rPr>
        <w:t>间断</w:t>
      </w:r>
      <w:r>
        <w:rPr>
          <w:rFonts w:ascii="Times New Roman" w:hAnsi="Times New Roman"/>
          <w:bCs/>
          <w:color w:val="auto"/>
          <w:sz w:val="24"/>
          <w:u w:val="single"/>
        </w:rPr>
        <w:t>排放。根据场区水文地质特征及边界条件分析，地下水流主要是由东北</w:t>
      </w:r>
      <w:r>
        <w:rPr>
          <w:rFonts w:ascii="Times New Roman" w:hAnsi="Times New Roman"/>
          <w:color w:val="auto"/>
          <w:sz w:val="24"/>
          <w:u w:val="single"/>
        </w:rPr>
        <w:t>向西</w:t>
      </w:r>
      <w:r>
        <w:rPr>
          <w:rFonts w:hint="eastAsia" w:ascii="Times New Roman" w:hAnsi="Times New Roman"/>
          <w:color w:val="auto"/>
          <w:sz w:val="24"/>
          <w:u w:val="single"/>
          <w:lang w:eastAsia="zh-CN"/>
        </w:rPr>
        <w:t>北</w:t>
      </w:r>
      <w:r>
        <w:rPr>
          <w:rFonts w:ascii="Times New Roman" w:hAnsi="Times New Roman"/>
          <w:bCs/>
          <w:color w:val="auto"/>
          <w:sz w:val="24"/>
          <w:u w:val="single"/>
        </w:rPr>
        <w:t>径流</w:t>
      </w:r>
      <w:r>
        <w:rPr>
          <w:rFonts w:hint="eastAsia" w:ascii="Times New Roman" w:hAnsi="Times New Roman"/>
          <w:bCs/>
          <w:color w:val="auto"/>
          <w:sz w:val="24"/>
          <w:u w:val="single"/>
        </w:rPr>
        <w:t>，</w:t>
      </w:r>
      <w:r>
        <w:rPr>
          <w:rFonts w:ascii="Times New Roman" w:hAnsi="Times New Roman"/>
          <w:color w:val="auto"/>
          <w:sz w:val="24"/>
          <w:u w:val="single"/>
        </w:rPr>
        <w:t>最终向</w:t>
      </w:r>
      <w:r>
        <w:rPr>
          <w:rFonts w:hint="eastAsia" w:ascii="Times New Roman" w:hAnsi="Times New Roman"/>
          <w:color w:val="auto"/>
          <w:sz w:val="24"/>
          <w:u w:val="single"/>
          <w:lang w:eastAsia="zh-CN"/>
        </w:rPr>
        <w:t>长江</w:t>
      </w:r>
      <w:r>
        <w:rPr>
          <w:rFonts w:ascii="Times New Roman" w:hAnsi="Times New Roman"/>
          <w:color w:val="auto"/>
          <w:sz w:val="24"/>
          <w:u w:val="single"/>
        </w:rPr>
        <w:t>排泄</w:t>
      </w:r>
      <w:r>
        <w:rPr>
          <w:rFonts w:ascii="Times New Roman" w:hAnsi="Times New Roman"/>
          <w:bCs/>
          <w:color w:val="auto"/>
          <w:sz w:val="24"/>
          <w:u w:val="single"/>
        </w:rPr>
        <w:t>。</w:t>
      </w:r>
      <w:r>
        <w:rPr>
          <w:rFonts w:ascii="Times New Roman" w:hAnsi="Times New Roman"/>
          <w:color w:val="auto"/>
          <w:kern w:val="24"/>
          <w:sz w:val="24"/>
          <w:szCs w:val="24"/>
          <w:u w:val="single"/>
          <w:lang w:val="zh-CN"/>
        </w:rPr>
        <w:t xml:space="preserve"> </w:t>
      </w:r>
    </w:p>
    <w:p>
      <w:pPr>
        <w:pStyle w:val="8"/>
        <w:numPr>
          <w:ilvl w:val="3"/>
          <w:numId w:val="0"/>
        </w:numPr>
        <w:ind w:leftChars="0"/>
        <w:rPr>
          <w:color w:val="auto"/>
          <w:u w:val="single"/>
        </w:rPr>
      </w:pPr>
      <w:r>
        <w:rPr>
          <w:rFonts w:hint="eastAsia"/>
          <w:color w:val="auto"/>
          <w:u w:val="single"/>
          <w:lang w:val="en-US" w:eastAsia="zh-CN"/>
        </w:rPr>
        <w:t xml:space="preserve">5.3.4.3 </w:t>
      </w:r>
      <w:r>
        <w:rPr>
          <w:rFonts w:hint="eastAsia"/>
          <w:color w:val="auto"/>
          <w:u w:val="single"/>
        </w:rPr>
        <w:t>非正常工况下地下水环境影响预测</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（1）水文地质概念模型</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水文地质概念模型对评价区水文地质条件的简化，是对地下水系统的科学概化，其核心为边界条件、内部结构、地下水流态三大要素，能较准确反映地下水系统的主要功能和特征。根据评价区的地层岩性、水动力场、水化学场的分析，从而确定概念模型的要素。</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（2）模型范围及保护目标</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地下水影响评价模拟范围：</w:t>
      </w:r>
      <w:r>
        <w:rPr>
          <w:rFonts w:ascii="Times New Roman" w:hAnsi="Times New Roman"/>
          <w:color w:val="auto"/>
          <w:sz w:val="24"/>
          <w:u w:val="single"/>
        </w:rPr>
        <w:t>考虑项目区域地下水主要接受大气降水的补给，因此本项目地下水主要以地表分水岭为界线划定评价范围。</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（3）含水层结构</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项目区含水岩组主要为</w:t>
      </w:r>
      <w:r>
        <w:rPr>
          <w:rFonts w:ascii="Times New Roman" w:hAnsi="Times New Roman"/>
          <w:color w:val="auto"/>
          <w:sz w:val="24"/>
          <w:u w:val="single"/>
        </w:rPr>
        <w:t>素填土</w:t>
      </w:r>
      <w:r>
        <w:rPr>
          <w:rFonts w:hint="eastAsia" w:ascii="Times New Roman" w:hAnsi="Times New Roman" w:cs="宋体"/>
          <w:color w:val="auto"/>
          <w:sz w:val="24"/>
          <w:u w:val="single"/>
        </w:rPr>
        <w:t>①</w:t>
      </w:r>
      <w:r>
        <w:rPr>
          <w:rFonts w:ascii="Times New Roman" w:hAnsi="Times New Roman"/>
          <w:color w:val="auto"/>
          <w:sz w:val="24"/>
          <w:u w:val="single"/>
        </w:rPr>
        <w:t>（Q</w:t>
      </w:r>
      <w:r>
        <w:rPr>
          <w:rFonts w:ascii="Times New Roman" w:hAnsi="Times New Roman"/>
          <w:color w:val="auto"/>
          <w:sz w:val="24"/>
          <w:u w:val="single"/>
          <w:vertAlign w:val="subscript"/>
        </w:rPr>
        <w:t>4</w:t>
      </w:r>
      <w:r>
        <w:rPr>
          <w:rFonts w:ascii="Times New Roman" w:hAnsi="Times New Roman"/>
          <w:color w:val="auto"/>
          <w:sz w:val="24"/>
          <w:u w:val="single"/>
          <w:vertAlign w:val="superscript"/>
        </w:rPr>
        <w:t>ml</w:t>
      </w:r>
      <w:r>
        <w:rPr>
          <w:rFonts w:ascii="Times New Roman" w:hAnsi="Times New Roman"/>
          <w:color w:val="auto"/>
          <w:sz w:val="24"/>
          <w:u w:val="single"/>
        </w:rPr>
        <w:t>）</w:t>
      </w:r>
      <w:r>
        <w:rPr>
          <w:rFonts w:ascii="Times New Roman" w:hAnsi="Times New Roman"/>
          <w:bCs/>
          <w:color w:val="auto"/>
          <w:sz w:val="24"/>
          <w:u w:val="single"/>
        </w:rPr>
        <w:t>的粘土层，属松散岩类孔隙含水层，平均厚度3.77m。</w:t>
      </w:r>
      <w:r>
        <w:rPr>
          <w:rFonts w:ascii="Times New Roman" w:hAnsi="Times New Roman"/>
          <w:color w:val="auto"/>
          <w:sz w:val="24"/>
          <w:u w:val="single"/>
        </w:rPr>
        <w:t>基岩裂隙水</w:t>
      </w:r>
      <w:r>
        <w:rPr>
          <w:rFonts w:ascii="Times New Roman" w:hAnsi="Times New Roman"/>
          <w:bCs/>
          <w:color w:val="auto"/>
          <w:sz w:val="24"/>
          <w:u w:val="single"/>
        </w:rPr>
        <w:t>含水层主要为地下水面以下，至含水层底板的</w:t>
      </w:r>
      <w:r>
        <w:rPr>
          <w:rFonts w:ascii="Times New Roman" w:hAnsi="Times New Roman"/>
          <w:color w:val="auto"/>
          <w:sz w:val="24"/>
          <w:u w:val="single"/>
        </w:rPr>
        <w:t>花岗岩</w:t>
      </w:r>
      <w:r>
        <w:rPr>
          <w:rFonts w:ascii="Times New Roman" w:hAnsi="Times New Roman"/>
          <w:bCs/>
          <w:color w:val="auto"/>
          <w:sz w:val="24"/>
          <w:u w:val="single"/>
        </w:rPr>
        <w:t>，平均厚度为7.66m，分布于整个项目区。因此将评价区含水结构概化为一层结构，</w:t>
      </w:r>
      <w:r>
        <w:rPr>
          <w:rFonts w:ascii="Times New Roman" w:hAnsi="Times New Roman"/>
          <w:color w:val="auto"/>
          <w:sz w:val="24"/>
          <w:u w:val="single"/>
        </w:rPr>
        <w:t>含水层厚度</w:t>
      </w:r>
      <w:r>
        <w:rPr>
          <w:rFonts w:ascii="Times New Roman" w:hAnsi="Times New Roman"/>
          <w:bCs/>
          <w:color w:val="auto"/>
          <w:sz w:val="24"/>
          <w:u w:val="single"/>
        </w:rPr>
        <w:t>按3m计。</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（4）预测模式</w:t>
      </w:r>
    </w:p>
    <w:p>
      <w:pPr>
        <w:adjustRightInd w:val="0"/>
        <w:snapToGrid w:val="0"/>
        <w:spacing w:line="360" w:lineRule="auto"/>
        <w:ind w:firstLine="480" w:firstLineChars="200"/>
        <w:rPr>
          <w:rFonts w:ascii="Times New Roman" w:hAnsi="Times New Roman"/>
          <w:color w:val="auto"/>
          <w:kern w:val="0"/>
          <w:sz w:val="24"/>
          <w:u w:val="single"/>
        </w:rPr>
      </w:pPr>
      <w:r>
        <w:rPr>
          <w:rFonts w:ascii="Times New Roman" w:hAnsi="Times New Roman"/>
          <w:color w:val="auto"/>
          <w:kern w:val="0"/>
          <w:sz w:val="24"/>
          <w:u w:val="single"/>
        </w:rPr>
        <w:t>根据污染特点，在事故状态下，污染源概化为瞬时排放的定浓度边界，因此本次预测数学模型可选取瞬时注入示踪剂——平面瞬时点源数学模型进行预测，其解析解公式如下：</w:t>
      </w:r>
    </w:p>
    <w:p>
      <w:pPr>
        <w:spacing w:line="360" w:lineRule="auto"/>
        <w:ind w:firstLine="560" w:firstLineChars="200"/>
        <w:jc w:val="center"/>
        <w:rPr>
          <w:rFonts w:ascii="Times New Roman" w:hAnsi="Times New Roman"/>
          <w:color w:val="auto"/>
          <w:sz w:val="28"/>
          <w:szCs w:val="28"/>
          <w:u w:val="single"/>
        </w:rPr>
      </w:pPr>
      <w:r>
        <w:rPr>
          <w:rFonts w:ascii="Times New Roman" w:hAnsi="Times New Roman"/>
          <w:color w:val="auto"/>
          <w:position w:val="-34"/>
          <w:sz w:val="28"/>
          <w:szCs w:val="28"/>
          <w:u w:val="single"/>
        </w:rPr>
        <w:drawing>
          <wp:inline distT="0" distB="0" distL="0" distR="0">
            <wp:extent cx="2736850" cy="698500"/>
            <wp:effectExtent l="0" t="0" r="635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736850" cy="698500"/>
                    </a:xfrm>
                    <a:prstGeom prst="rect">
                      <a:avLst/>
                    </a:prstGeom>
                    <a:noFill/>
                    <a:ln>
                      <a:noFill/>
                    </a:ln>
                  </pic:spPr>
                </pic:pic>
              </a:graphicData>
            </a:graphic>
          </wp:inline>
        </w:drawing>
      </w:r>
    </w:p>
    <w:p>
      <w:pPr>
        <w:adjustRightInd w:val="0"/>
        <w:snapToGrid w:val="0"/>
        <w:spacing w:line="360" w:lineRule="auto"/>
        <w:ind w:firstLine="480" w:firstLineChars="200"/>
        <w:rPr>
          <w:rFonts w:ascii="Times New Roman" w:hAnsi="Times New Roman"/>
          <w:color w:val="auto"/>
          <w:kern w:val="0"/>
          <w:sz w:val="24"/>
          <w:u w:val="single"/>
        </w:rPr>
      </w:pPr>
      <w:r>
        <w:rPr>
          <w:rFonts w:ascii="Times New Roman" w:hAnsi="Times New Roman"/>
          <w:color w:val="auto"/>
          <w:kern w:val="0"/>
          <w:sz w:val="24"/>
          <w:u w:val="single"/>
        </w:rPr>
        <w:t>式中：</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kern w:val="0"/>
          <w:sz w:val="24"/>
          <w:u w:val="single"/>
        </w:rPr>
        <w:t>x，y——计算点处的位置坐标；</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kern w:val="0"/>
          <w:sz w:val="24"/>
          <w:u w:val="single"/>
        </w:rPr>
        <w:t>t——时间，d；</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position w:val="-10"/>
          <w:sz w:val="24"/>
          <w:u w:val="single"/>
        </w:rPr>
        <w:drawing>
          <wp:inline distT="0" distB="0" distL="0" distR="0">
            <wp:extent cx="590550" cy="196850"/>
            <wp:effectExtent l="0" t="0" r="0"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90550" cy="196850"/>
                    </a:xfrm>
                    <a:prstGeom prst="rect">
                      <a:avLst/>
                    </a:prstGeom>
                    <a:noFill/>
                    <a:ln>
                      <a:noFill/>
                    </a:ln>
                  </pic:spPr>
                </pic:pic>
              </a:graphicData>
            </a:graphic>
          </wp:inline>
        </w:drawing>
      </w:r>
      <w:r>
        <w:rPr>
          <w:rFonts w:ascii="Times New Roman" w:hAnsi="Times New Roman"/>
          <w:color w:val="auto"/>
          <w:sz w:val="24"/>
          <w:u w:val="single"/>
        </w:rPr>
        <w:t>——</w:t>
      </w:r>
      <w:r>
        <w:rPr>
          <w:rFonts w:ascii="Times New Roman" w:hAnsi="Times New Roman"/>
          <w:color w:val="auto"/>
          <w:kern w:val="0"/>
          <w:sz w:val="24"/>
          <w:u w:val="single"/>
        </w:rPr>
        <w:t>t时刻点x，y处的示踪剂浓度，mg/L；</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kern w:val="0"/>
          <w:sz w:val="24"/>
          <w:u w:val="single"/>
        </w:rPr>
        <w:t>M——承压含水层的厚度，m；</w:t>
      </w:r>
    </w:p>
    <w:p>
      <w:pPr>
        <w:adjustRightInd w:val="0"/>
        <w:snapToGrid w:val="0"/>
        <w:spacing w:line="360" w:lineRule="auto"/>
        <w:ind w:firstLine="1200" w:firstLineChars="500"/>
        <w:rPr>
          <w:rFonts w:ascii="Times New Roman" w:hAnsi="Times New Roman"/>
          <w:color w:val="auto"/>
          <w:sz w:val="24"/>
          <w:u w:val="single"/>
        </w:rPr>
      </w:pPr>
      <w:r>
        <w:rPr>
          <w:rFonts w:ascii="Times New Roman" w:hAnsi="Times New Roman"/>
          <w:color w:val="auto"/>
          <w:position w:val="-10"/>
          <w:sz w:val="24"/>
          <w:u w:val="single"/>
        </w:rPr>
        <w:drawing>
          <wp:inline distT="0" distB="0" distL="0" distR="0">
            <wp:extent cx="254000" cy="215900"/>
            <wp:effectExtent l="0" t="0" r="12700" b="158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54000" cy="215900"/>
                    </a:xfrm>
                    <a:prstGeom prst="rect">
                      <a:avLst/>
                    </a:prstGeom>
                    <a:noFill/>
                    <a:ln>
                      <a:noFill/>
                    </a:ln>
                  </pic:spPr>
                </pic:pic>
              </a:graphicData>
            </a:graphic>
          </wp:inline>
        </w:drawing>
      </w:r>
      <w:r>
        <w:rPr>
          <w:rFonts w:ascii="Times New Roman" w:hAnsi="Times New Roman"/>
          <w:color w:val="auto"/>
          <w:sz w:val="24"/>
          <w:u w:val="single"/>
        </w:rPr>
        <w:t>——长度为M的线源瞬时注入的示踪剂质量，kg；</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position w:val="-6"/>
          <w:sz w:val="24"/>
          <w:u w:val="single"/>
        </w:rPr>
        <w:drawing>
          <wp:inline distT="0" distB="0" distL="0" distR="0">
            <wp:extent cx="127000" cy="133350"/>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27000" cy="133350"/>
                    </a:xfrm>
                    <a:prstGeom prst="rect">
                      <a:avLst/>
                    </a:prstGeom>
                    <a:noFill/>
                    <a:ln>
                      <a:noFill/>
                    </a:ln>
                  </pic:spPr>
                </pic:pic>
              </a:graphicData>
            </a:graphic>
          </wp:inline>
        </w:drawing>
      </w:r>
      <w:r>
        <w:rPr>
          <w:rFonts w:ascii="Times New Roman" w:hAnsi="Times New Roman"/>
          <w:color w:val="auto"/>
          <w:sz w:val="24"/>
          <w:u w:val="single"/>
        </w:rPr>
        <w:t>——水流速度，</w:t>
      </w:r>
      <w:r>
        <w:rPr>
          <w:rFonts w:ascii="Times New Roman" w:hAnsi="Times New Roman"/>
          <w:color w:val="auto"/>
          <w:kern w:val="0"/>
          <w:sz w:val="24"/>
          <w:u w:val="single"/>
        </w:rPr>
        <w:t>m/d；</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kern w:val="0"/>
          <w:sz w:val="24"/>
          <w:u w:val="single"/>
        </w:rPr>
        <w:t>n——有效孔隙度，无量纲；</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position w:val="-10"/>
          <w:sz w:val="24"/>
          <w:u w:val="single"/>
        </w:rPr>
        <w:drawing>
          <wp:inline distT="0" distB="0" distL="0" distR="0">
            <wp:extent cx="215900" cy="215900"/>
            <wp:effectExtent l="0" t="0" r="12700" b="146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15900" cy="215900"/>
                    </a:xfrm>
                    <a:prstGeom prst="rect">
                      <a:avLst/>
                    </a:prstGeom>
                    <a:noFill/>
                    <a:ln>
                      <a:noFill/>
                    </a:ln>
                  </pic:spPr>
                </pic:pic>
              </a:graphicData>
            </a:graphic>
          </wp:inline>
        </w:drawing>
      </w:r>
      <w:r>
        <w:rPr>
          <w:rFonts w:ascii="Times New Roman" w:hAnsi="Times New Roman"/>
          <w:color w:val="auto"/>
          <w:sz w:val="24"/>
          <w:u w:val="single"/>
        </w:rPr>
        <w:t>——</w:t>
      </w:r>
      <w:r>
        <w:rPr>
          <w:rFonts w:ascii="Times New Roman" w:hAnsi="Times New Roman"/>
          <w:color w:val="auto"/>
          <w:kern w:val="0"/>
          <w:sz w:val="24"/>
          <w:u w:val="single"/>
        </w:rPr>
        <w:t>纵向弥散系数，㎡/d；</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position w:val="-10"/>
          <w:sz w:val="24"/>
          <w:u w:val="single"/>
        </w:rPr>
        <w:drawing>
          <wp:inline distT="0" distB="0" distL="0" distR="0">
            <wp:extent cx="228600" cy="215900"/>
            <wp:effectExtent l="0" t="0" r="0" b="146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28600" cy="215900"/>
                    </a:xfrm>
                    <a:prstGeom prst="rect">
                      <a:avLst/>
                    </a:prstGeom>
                    <a:noFill/>
                    <a:ln>
                      <a:noFill/>
                    </a:ln>
                  </pic:spPr>
                </pic:pic>
              </a:graphicData>
            </a:graphic>
          </wp:inline>
        </w:drawing>
      </w:r>
      <w:r>
        <w:rPr>
          <w:rFonts w:ascii="Times New Roman" w:hAnsi="Times New Roman"/>
          <w:color w:val="auto"/>
          <w:sz w:val="24"/>
          <w:u w:val="single"/>
        </w:rPr>
        <w:t>——</w:t>
      </w:r>
      <w:r>
        <w:rPr>
          <w:rFonts w:ascii="Times New Roman" w:hAnsi="Times New Roman"/>
          <w:color w:val="auto"/>
          <w:kern w:val="0"/>
          <w:sz w:val="24"/>
          <w:u w:val="single"/>
        </w:rPr>
        <w:t>横向y方向的弥散系数，㎡/d；</w:t>
      </w:r>
    </w:p>
    <w:p>
      <w:pPr>
        <w:adjustRightInd w:val="0"/>
        <w:snapToGrid w:val="0"/>
        <w:spacing w:line="360" w:lineRule="auto"/>
        <w:ind w:firstLine="1200" w:firstLineChars="500"/>
        <w:rPr>
          <w:rFonts w:ascii="Times New Roman" w:hAnsi="Times New Roman"/>
          <w:color w:val="auto"/>
          <w:kern w:val="0"/>
          <w:sz w:val="24"/>
          <w:u w:val="single"/>
        </w:rPr>
      </w:pPr>
      <w:r>
        <w:rPr>
          <w:rFonts w:ascii="Times New Roman" w:hAnsi="Times New Roman"/>
          <w:color w:val="auto"/>
          <w:position w:val="-6"/>
          <w:sz w:val="24"/>
          <w:u w:val="single"/>
        </w:rPr>
        <w:drawing>
          <wp:inline distT="0" distB="0" distL="0" distR="0">
            <wp:extent cx="133350" cy="1333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33350" cy="133350"/>
                    </a:xfrm>
                    <a:prstGeom prst="rect">
                      <a:avLst/>
                    </a:prstGeom>
                    <a:noFill/>
                    <a:ln>
                      <a:noFill/>
                    </a:ln>
                  </pic:spPr>
                </pic:pic>
              </a:graphicData>
            </a:graphic>
          </wp:inline>
        </w:drawing>
      </w:r>
      <w:r>
        <w:rPr>
          <w:rFonts w:ascii="Times New Roman" w:hAnsi="Times New Roman"/>
          <w:color w:val="auto"/>
          <w:sz w:val="24"/>
          <w:u w:val="single"/>
        </w:rPr>
        <w:t>——</w:t>
      </w:r>
      <w:r>
        <w:rPr>
          <w:rFonts w:ascii="Times New Roman" w:hAnsi="Times New Roman"/>
          <w:color w:val="auto"/>
          <w:kern w:val="0"/>
          <w:sz w:val="24"/>
          <w:u w:val="single"/>
        </w:rPr>
        <w:t>圆周率。</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（5）水文地质参数</w:t>
      </w:r>
    </w:p>
    <w:p>
      <w:pPr>
        <w:adjustRightInd w:val="0"/>
        <w:snapToGrid w:val="0"/>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根据本次环评期间</w:t>
      </w:r>
      <w:r>
        <w:rPr>
          <w:rFonts w:hint="eastAsia" w:ascii="Times New Roman" w:hAnsi="Times New Roman"/>
          <w:bCs/>
          <w:color w:val="auto"/>
          <w:sz w:val="24"/>
          <w:u w:val="single"/>
        </w:rPr>
        <w:t>调查资料</w:t>
      </w:r>
      <w:r>
        <w:rPr>
          <w:rFonts w:ascii="Times New Roman" w:hAnsi="Times New Roman"/>
          <w:bCs/>
          <w:color w:val="auto"/>
          <w:sz w:val="24"/>
          <w:u w:val="single"/>
        </w:rPr>
        <w:t>，并结合各类水文地质试验数据资料确定本项目综合水文地质参数情况详见表</w:t>
      </w:r>
      <w:r>
        <w:rPr>
          <w:rFonts w:hint="eastAsia" w:ascii="Times New Roman" w:hAnsi="Times New Roman"/>
          <w:bCs/>
          <w:color w:val="auto"/>
          <w:sz w:val="24"/>
          <w:u w:val="single"/>
        </w:rPr>
        <w:t>5</w:t>
      </w:r>
      <w:r>
        <w:rPr>
          <w:rFonts w:hint="eastAsia" w:ascii="Times New Roman" w:hAnsi="Times New Roman"/>
          <w:bCs/>
          <w:color w:val="auto"/>
          <w:sz w:val="24"/>
          <w:u w:val="single"/>
          <w:lang w:val="en-US" w:eastAsia="zh-CN"/>
        </w:rPr>
        <w:t>.3-1</w:t>
      </w:r>
      <w:r>
        <w:rPr>
          <w:rFonts w:ascii="Times New Roman" w:hAnsi="Times New Roman"/>
          <w:bCs/>
          <w:color w:val="auto"/>
          <w:sz w:val="24"/>
          <w:u w:val="single"/>
        </w:rPr>
        <w:t>。</w:t>
      </w:r>
    </w:p>
    <w:p>
      <w:pPr>
        <w:pStyle w:val="18"/>
        <w:overflowPunct w:val="0"/>
        <w:topLinePunct/>
        <w:rPr>
          <w:color w:val="auto"/>
          <w:u w:val="single"/>
        </w:rPr>
      </w:pPr>
      <w:r>
        <w:rPr>
          <w:color w:val="auto"/>
          <w:u w:val="single"/>
        </w:rPr>
        <w:t xml:space="preserve">表 </w:t>
      </w:r>
      <w:r>
        <w:rPr>
          <w:color w:val="auto"/>
          <w:u w:val="single"/>
        </w:rPr>
        <w:fldChar w:fldCharType="begin"/>
      </w:r>
      <w:r>
        <w:rPr>
          <w:color w:val="auto"/>
          <w:u w:val="single"/>
        </w:rPr>
        <w:instrText xml:space="preserve"> STYLEREF 1 \s </w:instrText>
      </w:r>
      <w:r>
        <w:rPr>
          <w:color w:val="auto"/>
          <w:u w:val="single"/>
        </w:rPr>
        <w:fldChar w:fldCharType="separate"/>
      </w:r>
      <w:r>
        <w:rPr>
          <w:color w:val="auto"/>
          <w:u w:val="single"/>
        </w:rPr>
        <w:t>5</w:t>
      </w:r>
      <w:r>
        <w:rPr>
          <w:color w:val="auto"/>
          <w:u w:val="single"/>
        </w:rPr>
        <w:fldChar w:fldCharType="end"/>
      </w:r>
      <w:r>
        <w:rPr>
          <w:rFonts w:hint="eastAsia"/>
          <w:color w:val="auto"/>
          <w:u w:val="single"/>
          <w:lang w:val="en-US" w:eastAsia="zh-CN"/>
        </w:rPr>
        <w:t>.3-1</w:t>
      </w:r>
      <w:r>
        <w:rPr>
          <w:color w:val="auto"/>
          <w:u w:val="single"/>
        </w:rPr>
        <w:t xml:space="preserve">  地下水溶质运移渗透系数、弥散系数等参数建议值</w:t>
      </w:r>
    </w:p>
    <w:tbl>
      <w:tblPr>
        <w:tblStyle w:val="45"/>
        <w:tblW w:w="912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1331"/>
        <w:gridCol w:w="1772"/>
        <w:gridCol w:w="1446"/>
        <w:gridCol w:w="1692"/>
        <w:gridCol w:w="1444"/>
        <w:gridCol w:w="1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Ex>
        <w:trPr>
          <w:trHeight w:val="124" w:hRule="atLeast"/>
          <w:jc w:val="center"/>
        </w:trPr>
        <w:tc>
          <w:tcPr>
            <w:tcW w:w="1331" w:type="dxa"/>
            <w:vMerge w:val="restart"/>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参数名称</w:t>
            </w:r>
          </w:p>
        </w:tc>
        <w:tc>
          <w:tcPr>
            <w:tcW w:w="1772" w:type="dxa"/>
            <w:tcBorders>
              <w:top w:val="single" w:color="auto" w:sz="4" w:space="0"/>
              <w:left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渗透系数</w:t>
            </w:r>
          </w:p>
        </w:tc>
        <w:tc>
          <w:tcPr>
            <w:tcW w:w="1446" w:type="dxa"/>
            <w:tcBorders>
              <w:top w:val="single" w:color="auto" w:sz="4" w:space="0"/>
              <w:left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纵向弥散系数</w:t>
            </w:r>
          </w:p>
        </w:tc>
        <w:tc>
          <w:tcPr>
            <w:tcW w:w="1692" w:type="dxa"/>
            <w:tcBorders>
              <w:top w:val="single" w:color="auto" w:sz="4" w:space="0"/>
              <w:left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横向弥散系数</w:t>
            </w:r>
          </w:p>
        </w:tc>
        <w:tc>
          <w:tcPr>
            <w:tcW w:w="1444" w:type="dxa"/>
            <w:tcBorders>
              <w:top w:val="single" w:color="auto" w:sz="4" w:space="0"/>
              <w:left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有效孔隙度</w:t>
            </w:r>
          </w:p>
        </w:tc>
        <w:tc>
          <w:tcPr>
            <w:tcW w:w="1442" w:type="dxa"/>
            <w:tcBorders>
              <w:top w:val="single" w:color="auto" w:sz="4" w:space="0"/>
              <w:left w:val="single" w:color="auto" w:sz="4" w:space="0"/>
              <w:right w:val="single" w:color="auto" w:sz="4" w:space="0"/>
            </w:tcBorders>
            <w:vAlign w:val="center"/>
          </w:tcPr>
          <w:p>
            <w:pPr>
              <w:adjustRightInd w:val="0"/>
              <w:snapToGrid w:val="0"/>
              <w:jc w:val="center"/>
              <w:rPr>
                <w:rFonts w:ascii="Times New Roman" w:hAnsi="Times New Roman"/>
                <w:color w:val="auto"/>
                <w:szCs w:val="21"/>
                <w:u w:val="single"/>
              </w:rPr>
            </w:pPr>
            <w:r>
              <w:rPr>
                <w:rFonts w:ascii="Times New Roman" w:hAnsi="Times New Roman"/>
                <w:color w:val="auto"/>
                <w:szCs w:val="21"/>
                <w:u w:val="single"/>
              </w:rPr>
              <w:t>水力坡度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Ex>
        <w:trPr>
          <w:trHeight w:val="147" w:hRule="atLeast"/>
          <w:jc w:val="center"/>
        </w:trPr>
        <w:tc>
          <w:tcPr>
            <w:tcW w:w="1331" w:type="dxa"/>
            <w:vMerge w:val="continue"/>
            <w:tcBorders>
              <w:top w:val="single" w:color="auto" w:sz="4" w:space="0"/>
              <w:left w:val="single" w:color="auto" w:sz="4" w:space="0"/>
              <w:bottom w:val="single" w:color="auto" w:sz="4" w:space="0"/>
              <w:right w:val="single" w:color="auto" w:sz="4" w:space="0"/>
            </w:tcBorders>
            <w:vAlign w:val="center"/>
          </w:tcPr>
          <w:p>
            <w:pPr>
              <w:rPr>
                <w:color w:val="auto"/>
                <w:u w:val="single"/>
              </w:rPr>
            </w:pPr>
          </w:p>
        </w:tc>
        <w:tc>
          <w:tcPr>
            <w:tcW w:w="177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K</w:t>
            </w:r>
          </w:p>
        </w:tc>
        <w:tc>
          <w:tcPr>
            <w:tcW w:w="1446"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D</w:t>
            </w:r>
            <w:r>
              <w:rPr>
                <w:color w:val="auto"/>
                <w:szCs w:val="21"/>
                <w:u w:val="single"/>
                <w:vertAlign w:val="subscript"/>
              </w:rPr>
              <w:t>L</w:t>
            </w:r>
          </w:p>
        </w:tc>
        <w:tc>
          <w:tcPr>
            <w:tcW w:w="169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D</w:t>
            </w:r>
            <w:r>
              <w:rPr>
                <w:color w:val="auto"/>
                <w:szCs w:val="21"/>
                <w:u w:val="single"/>
                <w:vertAlign w:val="subscript"/>
              </w:rPr>
              <w:t>T</w:t>
            </w:r>
          </w:p>
        </w:tc>
        <w:tc>
          <w:tcPr>
            <w:tcW w:w="1444"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N</w:t>
            </w:r>
          </w:p>
        </w:tc>
        <w:tc>
          <w:tcPr>
            <w:tcW w:w="144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Ex>
        <w:trPr>
          <w:trHeight w:val="208" w:hRule="atLeast"/>
          <w:jc w:val="center"/>
        </w:trPr>
        <w:tc>
          <w:tcPr>
            <w:tcW w:w="1331" w:type="dxa"/>
            <w:vMerge w:val="continue"/>
            <w:tcBorders>
              <w:top w:val="single" w:color="auto" w:sz="4" w:space="0"/>
              <w:left w:val="single" w:color="auto" w:sz="4" w:space="0"/>
              <w:bottom w:val="single" w:color="auto" w:sz="4" w:space="0"/>
              <w:right w:val="single" w:color="auto" w:sz="4" w:space="0"/>
            </w:tcBorders>
            <w:vAlign w:val="center"/>
          </w:tcPr>
          <w:p>
            <w:pPr>
              <w:rPr>
                <w:color w:val="auto"/>
                <w:u w:val="single"/>
              </w:rPr>
            </w:pPr>
          </w:p>
        </w:tc>
        <w:tc>
          <w:tcPr>
            <w:tcW w:w="177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m/d</w:t>
            </w:r>
          </w:p>
        </w:tc>
        <w:tc>
          <w:tcPr>
            <w:tcW w:w="1446"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m</w:t>
            </w:r>
            <w:r>
              <w:rPr>
                <w:color w:val="auto"/>
                <w:szCs w:val="21"/>
                <w:u w:val="single"/>
                <w:vertAlign w:val="superscript"/>
              </w:rPr>
              <w:t>2</w:t>
            </w:r>
            <w:r>
              <w:rPr>
                <w:color w:val="auto"/>
                <w:szCs w:val="21"/>
                <w:u w:val="single"/>
              </w:rPr>
              <w:t>/d</w:t>
            </w:r>
          </w:p>
        </w:tc>
        <w:tc>
          <w:tcPr>
            <w:tcW w:w="169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m</w:t>
            </w:r>
            <w:r>
              <w:rPr>
                <w:color w:val="auto"/>
                <w:szCs w:val="21"/>
                <w:u w:val="single"/>
                <w:vertAlign w:val="superscript"/>
              </w:rPr>
              <w:t>2</w:t>
            </w:r>
            <w:r>
              <w:rPr>
                <w:color w:val="auto"/>
                <w:szCs w:val="21"/>
                <w:u w:val="single"/>
              </w:rPr>
              <w:t>/d</w:t>
            </w:r>
          </w:p>
        </w:tc>
        <w:tc>
          <w:tcPr>
            <w:tcW w:w="1444"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无量纲</w:t>
            </w:r>
          </w:p>
        </w:tc>
        <w:tc>
          <w:tcPr>
            <w:tcW w:w="144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Ex>
        <w:trPr>
          <w:trHeight w:val="257" w:hRule="atLeast"/>
          <w:jc w:val="center"/>
        </w:trPr>
        <w:tc>
          <w:tcPr>
            <w:tcW w:w="1331"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建议值</w:t>
            </w:r>
          </w:p>
        </w:tc>
        <w:tc>
          <w:tcPr>
            <w:tcW w:w="177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0.864</w:t>
            </w:r>
          </w:p>
        </w:tc>
        <w:tc>
          <w:tcPr>
            <w:tcW w:w="1446"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rFonts w:hint="eastAsia"/>
                <w:color w:val="auto"/>
                <w:kern w:val="0"/>
                <w:szCs w:val="21"/>
                <w:u w:val="single"/>
              </w:rPr>
              <w:t>0.016</w:t>
            </w:r>
          </w:p>
        </w:tc>
        <w:tc>
          <w:tcPr>
            <w:tcW w:w="169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rFonts w:hint="eastAsia"/>
                <w:color w:val="auto"/>
                <w:kern w:val="0"/>
                <w:szCs w:val="21"/>
                <w:u w:val="single"/>
              </w:rPr>
              <w:t>0.0016</w:t>
            </w:r>
          </w:p>
        </w:tc>
        <w:tc>
          <w:tcPr>
            <w:tcW w:w="1444"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0.21</w:t>
            </w:r>
          </w:p>
        </w:tc>
        <w:tc>
          <w:tcPr>
            <w:tcW w:w="1442" w:type="dxa"/>
            <w:tcBorders>
              <w:top w:val="single" w:color="auto" w:sz="4" w:space="0"/>
              <w:left w:val="single" w:color="auto" w:sz="4" w:space="0"/>
              <w:bottom w:val="single" w:color="auto" w:sz="4" w:space="0"/>
              <w:right w:val="single" w:color="auto" w:sz="4" w:space="0"/>
            </w:tcBorders>
            <w:vAlign w:val="center"/>
          </w:tcPr>
          <w:p>
            <w:pPr>
              <w:pStyle w:val="2"/>
              <w:adjustRightInd w:val="0"/>
              <w:snapToGrid w:val="0"/>
              <w:spacing w:after="0"/>
              <w:ind w:left="0" w:leftChars="0" w:firstLine="0" w:firstLineChars="0"/>
              <w:jc w:val="center"/>
              <w:rPr>
                <w:color w:val="auto"/>
                <w:szCs w:val="21"/>
                <w:u w:val="single"/>
              </w:rPr>
            </w:pPr>
            <w:r>
              <w:rPr>
                <w:color w:val="auto"/>
                <w:szCs w:val="21"/>
                <w:u w:val="single"/>
              </w:rPr>
              <w:t>0.786</w:t>
            </w:r>
          </w:p>
        </w:tc>
      </w:tr>
    </w:tbl>
    <w:p>
      <w:pPr>
        <w:spacing w:before="120" w:beforeLines="50" w:line="360" w:lineRule="auto"/>
        <w:ind w:firstLine="480" w:firstLineChars="200"/>
        <w:rPr>
          <w:rFonts w:ascii="Times New Roman" w:hAnsi="Times New Roman"/>
          <w:color w:val="auto"/>
          <w:sz w:val="24"/>
          <w:u w:val="single"/>
        </w:rPr>
      </w:pPr>
      <w:r>
        <w:rPr>
          <w:rFonts w:ascii="Times New Roman" w:hAnsi="Times New Roman"/>
          <w:color w:val="auto"/>
          <w:sz w:val="24"/>
          <w:u w:val="single"/>
        </w:rPr>
        <w:t>（6）地下水流速</w:t>
      </w:r>
    </w:p>
    <w:p>
      <w:pPr>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受到场地地质条件以及目前技术条件等多因素的影响，本项目无法做连通实验。根据达西定律，渗透流速v=KJ，K为渗透系数，J为水力坡度。考虑最不利情况，根据抽水试验计算结果取最大值K=0.864m/d；根据场区调查实测水位，两处地下水点的渗流距离约为</w:t>
      </w:r>
      <w:r>
        <w:rPr>
          <w:rFonts w:hint="eastAsia" w:ascii="Times New Roman" w:hAnsi="Times New Roman"/>
          <w:color w:val="auto"/>
          <w:sz w:val="24"/>
          <w:u w:val="single"/>
        </w:rPr>
        <w:t>0.50</w:t>
      </w:r>
      <w:r>
        <w:rPr>
          <w:rFonts w:ascii="Times New Roman" w:hAnsi="Times New Roman"/>
          <w:color w:val="auto"/>
          <w:sz w:val="24"/>
          <w:u w:val="single"/>
        </w:rPr>
        <w:t>km，项目厂区地下水水位标高为186.1m，水力坡度J=0.786‰。有效孔隙度，根据勘察期间水文地质钻探揭露的岩性，取n</w:t>
      </w:r>
      <w:r>
        <w:rPr>
          <w:rFonts w:ascii="Times New Roman" w:hAnsi="Times New Roman"/>
          <w:color w:val="auto"/>
          <w:sz w:val="24"/>
          <w:u w:val="single"/>
          <w:vertAlign w:val="subscript"/>
        </w:rPr>
        <w:t>e</w:t>
      </w:r>
      <w:r>
        <w:rPr>
          <w:rFonts w:ascii="Times New Roman" w:hAnsi="Times New Roman"/>
          <w:color w:val="auto"/>
          <w:sz w:val="24"/>
          <w:u w:val="single"/>
        </w:rPr>
        <w:t>=0.21。由此可以得出地下水实际流速为：</w:t>
      </w:r>
    </w:p>
    <w:p>
      <w:pPr>
        <w:spacing w:line="360" w:lineRule="auto"/>
        <w:ind w:firstLine="480" w:firstLineChars="200"/>
        <w:jc w:val="center"/>
        <w:rPr>
          <w:rFonts w:ascii="Times New Roman" w:hAnsi="Times New Roman"/>
          <w:color w:val="auto"/>
          <w:sz w:val="24"/>
          <w:u w:val="single"/>
        </w:rPr>
      </w:pPr>
      <w:r>
        <w:rPr>
          <w:rFonts w:ascii="Times New Roman" w:hAnsi="Times New Roman"/>
          <w:color w:val="auto"/>
          <w:sz w:val="24"/>
          <w:u w:val="single"/>
        </w:rPr>
        <w:t>u=v/n</w:t>
      </w:r>
      <w:r>
        <w:rPr>
          <w:rFonts w:ascii="Times New Roman" w:hAnsi="Times New Roman"/>
          <w:color w:val="auto"/>
          <w:sz w:val="24"/>
          <w:u w:val="single"/>
          <w:vertAlign w:val="subscript"/>
        </w:rPr>
        <w:t>e</w:t>
      </w:r>
      <w:r>
        <w:rPr>
          <w:rFonts w:ascii="Times New Roman" w:hAnsi="Times New Roman"/>
          <w:color w:val="auto"/>
          <w:sz w:val="24"/>
          <w:u w:val="single"/>
        </w:rPr>
        <w:t>=KJ/n</w:t>
      </w:r>
      <w:r>
        <w:rPr>
          <w:rFonts w:ascii="Times New Roman" w:hAnsi="Times New Roman"/>
          <w:color w:val="auto"/>
          <w:sz w:val="24"/>
          <w:u w:val="single"/>
          <w:vertAlign w:val="subscript"/>
        </w:rPr>
        <w:t>e</w:t>
      </w:r>
      <w:r>
        <w:rPr>
          <w:rFonts w:ascii="Times New Roman" w:hAnsi="Times New Roman"/>
          <w:color w:val="auto"/>
          <w:sz w:val="24"/>
          <w:u w:val="single"/>
        </w:rPr>
        <w:t>=0.864×0.000786/0.21=3.23×10</w:t>
      </w:r>
      <w:r>
        <w:rPr>
          <w:rFonts w:ascii="Times New Roman" w:hAnsi="Times New Roman"/>
          <w:color w:val="auto"/>
          <w:sz w:val="24"/>
          <w:u w:val="single"/>
          <w:vertAlign w:val="superscript"/>
        </w:rPr>
        <w:t>-3</w:t>
      </w:r>
      <w:r>
        <w:rPr>
          <w:rFonts w:ascii="Times New Roman" w:hAnsi="Times New Roman"/>
          <w:color w:val="auto"/>
          <w:sz w:val="24"/>
          <w:u w:val="single"/>
        </w:rPr>
        <w:t>m/d</w:t>
      </w:r>
    </w:p>
    <w:p>
      <w:pPr>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（7）弥散度</w:t>
      </w:r>
    </w:p>
    <w:p>
      <w:pPr>
        <w:spacing w:line="360" w:lineRule="auto"/>
        <w:ind w:firstLine="480" w:firstLineChars="200"/>
        <w:rPr>
          <w:rFonts w:ascii="Times New Roman" w:hAnsi="Times New Roman"/>
          <w:bCs/>
          <w:color w:val="auto"/>
          <w:sz w:val="24"/>
          <w:u w:val="single"/>
        </w:rPr>
      </w:pPr>
      <w:r>
        <w:rPr>
          <w:rFonts w:ascii="Times New Roman" w:hAnsi="Times New Roman"/>
          <w:color w:val="auto"/>
          <w:kern w:val="0"/>
          <w:sz w:val="24"/>
          <w:u w:val="single"/>
        </w:rPr>
        <w:t>弥散度是研究污染物在土壤及地下水中迁移转化规律的最重要参数之一，弥散系数D是反映渗流系统弥散特征的一个综合参数，忽略分子扩散时，它是介质弥散度仅和孔隙流速V的函数。水动力弥散尺度效应的存在为模拟和预测地下水中溶质在介质中的运移规律带来了困难。由概念模型分析中可知，本项目属于网状构孔隙型，该类型水动力弥散特征表现为：地下水运动以网状孔隙流为主，渗漏方向主要受构造孔隙控制，表现为网状弥散特征。污染物浓度在运移过程中变化较小，污染浓度损耗大，污染浓度随污染源浓度变化而逐渐变化，而且滞后相对较长。根据山东大学孙讷正教授的《地下水水质的数学模拟（五）水动力弥散模型与其他水质模型》以及本项目水文地质条件和污染特征，确定本项目溶质运移模型中弥散度</w:t>
      </w:r>
      <w:r>
        <w:rPr>
          <w:rFonts w:ascii="Times New Roman" w:hAnsi="Times New Roman"/>
          <w:color w:val="auto"/>
          <w:spacing w:val="6"/>
          <w:sz w:val="24"/>
          <w:u w:val="single"/>
        </w:rPr>
        <w:t>α</w:t>
      </w:r>
      <w:r>
        <w:rPr>
          <w:rFonts w:ascii="Times New Roman" w:hAnsi="Times New Roman"/>
          <w:color w:val="auto"/>
          <w:spacing w:val="6"/>
          <w:sz w:val="24"/>
          <w:u w:val="single"/>
          <w:vertAlign w:val="subscript"/>
        </w:rPr>
        <w:t>m</w:t>
      </w:r>
      <w:r>
        <w:rPr>
          <w:rFonts w:ascii="Times New Roman" w:hAnsi="Times New Roman"/>
          <w:color w:val="auto"/>
          <w:kern w:val="0"/>
          <w:sz w:val="24"/>
          <w:u w:val="single"/>
        </w:rPr>
        <w:t>为5m，根据水流速度</w:t>
      </w:r>
      <w:r>
        <w:rPr>
          <w:rFonts w:ascii="Times New Roman" w:hAnsi="Times New Roman"/>
          <w:color w:val="auto"/>
          <w:sz w:val="24"/>
          <w:u w:val="single"/>
        </w:rPr>
        <w:t>u=3.23×10</w:t>
      </w:r>
      <w:r>
        <w:rPr>
          <w:rFonts w:ascii="Times New Roman" w:hAnsi="Times New Roman"/>
          <w:color w:val="auto"/>
          <w:sz w:val="24"/>
          <w:u w:val="single"/>
          <w:vertAlign w:val="superscript"/>
        </w:rPr>
        <w:t>-3</w:t>
      </w:r>
      <w:r>
        <w:rPr>
          <w:rFonts w:ascii="Times New Roman" w:hAnsi="Times New Roman"/>
          <w:color w:val="auto"/>
          <w:sz w:val="24"/>
          <w:u w:val="single"/>
        </w:rPr>
        <w:t>m/d，</w:t>
      </w:r>
      <w:r>
        <w:rPr>
          <w:rFonts w:ascii="Times New Roman" w:hAnsi="Times New Roman"/>
          <w:color w:val="auto"/>
          <w:kern w:val="0"/>
          <w:sz w:val="24"/>
          <w:u w:val="single"/>
        </w:rPr>
        <w:t>纵向弥散系数</w:t>
      </w:r>
      <w:r>
        <w:rPr>
          <w:rFonts w:ascii="Times New Roman" w:hAnsi="Times New Roman"/>
          <w:color w:val="auto"/>
          <w:kern w:val="0"/>
          <w:sz w:val="24"/>
          <w:u w:val="single"/>
        </w:rPr>
        <w:drawing>
          <wp:inline distT="0" distB="0" distL="0" distR="0">
            <wp:extent cx="228600" cy="2286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28600" cy="228600"/>
                    </a:xfrm>
                    <a:prstGeom prst="rect">
                      <a:avLst/>
                    </a:prstGeom>
                    <a:noFill/>
                    <a:ln>
                      <a:noFill/>
                    </a:ln>
                  </pic:spPr>
                </pic:pic>
              </a:graphicData>
            </a:graphic>
          </wp:inline>
        </w:drawing>
      </w:r>
      <w:r>
        <w:rPr>
          <w:rFonts w:ascii="Times New Roman" w:hAnsi="Times New Roman"/>
          <w:color w:val="auto"/>
          <w:kern w:val="0"/>
          <w:sz w:val="24"/>
          <w:u w:val="single"/>
        </w:rPr>
        <w:t>为0.016m</w:t>
      </w:r>
      <w:r>
        <w:rPr>
          <w:rFonts w:ascii="Times New Roman" w:hAnsi="Times New Roman"/>
          <w:color w:val="auto"/>
          <w:kern w:val="0"/>
          <w:sz w:val="24"/>
          <w:u w:val="single"/>
          <w:vertAlign w:val="superscript"/>
        </w:rPr>
        <w:t>2</w:t>
      </w:r>
      <w:r>
        <w:rPr>
          <w:rFonts w:ascii="Times New Roman" w:hAnsi="Times New Roman"/>
          <w:color w:val="auto"/>
          <w:kern w:val="0"/>
          <w:sz w:val="24"/>
          <w:u w:val="single"/>
        </w:rPr>
        <w:t>/d，横向弥散系数为纵向弥散系数的十分之一，纵向弥散系数</w:t>
      </w:r>
      <w:r>
        <w:rPr>
          <w:rFonts w:ascii="Times New Roman" w:hAnsi="Times New Roman"/>
          <w:color w:val="auto"/>
          <w:kern w:val="0"/>
          <w:sz w:val="24"/>
          <w:u w:val="single"/>
        </w:rPr>
        <w:drawing>
          <wp:inline distT="0" distB="0" distL="0" distR="0">
            <wp:extent cx="241300" cy="2286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41300" cy="228600"/>
                    </a:xfrm>
                    <a:prstGeom prst="rect">
                      <a:avLst/>
                    </a:prstGeom>
                    <a:noFill/>
                    <a:ln>
                      <a:noFill/>
                    </a:ln>
                  </pic:spPr>
                </pic:pic>
              </a:graphicData>
            </a:graphic>
          </wp:inline>
        </w:drawing>
      </w:r>
      <w:r>
        <w:rPr>
          <w:rFonts w:ascii="Times New Roman" w:hAnsi="Times New Roman"/>
          <w:color w:val="auto"/>
          <w:kern w:val="0"/>
          <w:sz w:val="24"/>
          <w:u w:val="single"/>
        </w:rPr>
        <w:t>为0.0016m</w:t>
      </w:r>
      <w:r>
        <w:rPr>
          <w:rFonts w:ascii="Times New Roman" w:hAnsi="Times New Roman"/>
          <w:color w:val="auto"/>
          <w:kern w:val="0"/>
          <w:sz w:val="24"/>
          <w:u w:val="single"/>
          <w:vertAlign w:val="superscript"/>
        </w:rPr>
        <w:t>2</w:t>
      </w:r>
      <w:r>
        <w:rPr>
          <w:rFonts w:ascii="Times New Roman" w:hAnsi="Times New Roman"/>
          <w:color w:val="auto"/>
          <w:kern w:val="0"/>
          <w:sz w:val="24"/>
          <w:u w:val="single"/>
        </w:rPr>
        <w:t>/d。</w:t>
      </w:r>
    </w:p>
    <w:p>
      <w:pPr>
        <w:spacing w:line="360" w:lineRule="auto"/>
        <w:ind w:firstLine="480" w:firstLineChars="200"/>
        <w:rPr>
          <w:rFonts w:ascii="Times New Roman" w:hAnsi="Times New Roman"/>
          <w:bCs/>
          <w:color w:val="auto"/>
          <w:sz w:val="24"/>
          <w:u w:val="single"/>
        </w:rPr>
      </w:pPr>
      <w:r>
        <w:rPr>
          <w:rFonts w:ascii="Times New Roman" w:hAnsi="Times New Roman"/>
          <w:color w:val="auto"/>
          <w:sz w:val="24"/>
          <w:u w:val="single"/>
        </w:rPr>
        <w:t>（8）污染源源强的确定</w:t>
      </w:r>
    </w:p>
    <w:p>
      <w:pPr>
        <w:autoSpaceDE w:val="0"/>
        <w:autoSpaceDN w:val="0"/>
        <w:adjustRightInd w:val="0"/>
        <w:spacing w:line="360" w:lineRule="auto"/>
        <w:ind w:firstLine="480" w:firstLineChars="200"/>
        <w:rPr>
          <w:rFonts w:ascii="Times New Roman" w:hAnsi="Times New Roman"/>
          <w:color w:val="auto"/>
          <w:sz w:val="24"/>
          <w:u w:val="single"/>
        </w:rPr>
      </w:pPr>
      <w:r>
        <w:rPr>
          <w:rFonts w:ascii="Times New Roman" w:hAnsi="Times New Roman"/>
          <w:color w:val="auto"/>
          <w:sz w:val="24"/>
          <w:u w:val="single"/>
        </w:rPr>
        <w:t>根据地下水污染类型分析，非正常排放的情况下，废水量和入渗到地下水中的渗入量见表</w:t>
      </w:r>
      <w:r>
        <w:rPr>
          <w:rFonts w:hint="eastAsia" w:ascii="Times New Roman" w:hAnsi="Times New Roman"/>
          <w:color w:val="auto"/>
          <w:sz w:val="24"/>
          <w:u w:val="single"/>
          <w:lang w:val="en-US" w:eastAsia="zh-CN"/>
        </w:rPr>
        <w:t>5.3-2</w:t>
      </w:r>
      <w:r>
        <w:rPr>
          <w:rFonts w:ascii="Times New Roman" w:hAnsi="Times New Roman"/>
          <w:color w:val="auto"/>
          <w:sz w:val="24"/>
          <w:u w:val="single"/>
        </w:rPr>
        <w:t>。</w:t>
      </w:r>
    </w:p>
    <w:p>
      <w:pPr>
        <w:pStyle w:val="18"/>
        <w:tabs>
          <w:tab w:val="left" w:pos="15"/>
        </w:tabs>
        <w:ind w:firstLine="482" w:firstLineChars="200"/>
        <w:rPr>
          <w:color w:val="auto"/>
          <w:sz w:val="21"/>
          <w:szCs w:val="21"/>
          <w:u w:val="single"/>
        </w:rPr>
      </w:pPr>
      <w:r>
        <w:rPr>
          <w:color w:val="auto"/>
          <w:u w:val="single"/>
        </w:rPr>
        <w:t xml:space="preserve">表 </w:t>
      </w:r>
      <w:r>
        <w:rPr>
          <w:color w:val="auto"/>
          <w:u w:val="single"/>
        </w:rPr>
        <w:fldChar w:fldCharType="begin"/>
      </w:r>
      <w:r>
        <w:rPr>
          <w:color w:val="auto"/>
          <w:u w:val="single"/>
        </w:rPr>
        <w:instrText xml:space="preserve"> STYLEREF 1 \s </w:instrText>
      </w:r>
      <w:r>
        <w:rPr>
          <w:color w:val="auto"/>
          <w:u w:val="single"/>
        </w:rPr>
        <w:fldChar w:fldCharType="separate"/>
      </w:r>
      <w:r>
        <w:rPr>
          <w:color w:val="auto"/>
          <w:u w:val="single"/>
        </w:rPr>
        <w:t>5</w:t>
      </w:r>
      <w:r>
        <w:rPr>
          <w:color w:val="auto"/>
          <w:u w:val="single"/>
        </w:rPr>
        <w:fldChar w:fldCharType="end"/>
      </w:r>
      <w:r>
        <w:rPr>
          <w:rFonts w:hint="eastAsia"/>
          <w:color w:val="auto"/>
          <w:u w:val="single"/>
          <w:lang w:val="en-US" w:eastAsia="zh-CN"/>
        </w:rPr>
        <w:t>.3-2</w:t>
      </w:r>
      <w:r>
        <w:rPr>
          <w:color w:val="auto"/>
          <w:sz w:val="21"/>
          <w:szCs w:val="21"/>
          <w:u w:val="single"/>
        </w:rPr>
        <w:t xml:space="preserve"> </w:t>
      </w:r>
      <w:r>
        <w:rPr>
          <w:color w:val="auto"/>
          <w:u w:val="single"/>
        </w:rPr>
        <w:t>营运期废水量及渗入地下的入渗量一览表</w:t>
      </w:r>
    </w:p>
    <w:tbl>
      <w:tblPr>
        <w:tblStyle w:val="45"/>
        <w:tblW w:w="869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686"/>
        <w:gridCol w:w="2051"/>
        <w:gridCol w:w="1843"/>
        <w:gridCol w:w="1417"/>
        <w:gridCol w:w="170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14" w:hRule="atLeast"/>
          <w:jc w:val="center"/>
        </w:trPr>
        <w:tc>
          <w:tcPr>
            <w:tcW w:w="1686" w:type="dxa"/>
            <w:vAlign w:val="center"/>
          </w:tcPr>
          <w:p>
            <w:pPr>
              <w:spacing w:line="240" w:lineRule="exact"/>
              <w:jc w:val="center"/>
              <w:rPr>
                <w:rFonts w:ascii="Times New Roman" w:hAnsi="Times New Roman"/>
                <w:b/>
                <w:color w:val="auto"/>
                <w:szCs w:val="21"/>
                <w:u w:val="single"/>
              </w:rPr>
            </w:pPr>
            <w:r>
              <w:rPr>
                <w:rFonts w:ascii="Times New Roman" w:hAnsi="Times New Roman"/>
                <w:b/>
                <w:color w:val="auto"/>
                <w:szCs w:val="21"/>
                <w:u w:val="single"/>
              </w:rPr>
              <w:t>污染源类型</w:t>
            </w:r>
          </w:p>
        </w:tc>
        <w:tc>
          <w:tcPr>
            <w:tcW w:w="2051" w:type="dxa"/>
            <w:vAlign w:val="center"/>
          </w:tcPr>
          <w:p>
            <w:pPr>
              <w:spacing w:line="240" w:lineRule="exact"/>
              <w:jc w:val="center"/>
              <w:rPr>
                <w:rFonts w:ascii="Times New Roman" w:hAnsi="Times New Roman"/>
                <w:b/>
                <w:color w:val="auto"/>
                <w:szCs w:val="21"/>
                <w:u w:val="single"/>
              </w:rPr>
            </w:pPr>
            <w:r>
              <w:rPr>
                <w:rFonts w:ascii="Times New Roman" w:hAnsi="Times New Roman"/>
                <w:b/>
                <w:color w:val="auto"/>
                <w:szCs w:val="21"/>
                <w:u w:val="single"/>
              </w:rPr>
              <w:t>入渗量计算公式</w:t>
            </w:r>
          </w:p>
        </w:tc>
        <w:tc>
          <w:tcPr>
            <w:tcW w:w="1843" w:type="dxa"/>
            <w:vAlign w:val="center"/>
          </w:tcPr>
          <w:p>
            <w:pPr>
              <w:spacing w:line="240" w:lineRule="exact"/>
              <w:jc w:val="center"/>
              <w:rPr>
                <w:rFonts w:ascii="Times New Roman" w:hAnsi="Times New Roman"/>
                <w:b/>
                <w:color w:val="auto"/>
                <w:szCs w:val="21"/>
                <w:u w:val="single"/>
              </w:rPr>
            </w:pPr>
            <w:r>
              <w:rPr>
                <w:rFonts w:ascii="Times New Roman" w:hAnsi="Times New Roman"/>
                <w:b/>
                <w:color w:val="auto"/>
                <w:szCs w:val="21"/>
                <w:u w:val="single"/>
              </w:rPr>
              <w:t>废水量Q(m</w:t>
            </w:r>
            <w:r>
              <w:rPr>
                <w:rFonts w:ascii="Times New Roman" w:hAnsi="Times New Roman"/>
                <w:b/>
                <w:color w:val="auto"/>
                <w:szCs w:val="21"/>
                <w:u w:val="single"/>
                <w:vertAlign w:val="superscript"/>
              </w:rPr>
              <w:t>3</w:t>
            </w:r>
            <w:r>
              <w:rPr>
                <w:rFonts w:ascii="Times New Roman" w:hAnsi="Times New Roman"/>
                <w:b/>
                <w:color w:val="auto"/>
                <w:szCs w:val="21"/>
                <w:u w:val="single"/>
              </w:rPr>
              <w:t>/d)</w:t>
            </w:r>
          </w:p>
        </w:tc>
        <w:tc>
          <w:tcPr>
            <w:tcW w:w="1417" w:type="dxa"/>
            <w:vAlign w:val="center"/>
          </w:tcPr>
          <w:p>
            <w:pPr>
              <w:spacing w:line="240" w:lineRule="exact"/>
              <w:jc w:val="center"/>
              <w:rPr>
                <w:rFonts w:ascii="Times New Roman" w:hAnsi="Times New Roman"/>
                <w:b/>
                <w:color w:val="auto"/>
                <w:szCs w:val="21"/>
                <w:u w:val="single"/>
              </w:rPr>
            </w:pPr>
            <w:r>
              <w:rPr>
                <w:rFonts w:ascii="Times New Roman" w:hAnsi="Times New Roman"/>
                <w:b/>
                <w:color w:val="auto"/>
                <w:szCs w:val="21"/>
                <w:u w:val="single"/>
              </w:rPr>
              <w:t>漏失率β</w:t>
            </w:r>
          </w:p>
        </w:tc>
        <w:tc>
          <w:tcPr>
            <w:tcW w:w="1701" w:type="dxa"/>
            <w:vAlign w:val="center"/>
          </w:tcPr>
          <w:p>
            <w:pPr>
              <w:spacing w:line="240" w:lineRule="exact"/>
              <w:jc w:val="center"/>
              <w:rPr>
                <w:rFonts w:ascii="Times New Roman" w:hAnsi="Times New Roman"/>
                <w:b/>
                <w:color w:val="auto"/>
                <w:szCs w:val="21"/>
                <w:u w:val="single"/>
              </w:rPr>
            </w:pPr>
            <w:r>
              <w:rPr>
                <w:rFonts w:ascii="Times New Roman" w:hAnsi="Times New Roman"/>
                <w:b/>
                <w:color w:val="auto"/>
                <w:szCs w:val="21"/>
                <w:u w:val="single"/>
              </w:rPr>
              <w:t>入渗量q(m</w:t>
            </w:r>
            <w:r>
              <w:rPr>
                <w:rFonts w:ascii="Times New Roman" w:hAnsi="Times New Roman"/>
                <w:b/>
                <w:color w:val="auto"/>
                <w:szCs w:val="21"/>
                <w:u w:val="single"/>
                <w:vertAlign w:val="superscript"/>
              </w:rPr>
              <w:t>3</w:t>
            </w:r>
            <w:r>
              <w:rPr>
                <w:rFonts w:ascii="Times New Roman" w:hAnsi="Times New Roman"/>
                <w:b/>
                <w:color w:val="auto"/>
                <w:szCs w:val="21"/>
                <w:u w:val="single"/>
              </w:rPr>
              <w:t>/d)</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289" w:hRule="atLeast"/>
          <w:jc w:val="center"/>
        </w:trPr>
        <w:tc>
          <w:tcPr>
            <w:tcW w:w="1686" w:type="dxa"/>
            <w:vAlign w:val="center"/>
          </w:tcPr>
          <w:p>
            <w:pPr>
              <w:spacing w:line="240" w:lineRule="exact"/>
              <w:jc w:val="center"/>
              <w:rPr>
                <w:rFonts w:ascii="Times New Roman" w:hAnsi="Times New Roman"/>
                <w:color w:val="auto"/>
                <w:szCs w:val="21"/>
                <w:u w:val="single"/>
              </w:rPr>
            </w:pPr>
            <w:r>
              <w:rPr>
                <w:rFonts w:ascii="Times New Roman" w:hAnsi="Times New Roman"/>
                <w:color w:val="auto"/>
                <w:szCs w:val="21"/>
                <w:u w:val="single"/>
              </w:rPr>
              <w:t>综合污水</w:t>
            </w:r>
          </w:p>
        </w:tc>
        <w:tc>
          <w:tcPr>
            <w:tcW w:w="2051" w:type="dxa"/>
            <w:vAlign w:val="center"/>
          </w:tcPr>
          <w:p>
            <w:pPr>
              <w:spacing w:line="240" w:lineRule="exact"/>
              <w:jc w:val="center"/>
              <w:rPr>
                <w:rFonts w:ascii="Times New Roman" w:hAnsi="Times New Roman"/>
                <w:color w:val="auto"/>
                <w:szCs w:val="21"/>
                <w:u w:val="single"/>
              </w:rPr>
            </w:pPr>
            <w:r>
              <w:rPr>
                <w:rFonts w:ascii="Times New Roman" w:hAnsi="Times New Roman"/>
                <w:color w:val="auto"/>
                <w:szCs w:val="21"/>
                <w:u w:val="single"/>
              </w:rPr>
              <w:t>Q=βQ</w:t>
            </w:r>
          </w:p>
        </w:tc>
        <w:tc>
          <w:tcPr>
            <w:tcW w:w="1843" w:type="dxa"/>
            <w:vAlign w:val="center"/>
          </w:tcPr>
          <w:p>
            <w:pPr>
              <w:spacing w:line="240" w:lineRule="exact"/>
              <w:jc w:val="center"/>
              <w:rPr>
                <w:rFonts w:ascii="Times New Roman" w:hAnsi="Times New Roman"/>
                <w:color w:val="auto"/>
                <w:szCs w:val="21"/>
                <w:u w:val="single"/>
              </w:rPr>
            </w:pPr>
            <w:r>
              <w:rPr>
                <w:rFonts w:hint="eastAsia" w:ascii="Times New Roman" w:hAnsi="Times New Roman"/>
                <w:color w:val="auto"/>
                <w:szCs w:val="21"/>
                <w:u w:val="single"/>
              </w:rPr>
              <w:t>2</w:t>
            </w:r>
          </w:p>
        </w:tc>
        <w:tc>
          <w:tcPr>
            <w:tcW w:w="1417" w:type="dxa"/>
            <w:vAlign w:val="center"/>
          </w:tcPr>
          <w:p>
            <w:pPr>
              <w:spacing w:line="240" w:lineRule="exact"/>
              <w:jc w:val="center"/>
              <w:rPr>
                <w:rFonts w:ascii="Times New Roman" w:hAnsi="Times New Roman"/>
                <w:color w:val="auto"/>
                <w:szCs w:val="21"/>
                <w:u w:val="single"/>
              </w:rPr>
            </w:pPr>
            <w:r>
              <w:rPr>
                <w:rFonts w:ascii="Times New Roman" w:hAnsi="Times New Roman"/>
                <w:color w:val="auto"/>
                <w:szCs w:val="21"/>
                <w:u w:val="single"/>
              </w:rPr>
              <w:t>0.05</w:t>
            </w:r>
          </w:p>
        </w:tc>
        <w:tc>
          <w:tcPr>
            <w:tcW w:w="1701" w:type="dxa"/>
            <w:vAlign w:val="center"/>
          </w:tcPr>
          <w:p>
            <w:pPr>
              <w:spacing w:line="240" w:lineRule="exact"/>
              <w:jc w:val="center"/>
              <w:rPr>
                <w:rFonts w:hint="eastAsia" w:ascii="Times New Roman" w:hAnsi="Times New Roman" w:eastAsia="宋体"/>
                <w:color w:val="auto"/>
                <w:szCs w:val="21"/>
                <w:u w:val="single"/>
                <w:lang w:eastAsia="zh-CN"/>
              </w:rPr>
            </w:pPr>
            <w:r>
              <w:rPr>
                <w:rFonts w:hint="eastAsia" w:ascii="Times New Roman" w:hAnsi="Times New Roman"/>
                <w:color w:val="auto"/>
                <w:szCs w:val="21"/>
                <w:u w:val="single"/>
              </w:rPr>
              <w:t>0.</w:t>
            </w:r>
            <w:r>
              <w:rPr>
                <w:rFonts w:hint="eastAsia" w:ascii="Times New Roman" w:hAnsi="Times New Roman"/>
                <w:color w:val="auto"/>
                <w:szCs w:val="21"/>
                <w:u w:val="single"/>
                <w:lang w:val="en-US" w:eastAsia="zh-CN"/>
              </w:rPr>
              <w:t>1</w:t>
            </w:r>
          </w:p>
        </w:tc>
      </w:tr>
    </w:tbl>
    <w:p>
      <w:pPr>
        <w:autoSpaceDE w:val="0"/>
        <w:autoSpaceDN w:val="0"/>
        <w:adjustRightInd w:val="0"/>
        <w:spacing w:before="240" w:line="360" w:lineRule="auto"/>
        <w:ind w:firstLine="480" w:firstLineChars="200"/>
        <w:rPr>
          <w:rFonts w:ascii="Times New Roman" w:hAnsi="Times New Roman"/>
          <w:color w:val="auto"/>
          <w:sz w:val="24"/>
          <w:u w:val="single"/>
        </w:rPr>
      </w:pPr>
      <w:r>
        <w:rPr>
          <w:rFonts w:ascii="Times New Roman" w:hAnsi="Times New Roman"/>
          <w:color w:val="auto"/>
          <w:sz w:val="24"/>
          <w:u w:val="single"/>
        </w:rPr>
        <w:t>各点源在各状态下的示踪剂注入量见表</w:t>
      </w:r>
      <w:r>
        <w:rPr>
          <w:rFonts w:hint="eastAsia" w:ascii="Times New Roman" w:hAnsi="Times New Roman"/>
          <w:color w:val="auto"/>
          <w:sz w:val="24"/>
          <w:u w:val="single"/>
        </w:rPr>
        <w:t>5</w:t>
      </w:r>
      <w:r>
        <w:rPr>
          <w:rFonts w:hint="eastAsia" w:ascii="Times New Roman" w:hAnsi="Times New Roman"/>
          <w:color w:val="auto"/>
          <w:sz w:val="24"/>
          <w:u w:val="single"/>
          <w:lang w:val="en-US" w:eastAsia="zh-CN"/>
        </w:rPr>
        <w:t>.3-3</w:t>
      </w:r>
      <w:r>
        <w:rPr>
          <w:rFonts w:ascii="Times New Roman" w:hAnsi="Times New Roman"/>
          <w:color w:val="auto"/>
          <w:sz w:val="24"/>
          <w:u w:val="single"/>
        </w:rPr>
        <w:t>。</w:t>
      </w:r>
    </w:p>
    <w:p>
      <w:pPr>
        <w:pStyle w:val="18"/>
        <w:tabs>
          <w:tab w:val="left" w:pos="15"/>
        </w:tabs>
        <w:ind w:firstLine="482" w:firstLineChars="200"/>
        <w:rPr>
          <w:color w:val="auto"/>
          <w:u w:val="single"/>
        </w:rPr>
      </w:pPr>
      <w:r>
        <w:rPr>
          <w:color w:val="auto"/>
          <w:u w:val="single"/>
        </w:rPr>
        <w:t xml:space="preserve">表 </w:t>
      </w:r>
      <w:r>
        <w:rPr>
          <w:color w:val="auto"/>
          <w:u w:val="single"/>
        </w:rPr>
        <w:fldChar w:fldCharType="begin"/>
      </w:r>
      <w:r>
        <w:rPr>
          <w:color w:val="auto"/>
          <w:u w:val="single"/>
        </w:rPr>
        <w:instrText xml:space="preserve"> STYLEREF 1 \s </w:instrText>
      </w:r>
      <w:r>
        <w:rPr>
          <w:color w:val="auto"/>
          <w:u w:val="single"/>
        </w:rPr>
        <w:fldChar w:fldCharType="separate"/>
      </w:r>
      <w:r>
        <w:rPr>
          <w:color w:val="auto"/>
          <w:u w:val="single"/>
        </w:rPr>
        <w:t>5</w:t>
      </w:r>
      <w:r>
        <w:rPr>
          <w:color w:val="auto"/>
          <w:u w:val="single"/>
        </w:rPr>
        <w:fldChar w:fldCharType="end"/>
      </w:r>
      <w:r>
        <w:rPr>
          <w:rFonts w:hint="eastAsia"/>
          <w:color w:val="auto"/>
          <w:u w:val="single"/>
          <w:lang w:val="en-US" w:eastAsia="zh-CN"/>
        </w:rPr>
        <w:t>.3-3</w:t>
      </w:r>
      <w:r>
        <w:rPr>
          <w:color w:val="auto"/>
          <w:sz w:val="21"/>
          <w:szCs w:val="21"/>
          <w:u w:val="single"/>
        </w:rPr>
        <w:t xml:space="preserve"> </w:t>
      </w:r>
      <w:r>
        <w:rPr>
          <w:color w:val="auto"/>
          <w:u w:val="single"/>
        </w:rPr>
        <w:t>各点源示踪剂注入量一览表</w:t>
      </w:r>
    </w:p>
    <w:tbl>
      <w:tblPr>
        <w:tblStyle w:val="45"/>
        <w:tblW w:w="8753"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829"/>
        <w:gridCol w:w="3078"/>
        <w:gridCol w:w="1408"/>
        <w:gridCol w:w="143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285" w:hRule="atLeast"/>
          <w:jc w:val="center"/>
        </w:trPr>
        <w:tc>
          <w:tcPr>
            <w:tcW w:w="2829" w:type="dxa"/>
            <w:vMerge w:val="restart"/>
            <w:vAlign w:val="center"/>
          </w:tcPr>
          <w:p>
            <w:pPr>
              <w:adjustRightInd w:val="0"/>
              <w:snapToGrid w:val="0"/>
              <w:jc w:val="center"/>
              <w:rPr>
                <w:rFonts w:ascii="Times New Roman" w:hAnsi="Times New Roman"/>
                <w:b/>
                <w:color w:val="auto"/>
                <w:kern w:val="0"/>
                <w:szCs w:val="21"/>
                <w:u w:val="single"/>
              </w:rPr>
            </w:pPr>
            <w:r>
              <w:rPr>
                <w:rFonts w:ascii="Times New Roman" w:hAnsi="Times New Roman"/>
                <w:b/>
                <w:color w:val="auto"/>
                <w:kern w:val="0"/>
                <w:szCs w:val="21"/>
                <w:u w:val="single"/>
              </w:rPr>
              <w:t>点源名称</w:t>
            </w:r>
          </w:p>
        </w:tc>
        <w:tc>
          <w:tcPr>
            <w:tcW w:w="3078" w:type="dxa"/>
            <w:vMerge w:val="restart"/>
            <w:vAlign w:val="center"/>
          </w:tcPr>
          <w:p>
            <w:pPr>
              <w:adjustRightInd w:val="0"/>
              <w:snapToGrid w:val="0"/>
              <w:jc w:val="center"/>
              <w:rPr>
                <w:rFonts w:ascii="Times New Roman" w:hAnsi="Times New Roman"/>
                <w:b/>
                <w:color w:val="auto"/>
                <w:kern w:val="0"/>
                <w:szCs w:val="21"/>
                <w:u w:val="single"/>
              </w:rPr>
            </w:pPr>
            <w:r>
              <w:rPr>
                <w:rFonts w:ascii="Times New Roman" w:hAnsi="Times New Roman"/>
                <w:b/>
                <w:color w:val="auto"/>
                <w:kern w:val="0"/>
                <w:szCs w:val="21"/>
                <w:u w:val="single"/>
              </w:rPr>
              <w:t>排放状态</w:t>
            </w:r>
          </w:p>
        </w:tc>
        <w:tc>
          <w:tcPr>
            <w:tcW w:w="2846" w:type="dxa"/>
            <w:gridSpan w:val="2"/>
            <w:vAlign w:val="center"/>
          </w:tcPr>
          <w:p>
            <w:pPr>
              <w:widowControl/>
              <w:adjustRightInd w:val="0"/>
              <w:snapToGrid w:val="0"/>
              <w:jc w:val="center"/>
              <w:rPr>
                <w:rFonts w:ascii="Times New Roman" w:hAnsi="Times New Roman"/>
                <w:b/>
                <w:color w:val="auto"/>
                <w:kern w:val="0"/>
                <w:szCs w:val="21"/>
                <w:u w:val="single"/>
              </w:rPr>
            </w:pPr>
            <w:r>
              <w:rPr>
                <w:rFonts w:ascii="Times New Roman" w:hAnsi="Times New Roman"/>
                <w:b/>
                <w:color w:val="auto"/>
                <w:kern w:val="0"/>
                <w:szCs w:val="21"/>
                <w:u w:val="single"/>
              </w:rPr>
              <w:t>污染因子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285" w:hRule="atLeast"/>
          <w:jc w:val="center"/>
        </w:trPr>
        <w:tc>
          <w:tcPr>
            <w:tcW w:w="2829" w:type="dxa"/>
            <w:vMerge w:val="continue"/>
            <w:vAlign w:val="center"/>
          </w:tcPr>
          <w:p>
            <w:pPr>
              <w:rPr>
                <w:color w:val="auto"/>
                <w:u w:val="single"/>
              </w:rPr>
            </w:pPr>
          </w:p>
        </w:tc>
        <w:tc>
          <w:tcPr>
            <w:tcW w:w="3078" w:type="dxa"/>
            <w:vMerge w:val="continue"/>
            <w:vAlign w:val="center"/>
          </w:tcPr>
          <w:p>
            <w:pPr>
              <w:rPr>
                <w:color w:val="auto"/>
                <w:u w:val="single"/>
              </w:rPr>
            </w:pPr>
          </w:p>
        </w:tc>
        <w:tc>
          <w:tcPr>
            <w:tcW w:w="1408" w:type="dxa"/>
            <w:vAlign w:val="center"/>
          </w:tcPr>
          <w:p>
            <w:pPr>
              <w:widowControl/>
              <w:adjustRightInd w:val="0"/>
              <w:snapToGrid w:val="0"/>
              <w:jc w:val="center"/>
              <w:rPr>
                <w:rFonts w:ascii="Times New Roman" w:hAnsi="Times New Roman"/>
                <w:b/>
                <w:color w:val="auto"/>
                <w:kern w:val="0"/>
                <w:szCs w:val="21"/>
                <w:u w:val="single"/>
              </w:rPr>
            </w:pPr>
            <w:r>
              <w:rPr>
                <w:rFonts w:ascii="Times New Roman" w:hAnsi="Times New Roman"/>
                <w:b/>
                <w:color w:val="auto"/>
                <w:kern w:val="0"/>
                <w:szCs w:val="21"/>
                <w:u w:val="single"/>
              </w:rPr>
              <w:t>COD</w:t>
            </w:r>
            <w:r>
              <w:rPr>
                <w:rFonts w:ascii="Times New Roman" w:hAnsi="Times New Roman"/>
                <w:b/>
                <w:color w:val="auto"/>
                <w:kern w:val="0"/>
                <w:szCs w:val="21"/>
                <w:u w:val="single"/>
                <w:vertAlign w:val="subscript"/>
              </w:rPr>
              <w:t>cr</w:t>
            </w:r>
          </w:p>
        </w:tc>
        <w:tc>
          <w:tcPr>
            <w:tcW w:w="1438" w:type="dxa"/>
            <w:vAlign w:val="center"/>
          </w:tcPr>
          <w:p>
            <w:pPr>
              <w:widowControl/>
              <w:adjustRightInd w:val="0"/>
              <w:snapToGrid w:val="0"/>
              <w:jc w:val="center"/>
              <w:rPr>
                <w:rFonts w:ascii="Times New Roman" w:hAnsi="Times New Roman"/>
                <w:b/>
                <w:color w:val="auto"/>
                <w:kern w:val="0"/>
                <w:szCs w:val="21"/>
                <w:u w:val="single"/>
              </w:rPr>
            </w:pPr>
            <w:r>
              <w:rPr>
                <w:rFonts w:ascii="Times New Roman" w:hAnsi="Times New Roman"/>
                <w:b/>
                <w:color w:val="auto"/>
                <w:kern w:val="0"/>
                <w:szCs w:val="21"/>
                <w:u w:val="single"/>
              </w:rPr>
              <w:t>NH</w:t>
            </w:r>
            <w:r>
              <w:rPr>
                <w:rFonts w:ascii="Times New Roman" w:hAnsi="Times New Roman"/>
                <w:b/>
                <w:color w:val="auto"/>
                <w:kern w:val="0"/>
                <w:szCs w:val="21"/>
                <w:u w:val="single"/>
                <w:vertAlign w:val="subscript"/>
              </w:rPr>
              <w:t>3</w:t>
            </w:r>
            <w:r>
              <w:rPr>
                <w:rFonts w:ascii="Times New Roman" w:hAnsi="Times New Roman"/>
                <w:b/>
                <w:color w:val="auto"/>
                <w:kern w:val="0"/>
                <w:szCs w:val="21"/>
                <w:u w:val="single"/>
              </w:rPr>
              <w:t>-N</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5" w:hRule="atLeast"/>
          <w:jc w:val="center"/>
        </w:trPr>
        <w:tc>
          <w:tcPr>
            <w:tcW w:w="2829" w:type="dxa"/>
            <w:vAlign w:val="center"/>
          </w:tcPr>
          <w:p>
            <w:pPr>
              <w:widowControl/>
              <w:adjustRightInd w:val="0"/>
              <w:snapToGrid w:val="0"/>
              <w:jc w:val="center"/>
              <w:rPr>
                <w:rFonts w:hint="eastAsia" w:ascii="Times New Roman" w:hAnsi="Times New Roman" w:eastAsia="宋体"/>
                <w:color w:val="auto"/>
                <w:kern w:val="0"/>
                <w:szCs w:val="21"/>
                <w:u w:val="single"/>
                <w:lang w:eastAsia="zh-CN"/>
              </w:rPr>
            </w:pPr>
            <w:r>
              <w:rPr>
                <w:rFonts w:ascii="Times New Roman" w:hAnsi="Times New Roman"/>
                <w:color w:val="auto"/>
                <w:kern w:val="0"/>
                <w:szCs w:val="21"/>
                <w:u w:val="single"/>
              </w:rPr>
              <w:t>污水</w:t>
            </w:r>
            <w:r>
              <w:rPr>
                <w:rFonts w:hint="eastAsia" w:ascii="Times New Roman" w:hAnsi="Times New Roman"/>
                <w:color w:val="auto"/>
                <w:kern w:val="0"/>
                <w:szCs w:val="21"/>
                <w:u w:val="single"/>
                <w:lang w:eastAsia="zh-CN"/>
              </w:rPr>
              <w:t>输送管道</w:t>
            </w:r>
          </w:p>
        </w:tc>
        <w:tc>
          <w:tcPr>
            <w:tcW w:w="3078" w:type="dxa"/>
            <w:vAlign w:val="center"/>
          </w:tcPr>
          <w:p>
            <w:pPr>
              <w:widowControl/>
              <w:adjustRightInd w:val="0"/>
              <w:snapToGrid w:val="0"/>
              <w:jc w:val="center"/>
              <w:rPr>
                <w:rFonts w:ascii="Times New Roman" w:hAnsi="Times New Roman"/>
                <w:color w:val="auto"/>
                <w:kern w:val="0"/>
                <w:szCs w:val="21"/>
                <w:u w:val="single"/>
              </w:rPr>
            </w:pPr>
            <w:r>
              <w:rPr>
                <w:rFonts w:ascii="Times New Roman" w:hAnsi="Times New Roman"/>
                <w:color w:val="auto"/>
                <w:kern w:val="0"/>
                <w:szCs w:val="21"/>
                <w:u w:val="single"/>
              </w:rPr>
              <w:t>非正常状态</w:t>
            </w:r>
            <w:r>
              <w:rPr>
                <w:rFonts w:ascii="Times New Roman" w:hAnsi="Times New Roman"/>
                <w:i/>
                <w:color w:val="auto"/>
                <w:kern w:val="0"/>
                <w:szCs w:val="21"/>
                <w:u w:val="single"/>
              </w:rPr>
              <w:t>m</w:t>
            </w:r>
            <w:r>
              <w:rPr>
                <w:rFonts w:ascii="Times New Roman" w:hAnsi="Times New Roman"/>
                <w:color w:val="auto"/>
                <w:kern w:val="0"/>
                <w:szCs w:val="21"/>
                <w:u w:val="single"/>
                <w:vertAlign w:val="subscript"/>
              </w:rPr>
              <w:t>M</w:t>
            </w:r>
            <w:r>
              <w:rPr>
                <w:rFonts w:ascii="Times New Roman" w:hAnsi="Times New Roman"/>
                <w:color w:val="auto"/>
                <w:kern w:val="0"/>
                <w:szCs w:val="21"/>
                <w:u w:val="single"/>
              </w:rPr>
              <w:t>(kg/d)</w:t>
            </w:r>
          </w:p>
        </w:tc>
        <w:tc>
          <w:tcPr>
            <w:tcW w:w="1408" w:type="dxa"/>
            <w:vAlign w:val="center"/>
          </w:tcPr>
          <w:p>
            <w:pPr>
              <w:widowControl/>
              <w:adjustRightInd w:val="0"/>
              <w:snapToGrid w:val="0"/>
              <w:jc w:val="center"/>
              <w:rPr>
                <w:rFonts w:hint="default" w:ascii="Times New Roman" w:hAnsi="Times New Roman" w:eastAsia="宋体"/>
                <w:color w:val="auto"/>
                <w:kern w:val="0"/>
                <w:szCs w:val="21"/>
                <w:u w:val="single"/>
                <w:lang w:val="en-US" w:eastAsia="zh-CN"/>
              </w:rPr>
            </w:pPr>
            <w:r>
              <w:rPr>
                <w:rFonts w:hint="eastAsia" w:ascii="Times New Roman" w:hAnsi="Times New Roman"/>
                <w:color w:val="auto"/>
                <w:kern w:val="0"/>
                <w:szCs w:val="21"/>
                <w:u w:val="single"/>
              </w:rPr>
              <w:t>0.</w:t>
            </w:r>
            <w:r>
              <w:rPr>
                <w:rFonts w:hint="eastAsia" w:ascii="Times New Roman" w:hAnsi="Times New Roman"/>
                <w:color w:val="auto"/>
                <w:kern w:val="0"/>
                <w:szCs w:val="21"/>
                <w:u w:val="single"/>
                <w:lang w:val="en-US" w:eastAsia="zh-CN"/>
              </w:rPr>
              <w:t>04</w:t>
            </w:r>
          </w:p>
        </w:tc>
        <w:tc>
          <w:tcPr>
            <w:tcW w:w="1438" w:type="dxa"/>
            <w:vAlign w:val="center"/>
          </w:tcPr>
          <w:p>
            <w:pPr>
              <w:widowControl/>
              <w:adjustRightInd w:val="0"/>
              <w:snapToGrid w:val="0"/>
              <w:jc w:val="center"/>
              <w:rPr>
                <w:rFonts w:hint="default" w:ascii="Times New Roman" w:hAnsi="Times New Roman" w:eastAsia="宋体"/>
                <w:color w:val="auto"/>
                <w:kern w:val="0"/>
                <w:szCs w:val="21"/>
                <w:u w:val="single"/>
                <w:lang w:val="en-US" w:eastAsia="zh-CN"/>
              </w:rPr>
            </w:pPr>
            <w:r>
              <w:rPr>
                <w:rFonts w:ascii="Times New Roman" w:hAnsi="Times New Roman"/>
                <w:color w:val="auto"/>
                <w:kern w:val="0"/>
                <w:szCs w:val="21"/>
                <w:u w:val="single"/>
              </w:rPr>
              <w:t>0.</w:t>
            </w:r>
            <w:r>
              <w:rPr>
                <w:rFonts w:hint="eastAsia" w:ascii="Times New Roman" w:hAnsi="Times New Roman"/>
                <w:color w:val="auto"/>
                <w:kern w:val="0"/>
                <w:szCs w:val="21"/>
                <w:u w:val="single"/>
                <w:lang w:val="en-US" w:eastAsia="zh-CN"/>
              </w:rPr>
              <w:t>0035</w:t>
            </w:r>
          </w:p>
        </w:tc>
      </w:tr>
    </w:tbl>
    <w:p>
      <w:pPr>
        <w:spacing w:line="360" w:lineRule="auto"/>
        <w:ind w:firstLine="480" w:firstLineChars="200"/>
        <w:rPr>
          <w:rFonts w:ascii="Times New Roman" w:hAnsi="Times New Roman"/>
          <w:bCs/>
          <w:color w:val="auto"/>
          <w:sz w:val="24"/>
          <w:u w:val="single"/>
        </w:rPr>
      </w:pPr>
      <w:bookmarkStart w:id="335" w:name="_Toc372295220"/>
      <w:bookmarkStart w:id="336" w:name="_Toc336681624"/>
      <w:r>
        <w:rPr>
          <w:rFonts w:ascii="Times New Roman" w:hAnsi="Times New Roman"/>
          <w:color w:val="auto"/>
          <w:sz w:val="24"/>
          <w:u w:val="single"/>
        </w:rPr>
        <w:t>（9）预测结果</w:t>
      </w:r>
      <w:bookmarkEnd w:id="335"/>
      <w:bookmarkEnd w:id="336"/>
    </w:p>
    <w:p>
      <w:pPr>
        <w:spacing w:line="360" w:lineRule="auto"/>
        <w:ind w:firstLine="480" w:firstLineChars="200"/>
        <w:rPr>
          <w:rFonts w:ascii="Times New Roman" w:hAnsi="Times New Roman"/>
          <w:bCs/>
          <w:color w:val="auto"/>
          <w:sz w:val="24"/>
        </w:rPr>
      </w:pPr>
      <w:r>
        <w:rPr>
          <w:rFonts w:hint="eastAsia" w:ascii="Times New Roman" w:hAnsi="Times New Roman"/>
          <w:bCs/>
          <w:color w:val="auto"/>
          <w:sz w:val="24"/>
          <w:u w:val="single"/>
        </w:rPr>
        <w:t>本次预测采用软件进行解析计算，其计算结果可见下图：</w:t>
      </w:r>
    </w:p>
    <w:p>
      <w:pPr>
        <w:pStyle w:val="2"/>
        <w:adjustRightInd w:val="0"/>
        <w:snapToGrid w:val="0"/>
        <w:spacing w:after="0"/>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114300" distR="114300">
            <wp:extent cx="5184140" cy="3780790"/>
            <wp:effectExtent l="0" t="0" r="16510" b="10160"/>
            <wp:docPr id="7" name="图片 7" descr="1559960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59960549(1)"/>
                    <pic:cNvPicPr>
                      <a:picLocks noChangeAspect="1"/>
                    </pic:cNvPicPr>
                  </pic:nvPicPr>
                  <pic:blipFill>
                    <a:blip r:embed="rId51"/>
                    <a:stretch>
                      <a:fillRect/>
                    </a:stretch>
                  </pic:blipFill>
                  <pic:spPr>
                    <a:xfrm>
                      <a:off x="0" y="0"/>
                      <a:ext cx="5184140" cy="3780790"/>
                    </a:xfrm>
                    <a:prstGeom prst="rect">
                      <a:avLst/>
                    </a:prstGeom>
                  </pic:spPr>
                </pic:pic>
              </a:graphicData>
            </a:graphic>
          </wp:inline>
        </w:drawing>
      </w:r>
    </w:p>
    <w:p>
      <w:pPr>
        <w:spacing w:line="360" w:lineRule="auto"/>
        <w:ind w:firstLine="480" w:firstLineChars="200"/>
        <w:rPr>
          <w:rFonts w:ascii="Times New Roman" w:hAnsi="Times New Roman"/>
          <w:bCs/>
          <w:color w:val="auto"/>
          <w:sz w:val="24"/>
          <w:u w:val="single"/>
        </w:rPr>
      </w:pPr>
      <w:r>
        <w:rPr>
          <w:rFonts w:hint="eastAsia" w:ascii="Times New Roman" w:hAnsi="Times New Roman"/>
          <w:bCs/>
          <w:color w:val="auto"/>
          <w:sz w:val="24"/>
          <w:u w:val="single"/>
        </w:rPr>
        <w:t>根据软件计算结果可知：</w:t>
      </w:r>
    </w:p>
    <w:p>
      <w:pPr>
        <w:spacing w:line="360" w:lineRule="auto"/>
        <w:ind w:firstLine="480" w:firstLineChars="200"/>
        <w:rPr>
          <w:rFonts w:ascii="Times New Roman" w:hAnsi="Times New Roman"/>
          <w:bCs/>
          <w:color w:val="auto"/>
          <w:sz w:val="24"/>
          <w:u w:val="single"/>
        </w:rPr>
      </w:pPr>
      <w:r>
        <w:rPr>
          <w:rFonts w:ascii="Times New Roman" w:hAnsi="Times New Roman"/>
          <w:bCs/>
          <w:color w:val="auto"/>
          <w:sz w:val="24"/>
          <w:u w:val="single"/>
        </w:rPr>
        <w:t>连续泄漏COD污染物100天，</w:t>
      </w:r>
      <w:r>
        <w:rPr>
          <w:rFonts w:hint="eastAsia" w:ascii="Times New Roman" w:hAnsi="Times New Roman"/>
          <w:bCs/>
          <w:color w:val="auto"/>
          <w:sz w:val="24"/>
          <w:u w:val="single"/>
        </w:rPr>
        <w:t>超标距离为下游</w:t>
      </w:r>
      <w:r>
        <w:rPr>
          <w:rFonts w:hint="eastAsia" w:ascii="Times New Roman" w:hAnsi="Times New Roman"/>
          <w:bCs/>
          <w:color w:val="auto"/>
          <w:sz w:val="24"/>
          <w:u w:val="single"/>
          <w:lang w:val="en-US" w:eastAsia="zh-CN"/>
        </w:rPr>
        <w:t>2</w:t>
      </w:r>
      <w:r>
        <w:rPr>
          <w:rFonts w:hint="eastAsia" w:ascii="Times New Roman" w:hAnsi="Times New Roman"/>
          <w:bCs/>
          <w:color w:val="auto"/>
          <w:sz w:val="24"/>
          <w:u w:val="single"/>
        </w:rPr>
        <w:t>m，预测范围内超标面积为：100m</w:t>
      </w:r>
      <w:r>
        <w:rPr>
          <w:rFonts w:hint="eastAsia" w:ascii="Times New Roman" w:hAnsi="Times New Roman"/>
          <w:bCs/>
          <w:color w:val="auto"/>
          <w:sz w:val="24"/>
          <w:u w:val="single"/>
          <w:vertAlign w:val="superscript"/>
        </w:rPr>
        <w:t>2</w:t>
      </w:r>
      <w:r>
        <w:rPr>
          <w:rFonts w:hint="eastAsia" w:ascii="Times New Roman" w:hAnsi="Times New Roman"/>
          <w:bCs/>
          <w:color w:val="auto"/>
          <w:sz w:val="24"/>
          <w:u w:val="single"/>
        </w:rPr>
        <w:t>；影响距离为下游</w:t>
      </w:r>
      <w:r>
        <w:rPr>
          <w:rFonts w:hint="eastAsia" w:ascii="Times New Roman" w:hAnsi="Times New Roman"/>
          <w:bCs/>
          <w:color w:val="auto"/>
          <w:sz w:val="24"/>
          <w:u w:val="single"/>
          <w:lang w:val="en-US" w:eastAsia="zh-CN"/>
        </w:rPr>
        <w:t>6</w:t>
      </w:r>
      <w:r>
        <w:rPr>
          <w:rFonts w:hint="eastAsia" w:ascii="Times New Roman" w:hAnsi="Times New Roman"/>
          <w:bCs/>
          <w:color w:val="auto"/>
          <w:sz w:val="24"/>
          <w:u w:val="single"/>
        </w:rPr>
        <w:t>m，预测范围内影响面积为：100m</w:t>
      </w:r>
      <w:r>
        <w:rPr>
          <w:rFonts w:hint="eastAsia" w:ascii="Times New Roman" w:hAnsi="Times New Roman"/>
          <w:bCs/>
          <w:color w:val="auto"/>
          <w:sz w:val="24"/>
          <w:u w:val="single"/>
          <w:vertAlign w:val="superscript"/>
        </w:rPr>
        <w:t>2</w:t>
      </w:r>
      <w:r>
        <w:rPr>
          <w:rFonts w:hint="eastAsia" w:ascii="Times New Roman" w:hAnsi="Times New Roman"/>
          <w:bCs/>
          <w:color w:val="auto"/>
          <w:sz w:val="24"/>
          <w:u w:val="single"/>
        </w:rPr>
        <w:t>。</w:t>
      </w:r>
    </w:p>
    <w:p>
      <w:pPr>
        <w:spacing w:line="360" w:lineRule="auto"/>
        <w:ind w:firstLine="480" w:firstLineChars="200"/>
        <w:rPr>
          <w:color w:val="auto"/>
          <w:u w:val="single"/>
        </w:rPr>
      </w:pPr>
      <w:r>
        <w:rPr>
          <w:rFonts w:ascii="Times New Roman" w:hAnsi="Times New Roman"/>
          <w:color w:val="auto"/>
          <w:sz w:val="24"/>
          <w:u w:val="single"/>
        </w:rPr>
        <w:t>预测结果表明：</w:t>
      </w:r>
      <w:r>
        <w:rPr>
          <w:rFonts w:hint="eastAsia" w:ascii="Times New Roman" w:hAnsi="Times New Roman"/>
          <w:bCs/>
          <w:color w:val="auto"/>
          <w:sz w:val="24"/>
          <w:u w:val="single"/>
        </w:rPr>
        <w:t>废水</w:t>
      </w:r>
      <w:r>
        <w:rPr>
          <w:rFonts w:ascii="Times New Roman" w:hAnsi="Times New Roman"/>
          <w:color w:val="auto"/>
          <w:sz w:val="24"/>
          <w:u w:val="single"/>
        </w:rPr>
        <w:t>泄漏发生后，</w:t>
      </w:r>
      <w:r>
        <w:rPr>
          <w:rFonts w:ascii="Times New Roman" w:hAnsi="Times New Roman"/>
          <w:bCs/>
          <w:color w:val="auto"/>
          <w:sz w:val="24"/>
          <w:u w:val="single"/>
        </w:rPr>
        <w:t>COD</w:t>
      </w:r>
      <w:r>
        <w:rPr>
          <w:rFonts w:ascii="Times New Roman" w:hAnsi="Times New Roman"/>
          <w:color w:val="auto"/>
          <w:sz w:val="24"/>
          <w:u w:val="single"/>
        </w:rPr>
        <w:t>影响范围</w:t>
      </w:r>
      <w:r>
        <w:rPr>
          <w:rFonts w:hint="eastAsia" w:ascii="Times New Roman" w:hAnsi="Times New Roman"/>
          <w:color w:val="auto"/>
          <w:sz w:val="24"/>
          <w:u w:val="single"/>
        </w:rPr>
        <w:t>主要在</w:t>
      </w:r>
      <w:r>
        <w:rPr>
          <w:rFonts w:hint="eastAsia" w:ascii="Times New Roman" w:hAnsi="Times New Roman"/>
          <w:color w:val="auto"/>
          <w:sz w:val="24"/>
          <w:u w:val="single"/>
          <w:lang w:eastAsia="zh-CN"/>
        </w:rPr>
        <w:t>项目</w:t>
      </w:r>
      <w:r>
        <w:rPr>
          <w:rFonts w:hint="eastAsia" w:ascii="Times New Roman" w:hAnsi="Times New Roman"/>
          <w:color w:val="auto"/>
          <w:sz w:val="24"/>
          <w:u w:val="single"/>
        </w:rPr>
        <w:t>区周边</w:t>
      </w:r>
      <w:r>
        <w:rPr>
          <w:rFonts w:hint="eastAsia" w:ascii="Times New Roman" w:hAnsi="Times New Roman"/>
          <w:color w:val="auto"/>
          <w:sz w:val="24"/>
          <w:u w:val="single"/>
          <w:lang w:val="en-US" w:eastAsia="zh-CN"/>
        </w:rPr>
        <w:t>6</w:t>
      </w:r>
      <w:r>
        <w:rPr>
          <w:rFonts w:hint="eastAsia" w:ascii="Times New Roman" w:hAnsi="Times New Roman"/>
          <w:color w:val="auto"/>
          <w:sz w:val="24"/>
          <w:u w:val="single"/>
        </w:rPr>
        <w:t>米以内，影响面积在</w:t>
      </w:r>
      <w:r>
        <w:rPr>
          <w:rFonts w:hint="eastAsia" w:ascii="Times New Roman" w:hAnsi="Times New Roman"/>
          <w:bCs/>
          <w:color w:val="auto"/>
          <w:sz w:val="24"/>
          <w:u w:val="single"/>
          <w:lang w:val="en-US" w:eastAsia="zh-CN"/>
        </w:rPr>
        <w:t>1</w:t>
      </w:r>
      <w:r>
        <w:rPr>
          <w:rFonts w:hint="eastAsia" w:ascii="Times New Roman" w:hAnsi="Times New Roman"/>
          <w:bCs/>
          <w:color w:val="auto"/>
          <w:sz w:val="24"/>
          <w:u w:val="single"/>
        </w:rPr>
        <w:t>00m</w:t>
      </w:r>
      <w:r>
        <w:rPr>
          <w:rFonts w:hint="eastAsia" w:ascii="Times New Roman" w:hAnsi="Times New Roman"/>
          <w:bCs/>
          <w:color w:val="auto"/>
          <w:sz w:val="24"/>
          <w:u w:val="single"/>
          <w:vertAlign w:val="superscript"/>
        </w:rPr>
        <w:t>2</w:t>
      </w:r>
      <w:r>
        <w:rPr>
          <w:rFonts w:hint="eastAsia" w:ascii="Times New Roman" w:hAnsi="Times New Roman"/>
          <w:bCs/>
          <w:color w:val="auto"/>
          <w:sz w:val="24"/>
          <w:u w:val="single"/>
        </w:rPr>
        <w:t>内，</w:t>
      </w:r>
      <w:r>
        <w:rPr>
          <w:rFonts w:hint="eastAsia" w:ascii="Times New Roman" w:hAnsi="Times New Roman"/>
          <w:color w:val="auto"/>
          <w:sz w:val="24"/>
          <w:u w:val="single"/>
        </w:rPr>
        <w:t>不会产生大面积的地下水污染影响。</w:t>
      </w:r>
      <w:r>
        <w:rPr>
          <w:color w:val="auto"/>
          <w:u w:val="single"/>
        </w:rPr>
        <w:t xml:space="preserve"> </w:t>
      </w:r>
    </w:p>
    <w:p>
      <w:pPr>
        <w:adjustRightInd w:val="0"/>
        <w:snapToGrid w:val="0"/>
        <w:spacing w:line="360" w:lineRule="auto"/>
        <w:ind w:firstLine="480" w:firstLineChars="200"/>
        <w:rPr>
          <w:rFonts w:ascii="Times New Roman" w:hAnsi="Times New Roman"/>
          <w:color w:val="auto"/>
          <w:sz w:val="24"/>
          <w:u w:val="single"/>
        </w:rPr>
      </w:pPr>
      <w:r>
        <w:rPr>
          <w:rFonts w:hint="eastAsia" w:ascii="Times New Roman" w:hAnsi="Times New Roman"/>
          <w:color w:val="auto"/>
          <w:sz w:val="24"/>
          <w:u w:val="single"/>
        </w:rPr>
        <w:t>总之，项目所在</w:t>
      </w:r>
      <w:r>
        <w:rPr>
          <w:rFonts w:ascii="Times New Roman" w:hAnsi="Times New Roman"/>
          <w:color w:val="auto"/>
          <w:sz w:val="24"/>
          <w:u w:val="single"/>
        </w:rPr>
        <w:t>场地水文地质条件较</w:t>
      </w:r>
      <w:r>
        <w:rPr>
          <w:rFonts w:hint="eastAsia" w:ascii="Times New Roman" w:hAnsi="Times New Roman"/>
          <w:color w:val="auto"/>
          <w:sz w:val="24"/>
          <w:u w:val="single"/>
        </w:rPr>
        <w:t>复杂</w:t>
      </w:r>
      <w:r>
        <w:rPr>
          <w:rFonts w:ascii="Times New Roman" w:hAnsi="Times New Roman"/>
          <w:color w:val="auto"/>
          <w:sz w:val="24"/>
          <w:u w:val="single"/>
        </w:rPr>
        <w:t>，包气带与含水层介质渗透较弱，由于地下水渗透速度小，且地下水有自净能力，非正常排放的综合污水对地下水造成污染范围仅限于</w:t>
      </w:r>
      <w:r>
        <w:rPr>
          <w:rFonts w:hint="eastAsia" w:ascii="Times New Roman" w:hAnsi="Times New Roman"/>
          <w:color w:val="auto"/>
          <w:sz w:val="24"/>
          <w:u w:val="single"/>
          <w:lang w:val="en-US" w:eastAsia="zh-CN"/>
        </w:rPr>
        <w:t>6</w:t>
      </w:r>
      <w:r>
        <w:rPr>
          <w:rFonts w:ascii="Times New Roman" w:hAnsi="Times New Roman"/>
          <w:color w:val="auto"/>
          <w:sz w:val="24"/>
          <w:u w:val="single"/>
        </w:rPr>
        <w:t>m，污染范围能得到有效控制。</w:t>
      </w:r>
    </w:p>
    <w:p>
      <w:pPr>
        <w:adjustRightInd w:val="0"/>
        <w:snapToGrid w:val="0"/>
        <w:spacing w:line="360" w:lineRule="auto"/>
        <w:ind w:firstLine="480" w:firstLineChars="200"/>
        <w:rPr>
          <w:rFonts w:ascii="Times New Roman" w:hAnsi="Times New Roman"/>
          <w:color w:val="auto"/>
          <w:sz w:val="24"/>
          <w:u w:val="single"/>
        </w:rPr>
      </w:pPr>
      <w:r>
        <w:rPr>
          <w:rFonts w:hint="eastAsia" w:ascii="Times New Roman" w:hAnsi="Times New Roman"/>
          <w:color w:val="auto"/>
          <w:sz w:val="24"/>
          <w:u w:val="single"/>
        </w:rPr>
        <w:t>综合分析，本项目废</w:t>
      </w:r>
      <w:r>
        <w:rPr>
          <w:rFonts w:hint="eastAsia" w:ascii="Times New Roman" w:hAnsi="Times New Roman"/>
          <w:color w:val="auto"/>
          <w:sz w:val="24"/>
          <w:u w:val="single"/>
          <w:lang w:eastAsia="zh-CN"/>
        </w:rPr>
        <w:t>水</w:t>
      </w:r>
      <w:r>
        <w:rPr>
          <w:rFonts w:hint="eastAsia" w:ascii="Times New Roman" w:hAnsi="Times New Roman"/>
          <w:color w:val="auto"/>
          <w:sz w:val="24"/>
          <w:u w:val="single"/>
        </w:rPr>
        <w:t>量较少，</w:t>
      </w:r>
      <w:r>
        <w:rPr>
          <w:rFonts w:ascii="Times New Roman" w:hAnsi="Times New Roman"/>
          <w:color w:val="auto"/>
          <w:sz w:val="24"/>
          <w:u w:val="single"/>
        </w:rPr>
        <w:t>污染因子</w:t>
      </w:r>
      <w:r>
        <w:rPr>
          <w:rFonts w:hint="eastAsia" w:ascii="Times New Roman" w:hAnsi="Times New Roman"/>
          <w:color w:val="auto"/>
          <w:sz w:val="24"/>
          <w:u w:val="single"/>
        </w:rPr>
        <w:t>不</w:t>
      </w:r>
      <w:r>
        <w:rPr>
          <w:rFonts w:ascii="Times New Roman" w:hAnsi="Times New Roman"/>
          <w:color w:val="auto"/>
          <w:sz w:val="24"/>
          <w:u w:val="single"/>
        </w:rPr>
        <w:t>涉及镉、六价铬、汞、铅等重金属污染物。</w:t>
      </w:r>
      <w:r>
        <w:rPr>
          <w:rFonts w:hint="eastAsia" w:ascii="Times New Roman" w:hAnsi="Times New Roman"/>
          <w:color w:val="auto"/>
          <w:sz w:val="24"/>
          <w:u w:val="single"/>
        </w:rPr>
        <w:t>通过采取本项目拟提出防渗、监控等管理措施后，特征污染物对地下水环境影响轻微。</w:t>
      </w:r>
    </w:p>
    <w:p>
      <w:pPr>
        <w:pStyle w:val="6"/>
        <w:numPr>
          <w:ilvl w:val="1"/>
          <w:numId w:val="0"/>
        </w:numPr>
        <w:spacing w:before="120" w:beforeLines="0" w:after="120" w:afterLines="0"/>
        <w:ind w:leftChars="0"/>
        <w:rPr>
          <w:color w:val="auto"/>
        </w:rPr>
      </w:pPr>
      <w:bookmarkStart w:id="337" w:name="_Toc8508"/>
      <w:bookmarkStart w:id="338" w:name="_Toc280188854"/>
      <w:bookmarkStart w:id="339" w:name="_Toc304810306"/>
      <w:bookmarkStart w:id="340" w:name="_Toc32435"/>
      <w:bookmarkStart w:id="341" w:name="_Toc15451"/>
      <w:bookmarkStart w:id="342" w:name="_Toc4396"/>
      <w:bookmarkStart w:id="343" w:name="_Toc306034556"/>
      <w:r>
        <w:rPr>
          <w:rFonts w:hint="eastAsia"/>
          <w:color w:val="auto"/>
          <w:lang w:val="en-US" w:eastAsia="zh-CN"/>
        </w:rPr>
        <w:t xml:space="preserve">5.4 </w:t>
      </w:r>
      <w:r>
        <w:rPr>
          <w:color w:val="auto"/>
        </w:rPr>
        <w:t>声环境影响预测与评价</w:t>
      </w:r>
      <w:bookmarkEnd w:id="337"/>
      <w:bookmarkEnd w:id="338"/>
      <w:bookmarkEnd w:id="339"/>
      <w:bookmarkEnd w:id="340"/>
      <w:bookmarkEnd w:id="341"/>
      <w:bookmarkEnd w:id="342"/>
      <w:bookmarkEnd w:id="343"/>
    </w:p>
    <w:p>
      <w:pPr>
        <w:pStyle w:val="7"/>
        <w:numPr>
          <w:ilvl w:val="2"/>
          <w:numId w:val="0"/>
        </w:numPr>
        <w:spacing w:before="120" w:beforeLines="0" w:after="120" w:afterLines="0"/>
        <w:rPr>
          <w:color w:val="auto"/>
        </w:rPr>
      </w:pPr>
      <w:bookmarkStart w:id="344" w:name="_Toc134929019"/>
      <w:bookmarkStart w:id="345" w:name="_Toc19968"/>
      <w:bookmarkStart w:id="346" w:name="_Toc28786"/>
      <w:bookmarkStart w:id="347" w:name="_Toc134850558"/>
      <w:bookmarkStart w:id="348" w:name="_Toc19638"/>
      <w:bookmarkStart w:id="349" w:name="_Toc132875685"/>
      <w:r>
        <w:rPr>
          <w:rFonts w:hint="eastAsia"/>
          <w:color w:val="auto"/>
          <w:lang w:val="en-US" w:eastAsia="zh-CN"/>
        </w:rPr>
        <w:t xml:space="preserve">5.4.1 </w:t>
      </w:r>
      <w:r>
        <w:rPr>
          <w:color w:val="auto"/>
        </w:rPr>
        <w:t>预测源强</w:t>
      </w:r>
      <w:bookmarkEnd w:id="344"/>
      <w:bookmarkEnd w:id="345"/>
      <w:bookmarkEnd w:id="346"/>
      <w:bookmarkEnd w:id="347"/>
      <w:bookmarkEnd w:id="348"/>
      <w:bookmarkEnd w:id="349"/>
    </w:p>
    <w:p>
      <w:pPr>
        <w:tabs>
          <w:tab w:val="left" w:pos="1700"/>
        </w:tabs>
        <w:spacing w:line="360" w:lineRule="auto"/>
        <w:ind w:firstLine="480" w:firstLineChars="200"/>
        <w:rPr>
          <w:rFonts w:ascii="Times New Roman" w:hAnsi="Times New Roman"/>
          <w:color w:val="auto"/>
          <w:kern w:val="24"/>
          <w:sz w:val="24"/>
          <w:szCs w:val="24"/>
          <w:u w:val="none"/>
        </w:rPr>
      </w:pPr>
      <w:r>
        <w:rPr>
          <w:rFonts w:ascii="Times New Roman" w:hAnsi="Times New Roman"/>
          <w:color w:val="auto"/>
          <w:kern w:val="24"/>
          <w:sz w:val="24"/>
          <w:szCs w:val="24"/>
          <w:u w:val="none"/>
        </w:rPr>
        <w:t>根据《环境影响评价技术导则——声环境》（HJ2.4-2009）中对噪声源强的分类，项目噪声源按声源性质</w:t>
      </w:r>
      <w:r>
        <w:rPr>
          <w:rFonts w:hint="eastAsia" w:ascii="Times New Roman" w:hAnsi="Times New Roman"/>
          <w:color w:val="auto"/>
          <w:kern w:val="24"/>
          <w:sz w:val="24"/>
          <w:szCs w:val="24"/>
          <w:u w:val="none"/>
          <w:lang w:eastAsia="zh-CN"/>
        </w:rPr>
        <w:t>为</w:t>
      </w:r>
      <w:r>
        <w:rPr>
          <w:rFonts w:ascii="Times New Roman" w:hAnsi="Times New Roman"/>
          <w:color w:val="auto"/>
          <w:kern w:val="24"/>
          <w:sz w:val="24"/>
          <w:szCs w:val="24"/>
          <w:u w:val="none"/>
        </w:rPr>
        <w:t>固定声源两大类，泵</w:t>
      </w:r>
      <w:r>
        <w:rPr>
          <w:rFonts w:hint="eastAsia" w:ascii="Times New Roman" w:hAnsi="Times New Roman"/>
          <w:color w:val="auto"/>
          <w:kern w:val="24"/>
          <w:sz w:val="24"/>
          <w:szCs w:val="24"/>
          <w:u w:val="none"/>
          <w:lang w:eastAsia="zh-CN"/>
        </w:rPr>
        <w:t>的</w:t>
      </w:r>
      <w:r>
        <w:rPr>
          <w:rFonts w:ascii="Times New Roman" w:hAnsi="Times New Roman"/>
          <w:color w:val="auto"/>
          <w:kern w:val="24"/>
          <w:sz w:val="24"/>
          <w:szCs w:val="24"/>
          <w:u w:val="none"/>
        </w:rPr>
        <w:t>固定声源。声源噪声强度分析如下表</w:t>
      </w:r>
      <w:r>
        <w:rPr>
          <w:rFonts w:hint="eastAsia" w:ascii="Times New Roman" w:hAnsi="Times New Roman"/>
          <w:color w:val="auto"/>
          <w:kern w:val="24"/>
          <w:sz w:val="24"/>
          <w:szCs w:val="24"/>
          <w:u w:val="none"/>
        </w:rPr>
        <w:t>5</w:t>
      </w:r>
      <w:r>
        <w:rPr>
          <w:rFonts w:hint="eastAsia" w:ascii="Times New Roman" w:hAnsi="Times New Roman"/>
          <w:color w:val="auto"/>
          <w:kern w:val="24"/>
          <w:sz w:val="24"/>
          <w:szCs w:val="24"/>
          <w:u w:val="none"/>
          <w:lang w:val="en-US" w:eastAsia="zh-CN"/>
        </w:rPr>
        <w:t>.4-1</w:t>
      </w:r>
      <w:r>
        <w:rPr>
          <w:rFonts w:ascii="Times New Roman" w:hAnsi="Times New Roman"/>
          <w:color w:val="auto"/>
          <w:kern w:val="24"/>
          <w:sz w:val="24"/>
          <w:szCs w:val="24"/>
          <w:u w:val="none"/>
        </w:rPr>
        <w:t>。</w:t>
      </w:r>
    </w:p>
    <w:p>
      <w:pPr>
        <w:pStyle w:val="18"/>
        <w:rPr>
          <w:color w:val="auto"/>
          <w:u w:val="none"/>
        </w:rPr>
      </w:pPr>
      <w:r>
        <w:rPr>
          <w:color w:val="auto"/>
          <w:u w:val="none"/>
        </w:rPr>
        <w:t xml:space="preserve">表 </w:t>
      </w:r>
      <w:r>
        <w:rPr>
          <w:rFonts w:hint="eastAsia"/>
          <w:color w:val="auto"/>
          <w:u w:val="none"/>
          <w:lang w:val="en-US" w:eastAsia="zh-CN"/>
        </w:rPr>
        <w:t>5.4-1</w:t>
      </w:r>
      <w:r>
        <w:rPr>
          <w:rFonts w:hint="eastAsia"/>
          <w:color w:val="auto"/>
          <w:u w:val="none"/>
        </w:rPr>
        <w:tab/>
      </w:r>
      <w:r>
        <w:rPr>
          <w:color w:val="auto"/>
          <w:u w:val="none"/>
        </w:rPr>
        <w:t xml:space="preserve"> 项目主要噪声源强</w:t>
      </w:r>
    </w:p>
    <w:tbl>
      <w:tblPr>
        <w:tblStyle w:val="45"/>
        <w:tblW w:w="928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749"/>
        <w:gridCol w:w="1655"/>
        <w:gridCol w:w="1352"/>
        <w:gridCol w:w="2857"/>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0" w:type="dxa"/>
            <w:vAlign w:val="center"/>
          </w:tcPr>
          <w:p>
            <w:pPr>
              <w:pStyle w:val="87"/>
              <w:contextualSpacing/>
              <w:rPr>
                <w:rFonts w:ascii="Times New Roman" w:hAnsi="Times New Roman"/>
                <w:b/>
                <w:color w:val="auto"/>
                <w:szCs w:val="21"/>
                <w:u w:val="none"/>
              </w:rPr>
            </w:pPr>
            <w:r>
              <w:rPr>
                <w:rFonts w:ascii="Times New Roman" w:hAnsi="Times New Roman"/>
                <w:b/>
                <w:color w:val="auto"/>
                <w:szCs w:val="21"/>
                <w:u w:val="none"/>
              </w:rPr>
              <w:t>设备名称</w:t>
            </w:r>
          </w:p>
        </w:tc>
        <w:tc>
          <w:tcPr>
            <w:tcW w:w="749" w:type="dxa"/>
            <w:vAlign w:val="center"/>
          </w:tcPr>
          <w:p>
            <w:pPr>
              <w:pStyle w:val="87"/>
              <w:contextualSpacing/>
              <w:rPr>
                <w:rFonts w:ascii="Times New Roman" w:hAnsi="Times New Roman"/>
                <w:b/>
                <w:color w:val="auto"/>
                <w:szCs w:val="21"/>
                <w:u w:val="none"/>
              </w:rPr>
            </w:pPr>
            <w:r>
              <w:rPr>
                <w:rFonts w:ascii="Times New Roman" w:hAnsi="Times New Roman"/>
                <w:b/>
                <w:color w:val="auto"/>
                <w:szCs w:val="21"/>
                <w:u w:val="none"/>
              </w:rPr>
              <w:t>数量</w:t>
            </w:r>
          </w:p>
        </w:tc>
        <w:tc>
          <w:tcPr>
            <w:tcW w:w="1655" w:type="dxa"/>
            <w:vAlign w:val="center"/>
          </w:tcPr>
          <w:p>
            <w:pPr>
              <w:pStyle w:val="87"/>
              <w:contextualSpacing/>
              <w:rPr>
                <w:rFonts w:ascii="Times New Roman" w:hAnsi="Times New Roman"/>
                <w:b/>
                <w:color w:val="auto"/>
                <w:szCs w:val="21"/>
                <w:u w:val="none"/>
              </w:rPr>
            </w:pPr>
            <w:r>
              <w:rPr>
                <w:rFonts w:ascii="Times New Roman" w:hAnsi="Times New Roman"/>
                <w:b/>
                <w:color w:val="auto"/>
                <w:szCs w:val="21"/>
                <w:u w:val="none"/>
              </w:rPr>
              <w:t>特征</w:t>
            </w:r>
          </w:p>
        </w:tc>
        <w:tc>
          <w:tcPr>
            <w:tcW w:w="1352" w:type="dxa"/>
            <w:vAlign w:val="center"/>
          </w:tcPr>
          <w:p>
            <w:pPr>
              <w:pStyle w:val="87"/>
              <w:contextualSpacing/>
              <w:rPr>
                <w:rFonts w:ascii="Times New Roman" w:hAnsi="Times New Roman"/>
                <w:b/>
                <w:color w:val="auto"/>
                <w:szCs w:val="21"/>
                <w:u w:val="none"/>
              </w:rPr>
            </w:pPr>
            <w:r>
              <w:rPr>
                <w:rFonts w:ascii="Times New Roman" w:hAnsi="Times New Roman"/>
                <w:b/>
                <w:color w:val="auto"/>
                <w:szCs w:val="21"/>
                <w:u w:val="none"/>
              </w:rPr>
              <w:t>单台噪声值dB(A)</w:t>
            </w:r>
          </w:p>
        </w:tc>
        <w:tc>
          <w:tcPr>
            <w:tcW w:w="2857" w:type="dxa"/>
            <w:vAlign w:val="center"/>
          </w:tcPr>
          <w:p>
            <w:pPr>
              <w:pStyle w:val="87"/>
              <w:contextualSpacing/>
              <w:rPr>
                <w:rFonts w:ascii="Times New Roman" w:hAnsi="Times New Roman"/>
                <w:b/>
                <w:color w:val="auto"/>
                <w:szCs w:val="21"/>
                <w:u w:val="none"/>
              </w:rPr>
            </w:pPr>
            <w:r>
              <w:rPr>
                <w:rFonts w:ascii="Times New Roman" w:hAnsi="Times New Roman"/>
                <w:b/>
                <w:color w:val="auto"/>
                <w:szCs w:val="21"/>
                <w:u w:val="none"/>
              </w:rPr>
              <w:t>治理措施</w:t>
            </w:r>
          </w:p>
        </w:tc>
        <w:tc>
          <w:tcPr>
            <w:tcW w:w="1504" w:type="dxa"/>
            <w:vAlign w:val="center"/>
          </w:tcPr>
          <w:p>
            <w:pPr>
              <w:pStyle w:val="87"/>
              <w:contextualSpacing/>
              <w:rPr>
                <w:rFonts w:ascii="Times New Roman" w:hAnsi="Times New Roman"/>
                <w:b/>
                <w:color w:val="auto"/>
                <w:szCs w:val="21"/>
                <w:u w:val="none"/>
              </w:rPr>
            </w:pPr>
            <w:r>
              <w:rPr>
                <w:rFonts w:hint="eastAsia" w:ascii="Times New Roman" w:hAnsi="Times New Roman"/>
                <w:b/>
                <w:color w:val="auto"/>
                <w:szCs w:val="21"/>
                <w:u w:val="none"/>
              </w:rPr>
              <w:t>治理效果</w:t>
            </w:r>
            <w:r>
              <w:rPr>
                <w:rFonts w:ascii="Times New Roman" w:hAnsi="Times New Roman"/>
                <w:b/>
                <w:color w:val="auto"/>
                <w:szCs w:val="21"/>
                <w:u w:val="none"/>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70" w:type="dxa"/>
            <w:vAlign w:val="center"/>
          </w:tcPr>
          <w:p>
            <w:pPr>
              <w:jc w:val="center"/>
              <w:rPr>
                <w:rFonts w:ascii="Times New Roman" w:hAnsi="Times New Roman"/>
                <w:color w:val="auto"/>
                <w:szCs w:val="21"/>
                <w:u w:val="none"/>
              </w:rPr>
            </w:pPr>
            <w:r>
              <w:rPr>
                <w:rFonts w:hint="eastAsia" w:ascii="Times New Roman" w:hAnsi="Times New Roman"/>
                <w:color w:val="auto"/>
                <w:szCs w:val="21"/>
                <w:u w:val="none"/>
              </w:rPr>
              <w:t>物料泵</w:t>
            </w:r>
          </w:p>
        </w:tc>
        <w:tc>
          <w:tcPr>
            <w:tcW w:w="749" w:type="dxa"/>
            <w:vAlign w:val="center"/>
          </w:tcPr>
          <w:p>
            <w:pPr>
              <w:pStyle w:val="87"/>
              <w:contextualSpacing/>
              <w:rPr>
                <w:rFonts w:hint="eastAsia" w:ascii="Times New Roman" w:hAnsi="Times New Roman" w:eastAsia="宋体"/>
                <w:color w:val="auto"/>
                <w:szCs w:val="21"/>
                <w:u w:val="none"/>
                <w:lang w:eastAsia="zh-CN"/>
              </w:rPr>
            </w:pPr>
            <w:r>
              <w:rPr>
                <w:rFonts w:hint="eastAsia" w:ascii="Times New Roman" w:hAnsi="Times New Roman"/>
                <w:color w:val="auto"/>
                <w:szCs w:val="21"/>
                <w:u w:val="none"/>
                <w:lang w:val="en-US" w:eastAsia="zh-CN"/>
              </w:rPr>
              <w:t>2</w:t>
            </w:r>
          </w:p>
        </w:tc>
        <w:tc>
          <w:tcPr>
            <w:tcW w:w="1655" w:type="dxa"/>
            <w:vAlign w:val="center"/>
          </w:tcPr>
          <w:p>
            <w:pPr>
              <w:pStyle w:val="87"/>
              <w:contextualSpacing/>
              <w:rPr>
                <w:rFonts w:ascii="Times New Roman" w:hAnsi="Times New Roman"/>
                <w:color w:val="auto"/>
                <w:szCs w:val="21"/>
                <w:u w:val="none"/>
              </w:rPr>
            </w:pPr>
            <w:r>
              <w:rPr>
                <w:rFonts w:hint="eastAsia" w:ascii="Times New Roman" w:hAnsi="Times New Roman"/>
                <w:color w:val="auto"/>
                <w:szCs w:val="21"/>
                <w:u w:val="none"/>
              </w:rPr>
              <w:t>室外</w:t>
            </w:r>
            <w:r>
              <w:rPr>
                <w:rFonts w:ascii="Times New Roman" w:hAnsi="Times New Roman"/>
                <w:color w:val="auto"/>
                <w:szCs w:val="21"/>
                <w:u w:val="none"/>
              </w:rPr>
              <w:t>、</w:t>
            </w:r>
            <w:r>
              <w:rPr>
                <w:rFonts w:hint="eastAsia" w:ascii="Times New Roman" w:hAnsi="Times New Roman"/>
                <w:color w:val="auto"/>
                <w:szCs w:val="21"/>
                <w:u w:val="none"/>
              </w:rPr>
              <w:t>间歇</w:t>
            </w:r>
          </w:p>
        </w:tc>
        <w:tc>
          <w:tcPr>
            <w:tcW w:w="1352" w:type="dxa"/>
            <w:vAlign w:val="center"/>
          </w:tcPr>
          <w:p>
            <w:pPr>
              <w:jc w:val="center"/>
              <w:rPr>
                <w:rFonts w:ascii="Times New Roman" w:hAnsi="Times New Roman"/>
                <w:color w:val="auto"/>
                <w:szCs w:val="21"/>
                <w:u w:val="none"/>
              </w:rPr>
            </w:pPr>
            <w:r>
              <w:rPr>
                <w:rFonts w:hint="eastAsia" w:ascii="Times New Roman" w:hAnsi="Times New Roman"/>
                <w:color w:val="auto"/>
                <w:szCs w:val="21"/>
                <w:u w:val="none"/>
              </w:rPr>
              <w:t>70~77</w:t>
            </w:r>
          </w:p>
        </w:tc>
        <w:tc>
          <w:tcPr>
            <w:tcW w:w="2857" w:type="dxa"/>
            <w:vAlign w:val="center"/>
          </w:tcPr>
          <w:p>
            <w:pPr>
              <w:jc w:val="center"/>
              <w:rPr>
                <w:rFonts w:ascii="Times New Roman" w:hAnsi="Times New Roman"/>
                <w:color w:val="auto"/>
                <w:szCs w:val="21"/>
                <w:u w:val="none"/>
              </w:rPr>
            </w:pPr>
            <w:r>
              <w:rPr>
                <w:rFonts w:ascii="Times New Roman" w:hAnsi="Times New Roman"/>
                <w:color w:val="auto"/>
                <w:szCs w:val="21"/>
                <w:u w:val="none"/>
              </w:rPr>
              <w:t>基础减震、隔声罩</w:t>
            </w:r>
          </w:p>
        </w:tc>
        <w:tc>
          <w:tcPr>
            <w:tcW w:w="1504" w:type="dxa"/>
            <w:vAlign w:val="center"/>
          </w:tcPr>
          <w:p>
            <w:pPr>
              <w:pStyle w:val="87"/>
              <w:contextualSpacing/>
              <w:rPr>
                <w:rFonts w:ascii="Times New Roman" w:hAnsi="Times New Roman"/>
                <w:color w:val="auto"/>
                <w:szCs w:val="21"/>
                <w:u w:val="none"/>
              </w:rPr>
            </w:pPr>
            <w:r>
              <w:rPr>
                <w:rFonts w:hint="eastAsia" w:ascii="Times New Roman" w:hAnsi="Times New Roman"/>
                <w:color w:val="auto"/>
                <w:szCs w:val="21"/>
                <w:u w:val="none"/>
              </w:rPr>
              <w:t>20</w:t>
            </w:r>
          </w:p>
        </w:tc>
      </w:tr>
    </w:tbl>
    <w:p>
      <w:pPr>
        <w:pStyle w:val="7"/>
        <w:numPr>
          <w:ilvl w:val="2"/>
          <w:numId w:val="0"/>
        </w:numPr>
        <w:spacing w:before="120" w:beforeLines="0" w:after="120" w:afterLines="0"/>
        <w:rPr>
          <w:rFonts w:ascii="Times New Roman" w:hAnsi="Times New Roman" w:cs="Times New Roman"/>
          <w:color w:val="auto"/>
        </w:rPr>
      </w:pPr>
      <w:bookmarkStart w:id="350" w:name="_Toc29773"/>
      <w:r>
        <w:rPr>
          <w:rFonts w:hint="eastAsia" w:cs="Times New Roman"/>
          <w:color w:val="auto"/>
          <w:lang w:val="en-US" w:eastAsia="zh-CN"/>
        </w:rPr>
        <w:t xml:space="preserve">5.4.2 </w:t>
      </w:r>
      <w:r>
        <w:rPr>
          <w:rFonts w:hint="eastAsia" w:ascii="Times New Roman" w:hAnsi="Times New Roman" w:cs="Times New Roman"/>
          <w:color w:val="auto"/>
        </w:rPr>
        <w:t>预测范围及预测内容</w:t>
      </w:r>
      <w:bookmarkEnd w:id="35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sz w:val="24"/>
          <w:szCs w:val="24"/>
        </w:rPr>
        <w:t>根据噪声影响的特点，本次预测范围为厂界外200m范围。由现场调查可知，</w:t>
      </w:r>
      <w:r>
        <w:rPr>
          <w:rFonts w:hint="eastAsia"/>
          <w:color w:val="auto"/>
          <w:sz w:val="24"/>
          <w:szCs w:val="24"/>
          <w:lang w:eastAsia="zh-CN"/>
        </w:rPr>
        <w:t>长岭分公司</w:t>
      </w:r>
      <w:r>
        <w:rPr>
          <w:rFonts w:hint="eastAsia"/>
          <w:color w:val="auto"/>
          <w:sz w:val="24"/>
          <w:szCs w:val="24"/>
        </w:rPr>
        <w:t>厂界外200m范围内无声敏感点，因此本处主要预测项目各点声源对厂界声环境的贡献。</w:t>
      </w:r>
    </w:p>
    <w:p>
      <w:pPr>
        <w:pStyle w:val="7"/>
        <w:numPr>
          <w:ilvl w:val="2"/>
          <w:numId w:val="0"/>
        </w:numPr>
        <w:spacing w:before="120" w:beforeLines="0" w:after="120" w:afterLines="0"/>
        <w:rPr>
          <w:rFonts w:hint="eastAsia" w:ascii="Times New Roman" w:hAnsi="Times New Roman" w:cs="Times New Roman"/>
          <w:color w:val="auto"/>
        </w:rPr>
      </w:pPr>
      <w:bookmarkStart w:id="351" w:name="_Toc1528"/>
      <w:r>
        <w:rPr>
          <w:rFonts w:hint="eastAsia" w:cs="Times New Roman"/>
          <w:color w:val="auto"/>
          <w:lang w:val="en-US" w:eastAsia="zh-CN"/>
        </w:rPr>
        <w:t xml:space="preserve">5.4.3 </w:t>
      </w:r>
      <w:r>
        <w:rPr>
          <w:rFonts w:hint="eastAsia" w:ascii="Times New Roman" w:hAnsi="Times New Roman" w:cs="Times New Roman"/>
          <w:color w:val="auto"/>
        </w:rPr>
        <w:t>预测模式</w:t>
      </w:r>
      <w:bookmarkEnd w:id="35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rPr>
      </w:pPr>
      <w:r>
        <w:rPr>
          <w:rFonts w:hint="eastAsia"/>
          <w:color w:val="auto"/>
          <w:sz w:val="24"/>
          <w:szCs w:val="24"/>
        </w:rPr>
        <w:t>本次预测采用《环境影响评价技术导则—声环境》（HJ2.4-2009）中推荐的工业噪声预测模式，计算公式如下：利用A声级计算噪声户外传播衰减，计</w:t>
      </w:r>
      <w:r>
        <w:rPr>
          <w:color w:val="auto"/>
        </w:rPr>
        <w:drawing>
          <wp:inline distT="0" distB="0" distL="114300" distR="114300">
            <wp:extent cx="5167630" cy="3500120"/>
            <wp:effectExtent l="0" t="0" r="1397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2" cstate="print"/>
                    <a:stretch>
                      <a:fillRect/>
                    </a:stretch>
                  </pic:blipFill>
                  <pic:spPr>
                    <a:xfrm>
                      <a:off x="0" y="0"/>
                      <a:ext cx="5167630" cy="3500120"/>
                    </a:xfrm>
                    <a:prstGeom prst="rect">
                      <a:avLst/>
                    </a:prstGeom>
                    <a:noFill/>
                    <a:ln w="9525">
                      <a:noFill/>
                    </a:ln>
                  </pic:spPr>
                </pic:pic>
              </a:graphicData>
            </a:graphic>
          </wp:inline>
        </w:drawing>
      </w:r>
    </w:p>
    <w:p>
      <w:pPr>
        <w:rPr>
          <w:color w:val="auto"/>
          <w:sz w:val="24"/>
          <w:szCs w:val="24"/>
        </w:rPr>
      </w:pPr>
      <w:r>
        <w:rPr>
          <w:rFonts w:hint="eastAsia"/>
          <w:color w:val="auto"/>
          <w:sz w:val="24"/>
          <w:szCs w:val="24"/>
        </w:rPr>
        <w:t xml:space="preserve"> 式中：r L A：距声源 r 处的A声级；</w:t>
      </w: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rPr>
      </w:pPr>
      <w:r>
        <w:rPr>
          <w:rFonts w:hint="eastAsia"/>
          <w:color w:val="auto"/>
          <w:sz w:val="24"/>
          <w:szCs w:val="24"/>
        </w:rPr>
        <w:t>总声压级:设第i个窒外声源在预测点产生的A组为</w:t>
      </w:r>
      <w:r>
        <w:rPr>
          <w:color w:val="auto"/>
          <w:sz w:val="24"/>
          <w:szCs w:val="24"/>
        </w:rPr>
        <w:drawing>
          <wp:inline distT="0" distB="0" distL="114300" distR="114300">
            <wp:extent cx="371475" cy="200025"/>
            <wp:effectExtent l="0" t="0" r="9525" b="9525"/>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53" cstate="print"/>
                    <a:stretch>
                      <a:fillRect/>
                    </a:stretch>
                  </pic:blipFill>
                  <pic:spPr>
                    <a:xfrm>
                      <a:off x="0" y="0"/>
                      <a:ext cx="371475" cy="200025"/>
                    </a:xfrm>
                    <a:prstGeom prst="rect">
                      <a:avLst/>
                    </a:prstGeom>
                    <a:noFill/>
                    <a:ln w="9525">
                      <a:noFill/>
                    </a:ln>
                  </pic:spPr>
                </pic:pic>
              </a:graphicData>
            </a:graphic>
          </wp:inline>
        </w:drawing>
      </w:r>
      <w:r>
        <w:rPr>
          <w:rFonts w:hint="eastAsia"/>
          <w:color w:val="auto"/>
          <w:sz w:val="24"/>
          <w:szCs w:val="24"/>
        </w:rPr>
        <w:t>,在T时间内该声源工作时间为</w:t>
      </w:r>
      <w:r>
        <w:rPr>
          <w:color w:val="auto"/>
          <w:sz w:val="24"/>
          <w:szCs w:val="24"/>
        </w:rPr>
        <w:drawing>
          <wp:inline distT="0" distB="0" distL="114300" distR="114300">
            <wp:extent cx="257175" cy="161925"/>
            <wp:effectExtent l="0" t="0" r="9525" b="952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54" cstate="print"/>
                    <a:stretch>
                      <a:fillRect/>
                    </a:stretch>
                  </pic:blipFill>
                  <pic:spPr>
                    <a:xfrm>
                      <a:off x="0" y="0"/>
                      <a:ext cx="257175" cy="161925"/>
                    </a:xfrm>
                    <a:prstGeom prst="rect">
                      <a:avLst/>
                    </a:prstGeom>
                    <a:noFill/>
                    <a:ln w="9525">
                      <a:noFill/>
                    </a:ln>
                  </pic:spPr>
                </pic:pic>
              </a:graphicData>
            </a:graphic>
          </wp:inline>
        </w:drawing>
      </w:r>
      <w:r>
        <w:rPr>
          <w:rFonts w:hint="eastAsia"/>
          <w:color w:val="auto"/>
          <w:sz w:val="24"/>
          <w:szCs w:val="24"/>
        </w:rPr>
        <w:t>:第j个等效窒外声源在预测点产生的A声级为</w:t>
      </w:r>
      <w:r>
        <w:rPr>
          <w:color w:val="auto"/>
          <w:sz w:val="24"/>
          <w:szCs w:val="24"/>
        </w:rPr>
        <w:drawing>
          <wp:inline distT="0" distB="0" distL="114300" distR="114300">
            <wp:extent cx="371475" cy="200025"/>
            <wp:effectExtent l="0" t="0" r="9525" b="952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53" cstate="print"/>
                    <a:stretch>
                      <a:fillRect/>
                    </a:stretch>
                  </pic:blipFill>
                  <pic:spPr>
                    <a:xfrm>
                      <a:off x="0" y="0"/>
                      <a:ext cx="371475" cy="200025"/>
                    </a:xfrm>
                    <a:prstGeom prst="rect">
                      <a:avLst/>
                    </a:prstGeom>
                    <a:noFill/>
                    <a:ln w="9525">
                      <a:noFill/>
                    </a:ln>
                  </pic:spPr>
                </pic:pic>
              </a:graphicData>
            </a:graphic>
          </wp:inline>
        </w:drawing>
      </w:r>
      <w:r>
        <w:rPr>
          <w:rFonts w:hint="eastAsia"/>
          <w:color w:val="auto"/>
          <w:sz w:val="24"/>
          <w:szCs w:val="24"/>
        </w:rPr>
        <w:t>,在T时间内该</w:t>
      </w:r>
      <w:r>
        <w:rPr>
          <w:color w:val="auto"/>
          <w:sz w:val="24"/>
          <w:szCs w:val="24"/>
        </w:rPr>
        <w:drawing>
          <wp:inline distT="0" distB="0" distL="114300" distR="114300">
            <wp:extent cx="257175" cy="161925"/>
            <wp:effectExtent l="0" t="0" r="9525" b="9525"/>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54" cstate="print"/>
                    <a:stretch>
                      <a:fillRect/>
                    </a:stretch>
                  </pic:blipFill>
                  <pic:spPr>
                    <a:xfrm>
                      <a:off x="0" y="0"/>
                      <a:ext cx="257175" cy="161925"/>
                    </a:xfrm>
                    <a:prstGeom prst="rect">
                      <a:avLst/>
                    </a:prstGeom>
                    <a:noFill/>
                    <a:ln w="9525">
                      <a:noFill/>
                    </a:ln>
                  </pic:spPr>
                </pic:pic>
              </a:graphicData>
            </a:graphic>
          </wp:inline>
        </w:drawing>
      </w:r>
      <w:r>
        <w:rPr>
          <w:rFonts w:hint="eastAsia"/>
          <w:color w:val="auto"/>
          <w:sz w:val="24"/>
          <w:szCs w:val="24"/>
        </w:rPr>
        <w:t>,则预测点的总等级声级为:</w:t>
      </w:r>
    </w:p>
    <w:p>
      <w:pPr>
        <w:rPr>
          <w:color w:val="auto"/>
        </w:rPr>
      </w:pPr>
      <w:r>
        <w:rPr>
          <w:color w:val="auto"/>
        </w:rPr>
        <w:drawing>
          <wp:inline distT="0" distB="0" distL="114300" distR="114300">
            <wp:extent cx="3818890" cy="523875"/>
            <wp:effectExtent l="0" t="0" r="10160" b="952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55" cstate="print"/>
                    <a:stretch>
                      <a:fillRect/>
                    </a:stretch>
                  </pic:blipFill>
                  <pic:spPr>
                    <a:xfrm>
                      <a:off x="0" y="0"/>
                      <a:ext cx="3818890" cy="52387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color w:val="auto"/>
          <w:sz w:val="24"/>
          <w:szCs w:val="24"/>
        </w:rPr>
        <w:t>式中:T:计算等效声级的时间；</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color w:val="auto"/>
          <w:sz w:val="24"/>
          <w:szCs w:val="24"/>
        </w:rPr>
        <w:t>N:窒外声源个数；</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24"/>
          <w:szCs w:val="24"/>
        </w:rPr>
      </w:pPr>
      <w:r>
        <w:rPr>
          <w:rFonts w:hint="eastAsia"/>
          <w:color w:val="auto"/>
          <w:sz w:val="24"/>
          <w:szCs w:val="24"/>
        </w:rPr>
        <w:t>M:等效窒外声源个数。</w:t>
      </w:r>
    </w:p>
    <w:p>
      <w:pPr>
        <w:pStyle w:val="7"/>
        <w:numPr>
          <w:ilvl w:val="2"/>
          <w:numId w:val="0"/>
        </w:numPr>
        <w:spacing w:before="120" w:beforeLines="0" w:after="120" w:afterLines="0"/>
        <w:rPr>
          <w:rFonts w:hint="eastAsia" w:ascii="Times New Roman" w:hAnsi="Times New Roman" w:cs="Times New Roman"/>
          <w:color w:val="auto"/>
        </w:rPr>
      </w:pPr>
      <w:bookmarkStart w:id="352" w:name="_Toc12913"/>
      <w:r>
        <w:rPr>
          <w:rFonts w:hint="eastAsia" w:cs="Times New Roman"/>
          <w:color w:val="auto"/>
          <w:lang w:val="en-US" w:eastAsia="zh-CN"/>
        </w:rPr>
        <w:t xml:space="preserve">5.4.4 </w:t>
      </w:r>
      <w:r>
        <w:rPr>
          <w:rFonts w:hint="eastAsia" w:ascii="Times New Roman" w:hAnsi="Times New Roman" w:cs="Times New Roman"/>
          <w:color w:val="auto"/>
        </w:rPr>
        <w:t>预测结果</w:t>
      </w:r>
      <w:bookmarkEnd w:id="35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rPr>
      </w:pPr>
      <w:r>
        <w:rPr>
          <w:rFonts w:hint="eastAsia"/>
          <w:color w:val="auto"/>
          <w:sz w:val="24"/>
          <w:szCs w:val="24"/>
        </w:rPr>
        <w:t>使用上述声环境影响预测模式，厂界噪声预测结果见表</w:t>
      </w:r>
      <w:r>
        <w:rPr>
          <w:rFonts w:hint="eastAsia"/>
          <w:color w:val="auto"/>
          <w:sz w:val="24"/>
          <w:szCs w:val="24"/>
          <w:lang w:val="en-US" w:eastAsia="zh-CN"/>
        </w:rPr>
        <w:t>5.4-2</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rPr>
      </w:pPr>
      <w:r>
        <w:rPr>
          <w:rFonts w:hint="eastAsia"/>
          <w:color w:val="auto"/>
          <w:sz w:val="24"/>
          <w:szCs w:val="24"/>
        </w:rPr>
        <w:t>由表可知，项目中主要的噪声设备均位于厂房内，经有效的降噪措施后对厂界的声环境影响贡献值较小，在叠加背景值及本项目贡献值后，现有厂界符合《工业企业厂界环境噪声排放标准》GB12348-2008中3类标准的要求，生产噪声对外环境的影响较小。</w:t>
      </w:r>
    </w:p>
    <w:p>
      <w:pPr>
        <w:jc w:val="center"/>
        <w:rPr>
          <w:color w:val="auto"/>
        </w:rPr>
      </w:pPr>
      <w:r>
        <w:rPr>
          <w:rFonts w:hint="eastAsia"/>
          <w:b/>
          <w:bCs/>
          <w:color w:val="auto"/>
        </w:rPr>
        <w:t xml:space="preserve"> 表 </w:t>
      </w:r>
      <w:r>
        <w:rPr>
          <w:rFonts w:hint="eastAsia"/>
          <w:b/>
          <w:bCs/>
          <w:color w:val="auto"/>
          <w:lang w:val="en-US" w:eastAsia="zh-CN"/>
        </w:rPr>
        <w:t>5.4-2</w:t>
      </w:r>
      <w:r>
        <w:rPr>
          <w:rFonts w:hint="eastAsia"/>
          <w:b/>
          <w:bCs/>
          <w:color w:val="auto"/>
        </w:rPr>
        <w:t xml:space="preserve"> 厂界噪声影响预测结果 单位：dB(A)</w:t>
      </w:r>
    </w:p>
    <w:tbl>
      <w:tblPr>
        <w:tblStyle w:val="4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065"/>
        <w:gridCol w:w="1065"/>
        <w:gridCol w:w="910"/>
        <w:gridCol w:w="1220"/>
        <w:gridCol w:w="1065"/>
        <w:gridCol w:w="1066"/>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Merge w:val="restart"/>
          </w:tcPr>
          <w:p>
            <w:pPr>
              <w:rPr>
                <w:color w:val="auto"/>
              </w:rPr>
            </w:pPr>
            <w:r>
              <w:rPr>
                <w:rFonts w:hint="eastAsia"/>
                <w:color w:val="auto"/>
              </w:rPr>
              <w:t>位置</w:t>
            </w:r>
          </w:p>
        </w:tc>
        <w:tc>
          <w:tcPr>
            <w:tcW w:w="2130" w:type="dxa"/>
            <w:gridSpan w:val="2"/>
          </w:tcPr>
          <w:p>
            <w:pPr>
              <w:jc w:val="center"/>
              <w:rPr>
                <w:color w:val="auto"/>
              </w:rPr>
            </w:pPr>
            <w:r>
              <w:rPr>
                <w:rFonts w:hint="eastAsia"/>
                <w:color w:val="auto"/>
              </w:rPr>
              <w:t>背景值</w:t>
            </w:r>
          </w:p>
        </w:tc>
        <w:tc>
          <w:tcPr>
            <w:tcW w:w="910" w:type="dxa"/>
            <w:vMerge w:val="restart"/>
          </w:tcPr>
          <w:p>
            <w:pPr>
              <w:rPr>
                <w:color w:val="auto"/>
              </w:rPr>
            </w:pPr>
            <w:r>
              <w:rPr>
                <w:rFonts w:hint="eastAsia"/>
                <w:color w:val="auto"/>
              </w:rPr>
              <w:t>影响值</w:t>
            </w:r>
          </w:p>
        </w:tc>
        <w:tc>
          <w:tcPr>
            <w:tcW w:w="2285" w:type="dxa"/>
            <w:gridSpan w:val="2"/>
          </w:tcPr>
          <w:p>
            <w:pPr>
              <w:rPr>
                <w:color w:val="auto"/>
              </w:rPr>
            </w:pPr>
            <w:r>
              <w:rPr>
                <w:rFonts w:hint="eastAsia"/>
                <w:color w:val="auto"/>
              </w:rPr>
              <w:t>GB12348-2008 标准值</w:t>
            </w:r>
          </w:p>
        </w:tc>
        <w:tc>
          <w:tcPr>
            <w:tcW w:w="2132" w:type="dxa"/>
            <w:gridSpan w:val="2"/>
          </w:tcPr>
          <w:p>
            <w:pPr>
              <w:rPr>
                <w:color w:val="auto"/>
              </w:rPr>
            </w:pPr>
            <w:r>
              <w:rPr>
                <w:rFonts w:hint="eastAsia"/>
                <w:color w:val="auto"/>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Merge w:val="continue"/>
          </w:tcPr>
          <w:p>
            <w:pPr>
              <w:rPr>
                <w:color w:val="auto"/>
              </w:rPr>
            </w:pPr>
          </w:p>
        </w:tc>
        <w:tc>
          <w:tcPr>
            <w:tcW w:w="1065" w:type="dxa"/>
          </w:tcPr>
          <w:p>
            <w:pPr>
              <w:rPr>
                <w:color w:val="auto"/>
              </w:rPr>
            </w:pPr>
            <w:r>
              <w:rPr>
                <w:rFonts w:hint="eastAsia"/>
                <w:color w:val="auto"/>
              </w:rPr>
              <w:t>昼间</w:t>
            </w:r>
          </w:p>
        </w:tc>
        <w:tc>
          <w:tcPr>
            <w:tcW w:w="1065" w:type="dxa"/>
          </w:tcPr>
          <w:p>
            <w:pPr>
              <w:rPr>
                <w:color w:val="auto"/>
              </w:rPr>
            </w:pPr>
            <w:r>
              <w:rPr>
                <w:rFonts w:hint="eastAsia"/>
                <w:color w:val="auto"/>
              </w:rPr>
              <w:t xml:space="preserve">夜间 </w:t>
            </w:r>
          </w:p>
        </w:tc>
        <w:tc>
          <w:tcPr>
            <w:tcW w:w="910" w:type="dxa"/>
            <w:vMerge w:val="continue"/>
          </w:tcPr>
          <w:p>
            <w:pPr>
              <w:rPr>
                <w:color w:val="auto"/>
              </w:rPr>
            </w:pPr>
          </w:p>
        </w:tc>
        <w:tc>
          <w:tcPr>
            <w:tcW w:w="1220" w:type="dxa"/>
          </w:tcPr>
          <w:p>
            <w:pPr>
              <w:rPr>
                <w:color w:val="auto"/>
              </w:rPr>
            </w:pPr>
            <w:r>
              <w:rPr>
                <w:rFonts w:hint="eastAsia"/>
                <w:color w:val="auto"/>
              </w:rPr>
              <w:t>昼</w:t>
            </w:r>
          </w:p>
        </w:tc>
        <w:tc>
          <w:tcPr>
            <w:tcW w:w="1065" w:type="dxa"/>
          </w:tcPr>
          <w:p>
            <w:pPr>
              <w:rPr>
                <w:color w:val="auto"/>
              </w:rPr>
            </w:pPr>
            <w:r>
              <w:rPr>
                <w:rFonts w:hint="eastAsia"/>
                <w:color w:val="auto"/>
              </w:rPr>
              <w:t>夜</w:t>
            </w:r>
          </w:p>
        </w:tc>
        <w:tc>
          <w:tcPr>
            <w:tcW w:w="1066" w:type="dxa"/>
          </w:tcPr>
          <w:p>
            <w:pPr>
              <w:rPr>
                <w:color w:val="auto"/>
              </w:rPr>
            </w:pPr>
            <w:r>
              <w:rPr>
                <w:rFonts w:hint="eastAsia"/>
                <w:color w:val="auto"/>
              </w:rPr>
              <w:t>昼</w:t>
            </w:r>
          </w:p>
        </w:tc>
        <w:tc>
          <w:tcPr>
            <w:tcW w:w="1066" w:type="dxa"/>
          </w:tcPr>
          <w:p>
            <w:pPr>
              <w:rPr>
                <w:color w:val="auto"/>
              </w:rPr>
            </w:pPr>
            <w:r>
              <w:rPr>
                <w:rFonts w:hint="eastAsia"/>
                <w:color w:val="auto"/>
              </w:rPr>
              <w:t>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Align w:val="center"/>
          </w:tcPr>
          <w:p>
            <w:pPr>
              <w:jc w:val="center"/>
              <w:rPr>
                <w:color w:val="auto"/>
              </w:rPr>
            </w:pPr>
            <w:r>
              <w:rPr>
                <w:rFonts w:hint="eastAsia"/>
                <w:color w:val="auto"/>
              </w:rPr>
              <w:t>东厂界</w:t>
            </w:r>
          </w:p>
        </w:tc>
        <w:tc>
          <w:tcPr>
            <w:tcW w:w="1065" w:type="dxa"/>
            <w:vAlign w:val="center"/>
          </w:tcPr>
          <w:p>
            <w:pPr>
              <w:jc w:val="center"/>
              <w:rPr>
                <w:color w:val="auto"/>
              </w:rPr>
            </w:pPr>
            <w:r>
              <w:rPr>
                <w:rFonts w:hint="eastAsia"/>
                <w:color w:val="auto"/>
              </w:rPr>
              <w:t>61.3</w:t>
            </w:r>
          </w:p>
        </w:tc>
        <w:tc>
          <w:tcPr>
            <w:tcW w:w="1065" w:type="dxa"/>
            <w:vAlign w:val="center"/>
          </w:tcPr>
          <w:p>
            <w:pPr>
              <w:jc w:val="center"/>
              <w:rPr>
                <w:color w:val="auto"/>
              </w:rPr>
            </w:pPr>
            <w:r>
              <w:rPr>
                <w:rFonts w:hint="eastAsia"/>
                <w:color w:val="auto"/>
              </w:rPr>
              <w:t>53.3</w:t>
            </w:r>
          </w:p>
        </w:tc>
        <w:tc>
          <w:tcPr>
            <w:tcW w:w="910" w:type="dxa"/>
            <w:vAlign w:val="center"/>
          </w:tcPr>
          <w:p>
            <w:pPr>
              <w:jc w:val="center"/>
              <w:rPr>
                <w:color w:val="auto"/>
              </w:rPr>
            </w:pPr>
            <w:r>
              <w:rPr>
                <w:rFonts w:hint="eastAsia"/>
                <w:color w:val="auto"/>
              </w:rPr>
              <w:t>10.5</w:t>
            </w:r>
          </w:p>
        </w:tc>
        <w:tc>
          <w:tcPr>
            <w:tcW w:w="1220" w:type="dxa"/>
            <w:vAlign w:val="center"/>
          </w:tcPr>
          <w:p>
            <w:pPr>
              <w:jc w:val="center"/>
              <w:rPr>
                <w:color w:val="auto"/>
              </w:rPr>
            </w:pPr>
            <w:r>
              <w:rPr>
                <w:rFonts w:hint="eastAsia"/>
                <w:color w:val="auto"/>
              </w:rPr>
              <w:t>65</w:t>
            </w:r>
          </w:p>
        </w:tc>
        <w:tc>
          <w:tcPr>
            <w:tcW w:w="1065" w:type="dxa"/>
            <w:vAlign w:val="center"/>
          </w:tcPr>
          <w:p>
            <w:pPr>
              <w:jc w:val="center"/>
              <w:rPr>
                <w:color w:val="auto"/>
              </w:rPr>
            </w:pPr>
            <w:r>
              <w:rPr>
                <w:rFonts w:hint="eastAsia"/>
                <w:color w:val="auto"/>
              </w:rPr>
              <w:t>55</w:t>
            </w:r>
          </w:p>
        </w:tc>
        <w:tc>
          <w:tcPr>
            <w:tcW w:w="1066" w:type="dxa"/>
            <w:vAlign w:val="center"/>
          </w:tcPr>
          <w:p>
            <w:pPr>
              <w:jc w:val="center"/>
              <w:rPr>
                <w:color w:val="auto"/>
              </w:rPr>
            </w:pPr>
            <w:r>
              <w:rPr>
                <w:rFonts w:hint="eastAsia"/>
                <w:color w:val="auto"/>
              </w:rPr>
              <w:t>达标</w:t>
            </w:r>
          </w:p>
        </w:tc>
        <w:tc>
          <w:tcPr>
            <w:tcW w:w="1066" w:type="dxa"/>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Align w:val="center"/>
          </w:tcPr>
          <w:p>
            <w:pPr>
              <w:jc w:val="center"/>
              <w:rPr>
                <w:color w:val="auto"/>
              </w:rPr>
            </w:pPr>
            <w:r>
              <w:rPr>
                <w:rFonts w:hint="eastAsia"/>
                <w:color w:val="auto"/>
              </w:rPr>
              <w:t>南厂界</w:t>
            </w:r>
          </w:p>
        </w:tc>
        <w:tc>
          <w:tcPr>
            <w:tcW w:w="1065" w:type="dxa"/>
            <w:vAlign w:val="center"/>
          </w:tcPr>
          <w:p>
            <w:pPr>
              <w:jc w:val="center"/>
              <w:rPr>
                <w:color w:val="auto"/>
              </w:rPr>
            </w:pPr>
            <w:r>
              <w:rPr>
                <w:rFonts w:hint="eastAsia"/>
                <w:color w:val="auto"/>
              </w:rPr>
              <w:t>63.8</w:t>
            </w:r>
          </w:p>
        </w:tc>
        <w:tc>
          <w:tcPr>
            <w:tcW w:w="1065" w:type="dxa"/>
            <w:vAlign w:val="center"/>
          </w:tcPr>
          <w:p>
            <w:pPr>
              <w:jc w:val="center"/>
              <w:rPr>
                <w:color w:val="auto"/>
              </w:rPr>
            </w:pPr>
            <w:r>
              <w:rPr>
                <w:rFonts w:hint="eastAsia"/>
                <w:color w:val="auto"/>
              </w:rPr>
              <w:t>52.0</w:t>
            </w:r>
          </w:p>
        </w:tc>
        <w:tc>
          <w:tcPr>
            <w:tcW w:w="910" w:type="dxa"/>
            <w:vAlign w:val="center"/>
          </w:tcPr>
          <w:p>
            <w:pPr>
              <w:jc w:val="center"/>
              <w:rPr>
                <w:color w:val="auto"/>
              </w:rPr>
            </w:pPr>
            <w:r>
              <w:rPr>
                <w:rFonts w:hint="eastAsia"/>
                <w:color w:val="auto"/>
              </w:rPr>
              <w:t>10.5</w:t>
            </w:r>
          </w:p>
        </w:tc>
        <w:tc>
          <w:tcPr>
            <w:tcW w:w="1220" w:type="dxa"/>
            <w:vAlign w:val="center"/>
          </w:tcPr>
          <w:p>
            <w:pPr>
              <w:jc w:val="center"/>
              <w:rPr>
                <w:color w:val="auto"/>
              </w:rPr>
            </w:pPr>
            <w:r>
              <w:rPr>
                <w:rFonts w:hint="eastAsia"/>
                <w:color w:val="auto"/>
              </w:rPr>
              <w:t>65</w:t>
            </w:r>
          </w:p>
        </w:tc>
        <w:tc>
          <w:tcPr>
            <w:tcW w:w="1065" w:type="dxa"/>
            <w:vAlign w:val="center"/>
          </w:tcPr>
          <w:p>
            <w:pPr>
              <w:jc w:val="center"/>
              <w:rPr>
                <w:color w:val="auto"/>
              </w:rPr>
            </w:pPr>
            <w:r>
              <w:rPr>
                <w:rFonts w:hint="eastAsia"/>
                <w:color w:val="auto"/>
              </w:rPr>
              <w:t>55</w:t>
            </w:r>
          </w:p>
        </w:tc>
        <w:tc>
          <w:tcPr>
            <w:tcW w:w="1066" w:type="dxa"/>
            <w:vAlign w:val="center"/>
          </w:tcPr>
          <w:p>
            <w:pPr>
              <w:jc w:val="center"/>
              <w:rPr>
                <w:color w:val="auto"/>
              </w:rPr>
            </w:pPr>
            <w:r>
              <w:rPr>
                <w:rFonts w:hint="eastAsia"/>
                <w:color w:val="auto"/>
              </w:rPr>
              <w:t>达标</w:t>
            </w:r>
          </w:p>
        </w:tc>
        <w:tc>
          <w:tcPr>
            <w:tcW w:w="1066" w:type="dxa"/>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Align w:val="center"/>
          </w:tcPr>
          <w:p>
            <w:pPr>
              <w:jc w:val="center"/>
              <w:rPr>
                <w:color w:val="auto"/>
              </w:rPr>
            </w:pPr>
            <w:r>
              <w:rPr>
                <w:rFonts w:hint="eastAsia"/>
                <w:color w:val="auto"/>
              </w:rPr>
              <w:t>西厂界</w:t>
            </w:r>
          </w:p>
        </w:tc>
        <w:tc>
          <w:tcPr>
            <w:tcW w:w="1065" w:type="dxa"/>
            <w:vAlign w:val="center"/>
          </w:tcPr>
          <w:p>
            <w:pPr>
              <w:jc w:val="center"/>
              <w:rPr>
                <w:color w:val="auto"/>
              </w:rPr>
            </w:pPr>
            <w:r>
              <w:rPr>
                <w:rFonts w:hint="eastAsia"/>
                <w:color w:val="auto"/>
              </w:rPr>
              <w:t>54.6</w:t>
            </w:r>
          </w:p>
        </w:tc>
        <w:tc>
          <w:tcPr>
            <w:tcW w:w="1065" w:type="dxa"/>
            <w:vAlign w:val="center"/>
          </w:tcPr>
          <w:p>
            <w:pPr>
              <w:jc w:val="center"/>
              <w:rPr>
                <w:color w:val="auto"/>
              </w:rPr>
            </w:pPr>
            <w:r>
              <w:rPr>
                <w:rFonts w:hint="eastAsia"/>
                <w:color w:val="auto"/>
              </w:rPr>
              <w:t>47.8</w:t>
            </w:r>
          </w:p>
        </w:tc>
        <w:tc>
          <w:tcPr>
            <w:tcW w:w="910" w:type="dxa"/>
            <w:vAlign w:val="center"/>
          </w:tcPr>
          <w:p>
            <w:pPr>
              <w:jc w:val="center"/>
              <w:rPr>
                <w:rFonts w:hint="default" w:eastAsia="宋体"/>
                <w:color w:val="auto"/>
                <w:lang w:val="en-US" w:eastAsia="zh-CN"/>
              </w:rPr>
            </w:pPr>
            <w:r>
              <w:rPr>
                <w:rFonts w:hint="eastAsia"/>
                <w:color w:val="auto"/>
                <w:lang w:val="en-US" w:eastAsia="zh-CN"/>
              </w:rPr>
              <w:t>9.5</w:t>
            </w:r>
          </w:p>
        </w:tc>
        <w:tc>
          <w:tcPr>
            <w:tcW w:w="1220" w:type="dxa"/>
            <w:vAlign w:val="center"/>
          </w:tcPr>
          <w:p>
            <w:pPr>
              <w:jc w:val="center"/>
              <w:rPr>
                <w:color w:val="auto"/>
              </w:rPr>
            </w:pPr>
            <w:r>
              <w:rPr>
                <w:rFonts w:hint="eastAsia"/>
                <w:color w:val="auto"/>
              </w:rPr>
              <w:t>65</w:t>
            </w:r>
          </w:p>
        </w:tc>
        <w:tc>
          <w:tcPr>
            <w:tcW w:w="1065" w:type="dxa"/>
            <w:vAlign w:val="center"/>
          </w:tcPr>
          <w:p>
            <w:pPr>
              <w:jc w:val="center"/>
              <w:rPr>
                <w:color w:val="auto"/>
              </w:rPr>
            </w:pPr>
            <w:r>
              <w:rPr>
                <w:rFonts w:hint="eastAsia"/>
                <w:color w:val="auto"/>
              </w:rPr>
              <w:t>55</w:t>
            </w:r>
          </w:p>
        </w:tc>
        <w:tc>
          <w:tcPr>
            <w:tcW w:w="1066" w:type="dxa"/>
            <w:vAlign w:val="center"/>
          </w:tcPr>
          <w:p>
            <w:pPr>
              <w:jc w:val="center"/>
              <w:rPr>
                <w:color w:val="auto"/>
              </w:rPr>
            </w:pPr>
            <w:r>
              <w:rPr>
                <w:rFonts w:hint="eastAsia"/>
                <w:color w:val="auto"/>
              </w:rPr>
              <w:t>达标</w:t>
            </w:r>
          </w:p>
        </w:tc>
        <w:tc>
          <w:tcPr>
            <w:tcW w:w="1066" w:type="dxa"/>
            <w:vAlign w:val="center"/>
          </w:tcPr>
          <w:p>
            <w:pPr>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65" w:type="dxa"/>
            <w:vAlign w:val="center"/>
          </w:tcPr>
          <w:p>
            <w:pPr>
              <w:jc w:val="center"/>
              <w:rPr>
                <w:color w:val="auto"/>
              </w:rPr>
            </w:pPr>
            <w:r>
              <w:rPr>
                <w:rFonts w:hint="eastAsia"/>
                <w:color w:val="auto"/>
              </w:rPr>
              <w:t>北厂界</w:t>
            </w:r>
          </w:p>
        </w:tc>
        <w:tc>
          <w:tcPr>
            <w:tcW w:w="1065" w:type="dxa"/>
            <w:vAlign w:val="center"/>
          </w:tcPr>
          <w:p>
            <w:pPr>
              <w:jc w:val="center"/>
              <w:rPr>
                <w:color w:val="auto"/>
              </w:rPr>
            </w:pPr>
            <w:r>
              <w:rPr>
                <w:rFonts w:hint="eastAsia"/>
                <w:color w:val="auto"/>
              </w:rPr>
              <w:t>63.6</w:t>
            </w:r>
          </w:p>
        </w:tc>
        <w:tc>
          <w:tcPr>
            <w:tcW w:w="1065" w:type="dxa"/>
            <w:vAlign w:val="center"/>
          </w:tcPr>
          <w:p>
            <w:pPr>
              <w:jc w:val="center"/>
              <w:rPr>
                <w:color w:val="auto"/>
              </w:rPr>
            </w:pPr>
            <w:r>
              <w:rPr>
                <w:rFonts w:hint="eastAsia"/>
                <w:color w:val="auto"/>
              </w:rPr>
              <w:t>52.6</w:t>
            </w:r>
          </w:p>
        </w:tc>
        <w:tc>
          <w:tcPr>
            <w:tcW w:w="910" w:type="dxa"/>
            <w:vAlign w:val="center"/>
          </w:tcPr>
          <w:p>
            <w:pPr>
              <w:jc w:val="center"/>
              <w:rPr>
                <w:color w:val="auto"/>
              </w:rPr>
            </w:pPr>
            <w:r>
              <w:rPr>
                <w:rFonts w:hint="eastAsia"/>
                <w:color w:val="auto"/>
                <w:lang w:val="en-US" w:eastAsia="zh-CN"/>
              </w:rPr>
              <w:t>1</w:t>
            </w:r>
            <w:r>
              <w:rPr>
                <w:rFonts w:hint="eastAsia"/>
                <w:color w:val="auto"/>
              </w:rPr>
              <w:t>8</w:t>
            </w:r>
          </w:p>
        </w:tc>
        <w:tc>
          <w:tcPr>
            <w:tcW w:w="1220" w:type="dxa"/>
            <w:vAlign w:val="center"/>
          </w:tcPr>
          <w:p>
            <w:pPr>
              <w:jc w:val="center"/>
              <w:rPr>
                <w:color w:val="auto"/>
              </w:rPr>
            </w:pPr>
            <w:r>
              <w:rPr>
                <w:rFonts w:hint="eastAsia"/>
                <w:color w:val="auto"/>
              </w:rPr>
              <w:t>65</w:t>
            </w:r>
          </w:p>
        </w:tc>
        <w:tc>
          <w:tcPr>
            <w:tcW w:w="1065" w:type="dxa"/>
            <w:vAlign w:val="center"/>
          </w:tcPr>
          <w:p>
            <w:pPr>
              <w:jc w:val="center"/>
              <w:rPr>
                <w:color w:val="auto"/>
              </w:rPr>
            </w:pPr>
            <w:r>
              <w:rPr>
                <w:rFonts w:hint="eastAsia"/>
                <w:color w:val="auto"/>
              </w:rPr>
              <w:t>55</w:t>
            </w:r>
          </w:p>
        </w:tc>
        <w:tc>
          <w:tcPr>
            <w:tcW w:w="1066" w:type="dxa"/>
            <w:vAlign w:val="center"/>
          </w:tcPr>
          <w:p>
            <w:pPr>
              <w:jc w:val="center"/>
              <w:rPr>
                <w:color w:val="auto"/>
              </w:rPr>
            </w:pPr>
            <w:r>
              <w:rPr>
                <w:rFonts w:hint="eastAsia"/>
                <w:color w:val="auto"/>
              </w:rPr>
              <w:t>达标</w:t>
            </w:r>
          </w:p>
        </w:tc>
        <w:tc>
          <w:tcPr>
            <w:tcW w:w="1066" w:type="dxa"/>
            <w:vAlign w:val="center"/>
          </w:tcPr>
          <w:p>
            <w:pPr>
              <w:jc w:val="center"/>
              <w:rPr>
                <w:color w:val="auto"/>
              </w:rPr>
            </w:pPr>
            <w:r>
              <w:rPr>
                <w:rFonts w:hint="eastAsia"/>
                <w:color w:val="auto"/>
              </w:rPr>
              <w:t>达标</w:t>
            </w:r>
          </w:p>
        </w:tc>
      </w:tr>
    </w:tbl>
    <w:p>
      <w:pPr>
        <w:pStyle w:val="5"/>
        <w:ind w:firstLine="480"/>
        <w:rPr>
          <w:color w:val="auto"/>
          <w:u w:val="single"/>
        </w:rPr>
      </w:pPr>
    </w:p>
    <w:p>
      <w:pPr>
        <w:spacing w:line="360" w:lineRule="auto"/>
        <w:ind w:firstLine="480" w:firstLineChars="200"/>
        <w:rPr>
          <w:rFonts w:ascii="Times New Roman" w:hAnsi="Times New Roman" w:cs="Times New Roman"/>
          <w:color w:val="auto"/>
          <w:sz w:val="24"/>
          <w:szCs w:val="24"/>
          <w:u w:val="none"/>
        </w:rPr>
      </w:pPr>
      <w:r>
        <w:rPr>
          <w:rFonts w:ascii="Times New Roman" w:hAnsi="Times New Roman" w:cs="Times New Roman"/>
          <w:color w:val="auto"/>
          <w:sz w:val="24"/>
          <w:szCs w:val="24"/>
          <w:u w:val="none"/>
        </w:rPr>
        <w:t>从</w:t>
      </w:r>
      <w:r>
        <w:rPr>
          <w:rFonts w:hint="eastAsia" w:ascii="Times New Roman" w:hAnsi="Times New Roman" w:cs="Times New Roman"/>
          <w:color w:val="auto"/>
          <w:sz w:val="24"/>
          <w:szCs w:val="24"/>
          <w:u w:val="none"/>
        </w:rPr>
        <w:t>上</w:t>
      </w:r>
      <w:r>
        <w:rPr>
          <w:rFonts w:ascii="Times New Roman" w:hAnsi="Times New Roman" w:cs="Times New Roman"/>
          <w:color w:val="auto"/>
          <w:sz w:val="24"/>
          <w:szCs w:val="24"/>
          <w:u w:val="none"/>
        </w:rPr>
        <w:t>表的预测结果可以看出</w:t>
      </w:r>
      <w:r>
        <w:rPr>
          <w:rFonts w:hint="eastAsia" w:ascii="Times New Roman" w:hAnsi="Times New Roman" w:cs="Times New Roman"/>
          <w:color w:val="auto"/>
          <w:sz w:val="24"/>
          <w:szCs w:val="24"/>
          <w:u w:val="none"/>
        </w:rPr>
        <w:t>，</w:t>
      </w:r>
      <w:r>
        <w:rPr>
          <w:rFonts w:hint="eastAsia" w:ascii="Times New Roman" w:hAnsi="Times New Roman" w:cs="Times New Roman"/>
          <w:color w:val="auto"/>
          <w:sz w:val="24"/>
          <w:szCs w:val="24"/>
          <w:u w:val="none"/>
          <w:lang w:eastAsia="zh-CN"/>
        </w:rPr>
        <w:t>本项目</w:t>
      </w:r>
      <w:r>
        <w:rPr>
          <w:rFonts w:ascii="Times New Roman" w:hAnsi="Times New Roman" w:cs="Times New Roman"/>
          <w:color w:val="auto"/>
          <w:sz w:val="24"/>
          <w:szCs w:val="24"/>
          <w:u w:val="none"/>
        </w:rPr>
        <w:t>采取有效的噪声防治措施，厂界噪声贡献值</w:t>
      </w:r>
      <w:r>
        <w:rPr>
          <w:rFonts w:hint="eastAsia" w:ascii="Times New Roman" w:hAnsi="Times New Roman" w:cs="Times New Roman"/>
          <w:color w:val="auto"/>
          <w:sz w:val="24"/>
          <w:szCs w:val="24"/>
          <w:u w:val="none"/>
        </w:rPr>
        <w:t>不大，与环境现状噪声叠加后，厂界噪声可以</w:t>
      </w:r>
      <w:r>
        <w:rPr>
          <w:rFonts w:ascii="Times New Roman" w:hAnsi="Times New Roman" w:cs="Times New Roman"/>
          <w:color w:val="auto"/>
          <w:sz w:val="24"/>
          <w:szCs w:val="24"/>
          <w:u w:val="none"/>
        </w:rPr>
        <w:t>满足GB12348-2008《工业企业厂界环境噪声排放标准》中3类标准的限值要求</w:t>
      </w:r>
      <w:r>
        <w:rPr>
          <w:rFonts w:hint="eastAsia" w:ascii="Times New Roman" w:hAnsi="Times New Roman" w:cs="Times New Roman"/>
          <w:color w:val="auto"/>
          <w:sz w:val="24"/>
          <w:szCs w:val="24"/>
          <w:u w:val="none"/>
        </w:rPr>
        <w:t>。同时，项目周边人居等环境敏感点在项目地厂界</w:t>
      </w:r>
      <w:r>
        <w:rPr>
          <w:rFonts w:hint="eastAsia" w:ascii="Times New Roman" w:hAnsi="Times New Roman" w:cs="Times New Roman"/>
          <w:color w:val="auto"/>
          <w:sz w:val="24"/>
          <w:szCs w:val="24"/>
          <w:u w:val="none"/>
          <w:lang w:val="en-US" w:eastAsia="zh-CN"/>
        </w:rPr>
        <w:t>8</w:t>
      </w:r>
      <w:r>
        <w:rPr>
          <w:rFonts w:hint="eastAsia" w:ascii="Times New Roman" w:hAnsi="Times New Roman" w:cs="Times New Roman"/>
          <w:color w:val="auto"/>
          <w:sz w:val="24"/>
          <w:szCs w:val="24"/>
          <w:u w:val="none"/>
        </w:rPr>
        <w:t>00米以外，</w:t>
      </w:r>
      <w:r>
        <w:rPr>
          <w:rFonts w:ascii="Times New Roman" w:hAnsi="Times New Roman" w:cs="Times New Roman"/>
          <w:color w:val="auto"/>
          <w:sz w:val="24"/>
          <w:szCs w:val="24"/>
          <w:u w:val="none"/>
        </w:rPr>
        <w:t>不会对周围</w:t>
      </w:r>
      <w:r>
        <w:rPr>
          <w:rFonts w:hint="eastAsia" w:ascii="Times New Roman" w:hAnsi="Times New Roman" w:cs="Times New Roman"/>
          <w:color w:val="auto"/>
          <w:sz w:val="24"/>
          <w:szCs w:val="24"/>
          <w:u w:val="none"/>
        </w:rPr>
        <w:t>声</w:t>
      </w:r>
      <w:r>
        <w:rPr>
          <w:rFonts w:ascii="Times New Roman" w:hAnsi="Times New Roman" w:cs="Times New Roman"/>
          <w:color w:val="auto"/>
          <w:sz w:val="24"/>
          <w:szCs w:val="24"/>
          <w:u w:val="none"/>
        </w:rPr>
        <w:t>环境</w:t>
      </w:r>
      <w:r>
        <w:rPr>
          <w:rFonts w:hint="eastAsia" w:ascii="Times New Roman" w:hAnsi="Times New Roman" w:cs="Times New Roman"/>
          <w:color w:val="auto"/>
          <w:sz w:val="24"/>
          <w:szCs w:val="24"/>
          <w:u w:val="none"/>
        </w:rPr>
        <w:t>和声环境敏感点产生大的</w:t>
      </w:r>
      <w:r>
        <w:rPr>
          <w:rFonts w:ascii="Times New Roman" w:hAnsi="Times New Roman" w:cs="Times New Roman"/>
          <w:color w:val="auto"/>
          <w:sz w:val="24"/>
          <w:szCs w:val="24"/>
          <w:u w:val="none"/>
        </w:rPr>
        <w:t>影响。</w:t>
      </w:r>
    </w:p>
    <w:p>
      <w:pPr>
        <w:pStyle w:val="6"/>
        <w:numPr>
          <w:ilvl w:val="1"/>
          <w:numId w:val="0"/>
        </w:numPr>
        <w:spacing w:before="120" w:beforeLines="0" w:after="120" w:afterLines="0"/>
        <w:ind w:leftChars="0"/>
        <w:rPr>
          <w:color w:val="auto"/>
        </w:rPr>
      </w:pPr>
      <w:bookmarkStart w:id="353" w:name="_Toc1564"/>
      <w:bookmarkStart w:id="354" w:name="_Toc31497"/>
      <w:bookmarkStart w:id="355" w:name="_Toc11805"/>
      <w:bookmarkStart w:id="356" w:name="_Toc32489"/>
      <w:bookmarkStart w:id="357" w:name="_Toc219258549"/>
      <w:bookmarkStart w:id="358" w:name="_Toc220122834"/>
      <w:bookmarkStart w:id="359" w:name="_Toc306034557"/>
      <w:bookmarkStart w:id="360" w:name="_Toc280188855"/>
      <w:bookmarkStart w:id="361" w:name="_Toc280188856"/>
      <w:r>
        <w:rPr>
          <w:rFonts w:hint="eastAsia"/>
          <w:color w:val="auto"/>
          <w:lang w:val="en-US" w:eastAsia="zh-CN"/>
        </w:rPr>
        <w:t xml:space="preserve">5.5 </w:t>
      </w:r>
      <w:r>
        <w:rPr>
          <w:color w:val="auto"/>
        </w:rPr>
        <w:t>固体废物环境影响分析</w:t>
      </w:r>
      <w:bookmarkEnd w:id="353"/>
      <w:bookmarkEnd w:id="354"/>
      <w:bookmarkEnd w:id="355"/>
      <w:bookmarkEnd w:id="356"/>
      <w:bookmarkEnd w:id="357"/>
      <w:bookmarkEnd w:id="358"/>
      <w:bookmarkEnd w:id="359"/>
      <w:bookmarkEnd w:id="360"/>
    </w:p>
    <w:p>
      <w:pPr>
        <w:pStyle w:val="5"/>
        <w:ind w:firstLine="480"/>
        <w:rPr>
          <w:color w:val="auto"/>
        </w:rPr>
      </w:pPr>
      <w:r>
        <w:rPr>
          <w:rFonts w:hint="eastAsia"/>
          <w:color w:val="auto"/>
        </w:rPr>
        <w:t>本项目建成</w:t>
      </w:r>
      <w:r>
        <w:rPr>
          <w:color w:val="auto"/>
        </w:rPr>
        <w:t>建</w:t>
      </w:r>
      <w:r>
        <w:rPr>
          <w:rFonts w:hint="eastAsia"/>
          <w:color w:val="auto"/>
        </w:rPr>
        <w:t>投产</w:t>
      </w:r>
      <w:r>
        <w:rPr>
          <w:color w:val="auto"/>
        </w:rPr>
        <w:t>后，固体废弃物主要为</w:t>
      </w:r>
      <w:r>
        <w:rPr>
          <w:rFonts w:hint="eastAsia"/>
          <w:color w:val="auto"/>
          <w:lang w:eastAsia="zh-CN"/>
        </w:rPr>
        <w:t>弃润滑油</w:t>
      </w:r>
      <w:r>
        <w:rPr>
          <w:rFonts w:hint="eastAsia"/>
          <w:color w:val="auto"/>
        </w:rPr>
        <w:t>产生量为0.</w:t>
      </w:r>
      <w:r>
        <w:rPr>
          <w:rFonts w:hint="eastAsia"/>
          <w:color w:val="auto"/>
          <w:lang w:val="en-US" w:eastAsia="zh-CN"/>
        </w:rPr>
        <w:t>006</w:t>
      </w:r>
      <w:r>
        <w:rPr>
          <w:rFonts w:hint="eastAsia"/>
          <w:color w:val="auto"/>
        </w:rPr>
        <w:t>t/a。根据《国家危险废物名录》（2016年）及《固体废物鉴别标准 通则》（GB34330-2017）鉴别，</w:t>
      </w:r>
      <w:r>
        <w:rPr>
          <w:rFonts w:hint="eastAsia"/>
          <w:color w:val="auto"/>
          <w:lang w:eastAsia="zh-CN"/>
        </w:rPr>
        <w:t>废润滑油</w:t>
      </w:r>
      <w:r>
        <w:rPr>
          <w:rFonts w:hint="eastAsia"/>
          <w:color w:val="auto"/>
        </w:rPr>
        <w:t>为危险废物</w:t>
      </w:r>
      <w:r>
        <w:rPr>
          <w:rFonts w:hint="eastAsia"/>
          <w:color w:val="auto"/>
          <w:lang w:eastAsia="zh-CN"/>
        </w:rPr>
        <w:t>，属于</w:t>
      </w:r>
      <w:r>
        <w:rPr>
          <w:rFonts w:hint="eastAsia"/>
          <w:color w:val="auto"/>
          <w:lang w:val="en-US" w:eastAsia="zh-CN"/>
        </w:rPr>
        <w:t>HW08废矿物油或含废矿物油废物，废物代码900-217-08，</w:t>
      </w:r>
      <w:r>
        <w:rPr>
          <w:rFonts w:hint="eastAsia"/>
          <w:color w:val="auto"/>
        </w:rPr>
        <w:t>主要危险性为</w:t>
      </w:r>
      <w:r>
        <w:rPr>
          <w:rFonts w:hint="eastAsia"/>
          <w:color w:val="auto"/>
          <w:lang w:eastAsia="zh-CN"/>
        </w:rPr>
        <w:t>毒性和易燃</w:t>
      </w:r>
      <w:r>
        <w:rPr>
          <w:rFonts w:hint="eastAsia"/>
          <w:color w:val="auto"/>
        </w:rPr>
        <w:t>性。如果不对</w:t>
      </w:r>
      <w:r>
        <w:rPr>
          <w:rFonts w:hint="eastAsia"/>
          <w:color w:val="auto"/>
          <w:lang w:eastAsia="zh-CN"/>
        </w:rPr>
        <w:t>该</w:t>
      </w:r>
      <w:r>
        <w:rPr>
          <w:rFonts w:hint="eastAsia"/>
          <w:color w:val="auto"/>
        </w:rPr>
        <w:t>废物进行安全暂存和处置，可能产生对环境的较大危害，极易导致</w:t>
      </w:r>
      <w:r>
        <w:rPr>
          <w:rFonts w:hint="eastAsia"/>
          <w:color w:val="auto"/>
          <w:lang w:eastAsia="zh-CN"/>
        </w:rPr>
        <w:t>火灾及</w:t>
      </w:r>
      <w:r>
        <w:rPr>
          <w:rFonts w:hint="eastAsia"/>
          <w:color w:val="auto"/>
        </w:rPr>
        <w:t>环境污染事</w:t>
      </w:r>
      <w:r>
        <w:rPr>
          <w:rFonts w:hint="eastAsia"/>
          <w:color w:val="auto"/>
          <w:lang w:eastAsia="zh-CN"/>
        </w:rPr>
        <w:t>件</w:t>
      </w:r>
      <w:r>
        <w:rPr>
          <w:rFonts w:hint="eastAsia"/>
          <w:color w:val="auto"/>
        </w:rPr>
        <w:t>。在生产运营中，建设单位须重视和加强危险废物的管理和处置工作，防范污染事情的发生。</w:t>
      </w:r>
    </w:p>
    <w:p>
      <w:pPr>
        <w:pStyle w:val="5"/>
        <w:ind w:firstLine="480"/>
        <w:rPr>
          <w:color w:val="auto"/>
          <w:szCs w:val="24"/>
        </w:rPr>
      </w:pPr>
      <w:r>
        <w:rPr>
          <w:rFonts w:hint="eastAsia"/>
          <w:color w:val="auto"/>
        </w:rPr>
        <w:t>对于实验室废物，首先要做好减少其产生的工作，</w:t>
      </w:r>
      <w:r>
        <w:rPr>
          <w:rFonts w:hint="eastAsia"/>
          <w:color w:val="auto"/>
          <w:lang w:eastAsia="zh-CN"/>
        </w:rPr>
        <w:t>如采用好的密封材料，不带病超温运行</w:t>
      </w:r>
      <w:r>
        <w:rPr>
          <w:rFonts w:hint="eastAsia"/>
          <w:color w:val="auto"/>
        </w:rPr>
        <w:t>等等；其次，要做好废物的安全存放暂存，要做好分类存放，要有专门的库房或场地进行存放，不同种类或不相容的废物不得存放在一起。最后，危险废物存放库房设施要设置防泄漏防渗措施，要有专门的各种醒目的警示标志等，严格按</w:t>
      </w:r>
      <w:r>
        <w:rPr>
          <w:color w:val="auto"/>
        </w:rPr>
        <w:t>《危险废物贮存污染控制标准》（GB18597-2001）</w:t>
      </w:r>
      <w:r>
        <w:rPr>
          <w:rFonts w:hint="eastAsia"/>
          <w:color w:val="auto"/>
          <w:szCs w:val="24"/>
        </w:rPr>
        <w:t>及2013年修改单建设</w:t>
      </w:r>
      <w:r>
        <w:rPr>
          <w:color w:val="auto"/>
        </w:rPr>
        <w:t>。</w:t>
      </w:r>
      <w:r>
        <w:rPr>
          <w:rFonts w:hint="eastAsia"/>
          <w:color w:val="auto"/>
        </w:rPr>
        <w:t>由于本项目废物量较小，建议建设单位委托有资质的单位定期收集并进行安全处置。严格禁止将危险废物排放入废水处理系统处理或混入其它垃圾中处理。</w:t>
      </w:r>
    </w:p>
    <w:p>
      <w:pPr>
        <w:pStyle w:val="5"/>
        <w:ind w:firstLine="480"/>
        <w:rPr>
          <w:bCs/>
          <w:color w:val="auto"/>
        </w:rPr>
      </w:pPr>
      <w:r>
        <w:rPr>
          <w:rFonts w:hint="eastAsia"/>
          <w:color w:val="auto"/>
          <w:szCs w:val="24"/>
        </w:rPr>
        <w:t>建设单位在认真落实以上措施后，可较好地防范</w:t>
      </w:r>
      <w:r>
        <w:rPr>
          <w:bCs/>
          <w:color w:val="auto"/>
        </w:rPr>
        <w:t>本项目产生的固体废物</w:t>
      </w:r>
      <w:r>
        <w:rPr>
          <w:rFonts w:hint="eastAsia"/>
          <w:bCs/>
          <w:color w:val="auto"/>
        </w:rPr>
        <w:t>对区域和周边环境的污染，符合危险废物安全处置基本要求</w:t>
      </w:r>
      <w:r>
        <w:rPr>
          <w:bCs/>
          <w:color w:val="auto"/>
        </w:rPr>
        <w:t>，</w:t>
      </w:r>
      <w:r>
        <w:rPr>
          <w:rFonts w:hint="eastAsia"/>
          <w:bCs/>
          <w:color w:val="auto"/>
        </w:rPr>
        <w:t>不会对周围环境产生大的不利影响</w:t>
      </w:r>
      <w:r>
        <w:rPr>
          <w:bCs/>
          <w:color w:val="auto"/>
        </w:rPr>
        <w:t>。</w:t>
      </w:r>
    </w:p>
    <w:p>
      <w:pPr>
        <w:pStyle w:val="6"/>
        <w:numPr>
          <w:ilvl w:val="1"/>
          <w:numId w:val="0"/>
        </w:numPr>
        <w:spacing w:before="120" w:beforeLines="0" w:after="120" w:afterLines="0"/>
        <w:ind w:leftChars="0"/>
        <w:rPr>
          <w:color w:val="auto"/>
        </w:rPr>
      </w:pPr>
      <w:bookmarkStart w:id="362" w:name="_Toc8170"/>
      <w:r>
        <w:rPr>
          <w:rFonts w:hint="eastAsia"/>
          <w:color w:val="auto"/>
          <w:lang w:val="en-US" w:eastAsia="zh-CN"/>
        </w:rPr>
        <w:t xml:space="preserve">5.6 </w:t>
      </w:r>
      <w:r>
        <w:rPr>
          <w:color w:val="auto"/>
        </w:rPr>
        <w:t>生态环境影响分析</w:t>
      </w:r>
      <w:bookmarkEnd w:id="362"/>
    </w:p>
    <w:p>
      <w:pPr>
        <w:spacing w:line="360" w:lineRule="auto"/>
        <w:ind w:firstLine="480" w:firstLineChars="200"/>
        <w:rPr>
          <w:rFonts w:ascii="Times New Roman" w:hAnsi="Times New Roman" w:cs="Times New Roman"/>
          <w:color w:val="auto"/>
          <w:sz w:val="24"/>
          <w:szCs w:val="20"/>
        </w:rPr>
      </w:pPr>
      <w:r>
        <w:rPr>
          <w:rFonts w:ascii="Times New Roman" w:hAnsi="Times New Roman" w:cs="Times New Roman"/>
          <w:color w:val="auto"/>
          <w:sz w:val="24"/>
          <w:szCs w:val="20"/>
        </w:rPr>
        <w:t>根据现场踏勘，项目不占用农田，所在区域内无自然保护区和重点文物保护单位，未发现珍稀保护植物物种、古树名木及珍稀野生动物。目前工程厂区已经规划为云溪工业园的</w:t>
      </w:r>
      <w:r>
        <w:rPr>
          <w:rFonts w:hint="eastAsia" w:ascii="Times New Roman" w:hAnsi="Times New Roman" w:cs="Times New Roman"/>
          <w:color w:val="auto"/>
          <w:sz w:val="24"/>
          <w:szCs w:val="20"/>
        </w:rPr>
        <w:t>二</w:t>
      </w:r>
      <w:r>
        <w:rPr>
          <w:rFonts w:ascii="Times New Roman" w:hAnsi="Times New Roman" w:cs="Times New Roman"/>
          <w:color w:val="auto"/>
          <w:sz w:val="24"/>
          <w:szCs w:val="20"/>
        </w:rPr>
        <w:t>类工业用地，因此工程的占地不会对周边用地类型造成不利影响。</w:t>
      </w:r>
    </w:p>
    <w:p>
      <w:pPr>
        <w:spacing w:line="360" w:lineRule="auto"/>
        <w:ind w:firstLine="360" w:firstLineChars="150"/>
        <w:rPr>
          <w:rFonts w:ascii="Times New Roman" w:hAnsi="Times New Roman" w:cs="Times New Roman"/>
          <w:color w:val="auto"/>
          <w:sz w:val="24"/>
          <w:szCs w:val="24"/>
        </w:rPr>
      </w:pPr>
      <w:r>
        <w:rPr>
          <w:rFonts w:ascii="Times New Roman" w:hAnsi="Times New Roman" w:cs="Times New Roman"/>
          <w:color w:val="auto"/>
          <w:sz w:val="24"/>
          <w:szCs w:val="24"/>
        </w:rPr>
        <w:t>项目建成以后，加强绿化，绿化率可达</w:t>
      </w:r>
      <w:r>
        <w:rPr>
          <w:rFonts w:hint="eastAsia" w:ascii="Times New Roman" w:hAnsi="Times New Roman" w:cs="Times New Roman"/>
          <w:color w:val="auto"/>
          <w:sz w:val="24"/>
          <w:szCs w:val="24"/>
        </w:rPr>
        <w:t>12</w:t>
      </w:r>
      <w:r>
        <w:rPr>
          <w:rFonts w:ascii="Times New Roman" w:hAnsi="Times New Roman" w:cs="Times New Roman"/>
          <w:color w:val="auto"/>
          <w:sz w:val="24"/>
          <w:szCs w:val="24"/>
        </w:rPr>
        <w:t>%，以净化空气，减少噪声外传，美化环境。对绿化带的布局，建设工程应充分利用以生产线为中心，直至厂区围墙各方向种植绿化树种。因此，项目在建成以后，在原本无绿化的地表进行绿化，</w:t>
      </w:r>
      <w:r>
        <w:rPr>
          <w:rFonts w:hint="eastAsia" w:ascii="Times New Roman" w:hAnsi="Times New Roman" w:cs="Times New Roman"/>
          <w:color w:val="auto"/>
          <w:sz w:val="24"/>
          <w:szCs w:val="24"/>
        </w:rPr>
        <w:t>可进一步改善生态环境，</w:t>
      </w:r>
      <w:r>
        <w:rPr>
          <w:rFonts w:ascii="Times New Roman" w:hAnsi="Times New Roman" w:cs="Times New Roman"/>
          <w:color w:val="auto"/>
          <w:sz w:val="24"/>
          <w:szCs w:val="24"/>
        </w:rPr>
        <w:t>对生态环境的影响很小。</w:t>
      </w:r>
    </w:p>
    <w:p>
      <w:pPr>
        <w:pStyle w:val="5"/>
        <w:ind w:firstLine="480"/>
        <w:rPr>
          <w:bCs/>
          <w:color w:val="auto"/>
        </w:rPr>
      </w:pPr>
    </w:p>
    <w:p>
      <w:pPr>
        <w:pStyle w:val="43"/>
        <w:spacing w:before="0" w:beforeAutospacing="0" w:after="0" w:afterAutospacing="0" w:line="360" w:lineRule="auto"/>
        <w:ind w:firstLine="480" w:firstLineChars="200"/>
        <w:jc w:val="both"/>
        <w:rPr>
          <w:rFonts w:ascii="Times New Roman" w:hAnsi="Times New Roman"/>
          <w:bCs/>
          <w:color w:val="auto"/>
        </w:rPr>
        <w:sectPr>
          <w:type w:val="continuous"/>
          <w:pgSz w:w="11907" w:h="16840"/>
          <w:pgMar w:top="1474" w:right="1531" w:bottom="1418" w:left="1474" w:header="907" w:footer="510" w:gutter="0"/>
          <w:pgBorders>
            <w:top w:val="none" w:sz="0" w:space="0"/>
            <w:left w:val="none" w:sz="0" w:space="0"/>
            <w:bottom w:val="none" w:sz="0" w:space="0"/>
            <w:right w:val="none" w:sz="0" w:space="0"/>
          </w:pgBorders>
          <w:pgNumType w:fmt="decimal"/>
          <w:cols w:space="720" w:num="1"/>
          <w:docGrid w:linePitch="312" w:charSpace="0"/>
        </w:sectPr>
      </w:pPr>
    </w:p>
    <w:bookmarkEnd w:id="361"/>
    <w:p>
      <w:pPr>
        <w:pStyle w:val="4"/>
        <w:numPr>
          <w:ilvl w:val="0"/>
          <w:numId w:val="0"/>
        </w:numPr>
        <w:tabs>
          <w:tab w:val="clear" w:pos="0"/>
        </w:tabs>
        <w:ind w:leftChars="0"/>
        <w:jc w:val="both"/>
        <w:rPr>
          <w:color w:val="auto"/>
        </w:rPr>
      </w:pPr>
      <w:bookmarkStart w:id="363" w:name="_Toc15163"/>
      <w:r>
        <w:rPr>
          <w:rFonts w:hint="eastAsia"/>
          <w:color w:val="auto"/>
          <w:lang w:val="en-US" w:eastAsia="zh-CN"/>
        </w:rPr>
        <w:t xml:space="preserve">6. </w:t>
      </w:r>
      <w:r>
        <w:rPr>
          <w:rFonts w:hint="eastAsia"/>
          <w:color w:val="auto"/>
        </w:rPr>
        <w:t>环保措施及其可行性论证</w:t>
      </w:r>
      <w:bookmarkEnd w:id="363"/>
    </w:p>
    <w:p>
      <w:pPr>
        <w:pStyle w:val="6"/>
        <w:numPr>
          <w:ilvl w:val="1"/>
          <w:numId w:val="0"/>
        </w:numPr>
        <w:spacing w:before="120" w:beforeLines="0" w:after="120" w:afterLines="0"/>
        <w:ind w:leftChars="0"/>
        <w:rPr>
          <w:color w:val="auto"/>
        </w:rPr>
      </w:pPr>
      <w:bookmarkStart w:id="364" w:name="_Toc31127"/>
      <w:r>
        <w:rPr>
          <w:rFonts w:hint="eastAsia"/>
          <w:color w:val="auto"/>
          <w:lang w:val="en-US" w:eastAsia="zh-CN"/>
        </w:rPr>
        <w:t xml:space="preserve">6.1 </w:t>
      </w:r>
      <w:r>
        <w:rPr>
          <w:color w:val="auto"/>
        </w:rPr>
        <w:t>废气治理措施及</w:t>
      </w:r>
      <w:r>
        <w:rPr>
          <w:rFonts w:hint="eastAsia"/>
          <w:color w:val="auto"/>
        </w:rPr>
        <w:t>其</w:t>
      </w:r>
      <w:r>
        <w:rPr>
          <w:color w:val="auto"/>
        </w:rPr>
        <w:t>可行性分析</w:t>
      </w:r>
      <w:bookmarkEnd w:id="364"/>
    </w:p>
    <w:p>
      <w:pPr>
        <w:pStyle w:val="5"/>
        <w:ind w:firstLine="480"/>
        <w:rPr>
          <w:color w:val="auto"/>
          <w:u w:val="single"/>
        </w:rPr>
      </w:pPr>
      <w:r>
        <w:rPr>
          <w:rFonts w:hint="eastAsia"/>
          <w:color w:val="auto"/>
          <w:u w:val="single"/>
        </w:rPr>
        <w:t>本项目主要</w:t>
      </w:r>
      <w:r>
        <w:rPr>
          <w:rFonts w:hint="eastAsia"/>
          <w:color w:val="auto"/>
          <w:u w:val="single"/>
          <w:lang w:eastAsia="zh-CN"/>
        </w:rPr>
        <w:t>为</w:t>
      </w:r>
      <w:r>
        <w:rPr>
          <w:rFonts w:hint="eastAsia"/>
          <w:color w:val="auto"/>
          <w:u w:val="single"/>
        </w:rPr>
        <w:t>无组织排放源</w:t>
      </w:r>
      <w:r>
        <w:rPr>
          <w:rFonts w:hint="eastAsia"/>
          <w:color w:val="auto"/>
          <w:u w:val="single"/>
          <w:lang w:eastAsia="zh-CN"/>
        </w:rPr>
        <w:t>，是机泵及管道输送过程中，在阀门法兰处发生泄漏时产生的无组织氨</w:t>
      </w:r>
      <w:r>
        <w:rPr>
          <w:rFonts w:hint="eastAsia"/>
          <w:color w:val="auto"/>
          <w:u w:val="single"/>
          <w:lang w:val="en-US" w:eastAsia="zh-CN"/>
        </w:rPr>
        <w:t>排放</w:t>
      </w:r>
      <w:r>
        <w:rPr>
          <w:rFonts w:hint="eastAsia"/>
          <w:color w:val="auto"/>
          <w:u w:val="single"/>
        </w:rPr>
        <w:t>。</w:t>
      </w:r>
    </w:p>
    <w:p>
      <w:pPr>
        <w:pStyle w:val="5"/>
        <w:ind w:firstLine="480"/>
        <w:rPr>
          <w:rFonts w:hint="eastAsia"/>
          <w:color w:val="auto"/>
          <w:u w:val="single"/>
        </w:rPr>
      </w:pPr>
      <w:r>
        <w:rPr>
          <w:rFonts w:hint="eastAsia"/>
          <w:color w:val="auto"/>
          <w:u w:val="single"/>
        </w:rPr>
        <w:t>建设单位</w:t>
      </w:r>
      <w:r>
        <w:rPr>
          <w:rFonts w:hint="eastAsia"/>
          <w:color w:val="auto"/>
          <w:u w:val="single"/>
          <w:lang w:eastAsia="zh-CN"/>
        </w:rPr>
        <w:t>定期对泄漏情况</w:t>
      </w:r>
      <w:r>
        <w:rPr>
          <w:rFonts w:hint="eastAsia"/>
          <w:color w:val="auto"/>
          <w:u w:val="single"/>
        </w:rPr>
        <w:t>进行</w:t>
      </w:r>
      <w:r>
        <w:rPr>
          <w:rFonts w:hint="eastAsia"/>
          <w:color w:val="auto"/>
          <w:u w:val="single"/>
          <w:lang w:eastAsia="zh-CN"/>
        </w:rPr>
        <w:t>，发现泄漏量时，及时进行修复与</w:t>
      </w:r>
      <w:r>
        <w:rPr>
          <w:rFonts w:hint="eastAsia"/>
          <w:color w:val="auto"/>
          <w:u w:val="single"/>
        </w:rPr>
        <w:t>治理，治理后，</w:t>
      </w:r>
      <w:r>
        <w:rPr>
          <w:rFonts w:hint="eastAsia"/>
          <w:color w:val="auto"/>
          <w:u w:val="single"/>
          <w:lang w:eastAsia="zh-CN"/>
        </w:rPr>
        <w:t>正常运行状态下</w:t>
      </w:r>
      <w:r>
        <w:rPr>
          <w:rFonts w:hint="eastAsia"/>
          <w:color w:val="auto"/>
          <w:u w:val="single"/>
        </w:rPr>
        <w:t>厂界无组织排放的</w:t>
      </w:r>
      <w:r>
        <w:rPr>
          <w:rFonts w:hint="eastAsia"/>
          <w:color w:val="auto"/>
          <w:u w:val="single"/>
          <w:lang w:eastAsia="zh-CN"/>
        </w:rPr>
        <w:t>氨</w:t>
      </w:r>
      <w:r>
        <w:rPr>
          <w:rFonts w:hint="eastAsia"/>
          <w:color w:val="auto"/>
          <w:u w:val="single"/>
        </w:rPr>
        <w:t>能达标。</w:t>
      </w:r>
    </w:p>
    <w:p>
      <w:pPr>
        <w:pStyle w:val="2"/>
        <w:ind w:left="420" w:firstLine="420"/>
        <w:rPr>
          <w:color w:val="auto"/>
        </w:rPr>
      </w:pPr>
    </w:p>
    <w:p>
      <w:pPr>
        <w:pStyle w:val="6"/>
        <w:numPr>
          <w:ilvl w:val="1"/>
          <w:numId w:val="0"/>
        </w:numPr>
        <w:spacing w:before="120" w:beforeLines="0" w:after="120" w:afterLines="0"/>
        <w:ind w:leftChars="0"/>
        <w:rPr>
          <w:color w:val="auto"/>
        </w:rPr>
      </w:pPr>
      <w:bookmarkStart w:id="365" w:name="_Toc17161"/>
      <w:r>
        <w:rPr>
          <w:rFonts w:hint="eastAsia"/>
          <w:color w:val="auto"/>
          <w:lang w:val="en-US" w:eastAsia="zh-CN"/>
        </w:rPr>
        <w:t xml:space="preserve">6.2 </w:t>
      </w:r>
      <w:r>
        <w:rPr>
          <w:color w:val="auto"/>
        </w:rPr>
        <w:t>废水治理措施及技术经济可行性分析</w:t>
      </w:r>
      <w:bookmarkEnd w:id="365"/>
    </w:p>
    <w:p>
      <w:pPr>
        <w:pStyle w:val="7"/>
        <w:numPr>
          <w:ilvl w:val="2"/>
          <w:numId w:val="0"/>
        </w:numPr>
        <w:spacing w:before="120" w:beforeLines="0" w:after="120" w:afterLines="0"/>
        <w:rPr>
          <w:color w:val="auto"/>
          <w:u w:val="none"/>
        </w:rPr>
      </w:pPr>
      <w:bookmarkStart w:id="366" w:name="_Toc30932"/>
      <w:r>
        <w:rPr>
          <w:rFonts w:hint="eastAsia"/>
          <w:color w:val="auto"/>
          <w:u w:val="none"/>
          <w:lang w:val="en-US" w:eastAsia="zh-CN"/>
        </w:rPr>
        <w:t xml:space="preserve">6.2.1 </w:t>
      </w:r>
      <w:r>
        <w:rPr>
          <w:rFonts w:hint="eastAsia"/>
          <w:color w:val="auto"/>
          <w:u w:val="none"/>
        </w:rPr>
        <w:t>废水来源及处理方式</w:t>
      </w:r>
      <w:bookmarkEnd w:id="366"/>
    </w:p>
    <w:p>
      <w:pPr>
        <w:pStyle w:val="5"/>
        <w:ind w:firstLine="480"/>
        <w:rPr>
          <w:rFonts w:hint="default" w:eastAsia="宋体"/>
          <w:color w:val="auto"/>
          <w:szCs w:val="24"/>
          <w:u w:val="single"/>
          <w:lang w:val="en-US" w:eastAsia="zh-CN"/>
        </w:rPr>
      </w:pPr>
      <w:r>
        <w:rPr>
          <w:rFonts w:hint="eastAsia"/>
          <w:color w:val="auto"/>
          <w:szCs w:val="24"/>
          <w:u w:val="single"/>
        </w:rPr>
        <w:t>本项目废水来源主要有：</w:t>
      </w:r>
      <w:r>
        <w:rPr>
          <w:rFonts w:hint="eastAsia"/>
          <w:color w:val="auto"/>
          <w:szCs w:val="24"/>
          <w:u w:val="single"/>
          <w:lang w:eastAsia="zh-CN"/>
        </w:rPr>
        <w:t>地面</w:t>
      </w:r>
      <w:r>
        <w:rPr>
          <w:rFonts w:hint="eastAsia"/>
          <w:color w:val="auto"/>
          <w:szCs w:val="24"/>
          <w:u w:val="single"/>
        </w:rPr>
        <w:t>清洗冲洗废水，</w:t>
      </w:r>
      <w:r>
        <w:rPr>
          <w:rFonts w:hint="eastAsia"/>
          <w:color w:val="auto"/>
          <w:szCs w:val="24"/>
          <w:u w:val="single"/>
          <w:lang w:eastAsia="zh-CN"/>
        </w:rPr>
        <w:t>泵区</w:t>
      </w:r>
      <w:r>
        <w:rPr>
          <w:rFonts w:hint="eastAsia"/>
          <w:color w:val="auto"/>
          <w:szCs w:val="24"/>
          <w:u w:val="single"/>
        </w:rPr>
        <w:t>初期雨水</w:t>
      </w:r>
      <w:r>
        <w:rPr>
          <w:rFonts w:hint="eastAsia"/>
          <w:color w:val="auto"/>
          <w:szCs w:val="24"/>
          <w:u w:val="single"/>
          <w:lang w:eastAsia="zh-CN"/>
        </w:rPr>
        <w:t>，以及含氨废水</w:t>
      </w:r>
      <w:r>
        <w:rPr>
          <w:rFonts w:hint="eastAsia"/>
          <w:color w:val="auto"/>
          <w:szCs w:val="24"/>
          <w:u w:val="single"/>
        </w:rPr>
        <w:t>。</w:t>
      </w:r>
      <w:r>
        <w:rPr>
          <w:rFonts w:hint="eastAsia"/>
          <w:color w:val="auto"/>
          <w:szCs w:val="24"/>
          <w:u w:val="single"/>
          <w:lang w:eastAsia="zh-CN"/>
        </w:rPr>
        <w:t>总水量约</w:t>
      </w:r>
      <w:r>
        <w:rPr>
          <w:rFonts w:hint="eastAsia"/>
          <w:color w:val="auto"/>
          <w:szCs w:val="24"/>
          <w:u w:val="single"/>
          <w:lang w:val="en-US" w:eastAsia="zh-CN"/>
        </w:rPr>
        <w:t>790吨/年。</w:t>
      </w:r>
    </w:p>
    <w:p>
      <w:pPr>
        <w:pStyle w:val="5"/>
        <w:ind w:firstLine="480"/>
        <w:rPr>
          <w:rFonts w:hint="eastAsia" w:eastAsia="宋体"/>
          <w:color w:val="auto"/>
          <w:szCs w:val="24"/>
          <w:u w:val="single"/>
          <w:lang w:eastAsia="zh-CN"/>
        </w:rPr>
      </w:pPr>
      <w:r>
        <w:rPr>
          <w:rFonts w:hint="eastAsia"/>
          <w:color w:val="auto"/>
          <w:szCs w:val="24"/>
          <w:u w:val="single"/>
        </w:rPr>
        <w:t>拟建工程采取“雨污分流、污污分流、分质处理”原则进行排水设施的建设。后期雨水通过雨水管网排出厂外，后进入</w:t>
      </w:r>
      <w:r>
        <w:rPr>
          <w:rFonts w:hint="eastAsia"/>
          <w:color w:val="auto"/>
          <w:szCs w:val="24"/>
          <w:u w:val="single"/>
          <w:lang w:eastAsia="zh-CN"/>
        </w:rPr>
        <w:t>长江</w:t>
      </w:r>
      <w:r>
        <w:rPr>
          <w:rFonts w:hint="eastAsia"/>
          <w:color w:val="auto"/>
          <w:szCs w:val="24"/>
          <w:u w:val="single"/>
        </w:rPr>
        <w:t>水体。</w:t>
      </w:r>
      <w:r>
        <w:rPr>
          <w:rFonts w:hint="eastAsia"/>
          <w:color w:val="auto"/>
          <w:szCs w:val="24"/>
          <w:u w:val="single"/>
          <w:lang w:eastAsia="zh-CN"/>
        </w:rPr>
        <w:t>地面冲洗</w:t>
      </w:r>
      <w:r>
        <w:rPr>
          <w:rFonts w:hint="eastAsia"/>
          <w:color w:val="auto"/>
          <w:szCs w:val="24"/>
          <w:u w:val="single"/>
        </w:rPr>
        <w:t>废水（含初期雨水），均通过污水管网进入公司现有</w:t>
      </w:r>
      <w:r>
        <w:rPr>
          <w:rFonts w:hint="eastAsia"/>
          <w:color w:val="auto"/>
          <w:szCs w:val="24"/>
          <w:u w:val="single"/>
          <w:lang w:eastAsia="zh-CN"/>
        </w:rPr>
        <w:t>污水处理场</w:t>
      </w:r>
      <w:r>
        <w:rPr>
          <w:rFonts w:hint="eastAsia"/>
          <w:color w:val="auto"/>
          <w:szCs w:val="24"/>
          <w:u w:val="single"/>
        </w:rPr>
        <w:t>处理达标后，再从公司总排口</w:t>
      </w:r>
      <w:r>
        <w:rPr>
          <w:rFonts w:hint="eastAsia"/>
          <w:color w:val="auto"/>
          <w:szCs w:val="24"/>
          <w:u w:val="single"/>
          <w:lang w:eastAsia="zh-CN"/>
        </w:rPr>
        <w:t>排入长江</w:t>
      </w:r>
      <w:r>
        <w:rPr>
          <w:rFonts w:hint="eastAsia"/>
          <w:color w:val="auto"/>
          <w:szCs w:val="24"/>
          <w:u w:val="single"/>
        </w:rPr>
        <w:t>。</w:t>
      </w:r>
      <w:r>
        <w:rPr>
          <w:rFonts w:hint="eastAsia"/>
          <w:color w:val="auto"/>
          <w:szCs w:val="24"/>
          <w:u w:val="single"/>
          <w:lang w:eastAsia="zh-CN"/>
        </w:rPr>
        <w:t>含氨废水送炼油二部污水汽提装置处理后，脱硫净化水部分回用于常减压装置电脱盐，电脱盐排水及剩余部分脱硫废水再送公司污水处理场处理达标后，再从公司总排口排入长江。</w:t>
      </w:r>
    </w:p>
    <w:p>
      <w:pPr>
        <w:pStyle w:val="7"/>
        <w:numPr>
          <w:ilvl w:val="2"/>
          <w:numId w:val="0"/>
        </w:numPr>
        <w:spacing w:before="120" w:beforeLines="0" w:after="120" w:afterLines="0"/>
        <w:rPr>
          <w:color w:val="auto"/>
          <w:u w:val="single"/>
        </w:rPr>
      </w:pPr>
      <w:bookmarkStart w:id="367" w:name="_Toc505"/>
      <w:r>
        <w:rPr>
          <w:rFonts w:hint="eastAsia"/>
          <w:color w:val="auto"/>
          <w:u w:val="single"/>
          <w:lang w:val="en-US" w:eastAsia="zh-CN"/>
        </w:rPr>
        <w:t xml:space="preserve">6.2.2 </w:t>
      </w:r>
      <w:r>
        <w:rPr>
          <w:rFonts w:hint="eastAsia"/>
          <w:color w:val="auto"/>
          <w:u w:val="single"/>
        </w:rPr>
        <w:t>现有工程废水处理设施接纳</w:t>
      </w:r>
      <w:r>
        <w:rPr>
          <w:rFonts w:hint="eastAsia"/>
          <w:color w:val="auto"/>
          <w:u w:val="single"/>
          <w:lang w:eastAsia="zh-CN"/>
        </w:rPr>
        <w:t>及处置</w:t>
      </w:r>
      <w:r>
        <w:rPr>
          <w:rFonts w:hint="eastAsia"/>
          <w:color w:val="auto"/>
          <w:u w:val="single"/>
        </w:rPr>
        <w:t>可行性</w:t>
      </w:r>
      <w:bookmarkEnd w:id="367"/>
    </w:p>
    <w:p>
      <w:pPr>
        <w:pStyle w:val="22"/>
        <w:kinsoku w:val="0"/>
        <w:overflowPunct w:val="0"/>
        <w:spacing w:beforeLines="0" w:afterLines="0" w:line="364" w:lineRule="auto"/>
        <w:ind w:right="313" w:firstLine="480"/>
        <w:jc w:val="both"/>
        <w:rPr>
          <w:rFonts w:hint="eastAsia"/>
          <w:color w:val="auto"/>
          <w:sz w:val="24"/>
          <w:u w:val="single"/>
        </w:rPr>
      </w:pPr>
      <w:r>
        <w:rPr>
          <w:rFonts w:hint="eastAsia"/>
          <w:color w:val="auto"/>
          <w:spacing w:val="-8"/>
          <w:sz w:val="24"/>
          <w:u w:val="single"/>
        </w:rPr>
        <w:t xml:space="preserve">长岭分公司现有 </w:t>
      </w:r>
      <w:r>
        <w:rPr>
          <w:rFonts w:hint="default" w:ascii="Times New Roman" w:hAnsi="Times New Roman" w:eastAsia="Times New Roman"/>
          <w:color w:val="auto"/>
          <w:sz w:val="24"/>
          <w:u w:val="single"/>
        </w:rPr>
        <w:t xml:space="preserve">2 </w:t>
      </w:r>
      <w:r>
        <w:rPr>
          <w:rFonts w:hint="eastAsia"/>
          <w:color w:val="auto"/>
          <w:spacing w:val="-5"/>
          <w:sz w:val="24"/>
          <w:u w:val="single"/>
        </w:rPr>
        <w:t>座污水处理场，分别为第一污水处理场和第二污水处理场，第一</w:t>
      </w:r>
      <w:r>
        <w:rPr>
          <w:rFonts w:hint="eastAsia"/>
          <w:color w:val="auto"/>
          <w:spacing w:val="-7"/>
          <w:sz w:val="24"/>
          <w:u w:val="single"/>
        </w:rPr>
        <w:t>污水处理场主要负责对装置区来的含盐污水及含油污水分别进行预处理，处理后废水送</w:t>
      </w:r>
      <w:r>
        <w:rPr>
          <w:rFonts w:hint="eastAsia"/>
          <w:color w:val="auto"/>
          <w:spacing w:val="-12"/>
          <w:sz w:val="24"/>
          <w:u w:val="single"/>
        </w:rPr>
        <w:t xml:space="preserve">第二污水处理场处理。第一污水处理场设计处理能力 </w:t>
      </w:r>
      <w:r>
        <w:rPr>
          <w:rFonts w:hint="eastAsia"/>
          <w:color w:val="auto"/>
          <w:sz w:val="24"/>
          <w:u w:val="single"/>
          <w:lang w:val="en-US" w:eastAsia="zh-CN"/>
        </w:rPr>
        <w:t>100</w:t>
      </w:r>
      <w:r>
        <w:rPr>
          <w:rFonts w:hint="default" w:ascii="Times New Roman" w:hAnsi="Times New Roman" w:eastAsia="Times New Roman"/>
          <w:color w:val="auto"/>
          <w:sz w:val="24"/>
          <w:u w:val="single"/>
        </w:rPr>
        <w:t xml:space="preserve">0 </w:t>
      </w:r>
      <w:r>
        <w:rPr>
          <w:rFonts w:hint="default" w:ascii="Times New Roman" w:hAnsi="Times New Roman" w:eastAsia="Times New Roman"/>
          <w:color w:val="auto"/>
          <w:spacing w:val="-9"/>
          <w:sz w:val="24"/>
          <w:u w:val="single"/>
        </w:rPr>
        <w:t>m</w:t>
      </w:r>
      <w:r>
        <w:rPr>
          <w:rFonts w:hint="default" w:ascii="Times New Roman" w:hAnsi="Times New Roman" w:eastAsia="Times New Roman"/>
          <w:color w:val="auto"/>
          <w:spacing w:val="-9"/>
          <w:position w:val="8"/>
          <w:sz w:val="15"/>
          <w:u w:val="single"/>
        </w:rPr>
        <w:t>3</w:t>
      </w:r>
      <w:r>
        <w:rPr>
          <w:rFonts w:hint="default" w:ascii="Times New Roman" w:hAnsi="Times New Roman" w:eastAsia="Times New Roman"/>
          <w:color w:val="auto"/>
          <w:spacing w:val="-9"/>
          <w:sz w:val="24"/>
          <w:u w:val="single"/>
        </w:rPr>
        <w:t>/h</w:t>
      </w:r>
      <w:r>
        <w:rPr>
          <w:rFonts w:hint="eastAsia"/>
          <w:color w:val="auto"/>
          <w:spacing w:val="-9"/>
          <w:sz w:val="24"/>
          <w:u w:val="single"/>
        </w:rPr>
        <w:t xml:space="preserve">，目前实际处理量约 </w:t>
      </w:r>
      <w:r>
        <w:rPr>
          <w:rFonts w:hint="default" w:ascii="Times New Roman" w:hAnsi="Times New Roman" w:eastAsia="Times New Roman"/>
          <w:color w:val="auto"/>
          <w:sz w:val="24"/>
          <w:u w:val="single"/>
        </w:rPr>
        <w:t>500m</w:t>
      </w:r>
      <w:r>
        <w:rPr>
          <w:rFonts w:hint="default" w:ascii="Times New Roman" w:hAnsi="Times New Roman" w:eastAsia="Times New Roman"/>
          <w:color w:val="auto"/>
          <w:position w:val="8"/>
          <w:sz w:val="15"/>
          <w:u w:val="single"/>
        </w:rPr>
        <w:t>3</w:t>
      </w:r>
      <w:r>
        <w:rPr>
          <w:rFonts w:hint="default" w:ascii="Times New Roman" w:hAnsi="Times New Roman" w:eastAsia="Times New Roman"/>
          <w:color w:val="auto"/>
          <w:sz w:val="24"/>
          <w:u w:val="single"/>
        </w:rPr>
        <w:t>/h</w:t>
      </w:r>
      <w:r>
        <w:rPr>
          <w:rFonts w:hint="eastAsia"/>
          <w:color w:val="auto"/>
          <w:sz w:val="24"/>
          <w:u w:val="single"/>
        </w:rPr>
        <w:t xml:space="preserve">。第二污水处理场设计处理能力 </w:t>
      </w:r>
      <w:r>
        <w:rPr>
          <w:rFonts w:hint="eastAsia"/>
          <w:color w:val="auto"/>
          <w:sz w:val="24"/>
          <w:u w:val="single"/>
          <w:lang w:val="en-US" w:eastAsia="zh-CN"/>
        </w:rPr>
        <w:t>85</w:t>
      </w:r>
      <w:r>
        <w:rPr>
          <w:rFonts w:hint="default" w:ascii="Times New Roman" w:hAnsi="Times New Roman" w:eastAsia="Times New Roman"/>
          <w:color w:val="auto"/>
          <w:sz w:val="24"/>
          <w:u w:val="single"/>
        </w:rPr>
        <w:t>0m</w:t>
      </w:r>
      <w:r>
        <w:rPr>
          <w:rFonts w:hint="default" w:ascii="Times New Roman" w:hAnsi="Times New Roman" w:eastAsia="Times New Roman"/>
          <w:color w:val="auto"/>
          <w:position w:val="8"/>
          <w:sz w:val="15"/>
          <w:u w:val="single"/>
        </w:rPr>
        <w:t>3</w:t>
      </w:r>
      <w:r>
        <w:rPr>
          <w:rFonts w:hint="default" w:ascii="Times New Roman" w:hAnsi="Times New Roman" w:eastAsia="Times New Roman"/>
          <w:color w:val="auto"/>
          <w:sz w:val="24"/>
          <w:u w:val="single"/>
        </w:rPr>
        <w:t>/h</w:t>
      </w:r>
      <w:r>
        <w:rPr>
          <w:rFonts w:hint="eastAsia"/>
          <w:color w:val="auto"/>
          <w:sz w:val="24"/>
          <w:u w:val="single"/>
        </w:rPr>
        <w:t xml:space="preserve">，目前处理量约 </w:t>
      </w:r>
      <w:r>
        <w:rPr>
          <w:rFonts w:hint="default" w:ascii="Times New Roman" w:hAnsi="Times New Roman" w:eastAsia="Times New Roman"/>
          <w:color w:val="auto"/>
          <w:sz w:val="24"/>
          <w:u w:val="single"/>
        </w:rPr>
        <w:t>500m</w:t>
      </w:r>
      <w:r>
        <w:rPr>
          <w:rFonts w:hint="default" w:ascii="Times New Roman" w:hAnsi="Times New Roman" w:eastAsia="Times New Roman"/>
          <w:color w:val="auto"/>
          <w:position w:val="8"/>
          <w:sz w:val="15"/>
          <w:u w:val="single"/>
        </w:rPr>
        <w:t>3</w:t>
      </w:r>
      <w:r>
        <w:rPr>
          <w:rFonts w:hint="default" w:ascii="Times New Roman" w:hAnsi="Times New Roman" w:eastAsia="Times New Roman"/>
          <w:color w:val="auto"/>
          <w:sz w:val="24"/>
          <w:u w:val="single"/>
        </w:rPr>
        <w:t>/h</w:t>
      </w:r>
      <w:r>
        <w:rPr>
          <w:rFonts w:hint="eastAsia"/>
          <w:color w:val="auto"/>
          <w:sz w:val="24"/>
          <w:u w:val="single"/>
        </w:rPr>
        <w:t>。长岭分公司</w:t>
      </w:r>
      <w:r>
        <w:rPr>
          <w:rFonts w:hint="eastAsia"/>
          <w:color w:val="auto"/>
          <w:sz w:val="24"/>
          <w:u w:val="single"/>
          <w:lang w:eastAsia="zh-CN"/>
        </w:rPr>
        <w:t>第</w:t>
      </w:r>
      <w:r>
        <w:rPr>
          <w:rFonts w:hint="eastAsia"/>
          <w:color w:val="auto"/>
          <w:spacing w:val="-2"/>
          <w:sz w:val="24"/>
          <w:u w:val="single"/>
        </w:rPr>
        <w:t>二污水处处理场采取生化方式处理一污的来水以满足全厂废水达标外排的要求，第二污水</w:t>
      </w:r>
      <w:r>
        <w:rPr>
          <w:rFonts w:hint="eastAsia"/>
          <w:color w:val="auto"/>
          <w:spacing w:val="-5"/>
          <w:sz w:val="24"/>
          <w:u w:val="single"/>
        </w:rPr>
        <w:t>处理场处理系统分为含油污水、含盐污水两个处理系统，含油污水处理系统处理能力为</w:t>
      </w:r>
      <w:r>
        <w:rPr>
          <w:rFonts w:hint="default" w:ascii="Times New Roman" w:hAnsi="Times New Roman" w:eastAsia="Times New Roman"/>
          <w:color w:val="auto"/>
          <w:sz w:val="24"/>
          <w:u w:val="single"/>
        </w:rPr>
        <w:t>600t/h</w:t>
      </w:r>
      <w:r>
        <w:rPr>
          <w:rFonts w:hint="eastAsia"/>
          <w:color w:val="auto"/>
          <w:sz w:val="24"/>
          <w:u w:val="single"/>
        </w:rPr>
        <w:t>，为接触氧化、氧化沟、砂滤、</w:t>
      </w:r>
      <w:r>
        <w:rPr>
          <w:rFonts w:hint="default" w:ascii="Times New Roman" w:hAnsi="Times New Roman" w:eastAsia="Times New Roman"/>
          <w:color w:val="auto"/>
          <w:sz w:val="24"/>
          <w:u w:val="single"/>
        </w:rPr>
        <w:t>BAF</w:t>
      </w:r>
      <w:r>
        <w:rPr>
          <w:rFonts w:hint="eastAsia"/>
          <w:color w:val="auto"/>
          <w:sz w:val="24"/>
          <w:u w:val="single"/>
        </w:rPr>
        <w:t>，处理后的污水部分排长江，部分经活性炭</w:t>
      </w:r>
      <w:r>
        <w:rPr>
          <w:rFonts w:hint="eastAsia"/>
          <w:color w:val="auto"/>
          <w:spacing w:val="-3"/>
          <w:sz w:val="24"/>
          <w:u w:val="single"/>
        </w:rPr>
        <w:t xml:space="preserve">吸附处理后回用；含盐污水处理系统处理能力为 </w:t>
      </w:r>
      <w:r>
        <w:rPr>
          <w:rFonts w:hint="default" w:ascii="Times New Roman" w:hAnsi="Times New Roman" w:eastAsia="Times New Roman"/>
          <w:color w:val="auto"/>
          <w:sz w:val="24"/>
          <w:u w:val="single"/>
        </w:rPr>
        <w:t>250t/h</w:t>
      </w:r>
      <w:r>
        <w:rPr>
          <w:rFonts w:hint="eastAsia"/>
          <w:color w:val="auto"/>
          <w:spacing w:val="-1"/>
          <w:sz w:val="24"/>
          <w:u w:val="single"/>
        </w:rPr>
        <w:t>，处理工艺为短程硝化、</w:t>
      </w:r>
      <w:r>
        <w:rPr>
          <w:rFonts w:hint="default" w:ascii="Times New Roman" w:hAnsi="Times New Roman" w:eastAsia="Times New Roman"/>
          <w:color w:val="auto"/>
          <w:sz w:val="24"/>
          <w:u w:val="single"/>
        </w:rPr>
        <w:t>BAF</w:t>
      </w:r>
      <w:r>
        <w:rPr>
          <w:rFonts w:hint="eastAsia"/>
          <w:color w:val="auto"/>
          <w:sz w:val="24"/>
          <w:u w:val="single"/>
        </w:rPr>
        <w:t xml:space="preserve">， </w:t>
      </w:r>
      <w:r>
        <w:rPr>
          <w:rFonts w:hint="eastAsia"/>
          <w:color w:val="auto"/>
          <w:spacing w:val="-6"/>
          <w:sz w:val="24"/>
          <w:u w:val="single"/>
        </w:rPr>
        <w:t>处理后的污水排长江。</w:t>
      </w:r>
      <w:r>
        <w:rPr>
          <w:rFonts w:hint="eastAsia"/>
          <w:color w:val="auto"/>
          <w:spacing w:val="-6"/>
          <w:sz w:val="24"/>
          <w:u w:val="single"/>
          <w:lang w:eastAsia="zh-CN"/>
        </w:rPr>
        <w:t>本项目废水排公司含油污水处理设施。</w:t>
      </w:r>
      <w:r>
        <w:rPr>
          <w:rFonts w:hint="default" w:ascii="Times New Roman" w:hAnsi="Times New Roman" w:eastAsia="Times New Roman"/>
          <w:color w:val="auto"/>
          <w:sz w:val="24"/>
          <w:u w:val="single"/>
        </w:rPr>
        <w:t>201</w:t>
      </w:r>
      <w:r>
        <w:rPr>
          <w:rFonts w:hint="eastAsia"/>
          <w:color w:val="auto"/>
          <w:sz w:val="24"/>
          <w:u w:val="single"/>
          <w:lang w:val="en-US" w:eastAsia="zh-CN"/>
        </w:rPr>
        <w:t>9</w:t>
      </w:r>
      <w:r>
        <w:rPr>
          <w:rFonts w:hint="default" w:ascii="Times New Roman" w:hAnsi="Times New Roman" w:eastAsia="Times New Roman"/>
          <w:color w:val="auto"/>
          <w:sz w:val="24"/>
          <w:u w:val="single"/>
        </w:rPr>
        <w:t xml:space="preserve"> </w:t>
      </w:r>
      <w:r>
        <w:rPr>
          <w:rFonts w:hint="eastAsia"/>
          <w:color w:val="auto"/>
          <w:spacing w:val="-30"/>
          <w:sz w:val="24"/>
          <w:u w:val="single"/>
        </w:rPr>
        <w:t xml:space="preserve">年 </w:t>
      </w:r>
      <w:r>
        <w:rPr>
          <w:rFonts w:hint="eastAsia"/>
          <w:color w:val="auto"/>
          <w:sz w:val="24"/>
          <w:u w:val="single"/>
          <w:lang w:val="en-US" w:eastAsia="zh-CN"/>
        </w:rPr>
        <w:t>10</w:t>
      </w:r>
      <w:r>
        <w:rPr>
          <w:rFonts w:hint="default" w:ascii="Times New Roman" w:hAnsi="Times New Roman" w:eastAsia="Times New Roman"/>
          <w:color w:val="auto"/>
          <w:sz w:val="24"/>
          <w:u w:val="single"/>
        </w:rPr>
        <w:t xml:space="preserve"> </w:t>
      </w:r>
      <w:r>
        <w:rPr>
          <w:rFonts w:hint="eastAsia"/>
          <w:color w:val="auto"/>
          <w:spacing w:val="-30"/>
          <w:sz w:val="24"/>
          <w:u w:val="single"/>
        </w:rPr>
        <w:t xml:space="preserve">月 </w:t>
      </w:r>
      <w:r>
        <w:rPr>
          <w:rFonts w:hint="default" w:ascii="Times New Roman" w:hAnsi="Times New Roman" w:eastAsia="Times New Roman"/>
          <w:color w:val="auto"/>
          <w:sz w:val="24"/>
          <w:u w:val="single"/>
        </w:rPr>
        <w:t xml:space="preserve">1 </w:t>
      </w:r>
      <w:r>
        <w:rPr>
          <w:rFonts w:hint="eastAsia"/>
          <w:color w:val="auto"/>
          <w:spacing w:val="-4"/>
          <w:sz w:val="24"/>
          <w:u w:val="single"/>
        </w:rPr>
        <w:t>日后长岭污水处理厂总排口</w:t>
      </w:r>
      <w:r>
        <w:rPr>
          <w:rFonts w:hint="eastAsia"/>
          <w:color w:val="auto"/>
          <w:spacing w:val="-4"/>
          <w:sz w:val="24"/>
          <w:u w:val="single"/>
          <w:lang w:eastAsia="zh-CN"/>
        </w:rPr>
        <w:t>部分指标</w:t>
      </w:r>
      <w:r>
        <w:rPr>
          <w:rFonts w:hint="eastAsia"/>
          <w:color w:val="auto"/>
          <w:spacing w:val="-4"/>
          <w:sz w:val="24"/>
          <w:u w:val="single"/>
          <w:lang w:val="en-US" w:eastAsia="zh-CN"/>
        </w:rPr>
        <w:t>COD、氨氮、总磷、总氮将</w:t>
      </w:r>
      <w:r>
        <w:rPr>
          <w:rFonts w:hint="eastAsia"/>
          <w:color w:val="auto"/>
          <w:spacing w:val="-4"/>
          <w:sz w:val="24"/>
          <w:u w:val="single"/>
        </w:rPr>
        <w:t>执行《石油炼制工业污染物排放标准》（</w:t>
      </w:r>
      <w:r>
        <w:rPr>
          <w:rFonts w:hint="default" w:ascii="Times New Roman" w:hAnsi="Times New Roman" w:eastAsia="Times New Roman"/>
          <w:color w:val="auto"/>
          <w:spacing w:val="-4"/>
          <w:sz w:val="24"/>
          <w:u w:val="single"/>
        </w:rPr>
        <w:t>GB31570- 2015</w:t>
      </w:r>
      <w:r>
        <w:rPr>
          <w:rFonts w:hint="eastAsia"/>
          <w:color w:val="auto"/>
          <w:spacing w:val="-4"/>
          <w:sz w:val="24"/>
          <w:u w:val="single"/>
        </w:rPr>
        <w:t>）中废水</w:t>
      </w:r>
      <w:r>
        <w:rPr>
          <w:rFonts w:hint="eastAsia"/>
          <w:color w:val="auto"/>
          <w:spacing w:val="-4"/>
          <w:sz w:val="24"/>
          <w:u w:val="single"/>
          <w:lang w:eastAsia="zh-CN"/>
        </w:rPr>
        <w:t>特别</w:t>
      </w:r>
      <w:r>
        <w:rPr>
          <w:rFonts w:hint="eastAsia"/>
          <w:color w:val="auto"/>
          <w:spacing w:val="-4"/>
          <w:sz w:val="24"/>
          <w:u w:val="single"/>
        </w:rPr>
        <w:t>排放标准要求。</w:t>
      </w:r>
      <w:r>
        <w:rPr>
          <w:rFonts w:hint="eastAsia"/>
          <w:color w:val="auto"/>
          <w:sz w:val="24"/>
          <w:u w:val="single"/>
        </w:rPr>
        <w:t xml:space="preserve">根据中国石油化工股份有限公司长岭分公司 </w:t>
      </w:r>
      <w:r>
        <w:rPr>
          <w:rFonts w:hint="default" w:ascii="Times New Roman" w:hAnsi="Times New Roman" w:eastAsia="Times New Roman"/>
          <w:color w:val="auto"/>
          <w:sz w:val="24"/>
          <w:u w:val="single"/>
        </w:rPr>
        <w:t>201</w:t>
      </w:r>
      <w:r>
        <w:rPr>
          <w:rFonts w:hint="eastAsia"/>
          <w:color w:val="auto"/>
          <w:sz w:val="24"/>
          <w:u w:val="single"/>
          <w:lang w:val="en-US" w:eastAsia="zh-CN"/>
        </w:rPr>
        <w:t>9</w:t>
      </w:r>
      <w:r>
        <w:rPr>
          <w:rFonts w:hint="eastAsia"/>
          <w:color w:val="auto"/>
          <w:sz w:val="24"/>
          <w:u w:val="single"/>
        </w:rPr>
        <w:t xml:space="preserve">年第 </w:t>
      </w:r>
      <w:r>
        <w:rPr>
          <w:rFonts w:hint="eastAsia"/>
          <w:color w:val="auto"/>
          <w:sz w:val="24"/>
          <w:u w:val="single"/>
          <w:lang w:val="en-US" w:eastAsia="zh-CN"/>
        </w:rPr>
        <w:t>1</w:t>
      </w:r>
      <w:r>
        <w:rPr>
          <w:rFonts w:hint="eastAsia"/>
          <w:color w:val="auto"/>
          <w:sz w:val="24"/>
          <w:u w:val="single"/>
        </w:rPr>
        <w:t>季度的监督性监测数据</w:t>
      </w:r>
      <w:r>
        <w:rPr>
          <w:rFonts w:hint="eastAsia"/>
          <w:color w:val="auto"/>
          <w:sz w:val="24"/>
          <w:u w:val="single"/>
          <w:lang w:eastAsia="zh-CN"/>
        </w:rPr>
        <w:t>可见长岭污水处理厂能够满足该排放标准要求</w:t>
      </w:r>
      <w:r>
        <w:rPr>
          <w:rFonts w:hint="eastAsia"/>
          <w:color w:val="auto"/>
          <w:sz w:val="24"/>
          <w:u w:val="single"/>
        </w:rPr>
        <w:t>：</w:t>
      </w:r>
    </w:p>
    <w:p>
      <w:pPr>
        <w:pStyle w:val="4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heme="majorEastAsia" w:hAnsiTheme="majorEastAsia" w:eastAsiaTheme="majorEastAsia" w:cstheme="majorEastAsia"/>
          <w:i w:val="0"/>
          <w:caps w:val="0"/>
          <w:color w:val="auto"/>
          <w:spacing w:val="0"/>
          <w:sz w:val="24"/>
          <w:szCs w:val="24"/>
          <w:u w:val="single"/>
        </w:rPr>
      </w:pPr>
      <w:r>
        <w:rPr>
          <w:rFonts w:hint="eastAsia" w:asciiTheme="majorEastAsia" w:hAnsiTheme="majorEastAsia" w:eastAsiaTheme="majorEastAsia" w:cstheme="majorEastAsia"/>
          <w:i w:val="0"/>
          <w:caps w:val="0"/>
          <w:color w:val="auto"/>
          <w:spacing w:val="0"/>
          <w:sz w:val="24"/>
          <w:szCs w:val="24"/>
          <w:u w:val="single"/>
          <w:shd w:val="clear" w:fill="FFFFFF"/>
          <w:lang w:eastAsia="zh-CN"/>
        </w:rPr>
        <w:t>表</w:t>
      </w:r>
      <w:r>
        <w:rPr>
          <w:rFonts w:hint="eastAsia" w:asciiTheme="majorEastAsia" w:hAnsiTheme="majorEastAsia" w:eastAsiaTheme="majorEastAsia" w:cstheme="majorEastAsia"/>
          <w:i w:val="0"/>
          <w:caps w:val="0"/>
          <w:color w:val="auto"/>
          <w:spacing w:val="0"/>
          <w:sz w:val="24"/>
          <w:szCs w:val="24"/>
          <w:u w:val="single"/>
          <w:shd w:val="clear" w:fill="FFFFFF"/>
          <w:lang w:val="en-US" w:eastAsia="zh-CN"/>
        </w:rPr>
        <w:t>6.2-1</w:t>
      </w:r>
      <w:r>
        <w:rPr>
          <w:rFonts w:hint="eastAsia" w:asciiTheme="majorEastAsia" w:hAnsiTheme="majorEastAsia" w:eastAsiaTheme="majorEastAsia" w:cstheme="majorEastAsia"/>
          <w:i w:val="0"/>
          <w:caps w:val="0"/>
          <w:color w:val="auto"/>
          <w:spacing w:val="0"/>
          <w:sz w:val="24"/>
          <w:szCs w:val="24"/>
          <w:u w:val="single"/>
          <w:shd w:val="clear" w:fill="FFFFFF"/>
        </w:rPr>
        <w:t>中国石油化工股份有限公司长岭分公司污染源废水监测数据表</w:t>
      </w:r>
    </w:p>
    <w:tbl>
      <w:tblPr>
        <w:tblStyle w:val="45"/>
        <w:tblW w:w="9486" w:type="dxa"/>
        <w:tblInd w:w="0" w:type="dxa"/>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shd w:val="clear" w:color="auto" w:fill="FFFFFF"/>
        <w:tblLayout w:type="fixed"/>
        <w:tblCellMar>
          <w:top w:w="0" w:type="dxa"/>
          <w:left w:w="0" w:type="dxa"/>
          <w:bottom w:w="0" w:type="dxa"/>
          <w:right w:w="0" w:type="dxa"/>
        </w:tblCellMar>
      </w:tblPr>
      <w:tblGrid>
        <w:gridCol w:w="756"/>
        <w:gridCol w:w="808"/>
        <w:gridCol w:w="618"/>
        <w:gridCol w:w="1699"/>
        <w:gridCol w:w="636"/>
        <w:gridCol w:w="1096"/>
        <w:gridCol w:w="826"/>
        <w:gridCol w:w="810"/>
        <w:gridCol w:w="514"/>
        <w:gridCol w:w="674"/>
        <w:gridCol w:w="552"/>
        <w:gridCol w:w="497"/>
      </w:tblGrid>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shd w:val="clear" w:color="auto" w:fill="FFFFFF"/>
          <w:tblLayout w:type="fixed"/>
          <w:tblCellMar>
            <w:top w:w="0" w:type="dxa"/>
            <w:left w:w="0" w:type="dxa"/>
            <w:bottom w:w="0" w:type="dxa"/>
            <w:right w:w="0" w:type="dxa"/>
          </w:tblCellMar>
        </w:tblPrEx>
        <w:tc>
          <w:tcPr>
            <w:tcW w:w="75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市（州）</w:t>
            </w:r>
          </w:p>
        </w:tc>
        <w:tc>
          <w:tcPr>
            <w:tcW w:w="808"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企业名称</w:t>
            </w:r>
          </w:p>
        </w:tc>
        <w:tc>
          <w:tcPr>
            <w:tcW w:w="618"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监测点名称</w:t>
            </w:r>
          </w:p>
        </w:tc>
        <w:tc>
          <w:tcPr>
            <w:tcW w:w="1699"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执行标准名称</w:t>
            </w:r>
          </w:p>
        </w:tc>
        <w:tc>
          <w:tcPr>
            <w:tcW w:w="63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监测日期</w:t>
            </w: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监测项目名称</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污染物浓度</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标准限值</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单位</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是否达标</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超标倍数</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备注</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岳阳市</w:t>
            </w:r>
          </w:p>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云溪区</w:t>
            </w:r>
          </w:p>
        </w:tc>
        <w:tc>
          <w:tcPr>
            <w:tcW w:w="808"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中国石油化工股份有限公司长岭分公司</w:t>
            </w:r>
          </w:p>
        </w:tc>
        <w:tc>
          <w:tcPr>
            <w:tcW w:w="618"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污水总排口</w:t>
            </w:r>
          </w:p>
        </w:tc>
        <w:tc>
          <w:tcPr>
            <w:tcW w:w="1699"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《石油炼制工业污染物排放标准》（GB31570-2015）表1中直接排放限值</w:t>
            </w:r>
          </w:p>
        </w:tc>
        <w:tc>
          <w:tcPr>
            <w:tcW w:w="636"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2019年4月8日</w:t>
            </w: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pH</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7.67-7.68</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6.0-9.0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无量纲</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悬浮物</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7</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70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化学需氧量</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39</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60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生化需氧量</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1.3</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20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氨氮</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0.208</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8.0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总氮</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17.1</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40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总磷</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0.15</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石油类</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0.06ND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5.0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硫化物</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挥发酚</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0.01ND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0.5</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0.1</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甲苯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0.1</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邻二甲苯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0.4</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间二甲苯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0.4</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对二甲苯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0.4</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乙苯</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0.4</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总氰化物</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0.001ND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0.5</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总铅</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0.01ND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vMerge w:val="restart"/>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进口相当于车间排口</w:t>
            </w: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总砷</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0.0039</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0.5</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总镍</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0.05ND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1.0</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r>
      <w:tr>
        <w:tblPrEx>
          <w:tblBorders>
            <w:top w:val="outset" w:color="000000" w:sz="6" w:space="0"/>
            <w:left w:val="outset" w:color="000000" w:sz="6" w:space="0"/>
            <w:bottom w:val="outset" w:color="000000" w:sz="6" w:space="0"/>
            <w:right w:val="outset" w:color="000000" w:sz="6" w:space="0"/>
            <w:insideH w:val="outset" w:color="000000" w:sz="6" w:space="0"/>
            <w:insideV w:val="outset" w:color="000000" w:sz="6" w:space="0"/>
          </w:tblBorders>
          <w:tblLayout w:type="fixed"/>
          <w:tblCellMar>
            <w:top w:w="0" w:type="dxa"/>
            <w:left w:w="0" w:type="dxa"/>
            <w:bottom w:w="0" w:type="dxa"/>
            <w:right w:w="0" w:type="dxa"/>
          </w:tblCellMar>
        </w:tblPrEx>
        <w:tc>
          <w:tcPr>
            <w:tcW w:w="75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80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18"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699"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636"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c>
          <w:tcPr>
            <w:tcW w:w="109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总汞</w:t>
            </w:r>
          </w:p>
        </w:tc>
        <w:tc>
          <w:tcPr>
            <w:tcW w:w="82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0.00004ND</w:t>
            </w:r>
          </w:p>
        </w:tc>
        <w:tc>
          <w:tcPr>
            <w:tcW w:w="810"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0.05</w:t>
            </w:r>
          </w:p>
        </w:tc>
        <w:tc>
          <w:tcPr>
            <w:tcW w:w="51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mg/L</w:t>
            </w:r>
          </w:p>
        </w:tc>
        <w:tc>
          <w:tcPr>
            <w:tcW w:w="674"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是</w:t>
            </w:r>
          </w:p>
        </w:tc>
        <w:tc>
          <w:tcPr>
            <w:tcW w:w="552"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4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75" w:lineRule="atLeast"/>
              <w:ind w:left="0" w:right="0"/>
              <w:jc w:val="center"/>
              <w:rPr>
                <w:color w:val="auto"/>
                <w:u w:val="single"/>
              </w:rPr>
            </w:pPr>
            <w:r>
              <w:rPr>
                <w:rFonts w:hint="eastAsia" w:ascii="宋体" w:hAnsi="宋体" w:eastAsia="宋体" w:cs="宋体"/>
                <w:i w:val="0"/>
                <w:caps w:val="0"/>
                <w:color w:val="auto"/>
                <w:spacing w:val="0"/>
                <w:sz w:val="18"/>
                <w:szCs w:val="18"/>
                <w:u w:val="single"/>
              </w:rPr>
              <w:t> </w:t>
            </w:r>
          </w:p>
        </w:tc>
        <w:tc>
          <w:tcPr>
            <w:tcW w:w="497" w:type="dxa"/>
            <w:vMerge w:val="continue"/>
            <w:tcBorders>
              <w:top w:val="outset" w:color="000000" w:sz="6" w:space="0"/>
              <w:left w:val="outset" w:color="000000" w:sz="6" w:space="0"/>
              <w:bottom w:val="outset" w:color="000000" w:sz="6" w:space="0"/>
              <w:right w:val="outset" w:color="000000" w:sz="6" w:space="0"/>
            </w:tcBorders>
            <w:shd w:val="clear" w:color="auto" w:fill="FFFFFF"/>
            <w:vAlign w:val="center"/>
          </w:tcPr>
          <w:p>
            <w:pPr>
              <w:rPr>
                <w:rFonts w:hint="eastAsia" w:ascii="宋体" w:hAnsi="宋体" w:eastAsia="宋体" w:cs="宋体"/>
                <w:i w:val="0"/>
                <w:caps w:val="0"/>
                <w:color w:val="auto"/>
                <w:spacing w:val="0"/>
                <w:sz w:val="18"/>
                <w:szCs w:val="18"/>
                <w:u w:val="single"/>
              </w:rPr>
            </w:pPr>
          </w:p>
        </w:tc>
      </w:tr>
    </w:tbl>
    <w:p>
      <w:pPr>
        <w:pStyle w:val="4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rPr>
          <w:rFonts w:hint="eastAsia" w:ascii="宋体" w:hAnsi="宋体" w:eastAsia="宋体" w:cs="宋体"/>
          <w:i w:val="0"/>
          <w:caps w:val="0"/>
          <w:color w:val="auto"/>
          <w:spacing w:val="0"/>
          <w:sz w:val="21"/>
          <w:szCs w:val="21"/>
          <w:u w:val="single"/>
        </w:rPr>
      </w:pPr>
      <w:r>
        <w:rPr>
          <w:rFonts w:hint="eastAsia" w:ascii="宋体" w:hAnsi="宋体" w:eastAsia="宋体" w:cs="宋体"/>
          <w:i w:val="0"/>
          <w:caps w:val="0"/>
          <w:color w:val="auto"/>
          <w:spacing w:val="0"/>
          <w:sz w:val="21"/>
          <w:szCs w:val="21"/>
          <w:u w:val="single"/>
          <w:shd w:val="clear" w:fill="FFFFFF"/>
        </w:rPr>
        <w:t>注：ND表示未检出。</w:t>
      </w:r>
    </w:p>
    <w:p>
      <w:pPr>
        <w:pStyle w:val="22"/>
        <w:kinsoku w:val="0"/>
        <w:overflowPunct w:val="0"/>
        <w:spacing w:beforeLines="0" w:afterLines="0" w:line="364" w:lineRule="auto"/>
        <w:ind w:right="313" w:firstLine="480"/>
        <w:jc w:val="both"/>
        <w:rPr>
          <w:rFonts w:hint="eastAsia"/>
          <w:color w:val="auto"/>
          <w:sz w:val="24"/>
          <w:u w:val="single"/>
          <w:lang w:eastAsia="zh-CN"/>
        </w:rPr>
        <w:sectPr>
          <w:type w:val="continuous"/>
          <w:pgSz w:w="11910" w:h="16840"/>
          <w:pgMar w:top="1620" w:right="1100" w:bottom="1160" w:left="1180" w:header="897" w:footer="975" w:gutter="0"/>
          <w:pgBorders>
            <w:top w:val="none" w:sz="0" w:space="0"/>
            <w:left w:val="none" w:sz="0" w:space="0"/>
            <w:bottom w:val="none" w:sz="0" w:space="0"/>
            <w:right w:val="none" w:sz="0" w:space="0"/>
          </w:pgBorders>
          <w:lnNumType w:countBy="0" w:distance="360"/>
          <w:pgNumType w:fmt="decimal"/>
          <w:cols w:space="720" w:num="1"/>
        </w:sectPr>
      </w:pPr>
    </w:p>
    <w:p>
      <w:pPr>
        <w:pStyle w:val="7"/>
        <w:numPr>
          <w:ilvl w:val="2"/>
          <w:numId w:val="0"/>
        </w:numPr>
        <w:spacing w:before="120" w:beforeLines="0" w:after="120" w:afterLines="0"/>
        <w:rPr>
          <w:color w:val="auto"/>
        </w:rPr>
      </w:pPr>
      <w:bookmarkStart w:id="368" w:name="_Toc1066"/>
      <w:r>
        <w:rPr>
          <w:rFonts w:hint="eastAsia"/>
          <w:color w:val="auto"/>
          <w:lang w:val="en-US" w:eastAsia="zh-CN"/>
        </w:rPr>
        <w:t xml:space="preserve">6.2.3 </w:t>
      </w:r>
      <w:r>
        <w:rPr>
          <w:rFonts w:hint="eastAsia"/>
          <w:color w:val="auto"/>
        </w:rPr>
        <w:t>以新带老措施分析</w:t>
      </w:r>
      <w:bookmarkEnd w:id="368"/>
    </w:p>
    <w:p>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本项目为在现有工程基础上的</w:t>
      </w:r>
      <w:r>
        <w:rPr>
          <w:rFonts w:hint="eastAsia" w:ascii="Times New Roman" w:hAnsi="Times New Roman"/>
          <w:color w:val="auto"/>
          <w:sz w:val="24"/>
          <w:szCs w:val="24"/>
          <w:lang w:eastAsia="zh-CN"/>
        </w:rPr>
        <w:t>改</w:t>
      </w:r>
      <w:r>
        <w:rPr>
          <w:rFonts w:hint="eastAsia" w:ascii="Times New Roman" w:hAnsi="Times New Roman"/>
          <w:color w:val="auto"/>
          <w:sz w:val="24"/>
          <w:szCs w:val="24"/>
        </w:rPr>
        <w:t>建工程，</w:t>
      </w:r>
      <w:r>
        <w:rPr>
          <w:rFonts w:hint="eastAsia" w:ascii="Times New Roman" w:hAnsi="Times New Roman"/>
          <w:color w:val="auto"/>
          <w:sz w:val="24"/>
          <w:szCs w:val="24"/>
          <w:lang w:eastAsia="zh-CN"/>
        </w:rPr>
        <w:t>属于安全隐患治理项目，改造前后污染物量及浓度变化不大，无以新带老功能</w:t>
      </w:r>
      <w:r>
        <w:rPr>
          <w:rFonts w:hint="eastAsia" w:ascii="Times New Roman" w:hAnsi="Times New Roman"/>
          <w:color w:val="auto"/>
          <w:sz w:val="24"/>
          <w:szCs w:val="24"/>
        </w:rPr>
        <w:t>。</w:t>
      </w:r>
    </w:p>
    <w:p>
      <w:pPr>
        <w:pStyle w:val="6"/>
        <w:numPr>
          <w:ilvl w:val="1"/>
          <w:numId w:val="0"/>
        </w:numPr>
        <w:spacing w:before="120" w:beforeLines="0" w:after="120" w:afterLines="0"/>
        <w:ind w:leftChars="0"/>
        <w:rPr>
          <w:color w:val="auto"/>
        </w:rPr>
      </w:pPr>
      <w:bookmarkStart w:id="369" w:name="_Toc3369"/>
      <w:r>
        <w:rPr>
          <w:rFonts w:hint="eastAsia"/>
          <w:color w:val="auto"/>
          <w:lang w:val="en-US" w:eastAsia="zh-CN"/>
        </w:rPr>
        <w:t xml:space="preserve">6.3 </w:t>
      </w:r>
      <w:r>
        <w:rPr>
          <w:rFonts w:hint="eastAsia"/>
          <w:color w:val="auto"/>
        </w:rPr>
        <w:t>地下水防治措施分析</w:t>
      </w:r>
      <w:bookmarkEnd w:id="369"/>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本项目地下水污染防治措施按照“源头控制、分区防治、污染监控、应急响应”相结合的原则，从污染物的产生、入渗、扩散、应急响应进行控制。</w:t>
      </w:r>
    </w:p>
    <w:p>
      <w:pPr>
        <w:pStyle w:val="7"/>
        <w:numPr>
          <w:ilvl w:val="2"/>
          <w:numId w:val="0"/>
        </w:numPr>
        <w:spacing w:before="120" w:beforeLines="0" w:after="120" w:afterLines="0"/>
        <w:rPr>
          <w:rFonts w:hint="eastAsia"/>
          <w:color w:val="auto"/>
          <w:u w:val="none"/>
          <w:lang w:val="en-US" w:eastAsia="zh-CN"/>
        </w:rPr>
      </w:pPr>
      <w:bookmarkStart w:id="370" w:name="_Toc18983"/>
      <w:r>
        <w:rPr>
          <w:rFonts w:hint="eastAsia"/>
          <w:color w:val="auto"/>
          <w:u w:val="none"/>
          <w:lang w:val="en-US" w:eastAsia="zh-CN"/>
        </w:rPr>
        <w:t>6.3.1 源头控制措施</w:t>
      </w:r>
      <w:bookmarkEnd w:id="370"/>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项目应积极采用节能减排及清洁生产技术，不断改进生产工艺，降低污染物产生量和排放量，尽可能从源头上减少污染物的产生，防止环境污染；严格按照国家相关规范要求，对工艺、管道、设备采取相应的措施，以防止和降低可能污染物的跑、冒、滴、漏，将废水泄漏的环境风险事故降低到最低程度。</w:t>
      </w:r>
    </w:p>
    <w:p>
      <w:pPr>
        <w:pStyle w:val="7"/>
        <w:numPr>
          <w:ilvl w:val="2"/>
          <w:numId w:val="0"/>
        </w:numPr>
        <w:spacing w:before="120" w:beforeLines="0" w:after="120" w:afterLines="0"/>
        <w:rPr>
          <w:color w:val="auto"/>
          <w:u w:val="none"/>
        </w:rPr>
      </w:pPr>
      <w:bookmarkStart w:id="371" w:name="_Toc14127"/>
      <w:r>
        <w:rPr>
          <w:rFonts w:hint="eastAsia"/>
          <w:color w:val="auto"/>
          <w:u w:val="none"/>
          <w:lang w:val="en-US" w:eastAsia="zh-CN"/>
        </w:rPr>
        <w:t xml:space="preserve">6.3.2 </w:t>
      </w:r>
      <w:r>
        <w:rPr>
          <w:rFonts w:hint="eastAsia"/>
          <w:color w:val="auto"/>
          <w:u w:val="none"/>
        </w:rPr>
        <w:t>分区防护措施</w:t>
      </w:r>
      <w:bookmarkEnd w:id="371"/>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防渗是控制污染物进一步下渗的重要措施，可以大大降低地下水被污染的风险。参照《石油化工工程防渗技术规范》(GBT50934-2013)中相关要求，将建设场地划分为重点污染防治区、一般污染防治区和非污染防治区，具体分区情况见下表。</w:t>
      </w:r>
    </w:p>
    <w:p>
      <w:pPr>
        <w:pStyle w:val="18"/>
        <w:rPr>
          <w:color w:val="auto"/>
          <w:szCs w:val="21"/>
          <w:u w:val="none"/>
        </w:rPr>
      </w:pPr>
      <w:r>
        <w:rPr>
          <w:color w:val="auto"/>
          <w:u w:val="none"/>
        </w:rPr>
        <w:t xml:space="preserve">表 </w:t>
      </w:r>
      <w:r>
        <w:rPr>
          <w:rFonts w:hint="eastAsia"/>
          <w:color w:val="auto"/>
          <w:u w:val="none"/>
          <w:lang w:val="en-US" w:eastAsia="zh-CN"/>
        </w:rPr>
        <w:t>6.3-1</w:t>
      </w:r>
      <w:r>
        <w:rPr>
          <w:color w:val="auto"/>
          <w:szCs w:val="21"/>
          <w:u w:val="none"/>
        </w:rPr>
        <w:t xml:space="preserve">  项目污染防治分区</w:t>
      </w:r>
    </w:p>
    <w:tbl>
      <w:tblPr>
        <w:tblStyle w:val="45"/>
        <w:tblW w:w="8600"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186"/>
        <w:gridCol w:w="3346"/>
        <w:gridCol w:w="206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67" w:hRule="atLeast"/>
          <w:jc w:val="center"/>
        </w:trPr>
        <w:tc>
          <w:tcPr>
            <w:tcW w:w="3186" w:type="dxa"/>
            <w:vAlign w:val="center"/>
          </w:tcPr>
          <w:p>
            <w:pPr>
              <w:jc w:val="center"/>
              <w:rPr>
                <w:rFonts w:ascii="Times New Roman" w:hAnsi="Times New Roman"/>
                <w:b/>
                <w:color w:val="auto"/>
                <w:szCs w:val="21"/>
                <w:u w:val="none"/>
              </w:rPr>
            </w:pPr>
            <w:r>
              <w:rPr>
                <w:rFonts w:ascii="Times New Roman" w:hAnsi="Times New Roman"/>
                <w:b/>
                <w:color w:val="auto"/>
                <w:szCs w:val="21"/>
                <w:u w:val="none"/>
              </w:rPr>
              <w:t>装置、单元名称</w:t>
            </w:r>
          </w:p>
        </w:tc>
        <w:tc>
          <w:tcPr>
            <w:tcW w:w="3346" w:type="dxa"/>
            <w:vAlign w:val="center"/>
          </w:tcPr>
          <w:p>
            <w:pPr>
              <w:jc w:val="center"/>
              <w:rPr>
                <w:rFonts w:ascii="Times New Roman" w:hAnsi="Times New Roman"/>
                <w:b/>
                <w:color w:val="auto"/>
                <w:szCs w:val="21"/>
                <w:u w:val="none"/>
              </w:rPr>
            </w:pPr>
            <w:r>
              <w:rPr>
                <w:rFonts w:ascii="Times New Roman" w:hAnsi="Times New Roman"/>
                <w:b/>
                <w:color w:val="auto"/>
                <w:szCs w:val="21"/>
                <w:u w:val="none"/>
              </w:rPr>
              <w:t>污染防治区域及部位</w:t>
            </w:r>
          </w:p>
        </w:tc>
        <w:tc>
          <w:tcPr>
            <w:tcW w:w="2068" w:type="dxa"/>
            <w:vAlign w:val="center"/>
          </w:tcPr>
          <w:p>
            <w:pPr>
              <w:jc w:val="center"/>
              <w:rPr>
                <w:rFonts w:ascii="Times New Roman" w:hAnsi="Times New Roman"/>
                <w:b/>
                <w:color w:val="auto"/>
                <w:szCs w:val="21"/>
                <w:u w:val="none"/>
              </w:rPr>
            </w:pPr>
            <w:r>
              <w:rPr>
                <w:rFonts w:ascii="Times New Roman" w:hAnsi="Times New Roman"/>
                <w:b/>
                <w:color w:val="auto"/>
                <w:szCs w:val="21"/>
                <w:u w:val="none"/>
              </w:rPr>
              <w:t>污染防治区类别</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67" w:hRule="atLeast"/>
          <w:jc w:val="center"/>
        </w:trPr>
        <w:tc>
          <w:tcPr>
            <w:tcW w:w="3186" w:type="dxa"/>
            <w:vAlign w:val="center"/>
          </w:tcPr>
          <w:p>
            <w:pPr>
              <w:jc w:val="center"/>
              <w:rPr>
                <w:rFonts w:ascii="Times New Roman" w:hAnsi="Times New Roman"/>
                <w:color w:val="auto"/>
                <w:szCs w:val="21"/>
                <w:u w:val="none"/>
              </w:rPr>
            </w:pPr>
            <w:r>
              <w:rPr>
                <w:rFonts w:ascii="Times New Roman" w:hAnsi="Times New Roman"/>
                <w:color w:val="auto"/>
                <w:szCs w:val="21"/>
                <w:u w:val="none"/>
              </w:rPr>
              <w:t>地下管道</w:t>
            </w:r>
          </w:p>
        </w:tc>
        <w:tc>
          <w:tcPr>
            <w:tcW w:w="3346" w:type="dxa"/>
            <w:vAlign w:val="center"/>
          </w:tcPr>
          <w:p>
            <w:pPr>
              <w:jc w:val="center"/>
              <w:rPr>
                <w:rFonts w:ascii="Times New Roman" w:hAnsi="Times New Roman"/>
                <w:color w:val="auto"/>
                <w:szCs w:val="21"/>
                <w:u w:val="none"/>
              </w:rPr>
            </w:pPr>
            <w:r>
              <w:rPr>
                <w:rFonts w:ascii="Times New Roman" w:hAnsi="Times New Roman"/>
                <w:color w:val="auto"/>
                <w:szCs w:val="21"/>
                <w:u w:val="none"/>
              </w:rPr>
              <w:t>污水地下管道</w:t>
            </w:r>
          </w:p>
        </w:tc>
        <w:tc>
          <w:tcPr>
            <w:tcW w:w="2068" w:type="dxa"/>
            <w:vAlign w:val="center"/>
          </w:tcPr>
          <w:p>
            <w:pPr>
              <w:jc w:val="center"/>
              <w:rPr>
                <w:rFonts w:ascii="Times New Roman" w:hAnsi="Times New Roman"/>
                <w:color w:val="auto"/>
                <w:szCs w:val="21"/>
                <w:u w:val="none"/>
              </w:rPr>
            </w:pPr>
            <w:r>
              <w:rPr>
                <w:rFonts w:ascii="Times New Roman" w:hAnsi="Times New Roman"/>
                <w:color w:val="auto"/>
                <w:szCs w:val="21"/>
                <w:u w:val="none"/>
              </w:rPr>
              <w:t>重点</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67" w:hRule="atLeast"/>
          <w:jc w:val="center"/>
        </w:trPr>
        <w:tc>
          <w:tcPr>
            <w:tcW w:w="3186" w:type="dxa"/>
            <w:vAlign w:val="center"/>
          </w:tcPr>
          <w:p>
            <w:pPr>
              <w:jc w:val="center"/>
              <w:rPr>
                <w:rFonts w:hint="eastAsia" w:ascii="Times New Roman" w:hAnsi="Times New Roman" w:eastAsia="宋体"/>
                <w:color w:val="auto"/>
                <w:szCs w:val="21"/>
                <w:u w:val="none"/>
                <w:lang w:eastAsia="zh-CN"/>
              </w:rPr>
            </w:pPr>
            <w:r>
              <w:rPr>
                <w:rFonts w:hint="eastAsia" w:ascii="Times New Roman" w:hAnsi="Times New Roman"/>
                <w:color w:val="auto"/>
                <w:szCs w:val="21"/>
                <w:u w:val="none"/>
                <w:lang w:eastAsia="zh-CN"/>
              </w:rPr>
              <w:t>管廊</w:t>
            </w:r>
          </w:p>
        </w:tc>
        <w:tc>
          <w:tcPr>
            <w:tcW w:w="3346" w:type="dxa"/>
            <w:vAlign w:val="center"/>
          </w:tcPr>
          <w:p>
            <w:pPr>
              <w:jc w:val="center"/>
              <w:rPr>
                <w:rFonts w:hint="eastAsia" w:ascii="Times New Roman" w:hAnsi="Times New Roman" w:eastAsia="宋体"/>
                <w:color w:val="auto"/>
                <w:szCs w:val="21"/>
                <w:u w:val="none"/>
                <w:lang w:eastAsia="zh-CN"/>
              </w:rPr>
            </w:pPr>
            <w:r>
              <w:rPr>
                <w:rFonts w:hint="eastAsia" w:ascii="Times New Roman" w:hAnsi="Times New Roman"/>
                <w:color w:val="auto"/>
                <w:szCs w:val="21"/>
                <w:u w:val="none"/>
                <w:lang w:eastAsia="zh-CN"/>
              </w:rPr>
              <w:t>管廊地面</w:t>
            </w:r>
          </w:p>
        </w:tc>
        <w:tc>
          <w:tcPr>
            <w:tcW w:w="2068" w:type="dxa"/>
            <w:vAlign w:val="center"/>
          </w:tcPr>
          <w:p>
            <w:pPr>
              <w:jc w:val="center"/>
              <w:rPr>
                <w:rFonts w:ascii="Times New Roman" w:hAnsi="Times New Roman"/>
                <w:color w:val="auto"/>
                <w:szCs w:val="21"/>
                <w:u w:val="none"/>
              </w:rPr>
            </w:pPr>
            <w:r>
              <w:rPr>
                <w:rFonts w:ascii="Times New Roman" w:hAnsi="Times New Roman"/>
                <w:color w:val="auto"/>
                <w:szCs w:val="21"/>
                <w:u w:val="none"/>
              </w:rPr>
              <w:t>一般</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67" w:hRule="atLeast"/>
          <w:jc w:val="center"/>
        </w:trPr>
        <w:tc>
          <w:tcPr>
            <w:tcW w:w="3186" w:type="dxa"/>
            <w:vAlign w:val="center"/>
          </w:tcPr>
          <w:p>
            <w:pPr>
              <w:jc w:val="center"/>
              <w:rPr>
                <w:rFonts w:hint="eastAsia" w:ascii="Times New Roman" w:hAnsi="Times New Roman" w:eastAsia="宋体"/>
                <w:color w:val="auto"/>
                <w:szCs w:val="21"/>
                <w:u w:val="none"/>
                <w:lang w:eastAsia="zh-CN"/>
              </w:rPr>
            </w:pPr>
            <w:r>
              <w:rPr>
                <w:rFonts w:hint="eastAsia" w:ascii="Times New Roman" w:hAnsi="Times New Roman"/>
                <w:color w:val="auto"/>
                <w:szCs w:val="21"/>
                <w:u w:val="none"/>
                <w:lang w:eastAsia="zh-CN"/>
              </w:rPr>
              <w:t>泵区</w:t>
            </w:r>
          </w:p>
        </w:tc>
        <w:tc>
          <w:tcPr>
            <w:tcW w:w="3346" w:type="dxa"/>
            <w:vAlign w:val="center"/>
          </w:tcPr>
          <w:p>
            <w:pPr>
              <w:jc w:val="center"/>
              <w:rPr>
                <w:rFonts w:ascii="Times New Roman" w:hAnsi="Times New Roman"/>
                <w:color w:val="auto"/>
                <w:szCs w:val="21"/>
                <w:u w:val="none"/>
              </w:rPr>
            </w:pPr>
            <w:r>
              <w:rPr>
                <w:rFonts w:hint="eastAsia" w:ascii="Times New Roman" w:hAnsi="Times New Roman"/>
                <w:color w:val="auto"/>
                <w:szCs w:val="21"/>
                <w:u w:val="none"/>
                <w:lang w:eastAsia="zh-CN"/>
              </w:rPr>
              <w:t>泵区</w:t>
            </w:r>
            <w:r>
              <w:rPr>
                <w:rFonts w:hint="eastAsia" w:ascii="Times New Roman" w:hAnsi="Times New Roman"/>
                <w:color w:val="auto"/>
                <w:szCs w:val="21"/>
                <w:u w:val="none"/>
              </w:rPr>
              <w:t>地面</w:t>
            </w:r>
          </w:p>
        </w:tc>
        <w:tc>
          <w:tcPr>
            <w:tcW w:w="2068" w:type="dxa"/>
            <w:vAlign w:val="center"/>
          </w:tcPr>
          <w:p>
            <w:pPr>
              <w:jc w:val="center"/>
              <w:rPr>
                <w:rFonts w:ascii="Times New Roman" w:hAnsi="Times New Roman"/>
                <w:color w:val="auto"/>
                <w:szCs w:val="21"/>
                <w:u w:val="none"/>
              </w:rPr>
            </w:pPr>
            <w:r>
              <w:rPr>
                <w:rFonts w:ascii="Times New Roman" w:hAnsi="Times New Roman"/>
                <w:color w:val="auto"/>
                <w:szCs w:val="21"/>
                <w:u w:val="none"/>
              </w:rPr>
              <w:t>一般</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67" w:hRule="atLeast"/>
          <w:jc w:val="center"/>
        </w:trPr>
        <w:tc>
          <w:tcPr>
            <w:tcW w:w="3186" w:type="dxa"/>
            <w:vAlign w:val="center"/>
          </w:tcPr>
          <w:p>
            <w:pPr>
              <w:jc w:val="center"/>
              <w:rPr>
                <w:rFonts w:hint="eastAsia" w:ascii="Times New Roman" w:hAnsi="Times New Roman"/>
                <w:color w:val="auto"/>
                <w:szCs w:val="21"/>
                <w:u w:val="none"/>
                <w:lang w:eastAsia="zh-CN"/>
              </w:rPr>
            </w:pPr>
            <w:r>
              <w:rPr>
                <w:rFonts w:hint="eastAsia" w:ascii="Times New Roman" w:hAnsi="Times New Roman"/>
                <w:color w:val="auto"/>
                <w:szCs w:val="21"/>
                <w:u w:val="none"/>
                <w:lang w:eastAsia="zh-CN"/>
              </w:rPr>
              <w:t>雨水明沟</w:t>
            </w:r>
          </w:p>
        </w:tc>
        <w:tc>
          <w:tcPr>
            <w:tcW w:w="3346" w:type="dxa"/>
            <w:vAlign w:val="center"/>
          </w:tcPr>
          <w:p>
            <w:pPr>
              <w:jc w:val="center"/>
              <w:rPr>
                <w:rFonts w:hint="eastAsia" w:ascii="Times New Roman" w:hAnsi="Times New Roman"/>
                <w:color w:val="auto"/>
                <w:szCs w:val="21"/>
                <w:u w:val="none"/>
                <w:lang w:eastAsia="zh-CN"/>
              </w:rPr>
            </w:pPr>
            <w:r>
              <w:rPr>
                <w:rFonts w:hint="eastAsia" w:ascii="Times New Roman" w:hAnsi="Times New Roman"/>
                <w:color w:val="auto"/>
                <w:szCs w:val="21"/>
                <w:u w:val="none"/>
                <w:lang w:eastAsia="zh-CN"/>
              </w:rPr>
              <w:t>雨水明沟</w:t>
            </w:r>
          </w:p>
        </w:tc>
        <w:tc>
          <w:tcPr>
            <w:tcW w:w="2068" w:type="dxa"/>
            <w:vAlign w:val="center"/>
          </w:tcPr>
          <w:p>
            <w:pPr>
              <w:jc w:val="center"/>
              <w:rPr>
                <w:rFonts w:ascii="Times New Roman" w:hAnsi="Times New Roman"/>
                <w:color w:val="auto"/>
                <w:szCs w:val="21"/>
                <w:u w:val="none"/>
              </w:rPr>
            </w:pPr>
            <w:r>
              <w:rPr>
                <w:rFonts w:ascii="Times New Roman" w:hAnsi="Times New Roman"/>
                <w:color w:val="auto"/>
                <w:szCs w:val="21"/>
                <w:u w:val="none"/>
              </w:rPr>
              <w:t>一般</w:t>
            </w:r>
          </w:p>
        </w:tc>
      </w:tr>
    </w:tbl>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（1）重点污染防治区</w:t>
      </w:r>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对于位于地下或者半地下的生产功能单元，发生物料泄漏后不容易及时发现和处理的区域或部位，将其划分为重点污染防治区，包括地下污水管道部位。</w:t>
      </w:r>
    </w:p>
    <w:p>
      <w:pPr>
        <w:pStyle w:val="17"/>
        <w:snapToGrid w:val="0"/>
        <w:spacing w:line="360" w:lineRule="auto"/>
        <w:ind w:firstLine="480"/>
        <w:rPr>
          <w:color w:val="auto"/>
          <w:sz w:val="24"/>
          <w:u w:val="none"/>
        </w:rPr>
      </w:pPr>
      <w:r>
        <w:rPr>
          <w:rFonts w:hint="eastAsia"/>
          <w:color w:val="auto"/>
          <w:sz w:val="24"/>
          <w:u w:val="none"/>
        </w:rPr>
        <w:t>本项目</w:t>
      </w:r>
      <w:r>
        <w:rPr>
          <w:color w:val="auto"/>
          <w:sz w:val="24"/>
          <w:u w:val="none"/>
        </w:rPr>
        <w:t>污水管道（包括露天和埋地管道）应按照《给排水工程管道结构设计规范》（GB50233-2002）的要求严格设计，污水管道使用防渗漏材料，管道接口处加沥青膏封口，对管道基础或地基采用加固措施，避免管道渗漏对地下水的影响。</w:t>
      </w:r>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（2）一般污染防治区</w:t>
      </w:r>
    </w:p>
    <w:p>
      <w:pPr>
        <w:spacing w:line="360" w:lineRule="auto"/>
        <w:ind w:firstLine="480" w:firstLineChars="200"/>
        <w:rPr>
          <w:rFonts w:ascii="Times New Roman" w:hAnsi="Times New Roman"/>
          <w:color w:val="auto"/>
          <w:sz w:val="24"/>
          <w:u w:val="none"/>
        </w:rPr>
      </w:pPr>
      <w:r>
        <w:rPr>
          <w:rFonts w:hint="eastAsia" w:ascii="Times New Roman" w:hAnsi="Times New Roman"/>
          <w:color w:val="auto"/>
          <w:sz w:val="24"/>
          <w:u w:val="none"/>
        </w:rPr>
        <w:t>按照《石油化工工程防渗技术规范》(GBT50934-2013)石油化工储运工程区的典型污染防治分区原则，本项目</w:t>
      </w:r>
      <w:r>
        <w:rPr>
          <w:rFonts w:hint="eastAsia" w:ascii="Times New Roman" w:hAnsi="Times New Roman"/>
          <w:color w:val="auto"/>
          <w:sz w:val="24"/>
          <w:u w:val="none"/>
          <w:lang w:eastAsia="zh-CN"/>
        </w:rPr>
        <w:t>泵区及管廊</w:t>
      </w:r>
      <w:r>
        <w:rPr>
          <w:rFonts w:hint="eastAsia" w:ascii="Times New Roman" w:hAnsi="Times New Roman"/>
          <w:color w:val="auto"/>
          <w:sz w:val="24"/>
          <w:u w:val="none"/>
        </w:rPr>
        <w:t>、雨水明沟均为一般污染防治区。其渗透性能应不低于1.5m厚渗透系数为1.0×10</w:t>
      </w:r>
      <w:r>
        <w:rPr>
          <w:rFonts w:hint="eastAsia" w:ascii="Times New Roman" w:hAnsi="Times New Roman"/>
          <w:color w:val="auto"/>
          <w:sz w:val="24"/>
          <w:u w:val="none"/>
          <w:vertAlign w:val="superscript"/>
        </w:rPr>
        <w:t>-7</w:t>
      </w:r>
      <w:r>
        <w:rPr>
          <w:rFonts w:hint="eastAsia" w:ascii="Times New Roman" w:hAnsi="Times New Roman"/>
          <w:color w:val="auto"/>
          <w:sz w:val="24"/>
          <w:u w:val="none"/>
        </w:rPr>
        <w:t>cm/s的黏土层防渗性能。</w:t>
      </w:r>
    </w:p>
    <w:p>
      <w:pPr>
        <w:pStyle w:val="7"/>
        <w:numPr>
          <w:ilvl w:val="2"/>
          <w:numId w:val="0"/>
        </w:numPr>
        <w:spacing w:before="120" w:beforeLines="0" w:after="120" w:afterLines="0"/>
        <w:ind w:left="142" w:leftChars="0"/>
        <w:rPr>
          <w:color w:val="auto"/>
          <w:u w:val="none"/>
        </w:rPr>
      </w:pPr>
      <w:bookmarkStart w:id="372" w:name="_Toc16450"/>
      <w:r>
        <w:rPr>
          <w:rFonts w:hint="eastAsia"/>
          <w:color w:val="auto"/>
          <w:u w:val="none"/>
          <w:lang w:val="en-US" w:eastAsia="zh-CN"/>
        </w:rPr>
        <w:t xml:space="preserve">6.3.3 </w:t>
      </w:r>
      <w:r>
        <w:rPr>
          <w:rFonts w:hint="eastAsia"/>
          <w:color w:val="auto"/>
          <w:u w:val="none"/>
        </w:rPr>
        <w:t>地下水监测与管理</w:t>
      </w:r>
      <w:bookmarkEnd w:id="372"/>
    </w:p>
    <w:p>
      <w:pPr>
        <w:spacing w:line="360" w:lineRule="auto"/>
        <w:ind w:firstLine="480" w:firstLineChars="200"/>
        <w:rPr>
          <w:rFonts w:ascii="Times New Roman" w:hAnsi="Times New Roman"/>
          <w:color w:val="auto"/>
          <w:sz w:val="24"/>
          <w:u w:val="none"/>
        </w:rPr>
      </w:pPr>
      <w:r>
        <w:rPr>
          <w:rFonts w:ascii="Times New Roman" w:hAnsi="Times New Roman"/>
          <w:color w:val="auto"/>
          <w:sz w:val="24"/>
          <w:u w:val="none"/>
        </w:rPr>
        <w:t>（1）根据项目生产运营及项目区地下水环境特征需建立合理、可行、操作性强的防治地下水污染的环境管理体系，包括环境监测方案和向环境保护行政主管部门报告等制度。</w:t>
      </w:r>
    </w:p>
    <w:p>
      <w:pPr>
        <w:spacing w:line="360" w:lineRule="auto"/>
        <w:ind w:firstLine="480" w:firstLineChars="200"/>
        <w:rPr>
          <w:rFonts w:ascii="Times New Roman" w:hAnsi="Times New Roman"/>
          <w:color w:val="auto"/>
          <w:sz w:val="24"/>
          <w:u w:val="none"/>
        </w:rPr>
      </w:pPr>
      <w:r>
        <w:rPr>
          <w:rFonts w:ascii="Times New Roman" w:hAnsi="Times New Roman"/>
          <w:color w:val="auto"/>
          <w:sz w:val="24"/>
          <w:u w:val="none"/>
        </w:rPr>
        <w:t>（2）根据《环境影响评价技术导则 地下水环境》（HJ610-2016）要求，本项目应至少在建设项目场地下游布设1个，</w:t>
      </w:r>
      <w:r>
        <w:rPr>
          <w:rFonts w:hint="eastAsia" w:ascii="Times New Roman" w:hAnsi="Times New Roman"/>
          <w:color w:val="auto"/>
          <w:sz w:val="24"/>
          <w:u w:val="none"/>
          <w:lang w:eastAsia="zh-CN"/>
        </w:rPr>
        <w:t>公司已在本项目西边</w:t>
      </w:r>
      <w:r>
        <w:rPr>
          <w:rFonts w:ascii="Times New Roman" w:hAnsi="Times New Roman"/>
          <w:color w:val="auto"/>
          <w:sz w:val="24"/>
          <w:u w:val="none"/>
        </w:rPr>
        <w:t>设置</w:t>
      </w:r>
      <w:r>
        <w:rPr>
          <w:rFonts w:hint="eastAsia" w:ascii="Times New Roman" w:hAnsi="Times New Roman"/>
          <w:color w:val="auto"/>
          <w:sz w:val="24"/>
          <w:u w:val="none"/>
          <w:lang w:eastAsia="zh-CN"/>
        </w:rPr>
        <w:t>了</w:t>
      </w:r>
      <w:r>
        <w:rPr>
          <w:rFonts w:hint="eastAsia" w:ascii="Times New Roman" w:hAnsi="Times New Roman"/>
          <w:color w:val="auto"/>
          <w:sz w:val="24"/>
          <w:u w:val="none"/>
        </w:rPr>
        <w:t>1</w:t>
      </w:r>
      <w:r>
        <w:rPr>
          <w:rFonts w:ascii="Times New Roman" w:hAnsi="Times New Roman"/>
          <w:color w:val="auto"/>
          <w:sz w:val="24"/>
          <w:u w:val="none"/>
        </w:rPr>
        <w:t>座监控井。</w:t>
      </w:r>
    </w:p>
    <w:p>
      <w:pPr>
        <w:pStyle w:val="7"/>
        <w:numPr>
          <w:ilvl w:val="2"/>
          <w:numId w:val="0"/>
        </w:numPr>
        <w:spacing w:before="120" w:beforeLines="0" w:after="120" w:afterLines="0"/>
        <w:rPr>
          <w:color w:val="auto"/>
        </w:rPr>
      </w:pPr>
      <w:bookmarkStart w:id="373" w:name="_Toc16374"/>
      <w:r>
        <w:rPr>
          <w:rFonts w:hint="eastAsia"/>
          <w:color w:val="auto"/>
          <w:lang w:val="en-US" w:eastAsia="zh-CN"/>
        </w:rPr>
        <w:t xml:space="preserve">6.3.4 </w:t>
      </w:r>
      <w:r>
        <w:rPr>
          <w:rFonts w:hint="eastAsia"/>
          <w:color w:val="auto"/>
        </w:rPr>
        <w:t>应急响应</w:t>
      </w:r>
      <w:bookmarkEnd w:id="373"/>
    </w:p>
    <w:p>
      <w:pPr>
        <w:spacing w:line="360" w:lineRule="auto"/>
        <w:ind w:firstLine="480" w:firstLineChars="200"/>
        <w:rPr>
          <w:rFonts w:ascii="Times New Roman" w:hAnsi="Times New Roman"/>
          <w:color w:val="auto"/>
          <w:sz w:val="24"/>
        </w:rPr>
      </w:pPr>
      <w:r>
        <w:rPr>
          <w:rFonts w:ascii="Times New Roman" w:hAnsi="Times New Roman"/>
          <w:color w:val="auto"/>
          <w:sz w:val="24"/>
        </w:rPr>
        <w:t>当地下水被污染可采取抽水净化法的治理方法：控制污染源并查清污染范围后，在污染区范围内已布置抽水井，将被污染的地下水直接抽排出地表，进入污水处理站调节池，处理达标后</w:t>
      </w:r>
      <w:r>
        <w:rPr>
          <w:rFonts w:hint="eastAsia" w:ascii="Times New Roman" w:hAnsi="Times New Roman"/>
          <w:color w:val="auto"/>
          <w:sz w:val="24"/>
        </w:rPr>
        <w:t>排工业园污水管网</w:t>
      </w:r>
      <w:r>
        <w:rPr>
          <w:rFonts w:ascii="Times New Roman" w:hAnsi="Times New Roman"/>
          <w:color w:val="auto"/>
          <w:sz w:val="24"/>
        </w:rPr>
        <w:t>。</w:t>
      </w:r>
    </w:p>
    <w:p>
      <w:pPr>
        <w:pStyle w:val="6"/>
        <w:numPr>
          <w:ilvl w:val="1"/>
          <w:numId w:val="0"/>
        </w:numPr>
        <w:spacing w:before="120" w:beforeLines="0" w:after="120" w:afterLines="0"/>
        <w:ind w:leftChars="0"/>
        <w:rPr>
          <w:color w:val="auto"/>
        </w:rPr>
      </w:pPr>
      <w:bookmarkStart w:id="374" w:name="_Toc3527"/>
      <w:r>
        <w:rPr>
          <w:rFonts w:hint="eastAsia"/>
          <w:color w:val="auto"/>
          <w:lang w:val="en-US" w:eastAsia="zh-CN"/>
        </w:rPr>
        <w:t xml:space="preserve">6.4 </w:t>
      </w:r>
      <w:r>
        <w:rPr>
          <w:color w:val="auto"/>
        </w:rPr>
        <w:t>噪声治理措施分析</w:t>
      </w:r>
      <w:bookmarkEnd w:id="374"/>
    </w:p>
    <w:p>
      <w:pPr>
        <w:autoSpaceDE w:val="0"/>
        <w:autoSpaceDN w:val="0"/>
        <w:spacing w:line="360" w:lineRule="auto"/>
        <w:ind w:firstLine="480" w:firstLineChars="200"/>
        <w:rPr>
          <w:rFonts w:ascii="Times New Roman" w:hAnsi="Times New Roman"/>
          <w:color w:val="auto"/>
          <w:sz w:val="24"/>
        </w:rPr>
      </w:pPr>
      <w:r>
        <w:rPr>
          <w:rFonts w:hint="eastAsia" w:ascii="Times New Roman" w:hAnsi="Times New Roman"/>
          <w:color w:val="auto"/>
          <w:sz w:val="24"/>
        </w:rPr>
        <w:t>本项目噪声源主要有生产设备运行时产生的机械噪声和空气动力性噪声，主要噪声设备</w:t>
      </w:r>
      <w:r>
        <w:rPr>
          <w:rFonts w:hint="eastAsia" w:ascii="Times New Roman" w:hAnsi="Times New Roman"/>
          <w:color w:val="auto"/>
          <w:sz w:val="24"/>
          <w:lang w:eastAsia="zh-CN"/>
        </w:rPr>
        <w:t>为</w:t>
      </w:r>
      <w:r>
        <w:rPr>
          <w:rFonts w:hint="eastAsia" w:ascii="Times New Roman" w:hAnsi="Times New Roman"/>
          <w:color w:val="auto"/>
          <w:sz w:val="24"/>
        </w:rPr>
        <w:t>机泵。本项目对噪声主要采取控制噪声源与隔断噪声传播途径相结合的办法，以控制噪声对厂界外声环境的影响。主要治理措施如下：</w:t>
      </w:r>
    </w:p>
    <w:p>
      <w:pPr>
        <w:autoSpaceDE w:val="0"/>
        <w:autoSpaceDN w:val="0"/>
        <w:spacing w:line="360" w:lineRule="auto"/>
        <w:ind w:firstLine="480" w:firstLineChars="200"/>
        <w:rPr>
          <w:rFonts w:ascii="Times New Roman" w:hAnsi="Times New Roman"/>
          <w:color w:val="auto"/>
          <w:sz w:val="24"/>
        </w:rPr>
      </w:pPr>
      <w:r>
        <w:rPr>
          <w:rFonts w:hint="eastAsia" w:ascii="Times New Roman" w:hAnsi="Times New Roman"/>
          <w:color w:val="auto"/>
          <w:sz w:val="24"/>
        </w:rPr>
        <w:t>（1）选用低噪声设备</w:t>
      </w:r>
    </w:p>
    <w:p>
      <w:pPr>
        <w:autoSpaceDE w:val="0"/>
        <w:autoSpaceDN w:val="0"/>
        <w:spacing w:line="360" w:lineRule="auto"/>
        <w:ind w:firstLine="480" w:firstLineChars="200"/>
        <w:rPr>
          <w:rFonts w:hint="eastAsia" w:ascii="Times New Roman" w:hAnsi="Times New Roman" w:eastAsia="宋体"/>
          <w:color w:val="auto"/>
          <w:sz w:val="24"/>
          <w:lang w:eastAsia="zh-CN"/>
        </w:rPr>
      </w:pPr>
      <w:r>
        <w:rPr>
          <w:rFonts w:hint="eastAsia" w:ascii="Times New Roman" w:hAnsi="Times New Roman"/>
          <w:color w:val="auto"/>
          <w:sz w:val="24"/>
        </w:rPr>
        <w:t>建设方应在满足工艺生产的前提下，设计中考虑选用设备加工精度高、装配质量好、低噪声的设备是必要且可行的</w:t>
      </w:r>
      <w:r>
        <w:rPr>
          <w:rFonts w:hint="eastAsia" w:ascii="Times New Roman" w:hAnsi="Times New Roman"/>
          <w:color w:val="auto"/>
          <w:sz w:val="24"/>
          <w:lang w:eastAsia="zh-CN"/>
        </w:rPr>
        <w:t>。</w:t>
      </w:r>
    </w:p>
    <w:p>
      <w:pPr>
        <w:autoSpaceDE w:val="0"/>
        <w:autoSpaceDN w:val="0"/>
        <w:spacing w:line="360" w:lineRule="auto"/>
        <w:ind w:firstLine="480" w:firstLineChars="200"/>
        <w:rPr>
          <w:rFonts w:ascii="Times New Roman" w:hAnsi="Times New Roman"/>
          <w:color w:val="auto"/>
          <w:sz w:val="24"/>
        </w:rPr>
      </w:pPr>
      <w:r>
        <w:rPr>
          <w:rFonts w:hint="eastAsia" w:ascii="Times New Roman" w:hAnsi="Times New Roman"/>
          <w:color w:val="auto"/>
          <w:sz w:val="24"/>
        </w:rPr>
        <w:t>（2）隔振与减振</w:t>
      </w:r>
    </w:p>
    <w:p>
      <w:pPr>
        <w:autoSpaceDE w:val="0"/>
        <w:autoSpaceDN w:val="0"/>
        <w:spacing w:line="360" w:lineRule="auto"/>
        <w:ind w:firstLine="480" w:firstLineChars="200"/>
        <w:rPr>
          <w:rFonts w:hint="eastAsia" w:ascii="Times New Roman" w:hAnsi="Times New Roman"/>
          <w:color w:val="auto"/>
          <w:sz w:val="24"/>
        </w:rPr>
      </w:pPr>
      <w:r>
        <w:rPr>
          <w:rFonts w:hint="eastAsia" w:ascii="Times New Roman" w:hAnsi="Times New Roman"/>
          <w:color w:val="auto"/>
          <w:sz w:val="24"/>
        </w:rPr>
        <w:t>许多噪声是由于机械或板的振动而产生的，对于这种机械性噪声的治理，最常用的方法是隔振与减振。如与地基应避免刚性连接，采用隔振器或自行设置隔振装置来实现弹性连接。</w:t>
      </w:r>
    </w:p>
    <w:p>
      <w:pPr>
        <w:autoSpaceDE w:val="0"/>
        <w:autoSpaceDN w:val="0"/>
        <w:spacing w:line="360" w:lineRule="auto"/>
        <w:ind w:firstLine="480" w:firstLineChars="200"/>
        <w:rPr>
          <w:rFonts w:ascii="Times New Roman" w:hAnsi="Times New Roman"/>
          <w:color w:val="auto"/>
          <w:sz w:val="24"/>
        </w:rPr>
      </w:pPr>
      <w:r>
        <w:rPr>
          <w:rFonts w:hint="eastAsia" w:ascii="Times New Roman" w:hAnsi="Times New Roman"/>
          <w:color w:val="auto"/>
          <w:sz w:val="24"/>
        </w:rPr>
        <w:t>另外，应建立设备定期维护、保养的管理制度，以防止设备故障形成的非生产噪声。同时，加强个体防护措施，例如对操作工人配戴耳罩、帽盔等防护措施。</w:t>
      </w:r>
    </w:p>
    <w:p>
      <w:pPr>
        <w:pStyle w:val="5"/>
        <w:ind w:firstLine="480"/>
        <w:rPr>
          <w:color w:val="auto"/>
        </w:rPr>
      </w:pPr>
      <w:r>
        <w:rPr>
          <w:rFonts w:hint="eastAsia"/>
          <w:color w:val="auto"/>
        </w:rPr>
        <w:t>以上处理措施在各行业噪声防治中应用广泛，处理效果良好，在采取基础减震等措施后，可降噪</w:t>
      </w:r>
      <w:r>
        <w:rPr>
          <w:rFonts w:hint="eastAsia"/>
          <w:color w:val="auto"/>
          <w:lang w:eastAsia="zh-CN"/>
        </w:rPr>
        <w:t>约</w:t>
      </w:r>
      <w:r>
        <w:rPr>
          <w:rFonts w:hint="eastAsia"/>
          <w:color w:val="auto"/>
        </w:rPr>
        <w:t>20dB（A），厂界噪声可实现达标排放。</w:t>
      </w:r>
    </w:p>
    <w:p>
      <w:pPr>
        <w:pStyle w:val="6"/>
        <w:numPr>
          <w:ilvl w:val="1"/>
          <w:numId w:val="0"/>
        </w:numPr>
        <w:spacing w:before="120" w:beforeLines="0" w:after="120" w:afterLines="0"/>
        <w:ind w:leftChars="0"/>
        <w:rPr>
          <w:color w:val="auto"/>
        </w:rPr>
      </w:pPr>
      <w:bookmarkStart w:id="375" w:name="_Toc9341"/>
      <w:r>
        <w:rPr>
          <w:rFonts w:hint="eastAsia"/>
          <w:color w:val="auto"/>
          <w:lang w:val="en-US" w:eastAsia="zh-CN"/>
        </w:rPr>
        <w:t xml:space="preserve">6.5 </w:t>
      </w:r>
      <w:r>
        <w:rPr>
          <w:color w:val="auto"/>
        </w:rPr>
        <w:t>固废处理措施分析</w:t>
      </w:r>
      <w:bookmarkEnd w:id="375"/>
    </w:p>
    <w:p>
      <w:pPr>
        <w:pStyle w:val="5"/>
        <w:ind w:firstLine="480"/>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本项目固废主要有：</w:t>
      </w:r>
      <w:r>
        <w:rPr>
          <w:rFonts w:hint="eastAsia" w:asciiTheme="minorEastAsia" w:hAnsiTheme="minorEastAsia" w:eastAsiaTheme="minorEastAsia" w:cstheme="minorEastAsia"/>
          <w:color w:val="auto"/>
          <w:lang w:eastAsia="zh-CN"/>
        </w:rPr>
        <w:t>废润滑油</w:t>
      </w:r>
      <w:r>
        <w:rPr>
          <w:rFonts w:hint="eastAsia" w:asciiTheme="minorEastAsia" w:hAnsiTheme="minorEastAsia" w:eastAsiaTheme="minorEastAsia" w:cstheme="minorEastAsia"/>
          <w:color w:val="auto"/>
        </w:rPr>
        <w:t>，属于危险废物。</w:t>
      </w:r>
    </w:p>
    <w:p>
      <w:pPr>
        <w:pStyle w:val="5"/>
        <w:ind w:firstLine="480"/>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lang w:eastAsia="zh-CN"/>
        </w:rPr>
        <w:t>废润滑同</w:t>
      </w:r>
      <w:r>
        <w:rPr>
          <w:rFonts w:hint="eastAsia" w:asciiTheme="minorEastAsia" w:hAnsiTheme="minorEastAsia" w:eastAsiaTheme="minorEastAsia" w:cstheme="minorEastAsia"/>
          <w:color w:val="auto"/>
        </w:rPr>
        <w:t>采取用容器收集，然后暂存于</w:t>
      </w:r>
      <w:r>
        <w:rPr>
          <w:rFonts w:hint="eastAsia" w:asciiTheme="minorEastAsia" w:hAnsiTheme="minorEastAsia" w:eastAsiaTheme="minorEastAsia" w:cstheme="minorEastAsia"/>
          <w:color w:val="auto"/>
          <w:lang w:eastAsia="zh-CN"/>
        </w:rPr>
        <w:t>公司</w:t>
      </w:r>
      <w:r>
        <w:rPr>
          <w:rFonts w:hint="eastAsia" w:asciiTheme="minorEastAsia" w:hAnsiTheme="minorEastAsia" w:eastAsiaTheme="minorEastAsia" w:cstheme="minorEastAsia"/>
          <w:color w:val="auto"/>
        </w:rPr>
        <w:t>现有危险废物暂存库，再委托专业有资质的单位运输和处置。建设单位应及时主动联系相关有资质的单位，协商委托处置事宜。</w:t>
      </w:r>
    </w:p>
    <w:p>
      <w:pPr>
        <w:pStyle w:val="5"/>
        <w:ind w:firstLine="480"/>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对于上述危险废物的暂存和运输处置，建设单位将按固废法律法规和环保管理部门的要求进行管理，主要是：签订委托处置协议、办理危险废物转移手续、建立相关台账等等。</w:t>
      </w:r>
    </w:p>
    <w:p>
      <w:pPr>
        <w:pStyle w:val="5"/>
        <w:ind w:firstLine="480"/>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建设单位按照以上方式处理处置危险废物，符合法律法规要求，不会对环境产生大的不利影响，是可行的。</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根据《危险废物贮存污染控制标准 GB18597-2001（2013 年修订）》，对于危险废物的暂存及暂存场所，明确建设单位须满足以下要求：</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（一）一般要求</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1、所有危险废物产生者和危险废物经营者应建造专用的危险废物贮存设施， 也可利用原有构筑物改建成危险废物贮存设施。</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2、在常温常压下易爆、易燃及排出有毒气体的危险废物必须进行预处理， 使之稳定后贮存，否则，按易爆、易燃危险品贮存。</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3、在常温常压下不水解、不挥发的固体危险废物可在贮存设施内分别堆放。</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4、禁止将不相容（相互反应）的危险废物在同一容器内混装。</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5、装载液体、半固体危险废物的容器内须留足够空间，容器顶部与液体表 面之间保留 100 毫米以上的空间。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6、盛装危险废物的容器上必须粘贴上符合要求形式的标签。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（二）危险废物贮存容器</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1、应当使用符合标准的容器盛装危险废物。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2、装载危险废物的容器及材质要满足相应的强度要求。</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3、装载危险废物的容器必须完好无损。</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4、盛装危险废物的容器材质和衬里要与危险废物相容（不相互反应）。</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5、液体危险废物可注入开孔直径不超过 70 毫米并有放气孔的桶中。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6、危险废物贮存设施的选址与设计原则</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（三）危险废物贮存设施(仓库式)的设计原则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1、地面与裙脚要用坚固、防渗的材料建造，建筑材料必须与危险废物相容。</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2、必须有泄漏液体收集装置、气体导出口及气体净化装置。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3、设施内要有安全照明设施和观察窗口。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4、用以存放装载液体、半固体危险废物容器的地方，必须有耐腐蚀的硬化 地面，且表面无裂隙。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5、应设计堵截泄漏的裙脚，地面与裙脚所围建的容积不低于堵截最大容器 的最大储量或总储量的五分之一。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6、不相容的危险废物必须分开存放，并设有隔离间隔断。</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（四）危险废物的堆放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1、基础必须防渗，防渗层为至少 1 米厚粘土层（渗透系数≤10</w:t>
      </w:r>
      <w:r>
        <w:rPr>
          <w:rFonts w:hint="eastAsia" w:asciiTheme="minorEastAsia" w:hAnsiTheme="minorEastAsia" w:eastAsiaTheme="minorEastAsia" w:cstheme="minorEastAsia"/>
          <w:color w:val="auto"/>
          <w:u w:val="none"/>
          <w:vertAlign w:val="superscript"/>
        </w:rPr>
        <w:t>-7</w:t>
      </w:r>
      <w:r>
        <w:rPr>
          <w:rFonts w:hint="eastAsia" w:asciiTheme="minorEastAsia" w:hAnsiTheme="minorEastAsia" w:eastAsiaTheme="minorEastAsia" w:cstheme="minorEastAsia"/>
          <w:color w:val="auto"/>
          <w:u w:val="none"/>
        </w:rPr>
        <w:t xml:space="preserve"> 厘米/秒）， 或 2 毫米厚高密度聚乙烯，或至少 2 毫米厚的其它人工材料，渗透系数≤10-10 厘米/秒。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2、堆放危险废物的高度应根据地面承载能力确定。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3、衬里放在一个基础或底座上。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4、衬里要能够覆盖危险废物或其溶出物可能涉及到的范围。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5、衬里材料与堆放危险废物相容。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6、在衬里上设计、建造浸出液收集清除系统。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7、应设计建造径流疏导系统，保证能防止 25 年一遇的暴雨不会流到危险废 物堆里。</w:t>
      </w:r>
    </w:p>
    <w:p>
      <w:pPr>
        <w:pStyle w:val="5"/>
        <w:ind w:firstLine="480"/>
        <w:rPr>
          <w:rFonts w:hint="eastAsia" w:asciiTheme="minorEastAsia" w:hAnsiTheme="minorEastAsia" w:eastAsiaTheme="minorEastAsia" w:cstheme="minorEastAsia"/>
          <w:color w:val="auto"/>
          <w:u w:val="none"/>
          <w:lang w:eastAsia="zh-CN"/>
        </w:rPr>
      </w:pPr>
      <w:r>
        <w:rPr>
          <w:rFonts w:hint="eastAsia" w:asciiTheme="minorEastAsia" w:hAnsiTheme="minorEastAsia" w:eastAsiaTheme="minorEastAsia" w:cstheme="minorEastAsia"/>
          <w:color w:val="auto"/>
          <w:u w:val="none"/>
        </w:rPr>
        <w:t xml:space="preserve">8、危险废物堆内设计雨水收集池，并能收集 25 年一遇的暴雨 24 小时降水量。 </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9、危险废物堆要防风、防雨、防晒。 </w:t>
      </w:r>
      <w:r>
        <w:rPr>
          <w:rFonts w:hint="eastAsia" w:asciiTheme="minorEastAsia" w:hAnsiTheme="minorEastAsia" w:eastAsiaTheme="minorEastAsia" w:cstheme="minorEastAsia"/>
          <w:color w:val="auto"/>
          <w:u w:val="none"/>
        </w:rPr>
        <w:tab/>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10、产生量大的危险废物可以散装方式堆放贮存在按上述要求设计的废物堆里。</w:t>
      </w:r>
    </w:p>
    <w:p>
      <w:pPr>
        <w:pStyle w:val="5"/>
        <w:ind w:firstLine="480"/>
        <w:rPr>
          <w:rFonts w:hint="eastAsia" w:asciiTheme="minorEastAsia" w:hAnsiTheme="minorEastAsia" w:eastAsiaTheme="minorEastAsia" w:cstheme="minorEastAsia"/>
          <w:color w:val="auto"/>
          <w:u w:val="none"/>
        </w:rPr>
      </w:pPr>
      <w:r>
        <w:rPr>
          <w:rFonts w:hint="eastAsia" w:asciiTheme="minorEastAsia" w:hAnsiTheme="minorEastAsia" w:eastAsiaTheme="minorEastAsia" w:cstheme="minorEastAsia"/>
          <w:color w:val="auto"/>
          <w:u w:val="none"/>
        </w:rPr>
        <w:t xml:space="preserve">11、不相容的危险废物不能堆放在一起。 </w:t>
      </w:r>
      <w:r>
        <w:rPr>
          <w:rFonts w:hint="eastAsia" w:asciiTheme="minorEastAsia" w:hAnsiTheme="minorEastAsia" w:eastAsiaTheme="minorEastAsia" w:cstheme="minorEastAsia"/>
          <w:color w:val="auto"/>
          <w:u w:val="none"/>
        </w:rPr>
        <w:tab/>
      </w:r>
    </w:p>
    <w:p>
      <w:pPr>
        <w:pStyle w:val="5"/>
        <w:ind w:firstLine="480"/>
        <w:rPr>
          <w:color w:val="auto"/>
          <w:u w:val="none"/>
        </w:rPr>
      </w:pPr>
      <w:r>
        <w:rPr>
          <w:rFonts w:hint="eastAsia" w:asciiTheme="minorEastAsia" w:hAnsiTheme="minorEastAsia" w:eastAsiaTheme="minorEastAsia" w:cstheme="minorEastAsia"/>
          <w:color w:val="auto"/>
          <w:u w:val="none"/>
        </w:rPr>
        <w:t xml:space="preserve">12、总贮存量不超过 300Kg(L)的危险废物要放入符合标准的容器内，加上标签，容器放入坚固的柜或箱中，柜或箱应设多个直径不少于 30 毫米的排气孔。 不相容危险废物要分别存放或存放在不渗透间隔分开的区域内，每个部分都应有 防漏裙脚或储漏盘，防漏裙脚或储漏盘的材料要与危险废物相容。 </w:t>
      </w:r>
      <w:r>
        <w:rPr>
          <w:rFonts w:hint="eastAsia"/>
          <w:color w:val="auto"/>
          <w:u w:val="none"/>
        </w:rPr>
        <w:t xml:space="preserve">  </w:t>
      </w:r>
    </w:p>
    <w:p>
      <w:pPr>
        <w:pStyle w:val="5"/>
        <w:ind w:firstLine="480"/>
        <w:rPr>
          <w:color w:val="auto"/>
        </w:rPr>
      </w:pPr>
    </w:p>
    <w:p>
      <w:pPr>
        <w:pStyle w:val="5"/>
        <w:ind w:firstLine="480"/>
        <w:rPr>
          <w:color w:val="auto"/>
        </w:rPr>
        <w:sectPr>
          <w:type w:val="continuous"/>
          <w:pgSz w:w="11907" w:h="16840"/>
          <w:pgMar w:top="1474" w:right="1531" w:bottom="1418" w:left="1474" w:header="964" w:footer="624" w:gutter="0"/>
          <w:pgBorders>
            <w:top w:val="none" w:sz="0" w:space="0"/>
            <w:left w:val="none" w:sz="0" w:space="0"/>
            <w:bottom w:val="none" w:sz="0" w:space="0"/>
            <w:right w:val="none" w:sz="0" w:space="0"/>
          </w:pgBorders>
          <w:pgNumType w:fmt="decimal"/>
          <w:cols w:space="720" w:num="1"/>
          <w:docGrid w:linePitch="312" w:charSpace="0"/>
        </w:sectPr>
      </w:pPr>
    </w:p>
    <w:p>
      <w:pPr>
        <w:pStyle w:val="4"/>
        <w:numPr>
          <w:ilvl w:val="0"/>
          <w:numId w:val="0"/>
        </w:numPr>
        <w:tabs>
          <w:tab w:val="clear" w:pos="0"/>
        </w:tabs>
        <w:spacing w:before="180" w:after="180" w:line="240" w:lineRule="auto"/>
        <w:ind w:leftChars="0"/>
        <w:jc w:val="both"/>
        <w:rPr>
          <w:color w:val="auto"/>
        </w:rPr>
      </w:pPr>
      <w:bookmarkStart w:id="376" w:name="_Toc27407"/>
      <w:r>
        <w:rPr>
          <w:rFonts w:hint="eastAsia"/>
          <w:color w:val="auto"/>
          <w:lang w:val="en-US" w:eastAsia="zh-CN"/>
        </w:rPr>
        <w:t xml:space="preserve">7. </w:t>
      </w:r>
      <w:r>
        <w:rPr>
          <w:color w:val="auto"/>
        </w:rPr>
        <w:t>环境风险</w:t>
      </w:r>
      <w:r>
        <w:rPr>
          <w:rFonts w:hint="eastAsia"/>
          <w:color w:val="auto"/>
          <w:lang w:eastAsia="zh-CN"/>
        </w:rPr>
        <w:t>分析及防控措施</w:t>
      </w:r>
      <w:bookmarkEnd w:id="376"/>
    </w:p>
    <w:p>
      <w:pPr>
        <w:pStyle w:val="5"/>
        <w:rPr>
          <w:color w:val="auto"/>
        </w:rPr>
      </w:pPr>
    </w:p>
    <w:p>
      <w:pPr>
        <w:pStyle w:val="6"/>
        <w:numPr>
          <w:ilvl w:val="1"/>
          <w:numId w:val="0"/>
        </w:numPr>
        <w:spacing w:before="120" w:beforeLines="0" w:after="120" w:afterLines="0"/>
        <w:ind w:leftChars="0"/>
        <w:rPr>
          <w:color w:val="auto"/>
        </w:rPr>
      </w:pPr>
      <w:bookmarkStart w:id="377" w:name="_Toc32664"/>
      <w:r>
        <w:rPr>
          <w:rFonts w:hint="eastAsia"/>
          <w:color w:val="auto"/>
          <w:lang w:val="en-US" w:eastAsia="zh-CN"/>
        </w:rPr>
        <w:t xml:space="preserve">7.1 </w:t>
      </w:r>
      <w:r>
        <w:rPr>
          <w:color w:val="auto"/>
        </w:rPr>
        <w:t>评价目的</w:t>
      </w:r>
      <w:bookmarkEnd w:id="377"/>
    </w:p>
    <w:p>
      <w:pPr>
        <w:pStyle w:val="22"/>
        <w:keepNext w:val="0"/>
        <w:keepLines w:val="0"/>
        <w:pageBreakBefore w:val="0"/>
        <w:widowControl w:val="0"/>
        <w:kinsoku w:val="0"/>
        <w:wordWrap/>
        <w:overflowPunct w:val="0"/>
        <w:topLinePunct w:val="0"/>
        <w:autoSpaceDE/>
        <w:autoSpaceDN/>
        <w:bidi w:val="0"/>
        <w:adjustRightInd/>
        <w:snapToGrid/>
        <w:spacing w:beforeLines="0" w:afterLines="0" w:line="360" w:lineRule="auto"/>
        <w:ind w:left="459" w:right="1797" w:firstLine="556"/>
        <w:jc w:val="both"/>
        <w:textAlignment w:val="auto"/>
        <w:rPr>
          <w:rFonts w:hint="eastAsia" w:asciiTheme="minorEastAsia" w:hAnsiTheme="minorEastAsia" w:eastAsiaTheme="minorEastAsia" w:cstheme="minorEastAsia"/>
          <w:color w:val="auto"/>
          <w:kern w:val="2"/>
          <w:sz w:val="24"/>
          <w:szCs w:val="22"/>
          <w:u w:val="none"/>
          <w:lang w:val="en-US" w:eastAsia="zh-CN" w:bidi="ar-SA"/>
        </w:rPr>
      </w:pPr>
      <w:r>
        <w:rPr>
          <w:rFonts w:hint="eastAsia" w:asciiTheme="minorEastAsia" w:hAnsiTheme="minorEastAsia" w:eastAsiaTheme="minorEastAsia" w:cstheme="minorEastAsia"/>
          <w:color w:val="auto"/>
          <w:kern w:val="2"/>
          <w:sz w:val="24"/>
          <w:szCs w:val="22"/>
          <w:u w:val="none"/>
          <w:lang w:val="en-US" w:eastAsia="zh-CN" w:bidi="ar-SA"/>
        </w:rPr>
        <w:t>根据1.5.5章节的风险评价等级计算，可知本项目风险等级为三级。本工程环境风险评价按照《建设项目环境风险评价导则》（HJ/T169-2018）、环保部《关于进一步加强环境影响评价管理防范环境风险的通知》（环发[2012]77 号）和《关于切实加强风险防范严格环境影响评价管理的通知》（环发[2012]98 号）等要求，通过对拟建项目风险识别、最大可信事故及源项、风险管理及减缓风险措施等几方面的分析评价，说明本项目存在的环境风险和应当采取的相应防范处置措施，以达到合理防范环境风险，将环境风险对人员和财产的损害和其对生态环境的不利影响降到最低限度或达到可接受水平。</w:t>
      </w:r>
    </w:p>
    <w:p>
      <w:pPr>
        <w:pStyle w:val="6"/>
        <w:numPr>
          <w:ilvl w:val="1"/>
          <w:numId w:val="0"/>
        </w:numPr>
        <w:spacing w:before="120" w:beforeLines="0" w:after="120" w:afterLines="0"/>
        <w:ind w:leftChars="0"/>
        <w:rPr>
          <w:rFonts w:hint="eastAsia" w:ascii="Times New Roman" w:hAnsi="Times New Roman" w:cs="Times New Roman"/>
          <w:color w:val="auto"/>
        </w:rPr>
      </w:pPr>
      <w:bookmarkStart w:id="378" w:name="_Toc5766"/>
      <w:r>
        <w:rPr>
          <w:rFonts w:hint="eastAsia" w:ascii="宋体" w:hAnsi="宋体" w:eastAsia="宋体" w:cs="宋体"/>
          <w:color w:val="auto"/>
          <w:lang w:val="en-US" w:eastAsia="zh-CN"/>
        </w:rPr>
        <w:t xml:space="preserve">7.2 </w:t>
      </w:r>
      <w:r>
        <w:rPr>
          <w:rFonts w:hint="eastAsia" w:ascii="宋体" w:hAnsi="宋体" w:eastAsia="宋体" w:cs="宋体"/>
          <w:color w:val="auto"/>
        </w:rPr>
        <w:t>预测模型筛选</w:t>
      </w:r>
      <w:bookmarkEnd w:id="378"/>
      <w:r>
        <w:rPr>
          <w:rFonts w:ascii="Times New Roman" w:hAnsi="Times New Roman" w:cs="Times New Roman"/>
          <w:color w:val="auto"/>
        </w:rPr>
        <w:t xml:space="preserve"> </w:t>
      </w:r>
    </w:p>
    <w:p>
      <w:pPr>
        <w:pStyle w:val="22"/>
        <w:keepNext w:val="0"/>
        <w:keepLines w:val="0"/>
        <w:pageBreakBefore w:val="0"/>
        <w:widowControl w:val="0"/>
        <w:kinsoku w:val="0"/>
        <w:wordWrap/>
        <w:overflowPunct w:val="0"/>
        <w:topLinePunct w:val="0"/>
        <w:autoSpaceDE/>
        <w:autoSpaceDN/>
        <w:bidi w:val="0"/>
        <w:adjustRightInd/>
        <w:snapToGrid/>
        <w:spacing w:beforeLines="0" w:afterLines="0" w:line="360" w:lineRule="auto"/>
        <w:ind w:left="459" w:right="1797" w:firstLine="556"/>
        <w:jc w:val="both"/>
        <w:textAlignment w:val="auto"/>
        <w:rPr>
          <w:rFonts w:hint="eastAsia" w:asciiTheme="minorEastAsia" w:hAnsiTheme="minorEastAsia" w:eastAsiaTheme="minorEastAsia" w:cstheme="minorEastAsia"/>
          <w:color w:val="auto"/>
          <w:kern w:val="2"/>
          <w:sz w:val="24"/>
          <w:szCs w:val="22"/>
          <w:u w:val="none"/>
          <w:lang w:val="en-US" w:eastAsia="zh-CN" w:bidi="ar-SA"/>
        </w:rPr>
      </w:pPr>
      <w:r>
        <w:rPr>
          <w:rFonts w:hint="eastAsia" w:asciiTheme="minorEastAsia" w:hAnsiTheme="minorEastAsia" w:eastAsiaTheme="minorEastAsia" w:cstheme="minorEastAsia"/>
          <w:color w:val="auto"/>
          <w:kern w:val="2"/>
          <w:sz w:val="24"/>
          <w:szCs w:val="22"/>
          <w:u w:val="none"/>
          <w:lang w:val="en-US" w:eastAsia="zh-CN" w:bidi="ar-SA"/>
        </w:rPr>
        <w:t>根据《建设项目环境风险评价技术导则》（</w:t>
      </w:r>
      <w:r>
        <w:rPr>
          <w:rFonts w:hint="default" w:asciiTheme="minorEastAsia" w:hAnsiTheme="minorEastAsia" w:eastAsiaTheme="minorEastAsia" w:cstheme="minorEastAsia"/>
          <w:color w:val="auto"/>
          <w:kern w:val="2"/>
          <w:sz w:val="24"/>
          <w:szCs w:val="22"/>
          <w:u w:val="none"/>
          <w:lang w:val="en-US" w:eastAsia="zh-CN" w:bidi="ar-SA"/>
        </w:rPr>
        <w:t>HJ169-2018</w:t>
      </w:r>
      <w:r>
        <w:rPr>
          <w:rFonts w:hint="eastAsia" w:asciiTheme="minorEastAsia" w:hAnsiTheme="minorEastAsia" w:eastAsiaTheme="minorEastAsia" w:cstheme="minorEastAsia"/>
          <w:color w:val="auto"/>
          <w:kern w:val="2"/>
          <w:sz w:val="24"/>
          <w:szCs w:val="22"/>
          <w:u w:val="none"/>
          <w:lang w:val="en-US" w:eastAsia="zh-CN" w:bidi="ar-SA"/>
        </w:rPr>
        <w:t>），需对风险情形对应的预测模型进行筛选。</w:t>
      </w:r>
    </w:p>
    <w:p>
      <w:pPr>
        <w:pStyle w:val="22"/>
        <w:keepNext w:val="0"/>
        <w:keepLines w:val="0"/>
        <w:pageBreakBefore w:val="0"/>
        <w:widowControl w:val="0"/>
        <w:kinsoku w:val="0"/>
        <w:wordWrap/>
        <w:overflowPunct w:val="0"/>
        <w:topLinePunct w:val="0"/>
        <w:autoSpaceDE/>
        <w:autoSpaceDN/>
        <w:bidi w:val="0"/>
        <w:adjustRightInd/>
        <w:snapToGrid/>
        <w:spacing w:beforeLines="0" w:afterLines="0" w:line="360" w:lineRule="auto"/>
        <w:ind w:left="459" w:right="1797" w:firstLine="556"/>
        <w:jc w:val="both"/>
        <w:textAlignment w:val="auto"/>
        <w:rPr>
          <w:rFonts w:hint="eastAsia" w:asciiTheme="minorEastAsia" w:hAnsiTheme="minorEastAsia" w:eastAsiaTheme="minorEastAsia" w:cstheme="minorEastAsia"/>
          <w:color w:val="auto"/>
          <w:kern w:val="2"/>
          <w:sz w:val="24"/>
          <w:szCs w:val="22"/>
          <w:u w:val="none"/>
          <w:lang w:val="en-US" w:eastAsia="zh-CN" w:bidi="ar-SA"/>
        </w:rPr>
      </w:pPr>
      <w:r>
        <w:rPr>
          <w:rFonts w:hint="default" w:asciiTheme="minorEastAsia" w:hAnsiTheme="minorEastAsia" w:eastAsiaTheme="minorEastAsia" w:cstheme="minorEastAsia"/>
          <w:color w:val="auto"/>
          <w:kern w:val="2"/>
          <w:sz w:val="24"/>
          <w:szCs w:val="22"/>
          <w:u w:val="none"/>
          <w:lang w:val="en-US" w:eastAsia="zh-CN" w:bidi="ar-SA"/>
        </w:rPr>
        <w:t>1</w:t>
      </w:r>
      <w:r>
        <w:rPr>
          <w:rFonts w:hint="eastAsia" w:asciiTheme="minorEastAsia" w:hAnsiTheme="minorEastAsia" w:eastAsiaTheme="minorEastAsia" w:cstheme="minorEastAsia"/>
          <w:color w:val="auto"/>
          <w:kern w:val="2"/>
          <w:sz w:val="24"/>
          <w:szCs w:val="22"/>
          <w:u w:val="none"/>
          <w:lang w:val="en-US" w:eastAsia="zh-CN" w:bidi="ar-SA"/>
        </w:rPr>
        <w:t>、连续排放还是瞬时排放判定</w:t>
      </w:r>
    </w:p>
    <w:p>
      <w:pPr>
        <w:pStyle w:val="22"/>
        <w:keepNext w:val="0"/>
        <w:keepLines w:val="0"/>
        <w:pageBreakBefore w:val="0"/>
        <w:widowControl w:val="0"/>
        <w:kinsoku w:val="0"/>
        <w:wordWrap/>
        <w:overflowPunct w:val="0"/>
        <w:topLinePunct w:val="0"/>
        <w:autoSpaceDE/>
        <w:autoSpaceDN/>
        <w:bidi w:val="0"/>
        <w:adjustRightInd/>
        <w:snapToGrid/>
        <w:spacing w:beforeLines="0" w:afterLines="0" w:line="360" w:lineRule="auto"/>
        <w:ind w:left="459" w:right="1797" w:firstLine="556"/>
        <w:jc w:val="both"/>
        <w:textAlignment w:val="auto"/>
        <w:rPr>
          <w:rFonts w:hint="eastAsia" w:asciiTheme="minorEastAsia" w:hAnsiTheme="minorEastAsia" w:eastAsiaTheme="minorEastAsia" w:cstheme="minorEastAsia"/>
          <w:color w:val="auto"/>
          <w:kern w:val="2"/>
          <w:sz w:val="24"/>
          <w:szCs w:val="22"/>
          <w:u w:val="none"/>
          <w:lang w:val="en-US" w:eastAsia="zh-CN" w:bidi="ar-SA"/>
        </w:rPr>
      </w:pPr>
      <w:r>
        <w:rPr>
          <w:rFonts w:hint="eastAsia" w:asciiTheme="minorEastAsia" w:hAnsiTheme="minorEastAsia" w:eastAsiaTheme="minorEastAsia" w:cstheme="minorEastAsia"/>
          <w:color w:val="auto"/>
          <w:kern w:val="2"/>
          <w:sz w:val="24"/>
          <w:szCs w:val="22"/>
          <w:u w:val="none"/>
          <w:lang w:val="en-US" w:eastAsia="zh-CN" w:bidi="ar-SA"/>
        </w:rPr>
        <w:t>根据《建设项目环境风险评价技术导则》（</w:t>
      </w:r>
      <w:r>
        <w:rPr>
          <w:rFonts w:hint="default" w:asciiTheme="minorEastAsia" w:hAnsiTheme="minorEastAsia" w:eastAsiaTheme="minorEastAsia" w:cstheme="minorEastAsia"/>
          <w:color w:val="auto"/>
          <w:kern w:val="2"/>
          <w:sz w:val="24"/>
          <w:szCs w:val="22"/>
          <w:u w:val="none"/>
          <w:lang w:val="en-US" w:eastAsia="zh-CN" w:bidi="ar-SA"/>
        </w:rPr>
        <w:t>HJ169-2018</w:t>
      </w:r>
      <w:r>
        <w:rPr>
          <w:rFonts w:hint="eastAsia" w:asciiTheme="minorEastAsia" w:hAnsiTheme="minorEastAsia" w:eastAsiaTheme="minorEastAsia" w:cstheme="minorEastAsia"/>
          <w:color w:val="auto"/>
          <w:kern w:val="2"/>
          <w:sz w:val="24"/>
          <w:szCs w:val="22"/>
          <w:u w:val="none"/>
          <w:lang w:val="en-US" w:eastAsia="zh-CN" w:bidi="ar-SA"/>
        </w:rPr>
        <w:t>），连续排放还是瞬时排放判定计算公式如下：</w:t>
      </w:r>
    </w:p>
    <w:p>
      <w:pPr>
        <w:pStyle w:val="22"/>
        <w:kinsoku w:val="0"/>
        <w:overflowPunct w:val="0"/>
        <w:spacing w:before="140" w:beforeLines="0" w:afterLines="0" w:line="333" w:lineRule="auto"/>
        <w:ind w:left="460" w:right="1795" w:firstLine="554"/>
        <w:jc w:val="both"/>
        <w:rPr>
          <w:rFonts w:hint="eastAsia"/>
          <w:color w:val="auto"/>
          <w:sz w:val="20"/>
        </w:rPr>
      </w:pPr>
      <w:r>
        <w:rPr>
          <w:rFonts w:hint="eastAsia"/>
          <w:color w:val="auto"/>
          <w:sz w:val="20"/>
        </w:rPr>
        <w:drawing>
          <wp:inline distT="0" distB="0" distL="114300" distR="114300">
            <wp:extent cx="5124450" cy="1362075"/>
            <wp:effectExtent l="0" t="0" r="0" b="952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56"/>
                    <a:stretch>
                      <a:fillRect/>
                    </a:stretch>
                  </pic:blipFill>
                  <pic:spPr>
                    <a:xfrm>
                      <a:off x="0" y="0"/>
                      <a:ext cx="5124450" cy="1362075"/>
                    </a:xfrm>
                    <a:prstGeom prst="rect">
                      <a:avLst/>
                    </a:prstGeom>
                    <a:noFill/>
                    <a:ln>
                      <a:noFill/>
                    </a:ln>
                  </pic:spPr>
                </pic:pic>
              </a:graphicData>
            </a:graphic>
          </wp:inline>
        </w:drawing>
      </w:r>
    </w:p>
    <w:p>
      <w:pPr>
        <w:pStyle w:val="22"/>
        <w:kinsoku w:val="0"/>
        <w:overflowPunct w:val="0"/>
        <w:spacing w:before="74" w:beforeLines="0" w:after="33" w:afterLines="0"/>
        <w:ind w:left="3069"/>
        <w:rPr>
          <w:rFonts w:hint="eastAsia" w:ascii="楷体" w:hAnsi="楷体" w:eastAsia="楷体"/>
          <w:b/>
          <w:color w:val="auto"/>
          <w:sz w:val="24"/>
        </w:rPr>
      </w:pPr>
      <w:r>
        <w:rPr>
          <w:rFonts w:hint="eastAsia" w:ascii="楷体" w:hAnsi="楷体" w:eastAsia="楷体"/>
          <w:b/>
          <w:color w:val="auto"/>
          <w:spacing w:val="-30"/>
          <w:sz w:val="24"/>
        </w:rPr>
        <w:t xml:space="preserve">表 </w:t>
      </w:r>
      <w:r>
        <w:rPr>
          <w:rFonts w:hint="default" w:ascii="Times New Roman" w:hAnsi="Times New Roman" w:eastAsia="Times New Roman"/>
          <w:b/>
          <w:color w:val="auto"/>
          <w:sz w:val="24"/>
        </w:rPr>
        <w:t>7.</w:t>
      </w:r>
      <w:r>
        <w:rPr>
          <w:rFonts w:hint="eastAsia" w:ascii="Times New Roman" w:hAnsi="Times New Roman" w:eastAsia="宋体"/>
          <w:b/>
          <w:color w:val="auto"/>
          <w:sz w:val="24"/>
          <w:lang w:val="en-US" w:eastAsia="zh-CN"/>
        </w:rPr>
        <w:t>2</w:t>
      </w:r>
      <w:r>
        <w:rPr>
          <w:rFonts w:hint="default" w:ascii="Times New Roman" w:hAnsi="Times New Roman" w:eastAsia="Times New Roman"/>
          <w:b/>
          <w:color w:val="auto"/>
          <w:sz w:val="24"/>
        </w:rPr>
        <w:t>-1</w:t>
      </w:r>
      <w:r>
        <w:rPr>
          <w:rFonts w:hint="default" w:ascii="Times New Roman" w:hAnsi="Times New Roman" w:eastAsia="Times New Roman"/>
          <w:b/>
          <w:color w:val="auto"/>
          <w:spacing w:val="58"/>
          <w:sz w:val="24"/>
        </w:rPr>
        <w:t xml:space="preserve"> </w:t>
      </w:r>
      <w:r>
        <w:rPr>
          <w:rFonts w:hint="eastAsia" w:ascii="楷体" w:hAnsi="楷体" w:eastAsia="楷体"/>
          <w:b/>
          <w:color w:val="auto"/>
          <w:sz w:val="24"/>
        </w:rPr>
        <w:t>连续排放或瞬时排放判定</w:t>
      </w:r>
    </w:p>
    <w:tbl>
      <w:tblPr>
        <w:tblStyle w:val="45"/>
        <w:tblW w:w="8802" w:type="dxa"/>
        <w:tblInd w:w="43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8"/>
        <w:gridCol w:w="636"/>
        <w:gridCol w:w="1571"/>
        <w:gridCol w:w="1269"/>
        <w:gridCol w:w="1489"/>
        <w:gridCol w:w="1004"/>
        <w:gridCol w:w="934"/>
        <w:gridCol w:w="877"/>
        <w:gridCol w:w="5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468"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 w:beforeLines="0" w:afterLines="0"/>
              <w:jc w:val="left"/>
              <w:rPr>
                <w:rFonts w:hint="eastAsia" w:ascii="楷体" w:hAnsi="楷体" w:eastAsia="楷体"/>
                <w:b/>
                <w:color w:val="auto"/>
                <w:sz w:val="21"/>
              </w:rPr>
            </w:pPr>
          </w:p>
          <w:p>
            <w:pPr>
              <w:pStyle w:val="247"/>
              <w:kinsoku w:val="0"/>
              <w:overflowPunct w:val="0"/>
              <w:spacing w:beforeLines="0" w:afterLines="0" w:line="285" w:lineRule="auto"/>
              <w:ind w:left="148" w:right="102"/>
              <w:jc w:val="left"/>
              <w:rPr>
                <w:rFonts w:hint="eastAsia"/>
                <w:color w:val="auto"/>
                <w:sz w:val="21"/>
              </w:rPr>
            </w:pPr>
            <w:r>
              <w:rPr>
                <w:rFonts w:hint="eastAsia"/>
                <w:color w:val="auto"/>
                <w:sz w:val="21"/>
              </w:rPr>
              <w:t>序号</w:t>
            </w:r>
          </w:p>
        </w:tc>
        <w:tc>
          <w:tcPr>
            <w:tcW w:w="636"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 w:beforeLines="0" w:afterLines="0"/>
              <w:jc w:val="left"/>
              <w:rPr>
                <w:rFonts w:hint="eastAsia" w:ascii="楷体" w:hAnsi="楷体" w:eastAsia="楷体"/>
                <w:b/>
                <w:color w:val="auto"/>
                <w:sz w:val="21"/>
              </w:rPr>
            </w:pPr>
          </w:p>
          <w:p>
            <w:pPr>
              <w:pStyle w:val="247"/>
              <w:kinsoku w:val="0"/>
              <w:overflowPunct w:val="0"/>
              <w:spacing w:beforeLines="0" w:afterLines="0" w:line="285" w:lineRule="auto"/>
              <w:ind w:left="117" w:right="84"/>
              <w:jc w:val="left"/>
              <w:rPr>
                <w:rFonts w:hint="eastAsia"/>
                <w:color w:val="auto"/>
                <w:sz w:val="21"/>
              </w:rPr>
            </w:pPr>
            <w:r>
              <w:rPr>
                <w:rFonts w:hint="eastAsia"/>
                <w:color w:val="auto"/>
                <w:sz w:val="21"/>
              </w:rPr>
              <w:t>风险物质</w:t>
            </w:r>
          </w:p>
        </w:tc>
        <w:tc>
          <w:tcPr>
            <w:tcW w:w="1571"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75" w:beforeLines="0" w:afterLines="0"/>
              <w:ind w:left="237"/>
              <w:jc w:val="left"/>
              <w:rPr>
                <w:rFonts w:hint="eastAsia"/>
                <w:color w:val="auto"/>
                <w:sz w:val="21"/>
              </w:rPr>
            </w:pPr>
            <w:r>
              <w:rPr>
                <w:rFonts w:hint="eastAsia"/>
                <w:color w:val="auto"/>
                <w:sz w:val="21"/>
              </w:rPr>
              <w:t>最大可信事故类别</w:t>
            </w:r>
          </w:p>
        </w:tc>
        <w:tc>
          <w:tcPr>
            <w:tcW w:w="1269"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7" w:beforeLines="0" w:afterLines="0" w:line="285" w:lineRule="auto"/>
              <w:ind w:left="167" w:right="131" w:hanging="5"/>
              <w:jc w:val="both"/>
              <w:rPr>
                <w:rFonts w:hint="eastAsia"/>
                <w:color w:val="auto"/>
                <w:sz w:val="21"/>
              </w:rPr>
            </w:pPr>
            <w:r>
              <w:rPr>
                <w:rFonts w:hint="default" w:ascii="Times New Roman" w:hAnsi="Times New Roman" w:eastAsia="Times New Roman"/>
                <w:color w:val="auto"/>
                <w:sz w:val="21"/>
              </w:rPr>
              <w:t>X-</w:t>
            </w:r>
            <w:r>
              <w:rPr>
                <w:rFonts w:hint="eastAsia"/>
                <w:color w:val="auto"/>
                <w:sz w:val="21"/>
              </w:rPr>
              <w:t>事故发生地与计算点距离</w:t>
            </w:r>
          </w:p>
          <w:p>
            <w:pPr>
              <w:pStyle w:val="247"/>
              <w:kinsoku w:val="0"/>
              <w:overflowPunct w:val="0"/>
              <w:spacing w:before="12" w:beforeLines="0" w:afterLines="0" w:line="241" w:lineRule="exact"/>
              <w:ind w:left="333"/>
              <w:jc w:val="left"/>
              <w:rPr>
                <w:rFonts w:hint="default" w:ascii="Times New Roman" w:hAnsi="Times New Roman" w:eastAsia="Times New Roman"/>
                <w:color w:val="auto"/>
                <w:sz w:val="21"/>
              </w:rPr>
            </w:pPr>
            <w:r>
              <w:rPr>
                <w:rFonts w:hint="default" w:ascii="Times New Roman" w:hAnsi="Times New Roman" w:eastAsia="Times New Roman"/>
                <w:color w:val="auto"/>
                <w:sz w:val="21"/>
              </w:rPr>
              <w:t>(m)</w:t>
            </w:r>
          </w:p>
        </w:tc>
        <w:tc>
          <w:tcPr>
            <w:tcW w:w="1489"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28"/>
              </w:rPr>
            </w:pPr>
          </w:p>
          <w:p>
            <w:pPr>
              <w:pStyle w:val="247"/>
              <w:kinsoku w:val="0"/>
              <w:overflowPunct w:val="0"/>
              <w:spacing w:beforeLines="0" w:afterLines="0" w:line="288" w:lineRule="auto"/>
              <w:ind w:left="286" w:right="114" w:hanging="145"/>
              <w:jc w:val="left"/>
              <w:rPr>
                <w:rFonts w:hint="eastAsia"/>
                <w:color w:val="auto"/>
                <w:sz w:val="21"/>
              </w:rPr>
            </w:pPr>
            <w:r>
              <w:rPr>
                <w:rFonts w:hint="default" w:ascii="Times New Roman" w:hAnsi="Times New Roman" w:eastAsia="Times New Roman"/>
                <w:color w:val="auto"/>
                <w:sz w:val="21"/>
              </w:rPr>
              <w:t xml:space="preserve">Ut-10m </w:t>
            </w:r>
            <w:r>
              <w:rPr>
                <w:rFonts w:hint="eastAsia"/>
                <w:color w:val="auto"/>
                <w:sz w:val="21"/>
              </w:rPr>
              <w:t>高处风速</w:t>
            </w:r>
          </w:p>
          <w:p>
            <w:pPr>
              <w:pStyle w:val="247"/>
              <w:kinsoku w:val="0"/>
              <w:overflowPunct w:val="0"/>
              <w:spacing w:beforeLines="0" w:afterLines="0" w:line="264" w:lineRule="exact"/>
              <w:ind w:left="240"/>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m/s</w:t>
            </w:r>
            <w:r>
              <w:rPr>
                <w:rFonts w:hint="eastAsia"/>
                <w:color w:val="auto"/>
                <w:sz w:val="21"/>
              </w:rPr>
              <w:t>）</w:t>
            </w:r>
          </w:p>
        </w:tc>
        <w:tc>
          <w:tcPr>
            <w:tcW w:w="1004"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28"/>
              </w:rPr>
            </w:pPr>
          </w:p>
          <w:p>
            <w:pPr>
              <w:pStyle w:val="247"/>
              <w:kinsoku w:val="0"/>
              <w:overflowPunct w:val="0"/>
              <w:spacing w:beforeLines="0" w:afterLines="0" w:line="285" w:lineRule="auto"/>
              <w:ind w:left="118" w:right="-29" w:firstLine="88"/>
              <w:jc w:val="left"/>
              <w:rPr>
                <w:rFonts w:hint="eastAsia"/>
                <w:color w:val="auto"/>
                <w:sz w:val="21"/>
              </w:rPr>
            </w:pPr>
            <w:r>
              <w:rPr>
                <w:rFonts w:hint="default" w:ascii="Times New Roman" w:hAnsi="Times New Roman" w:eastAsia="Times New Roman"/>
                <w:color w:val="auto"/>
                <w:sz w:val="21"/>
              </w:rPr>
              <w:t>T-</w:t>
            </w:r>
            <w:r>
              <w:rPr>
                <w:rFonts w:hint="eastAsia"/>
                <w:color w:val="auto"/>
                <w:sz w:val="21"/>
              </w:rPr>
              <w:t xml:space="preserve">到达 时 </w:t>
            </w:r>
            <w:r>
              <w:rPr>
                <w:rFonts w:hint="eastAsia"/>
                <w:color w:val="auto"/>
                <w:spacing w:val="-20"/>
                <w:sz w:val="21"/>
              </w:rPr>
              <w:t>间</w:t>
            </w:r>
            <w:r>
              <w:rPr>
                <w:rFonts w:hint="eastAsia"/>
                <w:color w:val="auto"/>
                <w:sz w:val="21"/>
              </w:rPr>
              <w:t>（</w:t>
            </w:r>
            <w:r>
              <w:rPr>
                <w:rFonts w:hint="default" w:ascii="Times New Roman" w:hAnsi="Times New Roman" w:eastAsia="Times New Roman"/>
                <w:color w:val="auto"/>
                <w:sz w:val="21"/>
              </w:rPr>
              <w:t>s</w:t>
            </w:r>
            <w:r>
              <w:rPr>
                <w:rFonts w:hint="eastAsia"/>
                <w:color w:val="auto"/>
                <w:sz w:val="21"/>
              </w:rPr>
              <w:t>）</w:t>
            </w:r>
          </w:p>
        </w:tc>
        <w:tc>
          <w:tcPr>
            <w:tcW w:w="934"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28"/>
              </w:rPr>
            </w:pPr>
          </w:p>
          <w:p>
            <w:pPr>
              <w:pStyle w:val="247"/>
              <w:kinsoku w:val="0"/>
              <w:overflowPunct w:val="0"/>
              <w:spacing w:beforeLines="0" w:afterLines="0" w:line="288" w:lineRule="auto"/>
              <w:ind w:left="133" w:right="98" w:firstLine="60"/>
              <w:jc w:val="left"/>
              <w:rPr>
                <w:rFonts w:hint="eastAsia"/>
                <w:color w:val="auto"/>
                <w:sz w:val="21"/>
              </w:rPr>
            </w:pPr>
            <w:r>
              <w:rPr>
                <w:rFonts w:hint="default" w:ascii="Times New Roman" w:hAnsi="Times New Roman" w:eastAsia="Times New Roman"/>
                <w:color w:val="auto"/>
                <w:sz w:val="21"/>
              </w:rPr>
              <w:t>Td-</w:t>
            </w:r>
            <w:r>
              <w:rPr>
                <w:rFonts w:hint="eastAsia"/>
                <w:color w:val="auto"/>
                <w:sz w:val="21"/>
              </w:rPr>
              <w:t>排放时间</w:t>
            </w:r>
          </w:p>
          <w:p>
            <w:pPr>
              <w:pStyle w:val="247"/>
              <w:kinsoku w:val="0"/>
              <w:overflowPunct w:val="0"/>
              <w:spacing w:beforeLines="0" w:afterLines="0" w:line="264" w:lineRule="exact"/>
              <w:ind w:left="198"/>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s</w:t>
            </w:r>
            <w:r>
              <w:rPr>
                <w:rFonts w:hint="eastAsia"/>
                <w:color w:val="auto"/>
                <w:sz w:val="21"/>
              </w:rPr>
              <w:t>）</w:t>
            </w:r>
          </w:p>
        </w:tc>
        <w:tc>
          <w:tcPr>
            <w:tcW w:w="87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 w:beforeLines="0" w:afterLines="0"/>
              <w:jc w:val="left"/>
              <w:rPr>
                <w:rFonts w:hint="eastAsia" w:ascii="楷体" w:hAnsi="楷体" w:eastAsia="楷体"/>
                <w:b/>
                <w:color w:val="auto"/>
                <w:sz w:val="21"/>
              </w:rPr>
            </w:pPr>
          </w:p>
          <w:p>
            <w:pPr>
              <w:pStyle w:val="247"/>
              <w:kinsoku w:val="0"/>
              <w:overflowPunct w:val="0"/>
              <w:spacing w:beforeLines="0" w:afterLines="0"/>
              <w:ind w:left="187"/>
              <w:jc w:val="left"/>
              <w:rPr>
                <w:rFonts w:hint="eastAsia"/>
                <w:color w:val="auto"/>
                <w:sz w:val="21"/>
              </w:rPr>
            </w:pPr>
            <w:r>
              <w:rPr>
                <w:rFonts w:hint="eastAsia"/>
                <w:color w:val="auto"/>
                <w:sz w:val="21"/>
              </w:rPr>
              <w:t>高度</w:t>
            </w:r>
          </w:p>
          <w:p>
            <w:pPr>
              <w:pStyle w:val="247"/>
              <w:kinsoku w:val="0"/>
              <w:overflowPunct w:val="0"/>
              <w:spacing w:before="64" w:beforeLines="0" w:afterLines="0"/>
              <w:ind w:left="245"/>
              <w:jc w:val="left"/>
              <w:rPr>
                <w:rFonts w:hint="default" w:ascii="Times New Roman" w:hAnsi="Times New Roman" w:eastAsia="Times New Roman"/>
                <w:color w:val="auto"/>
                <w:sz w:val="21"/>
              </w:rPr>
            </w:pPr>
            <w:r>
              <w:rPr>
                <w:rFonts w:hint="default" w:ascii="Times New Roman" w:hAnsi="Times New Roman" w:eastAsia="Times New Roman"/>
                <w:color w:val="auto"/>
                <w:sz w:val="21"/>
              </w:rPr>
              <w:t>(m)</w:t>
            </w:r>
          </w:p>
        </w:tc>
        <w:tc>
          <w:tcPr>
            <w:tcW w:w="554"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75" w:beforeLines="0" w:afterLines="0"/>
              <w:ind w:left="157"/>
              <w:jc w:val="left"/>
              <w:rPr>
                <w:rFonts w:hint="eastAsia"/>
                <w:color w:val="auto"/>
                <w:sz w:val="21"/>
              </w:rPr>
            </w:pPr>
            <w:r>
              <w:rPr>
                <w:rFonts w:hint="eastAsia"/>
                <w:color w:val="auto"/>
                <w:sz w:val="21"/>
              </w:rPr>
              <w:t>判定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468"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ind w:left="45"/>
              <w:rPr>
                <w:rFonts w:hint="eastAsia" w:ascii="Times New Roman" w:hAnsi="Times New Roman" w:eastAsia="宋体"/>
                <w:color w:val="auto"/>
                <w:sz w:val="21"/>
                <w:lang w:eastAsia="zh-CN"/>
              </w:rPr>
            </w:pPr>
            <w:r>
              <w:rPr>
                <w:rFonts w:hint="eastAsia" w:ascii="楷体" w:hAnsi="楷体" w:eastAsia="楷体"/>
                <w:b/>
                <w:color w:val="auto"/>
                <w:sz w:val="17"/>
                <w:lang w:val="en-US" w:eastAsia="zh-CN"/>
              </w:rPr>
              <w:t>1</w:t>
            </w:r>
          </w:p>
        </w:tc>
        <w:tc>
          <w:tcPr>
            <w:tcW w:w="63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16"/>
              </w:rPr>
            </w:pPr>
          </w:p>
          <w:p>
            <w:pPr>
              <w:pStyle w:val="247"/>
              <w:kinsoku w:val="0"/>
              <w:overflowPunct w:val="0"/>
              <w:spacing w:beforeLines="0" w:afterLines="0"/>
              <w:ind w:left="117"/>
              <w:jc w:val="left"/>
              <w:rPr>
                <w:rFonts w:hint="eastAsia"/>
                <w:color w:val="auto"/>
                <w:sz w:val="21"/>
              </w:rPr>
            </w:pPr>
            <w:r>
              <w:rPr>
                <w:rFonts w:hint="eastAsia"/>
                <w:color w:val="auto"/>
                <w:sz w:val="21"/>
              </w:rPr>
              <w:t>液氨</w:t>
            </w:r>
          </w:p>
        </w:tc>
        <w:tc>
          <w:tcPr>
            <w:tcW w:w="157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line="320" w:lineRule="exact"/>
              <w:ind w:left="237" w:right="101" w:hanging="106"/>
              <w:jc w:val="left"/>
              <w:rPr>
                <w:rFonts w:hint="eastAsia"/>
                <w:color w:val="auto"/>
                <w:sz w:val="21"/>
              </w:rPr>
            </w:pPr>
            <w:r>
              <w:rPr>
                <w:rFonts w:hint="eastAsia"/>
                <w:color w:val="auto"/>
                <w:sz w:val="21"/>
              </w:rPr>
              <w:t>液氨储罐管道</w:t>
            </w:r>
            <w:r>
              <w:rPr>
                <w:rFonts w:hint="eastAsia" w:eastAsia="宋体"/>
                <w:color w:val="auto"/>
                <w:sz w:val="21"/>
                <w:lang w:eastAsia="zh-CN"/>
              </w:rPr>
              <w:t>泄漏孔径为管径的</w:t>
            </w:r>
            <w:r>
              <w:rPr>
                <w:rFonts w:hint="eastAsia" w:eastAsia="宋体"/>
                <w:color w:val="auto"/>
                <w:sz w:val="21"/>
                <w:lang w:val="en-US" w:eastAsia="zh-CN"/>
              </w:rPr>
              <w:t>10%</w:t>
            </w:r>
            <w:r>
              <w:rPr>
                <w:rFonts w:hint="eastAsia"/>
                <w:color w:val="auto"/>
                <w:sz w:val="21"/>
              </w:rPr>
              <w:t>， 导致液氨泄漏扩散</w:t>
            </w:r>
          </w:p>
        </w:tc>
        <w:tc>
          <w:tcPr>
            <w:tcW w:w="126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326"/>
              <w:jc w:val="left"/>
              <w:rPr>
                <w:rFonts w:hint="default" w:ascii="Times New Roman" w:hAnsi="Times New Roman" w:eastAsia="Times New Roman"/>
                <w:color w:val="auto"/>
                <w:sz w:val="21"/>
              </w:rPr>
            </w:pPr>
            <w:r>
              <w:rPr>
                <w:rFonts w:hint="default" w:ascii="Times New Roman" w:hAnsi="Times New Roman" w:eastAsia="Times New Roman"/>
                <w:color w:val="auto"/>
                <w:sz w:val="21"/>
              </w:rPr>
              <w:t>800</w:t>
            </w:r>
          </w:p>
        </w:tc>
        <w:tc>
          <w:tcPr>
            <w:tcW w:w="148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15"/>
              </w:rPr>
            </w:pPr>
          </w:p>
          <w:p>
            <w:pPr>
              <w:pStyle w:val="247"/>
              <w:kinsoku w:val="0"/>
              <w:overflowPunct w:val="0"/>
              <w:spacing w:beforeLines="0" w:afterLines="0"/>
              <w:ind w:left="398" w:right="366"/>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2</w:t>
            </w:r>
            <w:r>
              <w:rPr>
                <w:rFonts w:hint="eastAsia" w:ascii="Times New Roman" w:hAnsi="Times New Roman" w:eastAsia="Times New Roman"/>
                <w:color w:val="auto"/>
                <w:sz w:val="22"/>
                <w:lang w:val="en-US" w:eastAsia="zh-CN"/>
              </w:rPr>
              <w:t>.15</w:t>
            </w:r>
          </w:p>
        </w:tc>
        <w:tc>
          <w:tcPr>
            <w:tcW w:w="100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3" w:beforeLines="0" w:afterLines="0"/>
              <w:ind w:left="226" w:right="197"/>
              <w:rPr>
                <w:rFonts w:hint="default" w:ascii="Times New Roman" w:hAnsi="Times New Roman" w:eastAsia="Times New Roman"/>
                <w:color w:val="auto"/>
                <w:sz w:val="22"/>
              </w:rPr>
            </w:pPr>
            <w:r>
              <w:rPr>
                <w:rFonts w:hint="default" w:ascii="Times New Roman" w:hAnsi="Times New Roman" w:eastAsia="Times New Roman"/>
                <w:color w:val="auto"/>
                <w:sz w:val="22"/>
              </w:rPr>
              <w:t>744</w:t>
            </w:r>
          </w:p>
        </w:tc>
        <w:tc>
          <w:tcPr>
            <w:tcW w:w="93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3" w:beforeLines="0" w:afterLines="0"/>
              <w:ind w:left="115" w:right="82"/>
              <w:rPr>
                <w:rFonts w:hint="default" w:ascii="Times New Roman" w:hAnsi="Times New Roman" w:eastAsia="Times New Roman"/>
                <w:color w:val="auto"/>
                <w:sz w:val="22"/>
              </w:rPr>
            </w:pPr>
            <w:r>
              <w:rPr>
                <w:rFonts w:hint="default" w:ascii="Times New Roman" w:hAnsi="Times New Roman" w:eastAsia="Times New Roman"/>
                <w:color w:val="auto"/>
                <w:sz w:val="22"/>
              </w:rPr>
              <w:t>1800</w:t>
            </w:r>
          </w:p>
        </w:tc>
        <w:tc>
          <w:tcPr>
            <w:tcW w:w="87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right="307"/>
              <w:jc w:val="right"/>
              <w:rPr>
                <w:rFonts w:hint="default" w:ascii="Times New Roman" w:hAnsi="Times New Roman" w:eastAsia="Times New Roman"/>
                <w:color w:val="auto"/>
                <w:sz w:val="21"/>
              </w:rPr>
            </w:pPr>
            <w:r>
              <w:rPr>
                <w:rFonts w:hint="default" w:ascii="Times New Roman" w:hAnsi="Times New Roman" w:eastAsia="Times New Roman"/>
                <w:color w:val="auto"/>
                <w:sz w:val="21"/>
              </w:rPr>
              <w:t>5</w:t>
            </w:r>
          </w:p>
        </w:tc>
        <w:tc>
          <w:tcPr>
            <w:tcW w:w="554"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beforeLines="0" w:afterLines="0" w:line="320" w:lineRule="exact"/>
              <w:ind w:left="157" w:right="119"/>
              <w:jc w:val="left"/>
              <w:rPr>
                <w:rFonts w:hint="eastAsia"/>
                <w:color w:val="auto"/>
                <w:sz w:val="21"/>
              </w:rPr>
            </w:pPr>
            <w:r>
              <w:rPr>
                <w:rFonts w:hint="eastAsia"/>
                <w:color w:val="auto"/>
                <w:sz w:val="21"/>
              </w:rPr>
              <w:t>连续排放</w:t>
            </w:r>
          </w:p>
        </w:tc>
      </w:tr>
    </w:tbl>
    <w:p>
      <w:pPr>
        <w:pStyle w:val="22"/>
        <w:kinsoku w:val="0"/>
        <w:overflowPunct w:val="0"/>
        <w:spacing w:before="120" w:beforeLines="0" w:afterLines="0" w:line="333" w:lineRule="auto"/>
        <w:ind w:left="460" w:right="1654" w:firstLine="554"/>
        <w:jc w:val="both"/>
        <w:rPr>
          <w:rFonts w:hint="eastAsia" w:ascii="宋体" w:hAnsi="宋体" w:eastAsia="宋体" w:cs="宋体"/>
          <w:color w:val="auto"/>
          <w:spacing w:val="-3"/>
          <w:sz w:val="24"/>
          <w:szCs w:val="24"/>
        </w:rPr>
      </w:pPr>
      <w:r>
        <w:rPr>
          <w:rFonts w:hint="eastAsia" w:ascii="宋体" w:hAnsi="宋体" w:eastAsia="宋体" w:cs="宋体"/>
          <w:color w:val="auto"/>
          <w:spacing w:val="-10"/>
          <w:sz w:val="24"/>
          <w:szCs w:val="24"/>
        </w:rPr>
        <w:t>根据上表判定，本项目属于连续排放的风险源</w:t>
      </w:r>
      <w:r>
        <w:rPr>
          <w:rFonts w:hint="eastAsia" w:ascii="宋体" w:hAnsi="宋体" w:eastAsia="宋体" w:cs="宋体"/>
          <w:color w:val="auto"/>
          <w:spacing w:val="-18"/>
          <w:sz w:val="24"/>
          <w:szCs w:val="24"/>
        </w:rPr>
        <w:t>。</w:t>
      </w:r>
    </w:p>
    <w:p>
      <w:pPr>
        <w:pStyle w:val="22"/>
        <w:kinsoku w:val="0"/>
        <w:overflowPunct w:val="0"/>
        <w:spacing w:before="1" w:beforeLines="0" w:afterLines="0"/>
        <w:ind w:left="1014"/>
        <w:rPr>
          <w:rFonts w:hint="eastAsia" w:ascii="宋体" w:hAnsi="宋体" w:eastAsia="宋体" w:cs="宋体"/>
          <w:color w:val="auto"/>
          <w:sz w:val="24"/>
          <w:szCs w:val="24"/>
        </w:rPr>
      </w:pPr>
      <w:r>
        <w:rPr>
          <w:rFonts w:hint="eastAsia" w:ascii="宋体" w:hAnsi="宋体" w:eastAsia="宋体" w:cs="宋体"/>
          <w:color w:val="auto"/>
          <w:sz w:val="24"/>
          <w:szCs w:val="24"/>
        </w:rPr>
        <w:t>2、是否为重质气体判定：</w:t>
      </w:r>
    </w:p>
    <w:p>
      <w:pPr>
        <w:pStyle w:val="22"/>
        <w:kinsoku w:val="0"/>
        <w:overflowPunct w:val="0"/>
        <w:spacing w:before="143" w:beforeLines="0" w:afterLines="0" w:line="333" w:lineRule="auto"/>
        <w:ind w:left="460" w:right="1723" w:firstLine="554"/>
        <w:rPr>
          <w:rFonts w:hint="eastAsia"/>
          <w:color w:val="auto"/>
          <w:sz w:val="20"/>
        </w:rPr>
      </w:pPr>
      <w:r>
        <w:rPr>
          <w:rFonts w:hint="eastAsia" w:ascii="宋体" w:hAnsi="宋体" w:eastAsia="宋体" w:cs="宋体"/>
          <w:color w:val="auto"/>
          <w:sz w:val="24"/>
          <w:szCs w:val="24"/>
        </w:rPr>
        <w:t>根据《建设项目环境风险评价技术导则》（HJ169-2018），是否为重质气体判定计算公式如下：</w:t>
      </w:r>
      <w:r>
        <w:rPr>
          <w:rFonts w:hint="eastAsia" w:ascii="宋体" w:hAnsi="宋体" w:eastAsia="宋体" w:cs="宋体"/>
          <w:color w:val="auto"/>
          <w:sz w:val="24"/>
          <w:szCs w:val="24"/>
        </w:rPr>
        <w:br w:type="textWrapping"/>
      </w:r>
      <w:r>
        <w:rPr>
          <w:rFonts w:hint="eastAsia"/>
          <w:color w:val="auto"/>
          <w:sz w:val="20"/>
        </w:rPr>
        <w:drawing>
          <wp:inline distT="0" distB="0" distL="114300" distR="114300">
            <wp:extent cx="4724400" cy="2057400"/>
            <wp:effectExtent l="0" t="0" r="0"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57"/>
                    <a:stretch>
                      <a:fillRect/>
                    </a:stretch>
                  </pic:blipFill>
                  <pic:spPr>
                    <a:xfrm>
                      <a:off x="0" y="0"/>
                      <a:ext cx="4724400" cy="2057400"/>
                    </a:xfrm>
                    <a:prstGeom prst="rect">
                      <a:avLst/>
                    </a:prstGeom>
                    <a:noFill/>
                    <a:ln>
                      <a:noFill/>
                    </a:ln>
                  </pic:spPr>
                </pic:pic>
              </a:graphicData>
            </a:graphic>
          </wp:inline>
        </w:drawing>
      </w:r>
    </w:p>
    <w:p>
      <w:pPr>
        <w:pStyle w:val="22"/>
        <w:kinsoku w:val="0"/>
        <w:overflowPunct w:val="0"/>
        <w:spacing w:before="143" w:beforeLines="0" w:afterLines="0" w:line="333" w:lineRule="auto"/>
        <w:ind w:left="460" w:right="1723" w:firstLine="554"/>
        <w:rPr>
          <w:rFonts w:hint="default"/>
          <w:color w:val="auto"/>
          <w:sz w:val="24"/>
        </w:rPr>
      </w:pPr>
      <w:r>
        <w:rPr>
          <w:rFonts w:hint="default"/>
          <w:color w:val="auto"/>
          <w:sz w:val="24"/>
        </w:rPr>
        <w:drawing>
          <wp:inline distT="0" distB="0" distL="114300" distR="114300">
            <wp:extent cx="2076450" cy="590550"/>
            <wp:effectExtent l="0" t="0" r="0" b="0"/>
            <wp:docPr id="1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
                    <pic:cNvPicPr>
                      <a:picLocks noChangeAspect="1"/>
                    </pic:cNvPicPr>
                  </pic:nvPicPr>
                  <pic:blipFill>
                    <a:blip r:embed="rId58"/>
                    <a:stretch>
                      <a:fillRect/>
                    </a:stretch>
                  </pic:blipFill>
                  <pic:spPr>
                    <a:xfrm>
                      <a:off x="0" y="0"/>
                      <a:ext cx="2076450" cy="590550"/>
                    </a:xfrm>
                    <a:prstGeom prst="rect">
                      <a:avLst/>
                    </a:prstGeom>
                    <a:noFill/>
                    <a:ln>
                      <a:noFill/>
                    </a:ln>
                  </pic:spPr>
                </pic:pic>
              </a:graphicData>
            </a:graphic>
          </wp:inline>
        </w:drawing>
      </w:r>
    </w:p>
    <w:p>
      <w:pPr>
        <w:pStyle w:val="22"/>
        <w:kinsoku w:val="0"/>
        <w:overflowPunct w:val="0"/>
        <w:spacing w:before="74" w:beforeLines="0" w:after="31" w:afterLines="0"/>
        <w:ind w:right="856"/>
        <w:jc w:val="center"/>
        <w:rPr>
          <w:rFonts w:hint="eastAsia" w:ascii="宋体" w:hAnsi="宋体" w:eastAsia="宋体" w:cs="宋体"/>
          <w:b/>
          <w:i w:val="0"/>
          <w:iCs w:val="0"/>
          <w:color w:val="auto"/>
          <w:sz w:val="24"/>
        </w:rPr>
      </w:pPr>
      <w:r>
        <w:rPr>
          <w:rFonts w:hint="eastAsia" w:ascii="宋体" w:hAnsi="宋体" w:eastAsia="宋体" w:cs="宋体"/>
          <w:b/>
          <w:i w:val="0"/>
          <w:iCs w:val="0"/>
          <w:color w:val="auto"/>
          <w:spacing w:val="-31"/>
          <w:sz w:val="24"/>
        </w:rPr>
        <w:t xml:space="preserve">表 </w:t>
      </w:r>
      <w:r>
        <w:rPr>
          <w:rFonts w:hint="eastAsia" w:ascii="宋体" w:hAnsi="宋体" w:eastAsia="宋体" w:cs="宋体"/>
          <w:b/>
          <w:i w:val="0"/>
          <w:iCs w:val="0"/>
          <w:color w:val="auto"/>
          <w:sz w:val="24"/>
        </w:rPr>
        <w:t>7.</w:t>
      </w:r>
      <w:r>
        <w:rPr>
          <w:rFonts w:hint="eastAsia" w:ascii="宋体" w:hAnsi="宋体" w:eastAsia="宋体" w:cs="宋体"/>
          <w:b/>
          <w:i w:val="0"/>
          <w:iCs w:val="0"/>
          <w:color w:val="auto"/>
          <w:sz w:val="24"/>
          <w:lang w:val="en-US" w:eastAsia="zh-CN"/>
        </w:rPr>
        <w:t>2</w:t>
      </w:r>
      <w:r>
        <w:rPr>
          <w:rFonts w:hint="eastAsia" w:ascii="宋体" w:hAnsi="宋体" w:eastAsia="宋体" w:cs="宋体"/>
          <w:b/>
          <w:i w:val="0"/>
          <w:iCs w:val="0"/>
          <w:color w:val="auto"/>
          <w:sz w:val="24"/>
        </w:rPr>
        <w:t>-2</w:t>
      </w:r>
      <w:r>
        <w:rPr>
          <w:rFonts w:hint="eastAsia" w:ascii="宋体" w:hAnsi="宋体" w:eastAsia="宋体" w:cs="宋体"/>
          <w:b/>
          <w:i w:val="0"/>
          <w:iCs w:val="0"/>
          <w:color w:val="auto"/>
          <w:spacing w:val="56"/>
          <w:sz w:val="24"/>
        </w:rPr>
        <w:t xml:space="preserve"> </w:t>
      </w:r>
      <w:r>
        <w:rPr>
          <w:rFonts w:hint="eastAsia" w:ascii="宋体" w:hAnsi="宋体" w:eastAsia="宋体" w:cs="宋体"/>
          <w:b/>
          <w:i w:val="0"/>
          <w:iCs w:val="0"/>
          <w:color w:val="auto"/>
          <w:sz w:val="24"/>
        </w:rPr>
        <w:t>是否为重质气体判定</w:t>
      </w:r>
    </w:p>
    <w:tbl>
      <w:tblPr>
        <w:tblStyle w:val="45"/>
        <w:tblW w:w="8546" w:type="dxa"/>
        <w:tblInd w:w="43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1"/>
        <w:gridCol w:w="509"/>
        <w:gridCol w:w="1242"/>
        <w:gridCol w:w="1108"/>
        <w:gridCol w:w="1188"/>
        <w:gridCol w:w="877"/>
        <w:gridCol w:w="935"/>
        <w:gridCol w:w="877"/>
        <w:gridCol w:w="727"/>
        <w:gridCol w:w="6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81" w:hRule="atLeast"/>
        </w:trPr>
        <w:tc>
          <w:tcPr>
            <w:tcW w:w="451"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9" w:beforeLines="0" w:afterLines="0"/>
              <w:jc w:val="left"/>
              <w:rPr>
                <w:rFonts w:hint="eastAsia" w:ascii="楷体" w:hAnsi="楷体" w:eastAsia="楷体"/>
                <w:b/>
                <w:color w:val="auto"/>
                <w:sz w:val="28"/>
              </w:rPr>
            </w:pPr>
          </w:p>
          <w:p>
            <w:pPr>
              <w:pStyle w:val="247"/>
              <w:kinsoku w:val="0"/>
              <w:overflowPunct w:val="0"/>
              <w:spacing w:beforeLines="0" w:afterLines="0" w:line="285" w:lineRule="auto"/>
              <w:ind w:right="91"/>
              <w:jc w:val="left"/>
              <w:rPr>
                <w:rFonts w:hint="eastAsia"/>
                <w:color w:val="auto"/>
                <w:sz w:val="21"/>
              </w:rPr>
            </w:pPr>
            <w:r>
              <w:rPr>
                <w:rFonts w:hint="eastAsia"/>
                <w:color w:val="auto"/>
                <w:sz w:val="21"/>
              </w:rPr>
              <w:t>序号</w:t>
            </w:r>
          </w:p>
        </w:tc>
        <w:tc>
          <w:tcPr>
            <w:tcW w:w="509"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8" w:beforeLines="0" w:afterLines="0" w:line="285" w:lineRule="auto"/>
              <w:ind w:right="127"/>
              <w:jc w:val="both"/>
              <w:rPr>
                <w:rFonts w:hint="eastAsia"/>
                <w:color w:val="auto"/>
                <w:sz w:val="21"/>
              </w:rPr>
            </w:pPr>
            <w:r>
              <w:rPr>
                <w:rFonts w:hint="eastAsia"/>
                <w:color w:val="auto"/>
                <w:sz w:val="21"/>
              </w:rPr>
              <w:t>风险物</w:t>
            </w:r>
          </w:p>
          <w:p>
            <w:pPr>
              <w:pStyle w:val="247"/>
              <w:kinsoku w:val="0"/>
              <w:overflowPunct w:val="0"/>
              <w:spacing w:beforeLines="0" w:afterLines="0" w:line="252" w:lineRule="exact"/>
              <w:jc w:val="both"/>
              <w:rPr>
                <w:rFonts w:hint="eastAsia"/>
                <w:color w:val="auto"/>
                <w:sz w:val="21"/>
              </w:rPr>
            </w:pPr>
            <w:r>
              <w:rPr>
                <w:rFonts w:hint="eastAsia"/>
                <w:color w:val="auto"/>
                <w:sz w:val="21"/>
              </w:rPr>
              <w:t>质</w:t>
            </w:r>
          </w:p>
        </w:tc>
        <w:tc>
          <w:tcPr>
            <w:tcW w:w="1242"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8" w:beforeLines="0" w:afterLines="0" w:line="285" w:lineRule="auto"/>
              <w:ind w:right="164"/>
              <w:jc w:val="both"/>
              <w:rPr>
                <w:rFonts w:hint="eastAsia"/>
                <w:color w:val="auto"/>
                <w:sz w:val="21"/>
              </w:rPr>
            </w:pPr>
            <w:r>
              <w:rPr>
                <w:rFonts w:hint="eastAsia"/>
                <w:color w:val="auto"/>
                <w:sz w:val="21"/>
              </w:rPr>
              <w:t>排放物质进入大气的初始密</w:t>
            </w:r>
          </w:p>
          <w:p>
            <w:pPr>
              <w:pStyle w:val="247"/>
              <w:kinsoku w:val="0"/>
              <w:overflowPunct w:val="0"/>
              <w:spacing w:beforeLines="0" w:afterLines="0" w:line="252" w:lineRule="exact"/>
              <w:ind w:left="117"/>
              <w:jc w:val="both"/>
              <w:rPr>
                <w:rFonts w:hint="eastAsia"/>
                <w:color w:val="auto"/>
                <w:spacing w:val="-5"/>
                <w:sz w:val="21"/>
              </w:rPr>
            </w:pPr>
            <w:r>
              <w:rPr>
                <w:rFonts w:hint="eastAsia"/>
                <w:color w:val="auto"/>
                <w:spacing w:val="-65"/>
                <w:sz w:val="21"/>
              </w:rPr>
              <w:t>度</w:t>
            </w:r>
            <w:r>
              <w:rPr>
                <w:rFonts w:hint="eastAsia"/>
                <w:color w:val="auto"/>
                <w:spacing w:val="-5"/>
                <w:sz w:val="21"/>
              </w:rPr>
              <w:t>（</w:t>
            </w:r>
            <w:r>
              <w:rPr>
                <w:rFonts w:hint="default" w:ascii="Times New Roman" w:hAnsi="Times New Roman" w:eastAsia="Times New Roman"/>
                <w:color w:val="auto"/>
                <w:spacing w:val="-5"/>
                <w:sz w:val="21"/>
              </w:rPr>
              <w:t>kg/m3</w:t>
            </w:r>
            <w:r>
              <w:rPr>
                <w:rFonts w:hint="eastAsia"/>
                <w:color w:val="auto"/>
                <w:spacing w:val="-5"/>
                <w:sz w:val="21"/>
              </w:rPr>
              <w:t>）</w:t>
            </w:r>
          </w:p>
        </w:tc>
        <w:tc>
          <w:tcPr>
            <w:tcW w:w="1108"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16"/>
              </w:rPr>
            </w:pPr>
          </w:p>
          <w:p>
            <w:pPr>
              <w:pStyle w:val="247"/>
              <w:kinsoku w:val="0"/>
              <w:overflowPunct w:val="0"/>
              <w:spacing w:beforeLines="0" w:afterLines="0" w:line="288" w:lineRule="auto"/>
              <w:ind w:right="145"/>
              <w:jc w:val="left"/>
              <w:rPr>
                <w:rFonts w:hint="eastAsia"/>
                <w:color w:val="auto"/>
                <w:sz w:val="21"/>
              </w:rPr>
            </w:pPr>
            <w:r>
              <w:rPr>
                <w:rFonts w:hint="eastAsia"/>
                <w:color w:val="auto"/>
                <w:sz w:val="21"/>
              </w:rPr>
              <w:t>环境空气密度</w:t>
            </w:r>
          </w:p>
          <w:p>
            <w:pPr>
              <w:pStyle w:val="247"/>
              <w:kinsoku w:val="0"/>
              <w:overflowPunct w:val="0"/>
              <w:spacing w:beforeLines="0" w:afterLines="0" w:line="264" w:lineRule="exact"/>
              <w:ind w:left="116"/>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kg/m3</w:t>
            </w:r>
            <w:r>
              <w:rPr>
                <w:rFonts w:hint="eastAsia"/>
                <w:color w:val="auto"/>
                <w:sz w:val="21"/>
              </w:rPr>
              <w:t>）</w:t>
            </w:r>
          </w:p>
        </w:tc>
        <w:tc>
          <w:tcPr>
            <w:tcW w:w="1188"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16"/>
              </w:rPr>
            </w:pPr>
          </w:p>
          <w:p>
            <w:pPr>
              <w:pStyle w:val="247"/>
              <w:kinsoku w:val="0"/>
              <w:overflowPunct w:val="0"/>
              <w:spacing w:beforeLines="0" w:afterLines="0" w:line="288" w:lineRule="auto"/>
              <w:ind w:left="214" w:right="184"/>
              <w:jc w:val="left"/>
              <w:rPr>
                <w:rFonts w:hint="eastAsia"/>
                <w:color w:val="auto"/>
                <w:sz w:val="21"/>
              </w:rPr>
            </w:pPr>
            <w:r>
              <w:rPr>
                <w:rFonts w:hint="eastAsia"/>
                <w:color w:val="auto"/>
                <w:sz w:val="21"/>
              </w:rPr>
              <w:t>连续排放速率</w:t>
            </w:r>
          </w:p>
          <w:p>
            <w:pPr>
              <w:pStyle w:val="247"/>
              <w:kinsoku w:val="0"/>
              <w:overflowPunct w:val="0"/>
              <w:spacing w:beforeLines="0" w:afterLines="0" w:line="264" w:lineRule="exact"/>
              <w:ind w:left="145"/>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kg/s</w:t>
            </w:r>
            <w:r>
              <w:rPr>
                <w:rFonts w:hint="eastAsia"/>
                <w:color w:val="auto"/>
                <w:sz w:val="21"/>
              </w:rPr>
              <w:t>）</w:t>
            </w:r>
          </w:p>
        </w:tc>
        <w:tc>
          <w:tcPr>
            <w:tcW w:w="87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8" w:beforeLines="0" w:afterLines="0" w:line="285" w:lineRule="auto"/>
              <w:ind w:right="170"/>
              <w:jc w:val="both"/>
              <w:rPr>
                <w:rFonts w:hint="eastAsia"/>
                <w:color w:val="auto"/>
                <w:sz w:val="21"/>
              </w:rPr>
            </w:pPr>
            <w:r>
              <w:rPr>
                <w:rFonts w:hint="eastAsia"/>
                <w:color w:val="auto"/>
                <w:sz w:val="21"/>
              </w:rPr>
              <w:t>初始烟团宽度</w:t>
            </w:r>
          </w:p>
          <w:p>
            <w:pPr>
              <w:pStyle w:val="247"/>
              <w:kinsoku w:val="0"/>
              <w:overflowPunct w:val="0"/>
              <w:spacing w:beforeLines="0" w:afterLines="0" w:line="252" w:lineRule="exact"/>
              <w:ind w:left="113"/>
              <w:jc w:val="both"/>
              <w:rPr>
                <w:rFonts w:hint="eastAsia"/>
                <w:color w:val="auto"/>
                <w:sz w:val="21"/>
              </w:rPr>
            </w:pPr>
            <w:r>
              <w:rPr>
                <w:rFonts w:hint="eastAsia"/>
                <w:color w:val="auto"/>
                <w:sz w:val="21"/>
              </w:rPr>
              <w:t>（</w:t>
            </w:r>
            <w:r>
              <w:rPr>
                <w:rFonts w:hint="default" w:ascii="Times New Roman" w:hAnsi="Times New Roman" w:eastAsia="Times New Roman"/>
                <w:color w:val="auto"/>
                <w:sz w:val="21"/>
              </w:rPr>
              <w:t>m</w:t>
            </w:r>
            <w:r>
              <w:rPr>
                <w:rFonts w:hint="eastAsia"/>
                <w:color w:val="auto"/>
                <w:sz w:val="21"/>
              </w:rPr>
              <w:t>）</w:t>
            </w:r>
          </w:p>
        </w:tc>
        <w:tc>
          <w:tcPr>
            <w:tcW w:w="935"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line="295" w:lineRule="auto"/>
              <w:ind w:right="-15"/>
              <w:jc w:val="left"/>
              <w:rPr>
                <w:rFonts w:hint="eastAsia"/>
                <w:color w:val="auto"/>
                <w:sz w:val="21"/>
              </w:rPr>
            </w:pPr>
            <w:r>
              <w:rPr>
                <w:rFonts w:hint="default" w:ascii="Times New Roman" w:hAnsi="Times New Roman" w:eastAsia="Times New Roman"/>
                <w:color w:val="auto"/>
                <w:sz w:val="21"/>
              </w:rPr>
              <w:t xml:space="preserve">Ut-10m </w:t>
            </w:r>
            <w:r>
              <w:rPr>
                <w:rFonts w:hint="eastAsia"/>
                <w:color w:val="auto"/>
                <w:spacing w:val="-27"/>
                <w:sz w:val="21"/>
              </w:rPr>
              <w:t>高处风速</w:t>
            </w:r>
            <w:r>
              <w:rPr>
                <w:rFonts w:hint="eastAsia"/>
                <w:color w:val="auto"/>
                <w:sz w:val="21"/>
              </w:rPr>
              <w:t>（</w:t>
            </w:r>
            <w:r>
              <w:rPr>
                <w:rFonts w:hint="default" w:ascii="Times New Roman" w:hAnsi="Times New Roman" w:eastAsia="Times New Roman"/>
                <w:color w:val="auto"/>
                <w:sz w:val="21"/>
              </w:rPr>
              <w:t>m/s</w:t>
            </w:r>
            <w:r>
              <w:rPr>
                <w:rFonts w:hint="eastAsia"/>
                <w:color w:val="auto"/>
                <w:sz w:val="21"/>
              </w:rPr>
              <w:t>）</w:t>
            </w:r>
          </w:p>
        </w:tc>
        <w:tc>
          <w:tcPr>
            <w:tcW w:w="87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2"/>
              </w:rPr>
            </w:pPr>
          </w:p>
          <w:p>
            <w:pPr>
              <w:pStyle w:val="247"/>
              <w:kinsoku w:val="0"/>
              <w:overflowPunct w:val="0"/>
              <w:spacing w:before="4" w:beforeLines="0" w:afterLines="0"/>
              <w:jc w:val="left"/>
              <w:rPr>
                <w:rFonts w:hint="eastAsia" w:ascii="楷体" w:hAnsi="楷体" w:eastAsia="楷体"/>
                <w:b/>
                <w:color w:val="auto"/>
                <w:sz w:val="20"/>
              </w:rPr>
            </w:pPr>
          </w:p>
          <w:p>
            <w:pPr>
              <w:pStyle w:val="247"/>
              <w:kinsoku w:val="0"/>
              <w:overflowPunct w:val="0"/>
              <w:spacing w:beforeLines="0" w:afterLines="0"/>
              <w:ind w:left="90" w:right="76"/>
              <w:rPr>
                <w:rFonts w:hint="default" w:ascii="Times New Roman" w:hAnsi="Times New Roman" w:eastAsia="Times New Roman"/>
                <w:color w:val="auto"/>
                <w:sz w:val="21"/>
              </w:rPr>
            </w:pPr>
            <w:r>
              <w:rPr>
                <w:rFonts w:hint="default" w:ascii="Times New Roman" w:hAnsi="Times New Roman" w:eastAsia="Times New Roman"/>
                <w:color w:val="auto"/>
                <w:sz w:val="21"/>
              </w:rPr>
              <w:t>Ri</w:t>
            </w:r>
          </w:p>
        </w:tc>
        <w:tc>
          <w:tcPr>
            <w:tcW w:w="72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3" w:beforeLines="0" w:afterLines="0"/>
              <w:jc w:val="left"/>
              <w:rPr>
                <w:rFonts w:hint="eastAsia" w:ascii="楷体" w:hAnsi="楷体" w:eastAsia="楷体"/>
                <w:b/>
                <w:color w:val="auto"/>
                <w:sz w:val="21"/>
              </w:rPr>
            </w:pPr>
          </w:p>
          <w:p>
            <w:pPr>
              <w:pStyle w:val="247"/>
              <w:kinsoku w:val="0"/>
              <w:overflowPunct w:val="0"/>
              <w:spacing w:beforeLines="0" w:afterLines="0"/>
              <w:jc w:val="left"/>
              <w:rPr>
                <w:rFonts w:hint="eastAsia"/>
                <w:color w:val="auto"/>
                <w:sz w:val="21"/>
              </w:rPr>
            </w:pPr>
            <w:r>
              <w:rPr>
                <w:rFonts w:hint="eastAsia"/>
                <w:color w:val="auto"/>
                <w:sz w:val="21"/>
              </w:rPr>
              <w:t>判定</w:t>
            </w:r>
          </w:p>
        </w:tc>
        <w:tc>
          <w:tcPr>
            <w:tcW w:w="632"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9" w:beforeLines="0" w:afterLines="0"/>
              <w:jc w:val="left"/>
              <w:rPr>
                <w:rFonts w:hint="eastAsia" w:ascii="楷体" w:hAnsi="楷体" w:eastAsia="楷体"/>
                <w:b/>
                <w:color w:val="auto"/>
                <w:sz w:val="28"/>
              </w:rPr>
            </w:pPr>
          </w:p>
          <w:p>
            <w:pPr>
              <w:pStyle w:val="247"/>
              <w:kinsoku w:val="0"/>
              <w:overflowPunct w:val="0"/>
              <w:spacing w:beforeLines="0" w:afterLines="0" w:line="285" w:lineRule="auto"/>
              <w:ind w:right="132"/>
              <w:jc w:val="left"/>
              <w:rPr>
                <w:rFonts w:hint="eastAsia"/>
                <w:color w:val="auto"/>
                <w:sz w:val="21"/>
              </w:rPr>
            </w:pPr>
            <w:r>
              <w:rPr>
                <w:rFonts w:hint="eastAsia"/>
                <w:color w:val="auto"/>
                <w:sz w:val="21"/>
              </w:rPr>
              <w:t>预测模型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451"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48"/>
              <w:rPr>
                <w:rFonts w:hint="eastAsia" w:ascii="Times New Roman" w:hAnsi="Times New Roman" w:eastAsia="宋体"/>
                <w:color w:val="auto"/>
                <w:sz w:val="21"/>
                <w:lang w:eastAsia="zh-CN"/>
              </w:rPr>
            </w:pPr>
            <w:r>
              <w:rPr>
                <w:rFonts w:hint="eastAsia" w:ascii="Times New Roman" w:hAnsi="Times New Roman" w:eastAsia="宋体"/>
                <w:color w:val="auto"/>
                <w:sz w:val="21"/>
                <w:lang w:val="en-US" w:eastAsia="zh-CN"/>
              </w:rPr>
              <w:t>1</w:t>
            </w:r>
          </w:p>
        </w:tc>
        <w:tc>
          <w:tcPr>
            <w:tcW w:w="50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58" w:right="127"/>
              <w:jc w:val="left"/>
              <w:rPr>
                <w:rFonts w:hint="eastAsia"/>
                <w:color w:val="auto"/>
                <w:sz w:val="21"/>
              </w:rPr>
            </w:pPr>
            <w:r>
              <w:rPr>
                <w:rFonts w:hint="eastAsia"/>
                <w:color w:val="auto"/>
                <w:sz w:val="21"/>
              </w:rPr>
              <w:t>液氨</w:t>
            </w:r>
          </w:p>
        </w:tc>
        <w:tc>
          <w:tcPr>
            <w:tcW w:w="124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378"/>
              <w:jc w:val="left"/>
              <w:rPr>
                <w:rFonts w:hint="default" w:ascii="Times New Roman" w:hAnsi="Times New Roman" w:eastAsia="Times New Roman"/>
                <w:color w:val="auto"/>
                <w:sz w:val="21"/>
              </w:rPr>
            </w:pPr>
            <w:r>
              <w:rPr>
                <w:rFonts w:hint="default" w:ascii="Times New Roman" w:hAnsi="Times New Roman" w:eastAsia="Times New Roman"/>
                <w:color w:val="auto"/>
                <w:sz w:val="21"/>
              </w:rPr>
              <w:t>0.771</w:t>
            </w:r>
          </w:p>
        </w:tc>
        <w:tc>
          <w:tcPr>
            <w:tcW w:w="110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0" w:beforeLines="0" w:afterLines="0"/>
              <w:ind w:left="192" w:right="165"/>
              <w:rPr>
                <w:rFonts w:hint="default" w:ascii="Times New Roman" w:hAnsi="Times New Roman" w:eastAsia="Times New Roman"/>
                <w:color w:val="auto"/>
                <w:sz w:val="22"/>
              </w:rPr>
            </w:pPr>
            <w:r>
              <w:rPr>
                <w:rFonts w:hint="default" w:ascii="Times New Roman" w:hAnsi="Times New Roman" w:eastAsia="Times New Roman"/>
                <w:color w:val="auto"/>
                <w:sz w:val="22"/>
              </w:rPr>
              <w:t>1.293</w:t>
            </w:r>
          </w:p>
        </w:tc>
        <w:tc>
          <w:tcPr>
            <w:tcW w:w="118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right="263"/>
              <w:jc w:val="right"/>
              <w:rPr>
                <w:rFonts w:hint="eastAsia" w:ascii="Times New Roman" w:hAnsi="Times New Roman" w:eastAsia="宋体"/>
                <w:color w:val="auto"/>
                <w:sz w:val="21"/>
                <w:lang w:eastAsia="zh-CN"/>
              </w:rPr>
            </w:pPr>
            <w:r>
              <w:rPr>
                <w:rFonts w:hint="eastAsia" w:eastAsia="宋体"/>
                <w:color w:val="auto"/>
                <w:sz w:val="21"/>
                <w:lang w:val="en-US" w:eastAsia="zh-CN"/>
              </w:rPr>
              <w:t>1</w:t>
            </w:r>
            <w:r>
              <w:rPr>
                <w:rFonts w:hint="default" w:ascii="Times New Roman" w:hAnsi="Times New Roman" w:eastAsia="Times New Roman"/>
                <w:color w:val="auto"/>
                <w:sz w:val="21"/>
              </w:rPr>
              <w:t>.3</w:t>
            </w:r>
          </w:p>
        </w:tc>
        <w:tc>
          <w:tcPr>
            <w:tcW w:w="87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7" w:beforeLines="0" w:afterLines="0"/>
              <w:ind w:left="274"/>
              <w:jc w:val="left"/>
              <w:rPr>
                <w:rFonts w:hint="default" w:ascii="Times New Roman" w:hAnsi="Times New Roman" w:eastAsia="Times New Roman"/>
                <w:color w:val="auto"/>
                <w:sz w:val="21"/>
              </w:rPr>
            </w:pPr>
            <w:r>
              <w:rPr>
                <w:rFonts w:hint="default" w:ascii="Times New Roman" w:hAnsi="Times New Roman" w:eastAsia="Times New Roman"/>
                <w:color w:val="auto"/>
                <w:sz w:val="21"/>
              </w:rPr>
              <w:t>0.5</w:t>
            </w:r>
          </w:p>
        </w:tc>
        <w:tc>
          <w:tcPr>
            <w:tcW w:w="93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7" w:beforeLines="0" w:afterLines="0"/>
              <w:ind w:left="292"/>
              <w:jc w:val="left"/>
              <w:rPr>
                <w:rFonts w:hint="default" w:ascii="Times New Roman" w:hAnsi="Times New Roman" w:eastAsia="Times New Roman"/>
                <w:color w:val="auto"/>
                <w:sz w:val="21"/>
              </w:rPr>
            </w:pPr>
            <w:r>
              <w:rPr>
                <w:rFonts w:hint="default" w:ascii="Times New Roman" w:hAnsi="Times New Roman" w:eastAsia="Times New Roman"/>
                <w:color w:val="auto"/>
                <w:sz w:val="21"/>
              </w:rPr>
              <w:t>2.15</w:t>
            </w:r>
          </w:p>
        </w:tc>
        <w:tc>
          <w:tcPr>
            <w:tcW w:w="87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97" w:beforeLines="0" w:afterLines="0"/>
              <w:ind w:left="90" w:right="76"/>
              <w:rPr>
                <w:rFonts w:hint="default" w:ascii="Times New Roman" w:hAnsi="Times New Roman" w:eastAsia="Times New Roman"/>
                <w:color w:val="auto"/>
                <w:sz w:val="21"/>
              </w:rPr>
            </w:pPr>
            <w:r>
              <w:rPr>
                <w:rFonts w:hint="default" w:ascii="Times New Roman" w:hAnsi="Times New Roman" w:eastAsia="Times New Roman"/>
                <w:color w:val="auto"/>
                <w:sz w:val="21"/>
              </w:rPr>
              <w:t>-2.62</w:t>
            </w:r>
          </w:p>
        </w:tc>
        <w:tc>
          <w:tcPr>
            <w:tcW w:w="7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213" w:right="191"/>
              <w:jc w:val="left"/>
              <w:rPr>
                <w:rFonts w:hint="eastAsia"/>
                <w:color w:val="auto"/>
                <w:sz w:val="21"/>
              </w:rPr>
            </w:pPr>
            <w:r>
              <w:rPr>
                <w:rFonts w:hint="eastAsia"/>
                <w:color w:val="auto"/>
                <w:sz w:val="21"/>
              </w:rPr>
              <w:t>轻质气体</w:t>
            </w:r>
          </w:p>
        </w:tc>
        <w:tc>
          <w:tcPr>
            <w:tcW w:w="632"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16" w:right="6"/>
              <w:rPr>
                <w:rFonts w:hint="default" w:ascii="Times New Roman" w:hAnsi="Times New Roman" w:eastAsia="Times New Roman"/>
                <w:color w:val="auto"/>
                <w:sz w:val="21"/>
              </w:rPr>
            </w:pPr>
            <w:r>
              <w:rPr>
                <w:rFonts w:hint="default" w:ascii="Times New Roman" w:hAnsi="Times New Roman" w:eastAsia="Times New Roman"/>
                <w:color w:val="auto"/>
                <w:sz w:val="21"/>
              </w:rPr>
              <w:t>AFTOX</w:t>
            </w:r>
          </w:p>
        </w:tc>
      </w:tr>
    </w:tbl>
    <w:p>
      <w:pPr>
        <w:pStyle w:val="22"/>
        <w:kinsoku w:val="0"/>
        <w:overflowPunct w:val="0"/>
        <w:spacing w:before="143" w:beforeLines="0" w:afterLines="0" w:line="333" w:lineRule="auto"/>
        <w:ind w:left="460" w:right="1723" w:firstLine="554"/>
        <w:rPr>
          <w:rFonts w:hint="eastAsia"/>
          <w:color w:val="auto"/>
          <w:sz w:val="24"/>
          <w:szCs w:val="24"/>
          <w:lang w:eastAsia="zh-CN"/>
        </w:rPr>
      </w:pPr>
      <w:r>
        <w:rPr>
          <w:rFonts w:hint="eastAsia"/>
          <w:color w:val="auto"/>
          <w:sz w:val="24"/>
          <w:szCs w:val="24"/>
        </w:rPr>
        <w:t>根据上述判定，液氨属于轻质气体</w:t>
      </w:r>
      <w:r>
        <w:rPr>
          <w:rFonts w:hint="eastAsia"/>
          <w:color w:val="auto"/>
          <w:sz w:val="24"/>
          <w:szCs w:val="24"/>
          <w:lang w:eastAsia="zh-CN"/>
        </w:rPr>
        <w:t>。</w:t>
      </w:r>
    </w:p>
    <w:p>
      <w:pPr>
        <w:pStyle w:val="22"/>
        <w:numPr>
          <w:ilvl w:val="0"/>
          <w:numId w:val="8"/>
        </w:numPr>
        <w:kinsoku w:val="0"/>
        <w:overflowPunct w:val="0"/>
        <w:spacing w:before="143" w:beforeLines="0" w:afterLines="0" w:line="333" w:lineRule="auto"/>
        <w:ind w:left="460" w:right="1723" w:firstLine="554"/>
        <w:rPr>
          <w:rFonts w:hint="eastAsia"/>
          <w:color w:val="auto"/>
          <w:sz w:val="24"/>
          <w:szCs w:val="24"/>
          <w:lang w:eastAsia="zh-CN"/>
        </w:rPr>
      </w:pPr>
      <w:r>
        <w:rPr>
          <w:rFonts w:hint="eastAsia"/>
          <w:color w:val="auto"/>
          <w:sz w:val="24"/>
          <w:szCs w:val="24"/>
        </w:rPr>
        <w:t>本项目大气风险预测模型主要参数</w:t>
      </w:r>
      <w:r>
        <w:rPr>
          <w:rFonts w:hint="eastAsia"/>
          <w:color w:val="auto"/>
          <w:sz w:val="24"/>
          <w:szCs w:val="24"/>
          <w:lang w:eastAsia="zh-CN"/>
        </w:rPr>
        <w:t>。</w:t>
      </w:r>
    </w:p>
    <w:p>
      <w:pPr>
        <w:pStyle w:val="22"/>
        <w:kinsoku w:val="0"/>
        <w:overflowPunct w:val="0"/>
        <w:spacing w:before="78" w:beforeLines="0" w:after="40" w:afterLines="0"/>
        <w:ind w:right="1335"/>
        <w:jc w:val="center"/>
        <w:rPr>
          <w:rFonts w:hint="eastAsia" w:asciiTheme="majorEastAsia" w:hAnsiTheme="majorEastAsia" w:eastAsiaTheme="majorEastAsia" w:cstheme="majorEastAsia"/>
          <w:b/>
          <w:color w:val="auto"/>
          <w:sz w:val="24"/>
          <w:szCs w:val="24"/>
        </w:rPr>
      </w:pPr>
    </w:p>
    <w:p>
      <w:pPr>
        <w:pStyle w:val="22"/>
        <w:kinsoku w:val="0"/>
        <w:overflowPunct w:val="0"/>
        <w:spacing w:before="78" w:beforeLines="0" w:after="40" w:afterLines="0"/>
        <w:ind w:right="1335"/>
        <w:jc w:val="center"/>
        <w:rPr>
          <w:rFonts w:hint="eastAsia" w:asciiTheme="majorEastAsia" w:hAnsiTheme="majorEastAsia" w:eastAsiaTheme="majorEastAsia" w:cstheme="majorEastAsia"/>
          <w:b/>
          <w:color w:val="auto"/>
          <w:sz w:val="24"/>
          <w:szCs w:val="24"/>
        </w:rPr>
      </w:pPr>
    </w:p>
    <w:p>
      <w:pPr>
        <w:pStyle w:val="22"/>
        <w:kinsoku w:val="0"/>
        <w:overflowPunct w:val="0"/>
        <w:spacing w:before="78" w:beforeLines="0" w:after="40" w:afterLines="0"/>
        <w:ind w:right="1335"/>
        <w:jc w:val="center"/>
        <w:rPr>
          <w:rFonts w:hint="eastAsia" w:asciiTheme="majorEastAsia" w:hAnsiTheme="majorEastAsia" w:eastAsiaTheme="majorEastAsia" w:cstheme="majorEastAsia"/>
          <w:b/>
          <w:color w:val="auto"/>
          <w:sz w:val="24"/>
          <w:szCs w:val="24"/>
        </w:rPr>
      </w:pPr>
      <w:r>
        <w:rPr>
          <w:rFonts w:hint="eastAsia" w:asciiTheme="majorEastAsia" w:hAnsiTheme="majorEastAsia" w:eastAsiaTheme="majorEastAsia" w:cstheme="majorEastAsia"/>
          <w:b/>
          <w:color w:val="auto"/>
          <w:sz w:val="24"/>
          <w:szCs w:val="24"/>
        </w:rPr>
        <w:t>表 7.</w:t>
      </w:r>
      <w:r>
        <w:rPr>
          <w:rFonts w:hint="eastAsia" w:asciiTheme="majorEastAsia" w:hAnsiTheme="majorEastAsia" w:eastAsiaTheme="majorEastAsia" w:cstheme="majorEastAsia"/>
          <w:b/>
          <w:color w:val="auto"/>
          <w:sz w:val="24"/>
          <w:szCs w:val="24"/>
          <w:lang w:val="en-US" w:eastAsia="zh-CN"/>
        </w:rPr>
        <w:t>2</w:t>
      </w:r>
      <w:r>
        <w:rPr>
          <w:rFonts w:hint="eastAsia" w:asciiTheme="majorEastAsia" w:hAnsiTheme="majorEastAsia" w:eastAsiaTheme="majorEastAsia" w:cstheme="majorEastAsia"/>
          <w:b/>
          <w:color w:val="auto"/>
          <w:sz w:val="24"/>
          <w:szCs w:val="24"/>
        </w:rPr>
        <w:t>-</w:t>
      </w:r>
      <w:r>
        <w:rPr>
          <w:rFonts w:hint="eastAsia" w:asciiTheme="majorEastAsia" w:hAnsiTheme="majorEastAsia" w:eastAsiaTheme="majorEastAsia" w:cstheme="majorEastAsia"/>
          <w:b/>
          <w:color w:val="auto"/>
          <w:sz w:val="24"/>
          <w:szCs w:val="24"/>
          <w:lang w:val="en-US" w:eastAsia="zh-CN"/>
        </w:rPr>
        <w:t>3</w:t>
      </w:r>
      <w:r>
        <w:rPr>
          <w:rFonts w:hint="eastAsia" w:asciiTheme="majorEastAsia" w:hAnsiTheme="majorEastAsia" w:eastAsiaTheme="majorEastAsia" w:cstheme="majorEastAsia"/>
          <w:b/>
          <w:color w:val="auto"/>
          <w:sz w:val="24"/>
          <w:szCs w:val="24"/>
        </w:rPr>
        <w:t>大气风险预测模型主要参数表</w:t>
      </w:r>
    </w:p>
    <w:tbl>
      <w:tblPr>
        <w:tblStyle w:val="45"/>
        <w:tblW w:w="8308" w:type="dxa"/>
        <w:tblInd w:w="55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63"/>
        <w:gridCol w:w="3510"/>
        <w:gridCol w:w="1848"/>
        <w:gridCol w:w="18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2" w:hRule="atLeast"/>
        </w:trPr>
        <w:tc>
          <w:tcPr>
            <w:tcW w:w="1063"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3" w:beforeLines="0" w:afterLines="0" w:line="250" w:lineRule="exact"/>
              <w:ind w:left="122"/>
              <w:jc w:val="left"/>
              <w:rPr>
                <w:rFonts w:hint="eastAsia"/>
                <w:color w:val="auto"/>
                <w:sz w:val="21"/>
              </w:rPr>
            </w:pPr>
            <w:r>
              <w:rPr>
                <w:rFonts w:hint="eastAsia"/>
                <w:color w:val="auto"/>
                <w:sz w:val="21"/>
              </w:rPr>
              <w:t>参数类型</w:t>
            </w:r>
          </w:p>
        </w:tc>
        <w:tc>
          <w:tcPr>
            <w:tcW w:w="3510"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line="250" w:lineRule="exact"/>
              <w:ind w:left="1003" w:right="974"/>
              <w:rPr>
                <w:rFonts w:hint="eastAsia"/>
                <w:color w:val="auto"/>
                <w:sz w:val="21"/>
              </w:rPr>
            </w:pPr>
            <w:r>
              <w:rPr>
                <w:rFonts w:hint="eastAsia"/>
                <w:color w:val="auto"/>
                <w:sz w:val="21"/>
              </w:rPr>
              <w:t>选项</w:t>
            </w:r>
          </w:p>
        </w:tc>
        <w:tc>
          <w:tcPr>
            <w:tcW w:w="3735" w:type="dxa"/>
            <w:gridSpan w:val="2"/>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3" w:beforeLines="0" w:afterLines="0" w:line="250" w:lineRule="exact"/>
              <w:ind w:left="1358" w:right="1331"/>
              <w:rPr>
                <w:rFonts w:hint="eastAsia"/>
                <w:color w:val="auto"/>
                <w:sz w:val="21"/>
              </w:rPr>
            </w:pPr>
            <w:r>
              <w:rPr>
                <w:rFonts w:hint="eastAsia"/>
                <w:color w:val="auto"/>
                <w:sz w:val="21"/>
              </w:rPr>
              <w:t>参数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063" w:type="dxa"/>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22"/>
              </w:rPr>
            </w:pPr>
          </w:p>
          <w:p>
            <w:pPr>
              <w:pStyle w:val="247"/>
              <w:kinsoku w:val="0"/>
              <w:overflowPunct w:val="0"/>
              <w:spacing w:beforeLines="0" w:afterLines="0"/>
              <w:ind w:left="122"/>
              <w:jc w:val="left"/>
              <w:rPr>
                <w:rFonts w:hint="eastAsia"/>
                <w:color w:val="auto"/>
                <w:sz w:val="21"/>
              </w:rPr>
            </w:pPr>
            <w:r>
              <w:rPr>
                <w:rFonts w:hint="eastAsia"/>
                <w:color w:val="auto"/>
                <w:sz w:val="21"/>
              </w:rPr>
              <w:t>基本情况</w:t>
            </w: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left="964" w:right="974"/>
              <w:rPr>
                <w:rFonts w:hint="default" w:ascii="Times New Roman" w:hAnsi="Times New Roman" w:eastAsia="Times New Roman"/>
                <w:color w:val="auto"/>
                <w:sz w:val="21"/>
              </w:rPr>
            </w:pPr>
            <w:r>
              <w:rPr>
                <w:rFonts w:hint="eastAsia"/>
                <w:color w:val="auto"/>
                <w:sz w:val="21"/>
              </w:rPr>
              <w:t>事故源经度</w:t>
            </w:r>
            <w:r>
              <w:rPr>
                <w:rFonts w:hint="default" w:ascii="Times New Roman" w:hAnsi="Times New Roman" w:eastAsia="Times New Roman"/>
                <w:color w:val="auto"/>
                <w:sz w:val="21"/>
              </w:rPr>
              <w:t>/(°)</w:t>
            </w:r>
          </w:p>
        </w:tc>
        <w:tc>
          <w:tcPr>
            <w:tcW w:w="3735"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beforeLines="0" w:afterLines="0"/>
              <w:ind w:right="1331"/>
              <w:jc w:val="center"/>
              <w:rPr>
                <w:rFonts w:hint="default" w:ascii="Times New Roman" w:hAnsi="Times New Roman" w:eastAsia="宋体"/>
                <w:color w:val="auto"/>
                <w:sz w:val="21"/>
                <w:lang w:val="en-US" w:eastAsia="zh-CN"/>
              </w:rPr>
            </w:pPr>
            <w:r>
              <w:rPr>
                <w:rFonts w:hint="default" w:ascii="Times New Roman" w:hAnsi="Times New Roman" w:eastAsia="Times New Roman"/>
                <w:color w:val="auto"/>
                <w:sz w:val="21"/>
              </w:rPr>
              <w:t>11</w:t>
            </w:r>
            <w:r>
              <w:rPr>
                <w:rFonts w:hint="eastAsia" w:eastAsia="宋体"/>
                <w:color w:val="auto"/>
                <w:sz w:val="21"/>
                <w:lang w:val="en-US" w:eastAsia="zh-CN"/>
              </w:rPr>
              <w:t>3.3745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left="964" w:right="974"/>
              <w:rPr>
                <w:rFonts w:hint="default" w:ascii="Times New Roman" w:hAnsi="Times New Roman" w:eastAsia="Times New Roman"/>
                <w:color w:val="auto"/>
                <w:sz w:val="21"/>
              </w:rPr>
            </w:pPr>
            <w:r>
              <w:rPr>
                <w:rFonts w:hint="eastAsia"/>
                <w:color w:val="auto"/>
                <w:sz w:val="21"/>
              </w:rPr>
              <w:t>事故源纬度</w:t>
            </w:r>
            <w:r>
              <w:rPr>
                <w:rFonts w:hint="default" w:ascii="Times New Roman" w:hAnsi="Times New Roman" w:eastAsia="Times New Roman"/>
                <w:color w:val="auto"/>
                <w:sz w:val="21"/>
              </w:rPr>
              <w:t>/(°)</w:t>
            </w:r>
          </w:p>
        </w:tc>
        <w:tc>
          <w:tcPr>
            <w:tcW w:w="3735"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beforeLines="0" w:afterLines="0"/>
              <w:ind w:right="1331"/>
              <w:jc w:val="center"/>
              <w:rPr>
                <w:rFonts w:hint="default" w:ascii="Times New Roman" w:hAnsi="Times New Roman" w:eastAsia="宋体"/>
                <w:color w:val="auto"/>
                <w:sz w:val="21"/>
                <w:lang w:val="en-US" w:eastAsia="zh-CN"/>
              </w:rPr>
            </w:pPr>
            <w:r>
              <w:rPr>
                <w:rFonts w:hint="eastAsia" w:eastAsia="宋体"/>
                <w:color w:val="auto"/>
                <w:sz w:val="21"/>
                <w:lang w:val="en-US" w:eastAsia="zh-CN"/>
              </w:rPr>
              <w:t>29.5423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0" w:lineRule="exact"/>
              <w:ind w:left="1003" w:right="972"/>
              <w:rPr>
                <w:rFonts w:hint="eastAsia"/>
                <w:color w:val="auto"/>
                <w:sz w:val="21"/>
              </w:rPr>
            </w:pPr>
            <w:r>
              <w:rPr>
                <w:rFonts w:hint="eastAsia"/>
                <w:color w:val="auto"/>
                <w:sz w:val="21"/>
              </w:rPr>
              <w:t>事故源类型</w:t>
            </w:r>
          </w:p>
        </w:tc>
        <w:tc>
          <w:tcPr>
            <w:tcW w:w="3735"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beforeLines="0" w:afterLines="0" w:line="250" w:lineRule="exact"/>
              <w:ind w:left="1247"/>
              <w:jc w:val="left"/>
              <w:rPr>
                <w:rFonts w:hint="eastAsia"/>
                <w:color w:val="auto"/>
                <w:sz w:val="21"/>
              </w:rPr>
            </w:pPr>
            <w:r>
              <w:rPr>
                <w:rFonts w:hint="eastAsia"/>
                <w:color w:val="auto"/>
                <w:sz w:val="21"/>
              </w:rPr>
              <w:t>危险物质泄漏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063" w:type="dxa"/>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3" w:beforeLines="0" w:afterLines="0"/>
              <w:jc w:val="left"/>
              <w:rPr>
                <w:rFonts w:hint="eastAsia" w:ascii="楷体" w:hAnsi="楷体" w:eastAsia="楷体"/>
                <w:b/>
                <w:color w:val="auto"/>
                <w:sz w:val="24"/>
              </w:rPr>
            </w:pPr>
          </w:p>
          <w:p>
            <w:pPr>
              <w:pStyle w:val="247"/>
              <w:kinsoku w:val="0"/>
              <w:overflowPunct w:val="0"/>
              <w:spacing w:beforeLines="0" w:afterLines="0"/>
              <w:ind w:left="122"/>
              <w:jc w:val="left"/>
              <w:rPr>
                <w:rFonts w:hint="eastAsia"/>
                <w:color w:val="auto"/>
                <w:sz w:val="21"/>
              </w:rPr>
            </w:pPr>
            <w:r>
              <w:rPr>
                <w:rFonts w:hint="eastAsia"/>
                <w:color w:val="auto"/>
                <w:sz w:val="21"/>
              </w:rPr>
              <w:t>气象参数</w:t>
            </w: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left="1003" w:right="974"/>
              <w:rPr>
                <w:rFonts w:hint="eastAsia"/>
                <w:color w:val="auto"/>
                <w:sz w:val="21"/>
              </w:rPr>
            </w:pPr>
            <w:r>
              <w:rPr>
                <w:rFonts w:hint="eastAsia"/>
                <w:color w:val="auto"/>
                <w:sz w:val="21"/>
              </w:rPr>
              <w:t>气象条件类型</w:t>
            </w:r>
          </w:p>
        </w:tc>
        <w:tc>
          <w:tcPr>
            <w:tcW w:w="184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right="358"/>
              <w:jc w:val="both"/>
              <w:rPr>
                <w:rFonts w:hint="eastAsia"/>
                <w:color w:val="auto"/>
                <w:sz w:val="21"/>
              </w:rPr>
            </w:pPr>
            <w:r>
              <w:rPr>
                <w:rFonts w:hint="eastAsia"/>
                <w:color w:val="auto"/>
                <w:sz w:val="21"/>
              </w:rPr>
              <w:t>最不利气象</w:t>
            </w:r>
          </w:p>
        </w:tc>
        <w:tc>
          <w:tcPr>
            <w:tcW w:w="188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beforeLines="0" w:afterLines="0" w:line="252" w:lineRule="exact"/>
              <w:ind w:right="380"/>
              <w:jc w:val="both"/>
              <w:rPr>
                <w:rFonts w:hint="eastAsia"/>
                <w:color w:val="auto"/>
                <w:sz w:val="21"/>
              </w:rPr>
            </w:pPr>
            <w:r>
              <w:rPr>
                <w:rFonts w:hint="eastAsia"/>
                <w:color w:val="auto"/>
                <w:sz w:val="21"/>
              </w:rPr>
              <w:t>最常见气象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left="1002" w:right="974"/>
              <w:rPr>
                <w:rFonts w:hint="default" w:ascii="Times New Roman" w:hAnsi="Times New Roman" w:eastAsia="Times New Roman"/>
                <w:color w:val="auto"/>
                <w:sz w:val="21"/>
              </w:rPr>
            </w:pPr>
            <w:r>
              <w:rPr>
                <w:rFonts w:hint="eastAsia"/>
                <w:color w:val="auto"/>
                <w:sz w:val="21"/>
              </w:rPr>
              <w:t>风速</w:t>
            </w:r>
            <w:r>
              <w:rPr>
                <w:rFonts w:hint="default" w:ascii="Times New Roman" w:hAnsi="Times New Roman" w:eastAsia="Times New Roman"/>
                <w:color w:val="auto"/>
                <w:sz w:val="21"/>
              </w:rPr>
              <w:t>/(m/s)</w:t>
            </w:r>
          </w:p>
        </w:tc>
        <w:tc>
          <w:tcPr>
            <w:tcW w:w="184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86" w:right="358"/>
              <w:rPr>
                <w:rFonts w:hint="default" w:ascii="Times New Roman" w:hAnsi="Times New Roman" w:eastAsia="Times New Roman"/>
                <w:color w:val="auto"/>
                <w:sz w:val="21"/>
              </w:rPr>
            </w:pPr>
            <w:r>
              <w:rPr>
                <w:rFonts w:hint="default" w:ascii="Times New Roman" w:hAnsi="Times New Roman" w:eastAsia="Times New Roman"/>
                <w:color w:val="auto"/>
                <w:sz w:val="21"/>
              </w:rPr>
              <w:t>1.5</w:t>
            </w:r>
          </w:p>
        </w:tc>
        <w:tc>
          <w:tcPr>
            <w:tcW w:w="188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7" w:beforeLines="0" w:afterLines="0"/>
              <w:ind w:left="29"/>
              <w:rPr>
                <w:rFonts w:hint="default" w:ascii="Times New Roman" w:hAnsi="Times New Roman" w:eastAsia="Times New Roman"/>
                <w:color w:val="auto"/>
                <w:sz w:val="21"/>
              </w:rPr>
            </w:pPr>
            <w:r>
              <w:rPr>
                <w:rFonts w:hint="default" w:ascii="Times New Roman" w:hAnsi="Times New Roman" w:eastAsia="Times New Roman"/>
                <w:color w:val="auto"/>
                <w:sz w:val="21"/>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0" w:lineRule="exact"/>
              <w:ind w:left="1003" w:right="973"/>
              <w:rPr>
                <w:rFonts w:hint="default" w:ascii="Times New Roman" w:hAnsi="Times New Roman" w:eastAsia="Times New Roman"/>
                <w:color w:val="auto"/>
                <w:w w:val="110"/>
                <w:sz w:val="21"/>
              </w:rPr>
            </w:pPr>
            <w:r>
              <w:rPr>
                <w:rFonts w:hint="eastAsia"/>
                <w:color w:val="auto"/>
                <w:w w:val="110"/>
                <w:sz w:val="21"/>
              </w:rPr>
              <w:t>环境温度</w:t>
            </w:r>
            <w:r>
              <w:rPr>
                <w:rFonts w:hint="default" w:ascii="Times New Roman" w:hAnsi="Times New Roman" w:eastAsia="Times New Roman"/>
                <w:color w:val="auto"/>
                <w:w w:val="110"/>
                <w:sz w:val="21"/>
              </w:rPr>
              <w:t>/℃</w:t>
            </w:r>
          </w:p>
        </w:tc>
        <w:tc>
          <w:tcPr>
            <w:tcW w:w="184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386" w:right="358"/>
              <w:rPr>
                <w:rFonts w:hint="default" w:ascii="Times New Roman" w:hAnsi="Times New Roman" w:eastAsia="Times New Roman"/>
                <w:color w:val="auto"/>
                <w:sz w:val="21"/>
              </w:rPr>
            </w:pPr>
            <w:r>
              <w:rPr>
                <w:rFonts w:hint="default" w:ascii="Times New Roman" w:hAnsi="Times New Roman" w:eastAsia="Times New Roman"/>
                <w:color w:val="auto"/>
                <w:sz w:val="21"/>
              </w:rPr>
              <w:t>25</w:t>
            </w:r>
          </w:p>
        </w:tc>
        <w:tc>
          <w:tcPr>
            <w:tcW w:w="188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7" w:beforeLines="0" w:afterLines="0"/>
              <w:ind w:left="409" w:right="380"/>
              <w:rPr>
                <w:rFonts w:hint="default" w:ascii="Times New Roman" w:hAnsi="Times New Roman" w:eastAsia="Times New Roman"/>
                <w:color w:val="auto"/>
                <w:sz w:val="21"/>
              </w:rPr>
            </w:pPr>
            <w:r>
              <w:rPr>
                <w:rFonts w:hint="default" w:ascii="Times New Roman" w:hAnsi="Times New Roman" w:eastAsia="Times New Roman"/>
                <w:color w:val="auto"/>
                <w:sz w:val="21"/>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2" w:lineRule="exact"/>
              <w:ind w:left="1002" w:right="974"/>
              <w:rPr>
                <w:rFonts w:hint="default" w:ascii="Times New Roman" w:hAnsi="Times New Roman" w:eastAsia="Times New Roman"/>
                <w:color w:val="auto"/>
                <w:sz w:val="21"/>
              </w:rPr>
            </w:pPr>
            <w:r>
              <w:rPr>
                <w:rFonts w:hint="eastAsia"/>
                <w:color w:val="auto"/>
                <w:sz w:val="21"/>
              </w:rPr>
              <w:t>相对湿度</w:t>
            </w:r>
            <w:r>
              <w:rPr>
                <w:rFonts w:hint="default" w:ascii="Times New Roman" w:hAnsi="Times New Roman" w:eastAsia="Times New Roman"/>
                <w:color w:val="auto"/>
                <w:sz w:val="21"/>
              </w:rPr>
              <w:t>/%</w:t>
            </w:r>
          </w:p>
        </w:tc>
        <w:tc>
          <w:tcPr>
            <w:tcW w:w="184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0" w:beforeLines="0" w:afterLines="0"/>
              <w:ind w:left="386" w:right="358"/>
              <w:rPr>
                <w:rFonts w:hint="default" w:ascii="Times New Roman" w:hAnsi="Times New Roman" w:eastAsia="Times New Roman"/>
                <w:color w:val="auto"/>
                <w:sz w:val="21"/>
              </w:rPr>
            </w:pPr>
            <w:r>
              <w:rPr>
                <w:rFonts w:hint="default" w:ascii="Times New Roman" w:hAnsi="Times New Roman" w:eastAsia="Times New Roman"/>
                <w:color w:val="auto"/>
                <w:sz w:val="21"/>
              </w:rPr>
              <w:t>50</w:t>
            </w:r>
          </w:p>
        </w:tc>
        <w:tc>
          <w:tcPr>
            <w:tcW w:w="188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beforeLines="0" w:afterLines="0"/>
              <w:ind w:left="409" w:right="380"/>
              <w:rPr>
                <w:rFonts w:hint="default" w:ascii="Times New Roman" w:hAnsi="Times New Roman" w:eastAsia="Times New Roman"/>
                <w:color w:val="auto"/>
                <w:sz w:val="21"/>
              </w:rPr>
            </w:pPr>
            <w:r>
              <w:rPr>
                <w:rFonts w:hint="default" w:ascii="Times New Roman" w:hAnsi="Times New Roman" w:eastAsia="Times New Roman"/>
                <w:color w:val="auto"/>
                <w:sz w:val="21"/>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063"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beforeLines="0" w:afterLines="0" w:line="250" w:lineRule="exact"/>
              <w:ind w:left="1003" w:right="974"/>
              <w:rPr>
                <w:rFonts w:hint="eastAsia"/>
                <w:color w:val="auto"/>
                <w:sz w:val="21"/>
              </w:rPr>
            </w:pPr>
            <w:r>
              <w:rPr>
                <w:rFonts w:hint="eastAsia"/>
                <w:color w:val="auto"/>
                <w:sz w:val="21"/>
              </w:rPr>
              <w:t>稳定度</w:t>
            </w:r>
          </w:p>
        </w:tc>
        <w:tc>
          <w:tcPr>
            <w:tcW w:w="184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ind w:left="27"/>
              <w:rPr>
                <w:rFonts w:hint="default" w:ascii="Times New Roman" w:hAnsi="Times New Roman" w:eastAsia="Times New Roman"/>
                <w:color w:val="auto"/>
                <w:sz w:val="21"/>
              </w:rPr>
            </w:pPr>
            <w:r>
              <w:rPr>
                <w:rFonts w:hint="default" w:ascii="Times New Roman" w:hAnsi="Times New Roman" w:eastAsia="Times New Roman"/>
                <w:color w:val="auto"/>
                <w:sz w:val="21"/>
              </w:rPr>
              <w:t>D</w:t>
            </w:r>
          </w:p>
        </w:tc>
        <w:tc>
          <w:tcPr>
            <w:tcW w:w="188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7" w:beforeLines="0" w:afterLines="0"/>
              <w:ind w:left="32"/>
              <w:rPr>
                <w:rFonts w:hint="default" w:ascii="Times New Roman" w:hAnsi="Times New Roman" w:eastAsia="Times New Roman"/>
                <w:color w:val="auto"/>
                <w:sz w:val="21"/>
              </w:rPr>
            </w:pPr>
            <w:r>
              <w:rPr>
                <w:rFonts w:hint="default" w:ascii="Times New Roman" w:hAnsi="Times New Roman" w:eastAsia="Times New Roman"/>
                <w:color w:val="auto"/>
                <w:sz w:val="21"/>
              </w:rPr>
              <w:t>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3" w:hRule="atLeast"/>
        </w:trPr>
        <w:tc>
          <w:tcPr>
            <w:tcW w:w="1063" w:type="dxa"/>
            <w:vMerge w:val="restart"/>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22"/>
              </w:rPr>
            </w:pPr>
          </w:p>
          <w:p>
            <w:pPr>
              <w:pStyle w:val="247"/>
              <w:kinsoku w:val="0"/>
              <w:overflowPunct w:val="0"/>
              <w:spacing w:before="1" w:beforeLines="0" w:afterLines="0"/>
              <w:ind w:left="122"/>
              <w:jc w:val="left"/>
              <w:rPr>
                <w:rFonts w:hint="eastAsia"/>
                <w:color w:val="auto"/>
                <w:sz w:val="21"/>
              </w:rPr>
            </w:pPr>
            <w:r>
              <w:rPr>
                <w:rFonts w:hint="eastAsia"/>
                <w:color w:val="auto"/>
                <w:sz w:val="21"/>
              </w:rPr>
              <w:t>其他参数</w:t>
            </w: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 w:beforeLines="0" w:afterLines="0" w:line="240" w:lineRule="exact"/>
              <w:ind w:left="1003" w:right="972"/>
              <w:rPr>
                <w:rFonts w:hint="default" w:ascii="Times New Roman" w:hAnsi="Times New Roman" w:eastAsia="Times New Roman"/>
                <w:color w:val="auto"/>
                <w:sz w:val="21"/>
              </w:rPr>
            </w:pPr>
            <w:r>
              <w:rPr>
                <w:rFonts w:hint="eastAsia"/>
                <w:color w:val="auto"/>
                <w:sz w:val="21"/>
              </w:rPr>
              <w:t>地表粗糙度</w:t>
            </w:r>
            <w:r>
              <w:rPr>
                <w:rFonts w:hint="default" w:ascii="Times New Roman" w:hAnsi="Times New Roman" w:eastAsia="Times New Roman"/>
                <w:color w:val="auto"/>
                <w:sz w:val="21"/>
              </w:rPr>
              <w:t>/m</w:t>
            </w:r>
          </w:p>
        </w:tc>
        <w:tc>
          <w:tcPr>
            <w:tcW w:w="3735"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beforeLines="0" w:afterLines="0" w:line="234" w:lineRule="exact"/>
              <w:ind w:left="1358" w:right="1331"/>
              <w:rPr>
                <w:rFonts w:hint="default" w:ascii="Times New Roman" w:hAnsi="Times New Roman" w:eastAsia="Times New Roman"/>
                <w:color w:val="auto"/>
                <w:sz w:val="21"/>
              </w:rPr>
            </w:pPr>
            <w:r>
              <w:rPr>
                <w:rFonts w:hint="default" w:ascii="Times New Roman" w:hAnsi="Times New Roman" w:eastAsia="Times New Roman"/>
                <w:color w:val="auto"/>
                <w:sz w:val="21"/>
              </w:rPr>
              <w:t>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3" w:hRule="atLeast"/>
        </w:trPr>
        <w:tc>
          <w:tcPr>
            <w:tcW w:w="1063"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233" w:lineRule="exact"/>
              <w:ind w:left="1003" w:right="974"/>
              <w:rPr>
                <w:rFonts w:hint="eastAsia"/>
                <w:color w:val="auto"/>
                <w:sz w:val="21"/>
              </w:rPr>
            </w:pPr>
            <w:r>
              <w:rPr>
                <w:rFonts w:hint="eastAsia"/>
                <w:color w:val="auto"/>
                <w:sz w:val="21"/>
              </w:rPr>
              <w:t>是否考虑地形</w:t>
            </w:r>
          </w:p>
        </w:tc>
        <w:tc>
          <w:tcPr>
            <w:tcW w:w="3735"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Lines="0" w:afterLines="0" w:line="233" w:lineRule="exact"/>
              <w:ind w:left="27"/>
              <w:rPr>
                <w:rFonts w:hint="eastAsia"/>
                <w:color w:val="auto"/>
                <w:sz w:val="21"/>
              </w:rPr>
            </w:pPr>
            <w:r>
              <w:rPr>
                <w:rFonts w:hint="eastAsia"/>
                <w:color w:val="auto"/>
                <w:sz w:val="21"/>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2" w:hRule="atLeast"/>
        </w:trPr>
        <w:tc>
          <w:tcPr>
            <w:tcW w:w="1063"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spacing w:before="78" w:beforeLines="0" w:after="40" w:afterLines="0"/>
              <w:ind w:right="1335"/>
              <w:jc w:val="center"/>
              <w:rPr>
                <w:rFonts w:hint="eastAsia" w:ascii="楷体" w:hAnsi="楷体" w:eastAsia="楷体"/>
                <w:b/>
                <w:color w:val="auto"/>
                <w:sz w:val="2"/>
              </w:rPr>
            </w:pPr>
          </w:p>
        </w:tc>
        <w:tc>
          <w:tcPr>
            <w:tcW w:w="3510"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Lines="0" w:afterLines="0" w:line="243" w:lineRule="exact"/>
              <w:ind w:left="1003" w:right="974"/>
              <w:rPr>
                <w:rFonts w:hint="default" w:ascii="Times New Roman" w:hAnsi="Times New Roman" w:eastAsia="Times New Roman"/>
                <w:color w:val="auto"/>
                <w:sz w:val="21"/>
              </w:rPr>
            </w:pPr>
            <w:r>
              <w:rPr>
                <w:rFonts w:hint="eastAsia"/>
                <w:color w:val="auto"/>
                <w:sz w:val="21"/>
              </w:rPr>
              <w:t>地形数据精度</w:t>
            </w:r>
            <w:r>
              <w:rPr>
                <w:rFonts w:hint="default" w:ascii="Times New Roman" w:hAnsi="Times New Roman" w:eastAsia="Times New Roman"/>
                <w:color w:val="auto"/>
                <w:sz w:val="21"/>
              </w:rPr>
              <w:t>/m</w:t>
            </w:r>
          </w:p>
        </w:tc>
        <w:tc>
          <w:tcPr>
            <w:tcW w:w="3735" w:type="dxa"/>
            <w:gridSpan w:val="2"/>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Lines="0" w:afterLines="0" w:line="239" w:lineRule="exact"/>
              <w:ind w:left="1358" w:right="1331"/>
              <w:rPr>
                <w:rFonts w:hint="default" w:ascii="Times New Roman" w:hAnsi="Times New Roman" w:eastAsia="Times New Roman"/>
                <w:color w:val="auto"/>
                <w:sz w:val="21"/>
              </w:rPr>
            </w:pPr>
            <w:r>
              <w:rPr>
                <w:rFonts w:hint="default" w:ascii="Times New Roman" w:hAnsi="Times New Roman" w:eastAsia="Times New Roman"/>
                <w:color w:val="auto"/>
                <w:sz w:val="21"/>
              </w:rPr>
              <w:t>82.34</w:t>
            </w:r>
          </w:p>
        </w:tc>
      </w:tr>
    </w:tbl>
    <w:p>
      <w:pPr>
        <w:pStyle w:val="22"/>
        <w:kinsoku w:val="0"/>
        <w:overflowPunct w:val="0"/>
        <w:spacing w:beforeLines="0" w:afterLines="0"/>
        <w:rPr>
          <w:rFonts w:hint="eastAsia" w:ascii="楷体" w:hAnsi="楷体" w:eastAsia="楷体"/>
          <w:b/>
          <w:color w:val="auto"/>
          <w:sz w:val="21"/>
        </w:rPr>
      </w:pPr>
    </w:p>
    <w:p>
      <w:pPr>
        <w:pStyle w:val="6"/>
        <w:numPr>
          <w:ilvl w:val="1"/>
          <w:numId w:val="0"/>
        </w:numPr>
        <w:tabs>
          <w:tab w:val="left" w:pos="1092"/>
        </w:tabs>
        <w:kinsoku w:val="0"/>
        <w:overflowPunct w:val="0"/>
        <w:spacing w:beforeLines="0" w:afterLines="0"/>
        <w:ind w:left="460" w:leftChars="0"/>
        <w:rPr>
          <w:rFonts w:hint="eastAsia" w:ascii="楷体" w:hAnsi="楷体" w:eastAsia="楷体"/>
          <w:b/>
          <w:color w:val="auto"/>
          <w:sz w:val="22"/>
        </w:rPr>
      </w:pPr>
      <w:bookmarkStart w:id="379" w:name="_Toc23990"/>
      <w:r>
        <w:rPr>
          <w:rFonts w:hint="eastAsia"/>
          <w:color w:val="auto"/>
          <w:sz w:val="28"/>
          <w:lang w:val="en-US" w:eastAsia="zh-CN"/>
        </w:rPr>
        <w:t>7.3</w:t>
      </w:r>
      <w:r>
        <w:rPr>
          <w:rFonts w:hint="eastAsia"/>
          <w:color w:val="auto"/>
          <w:sz w:val="28"/>
        </w:rPr>
        <w:t>预测范围与计算点</w:t>
      </w:r>
      <w:bookmarkEnd w:id="379"/>
    </w:p>
    <w:p>
      <w:pPr>
        <w:pStyle w:val="22"/>
        <w:kinsoku w:val="0"/>
        <w:overflowPunct w:val="0"/>
        <w:spacing w:beforeLines="0" w:afterLines="0"/>
        <w:ind w:left="1019"/>
        <w:rPr>
          <w:rFonts w:hint="eastAsia" w:ascii="宋体" w:hAnsi="宋体" w:eastAsia="宋体" w:cs="宋体"/>
          <w:color w:val="auto"/>
          <w:sz w:val="24"/>
          <w:szCs w:val="24"/>
        </w:rPr>
      </w:pPr>
      <w:r>
        <w:rPr>
          <w:rFonts w:hint="eastAsia" w:ascii="宋体" w:hAnsi="宋体" w:eastAsia="宋体" w:cs="宋体"/>
          <w:color w:val="auto"/>
          <w:sz w:val="24"/>
          <w:szCs w:val="24"/>
        </w:rPr>
        <w:t>1、预测范围</w:t>
      </w:r>
    </w:p>
    <w:p>
      <w:pPr>
        <w:pStyle w:val="22"/>
        <w:kinsoku w:val="0"/>
        <w:overflowPunct w:val="0"/>
        <w:spacing w:before="141" w:beforeLines="0" w:afterLines="0"/>
        <w:ind w:left="1019"/>
        <w:rPr>
          <w:rFonts w:hint="eastAsia" w:ascii="宋体" w:hAnsi="宋体" w:eastAsia="宋体" w:cs="宋体"/>
          <w:color w:val="auto"/>
          <w:sz w:val="24"/>
          <w:szCs w:val="24"/>
        </w:rPr>
      </w:pPr>
      <w:r>
        <w:rPr>
          <w:rFonts w:hint="eastAsia" w:ascii="宋体" w:hAnsi="宋体" w:eastAsia="宋体" w:cs="宋体"/>
          <w:color w:val="auto"/>
          <w:sz w:val="24"/>
          <w:szCs w:val="24"/>
        </w:rPr>
        <w:t xml:space="preserve">本项目环境风险预测范围选取为建设项目周围 </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km 范围。</w:t>
      </w:r>
    </w:p>
    <w:p>
      <w:pPr>
        <w:pStyle w:val="22"/>
        <w:kinsoku w:val="0"/>
        <w:overflowPunct w:val="0"/>
        <w:spacing w:before="143" w:beforeLines="0" w:afterLines="0"/>
        <w:ind w:left="1019"/>
        <w:rPr>
          <w:rFonts w:hint="eastAsia" w:ascii="宋体" w:hAnsi="宋体" w:eastAsia="宋体" w:cs="宋体"/>
          <w:color w:val="auto"/>
          <w:sz w:val="24"/>
          <w:szCs w:val="24"/>
        </w:rPr>
      </w:pPr>
      <w:r>
        <w:rPr>
          <w:rFonts w:hint="eastAsia" w:ascii="宋体" w:hAnsi="宋体" w:eastAsia="宋体" w:cs="宋体"/>
          <w:color w:val="auto"/>
          <w:sz w:val="24"/>
          <w:szCs w:val="24"/>
        </w:rPr>
        <w:t>2、计算点</w:t>
      </w:r>
    </w:p>
    <w:p>
      <w:pPr>
        <w:pStyle w:val="22"/>
        <w:kinsoku w:val="0"/>
        <w:overflowPunct w:val="0"/>
        <w:spacing w:before="141" w:beforeLines="0" w:afterLines="0" w:line="333" w:lineRule="auto"/>
        <w:ind w:left="460" w:right="1798" w:firstLine="559"/>
        <w:rPr>
          <w:rFonts w:hint="eastAsia" w:ascii="宋体" w:hAnsi="宋体" w:eastAsia="宋体" w:cs="宋体"/>
          <w:color w:val="auto"/>
          <w:sz w:val="24"/>
          <w:szCs w:val="24"/>
        </w:rPr>
      </w:pPr>
      <w:r>
        <w:rPr>
          <w:rFonts w:hint="eastAsia" w:ascii="宋体" w:hAnsi="宋体" w:eastAsia="宋体" w:cs="宋体"/>
          <w:color w:val="auto"/>
          <w:spacing w:val="-6"/>
          <w:sz w:val="24"/>
          <w:szCs w:val="24"/>
        </w:rPr>
        <w:t>本项目环境风险预测计算点包括网格点</w:t>
      </w:r>
      <w:r>
        <w:rPr>
          <w:rFonts w:hint="eastAsia" w:ascii="宋体" w:hAnsi="宋体" w:eastAsia="宋体" w:cs="宋体"/>
          <w:color w:val="auto"/>
          <w:sz w:val="24"/>
          <w:szCs w:val="24"/>
        </w:rPr>
        <w:t>（</w:t>
      </w:r>
      <w:r>
        <w:rPr>
          <w:rFonts w:hint="eastAsia" w:ascii="宋体" w:hAnsi="宋体" w:eastAsia="宋体" w:cs="宋体"/>
          <w:color w:val="auto"/>
          <w:spacing w:val="-1"/>
          <w:sz w:val="24"/>
          <w:szCs w:val="24"/>
        </w:rPr>
        <w:t>一般计算点</w:t>
      </w:r>
      <w:r>
        <w:rPr>
          <w:rFonts w:hint="eastAsia" w:ascii="宋体" w:hAnsi="宋体" w:eastAsia="宋体" w:cs="宋体"/>
          <w:color w:val="auto"/>
          <w:spacing w:val="-49"/>
          <w:sz w:val="24"/>
          <w:szCs w:val="24"/>
        </w:rPr>
        <w:t>）</w:t>
      </w:r>
      <w:r>
        <w:rPr>
          <w:rFonts w:hint="eastAsia" w:ascii="宋体" w:hAnsi="宋体" w:eastAsia="宋体" w:cs="宋体"/>
          <w:color w:val="auto"/>
          <w:spacing w:val="-2"/>
          <w:sz w:val="24"/>
          <w:szCs w:val="24"/>
        </w:rPr>
        <w:t>和环境敏感点（</w:t>
      </w:r>
      <w:r>
        <w:rPr>
          <w:rFonts w:hint="eastAsia" w:ascii="宋体" w:hAnsi="宋体" w:eastAsia="宋体" w:cs="宋体"/>
          <w:color w:val="auto"/>
          <w:spacing w:val="-3"/>
          <w:sz w:val="24"/>
          <w:szCs w:val="24"/>
        </w:rPr>
        <w:t>特殊计算点</w:t>
      </w:r>
      <w:r>
        <w:rPr>
          <w:rFonts w:hint="eastAsia" w:ascii="宋体" w:hAnsi="宋体" w:eastAsia="宋体" w:cs="宋体"/>
          <w:color w:val="auto"/>
          <w:sz w:val="24"/>
          <w:szCs w:val="24"/>
        </w:rPr>
        <w:t>）</w:t>
      </w:r>
      <w:r>
        <w:rPr>
          <w:rFonts w:hint="eastAsia" w:ascii="宋体" w:hAnsi="宋体" w:eastAsia="宋体" w:cs="宋体"/>
          <w:color w:val="auto"/>
          <w:spacing w:val="-11"/>
          <w:sz w:val="24"/>
          <w:szCs w:val="24"/>
        </w:rPr>
        <w:t xml:space="preserve">。网格点设置 </w:t>
      </w:r>
      <w:r>
        <w:rPr>
          <w:rFonts w:hint="eastAsia" w:ascii="宋体" w:hAnsi="宋体" w:eastAsia="宋体" w:cs="宋体"/>
          <w:color w:val="auto"/>
          <w:sz w:val="24"/>
          <w:szCs w:val="24"/>
        </w:rPr>
        <w:t>50m 计算间距。</w:t>
      </w:r>
    </w:p>
    <w:p>
      <w:pPr>
        <w:pStyle w:val="6"/>
        <w:numPr>
          <w:ilvl w:val="1"/>
          <w:numId w:val="0"/>
        </w:numPr>
        <w:tabs>
          <w:tab w:val="left" w:pos="1092"/>
        </w:tabs>
        <w:kinsoku w:val="0"/>
        <w:overflowPunct w:val="0"/>
        <w:spacing w:before="152" w:beforeLines="0" w:afterLines="0"/>
        <w:ind w:left="460" w:leftChars="0"/>
        <w:rPr>
          <w:rFonts w:hint="eastAsia" w:ascii="楷体" w:hAnsi="楷体" w:eastAsia="楷体"/>
          <w:b/>
          <w:color w:val="auto"/>
          <w:sz w:val="22"/>
        </w:rPr>
      </w:pPr>
      <w:bookmarkStart w:id="380" w:name="_Toc28914"/>
      <w:r>
        <w:rPr>
          <w:rFonts w:hint="eastAsia"/>
          <w:color w:val="auto"/>
          <w:sz w:val="28"/>
          <w:lang w:val="en-US" w:eastAsia="zh-CN"/>
        </w:rPr>
        <w:t>7.4</w:t>
      </w:r>
      <w:r>
        <w:rPr>
          <w:rFonts w:hint="eastAsia"/>
          <w:color w:val="auto"/>
          <w:sz w:val="28"/>
        </w:rPr>
        <w:t>事故源参数</w:t>
      </w:r>
      <w:bookmarkEnd w:id="380"/>
    </w:p>
    <w:p>
      <w:pPr>
        <w:pStyle w:val="22"/>
        <w:kinsoku w:val="0"/>
        <w:overflowPunct w:val="0"/>
        <w:spacing w:beforeLines="0" w:afterLines="0"/>
        <w:ind w:left="1014"/>
        <w:rPr>
          <w:rFonts w:hint="eastAsia"/>
          <w:color w:val="auto"/>
          <w:sz w:val="28"/>
        </w:rPr>
      </w:pPr>
      <w:r>
        <w:rPr>
          <w:rFonts w:hint="eastAsia"/>
          <w:color w:val="auto"/>
          <w:sz w:val="28"/>
        </w:rPr>
        <w:t xml:space="preserve">本项目风险源强见表 </w:t>
      </w:r>
      <w:r>
        <w:rPr>
          <w:rFonts w:hint="default" w:ascii="Times New Roman" w:hAnsi="Times New Roman" w:eastAsia="Times New Roman"/>
          <w:color w:val="auto"/>
          <w:sz w:val="28"/>
        </w:rPr>
        <w:t>7.</w:t>
      </w:r>
      <w:r>
        <w:rPr>
          <w:rFonts w:hint="eastAsia" w:ascii="Times New Roman" w:hAnsi="Times New Roman" w:eastAsia="宋体"/>
          <w:color w:val="auto"/>
          <w:sz w:val="28"/>
          <w:lang w:val="en-US" w:eastAsia="zh-CN"/>
        </w:rPr>
        <w:t>4</w:t>
      </w:r>
      <w:r>
        <w:rPr>
          <w:rFonts w:hint="default" w:ascii="Times New Roman" w:hAnsi="Times New Roman" w:eastAsia="Times New Roman"/>
          <w:color w:val="auto"/>
          <w:sz w:val="28"/>
        </w:rPr>
        <w:t>-</w:t>
      </w:r>
      <w:r>
        <w:rPr>
          <w:rFonts w:hint="eastAsia" w:ascii="Times New Roman" w:hAnsi="Times New Roman" w:eastAsia="宋体"/>
          <w:color w:val="auto"/>
          <w:sz w:val="28"/>
          <w:lang w:val="en-US" w:eastAsia="zh-CN"/>
        </w:rPr>
        <w:t>1</w:t>
      </w:r>
      <w:r>
        <w:rPr>
          <w:rFonts w:hint="eastAsia"/>
          <w:color w:val="auto"/>
          <w:sz w:val="28"/>
        </w:rPr>
        <w:t>。</w:t>
      </w:r>
    </w:p>
    <w:p>
      <w:pPr>
        <w:pStyle w:val="22"/>
        <w:kinsoku w:val="0"/>
        <w:overflowPunct w:val="0"/>
        <w:spacing w:before="180" w:beforeLines="0" w:after="34" w:afterLines="0"/>
        <w:ind w:left="1864"/>
        <w:rPr>
          <w:rFonts w:hint="eastAsia" w:ascii="楷体" w:hAnsi="楷体" w:eastAsia="楷体"/>
          <w:b/>
          <w:color w:val="auto"/>
          <w:sz w:val="24"/>
        </w:rPr>
      </w:pPr>
      <w:r>
        <w:rPr>
          <w:rFonts w:hint="eastAsia" w:ascii="楷体" w:hAnsi="楷体" w:eastAsia="楷体"/>
          <w:b/>
          <w:color w:val="auto"/>
          <w:spacing w:val="-30"/>
          <w:sz w:val="24"/>
        </w:rPr>
        <w:t xml:space="preserve">表 </w:t>
      </w:r>
      <w:r>
        <w:rPr>
          <w:rFonts w:hint="default" w:ascii="Times New Roman" w:hAnsi="Times New Roman" w:eastAsia="Times New Roman"/>
          <w:b/>
          <w:color w:val="auto"/>
          <w:sz w:val="24"/>
        </w:rPr>
        <w:t>7.</w:t>
      </w:r>
      <w:r>
        <w:rPr>
          <w:rFonts w:hint="eastAsia" w:ascii="Times New Roman" w:hAnsi="Times New Roman" w:eastAsia="宋体"/>
          <w:b/>
          <w:color w:val="auto"/>
          <w:sz w:val="24"/>
          <w:lang w:val="en-US" w:eastAsia="zh-CN"/>
        </w:rPr>
        <w:t>4-1</w:t>
      </w:r>
      <w:r>
        <w:rPr>
          <w:rFonts w:hint="default" w:ascii="Times New Roman" w:hAnsi="Times New Roman" w:eastAsia="Times New Roman"/>
          <w:b/>
          <w:color w:val="auto"/>
          <w:spacing w:val="58"/>
          <w:sz w:val="24"/>
        </w:rPr>
        <w:t xml:space="preserve"> </w:t>
      </w:r>
      <w:r>
        <w:rPr>
          <w:rFonts w:hint="eastAsia" w:ascii="楷体" w:hAnsi="楷体" w:eastAsia="楷体"/>
          <w:b/>
          <w:color w:val="auto"/>
          <w:sz w:val="24"/>
        </w:rPr>
        <w:t>本项目环境风险设定的最大可信事故及源项情况</w:t>
      </w:r>
    </w:p>
    <w:tbl>
      <w:tblPr>
        <w:tblStyle w:val="45"/>
        <w:tblW w:w="8454" w:type="dxa"/>
        <w:tblInd w:w="43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
        <w:gridCol w:w="710"/>
        <w:gridCol w:w="2685"/>
        <w:gridCol w:w="1427"/>
        <w:gridCol w:w="1289"/>
        <w:gridCol w:w="987"/>
        <w:gridCol w:w="8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480"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56" w:right="105"/>
              <w:jc w:val="left"/>
              <w:rPr>
                <w:rFonts w:hint="eastAsia"/>
                <w:b/>
                <w:color w:val="auto"/>
                <w:sz w:val="21"/>
              </w:rPr>
            </w:pPr>
            <w:r>
              <w:rPr>
                <w:rFonts w:hint="eastAsia"/>
                <w:b/>
                <w:color w:val="auto"/>
                <w:sz w:val="21"/>
              </w:rPr>
              <w:t>序号</w:t>
            </w:r>
          </w:p>
        </w:tc>
        <w:tc>
          <w:tcPr>
            <w:tcW w:w="710"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50" w:right="124"/>
              <w:jc w:val="left"/>
              <w:rPr>
                <w:rFonts w:hint="eastAsia"/>
                <w:b/>
                <w:color w:val="auto"/>
                <w:sz w:val="21"/>
              </w:rPr>
            </w:pPr>
            <w:r>
              <w:rPr>
                <w:rFonts w:hint="eastAsia"/>
                <w:b/>
                <w:color w:val="auto"/>
                <w:sz w:val="21"/>
              </w:rPr>
              <w:t>风险物质</w:t>
            </w:r>
          </w:p>
        </w:tc>
        <w:tc>
          <w:tcPr>
            <w:tcW w:w="2685"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16"/>
              </w:rPr>
            </w:pPr>
          </w:p>
          <w:p>
            <w:pPr>
              <w:pStyle w:val="247"/>
              <w:kinsoku w:val="0"/>
              <w:overflowPunct w:val="0"/>
              <w:spacing w:beforeLines="0" w:afterLines="0"/>
              <w:ind w:left="705"/>
              <w:jc w:val="left"/>
              <w:rPr>
                <w:rFonts w:hint="eastAsia"/>
                <w:b/>
                <w:color w:val="auto"/>
                <w:sz w:val="21"/>
              </w:rPr>
            </w:pPr>
            <w:r>
              <w:rPr>
                <w:rFonts w:hint="eastAsia"/>
                <w:b/>
                <w:color w:val="auto"/>
                <w:sz w:val="21"/>
              </w:rPr>
              <w:t>最大可信事故类别</w:t>
            </w:r>
          </w:p>
        </w:tc>
        <w:tc>
          <w:tcPr>
            <w:tcW w:w="142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18" w:right="45" w:firstLine="88"/>
              <w:jc w:val="left"/>
              <w:rPr>
                <w:rFonts w:hint="eastAsia"/>
                <w:b/>
                <w:color w:val="auto"/>
                <w:sz w:val="21"/>
              </w:rPr>
            </w:pPr>
            <w:r>
              <w:rPr>
                <w:rFonts w:hint="eastAsia"/>
                <w:b/>
                <w:color w:val="auto"/>
                <w:sz w:val="21"/>
              </w:rPr>
              <w:t>事故概率（</w:t>
            </w:r>
            <w:r>
              <w:rPr>
                <w:rFonts w:hint="default" w:ascii="Times New Roman" w:hAnsi="Times New Roman" w:eastAsia="Times New Roman"/>
                <w:b/>
                <w:color w:val="auto"/>
                <w:sz w:val="21"/>
              </w:rPr>
              <w:t>a</w:t>
            </w:r>
            <w:r>
              <w:rPr>
                <w:rFonts w:hint="default" w:ascii="Times New Roman" w:hAnsi="Times New Roman" w:eastAsia="Times New Roman"/>
                <w:b/>
                <w:color w:val="auto"/>
                <w:sz w:val="21"/>
                <w:vertAlign w:val="superscript"/>
              </w:rPr>
              <w:t>-1</w:t>
            </w:r>
            <w:r>
              <w:rPr>
                <w:rFonts w:hint="eastAsia"/>
                <w:b/>
                <w:color w:val="auto"/>
                <w:sz w:val="21"/>
              </w:rPr>
              <w:t>）</w:t>
            </w:r>
          </w:p>
        </w:tc>
        <w:tc>
          <w:tcPr>
            <w:tcW w:w="1289"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53" w:right="129" w:firstLine="45"/>
              <w:jc w:val="left"/>
              <w:rPr>
                <w:rFonts w:hint="eastAsia"/>
                <w:b/>
                <w:color w:val="auto"/>
                <w:sz w:val="21"/>
              </w:rPr>
            </w:pPr>
            <w:r>
              <w:rPr>
                <w:rFonts w:hint="eastAsia"/>
                <w:b/>
                <w:color w:val="auto"/>
                <w:sz w:val="21"/>
              </w:rPr>
              <w:t>泄漏</w:t>
            </w:r>
            <w:r>
              <w:rPr>
                <w:rFonts w:hint="default" w:ascii="Times New Roman" w:hAnsi="Times New Roman" w:eastAsia="Times New Roman"/>
                <w:b/>
                <w:color w:val="auto"/>
                <w:sz w:val="21"/>
              </w:rPr>
              <w:t>/</w:t>
            </w:r>
            <w:r>
              <w:rPr>
                <w:rFonts w:hint="eastAsia"/>
                <w:b/>
                <w:color w:val="auto"/>
                <w:sz w:val="21"/>
              </w:rPr>
              <w:t>挥发率（</w:t>
            </w:r>
            <w:r>
              <w:rPr>
                <w:rFonts w:hint="default" w:ascii="Times New Roman" w:hAnsi="Times New Roman" w:eastAsia="Times New Roman"/>
                <w:b/>
                <w:color w:val="auto"/>
                <w:sz w:val="21"/>
              </w:rPr>
              <w:t>kg/s</w:t>
            </w:r>
            <w:r>
              <w:rPr>
                <w:rFonts w:hint="eastAsia"/>
                <w:b/>
                <w:color w:val="auto"/>
                <w:sz w:val="21"/>
              </w:rPr>
              <w:t>）</w:t>
            </w:r>
          </w:p>
        </w:tc>
        <w:tc>
          <w:tcPr>
            <w:tcW w:w="987"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6" w:beforeLines="0" w:afterLines="0"/>
              <w:ind w:left="98" w:right="66"/>
              <w:rPr>
                <w:rFonts w:hint="eastAsia"/>
                <w:b/>
                <w:color w:val="auto"/>
                <w:sz w:val="21"/>
              </w:rPr>
            </w:pPr>
            <w:r>
              <w:rPr>
                <w:rFonts w:hint="eastAsia"/>
                <w:b/>
                <w:color w:val="auto"/>
                <w:sz w:val="21"/>
              </w:rPr>
              <w:t>时间</w:t>
            </w:r>
          </w:p>
          <w:p>
            <w:pPr>
              <w:pStyle w:val="247"/>
              <w:kinsoku w:val="0"/>
              <w:overflowPunct w:val="0"/>
              <w:spacing w:before="51" w:beforeLines="0" w:afterLines="0" w:line="255" w:lineRule="exact"/>
              <w:ind w:left="98" w:right="67"/>
              <w:rPr>
                <w:rFonts w:hint="eastAsia"/>
                <w:b/>
                <w:color w:val="auto"/>
                <w:sz w:val="21"/>
              </w:rPr>
            </w:pPr>
            <w:r>
              <w:rPr>
                <w:rFonts w:hint="eastAsia"/>
                <w:b/>
                <w:color w:val="auto"/>
                <w:sz w:val="21"/>
              </w:rPr>
              <w:t>（</w:t>
            </w:r>
            <w:r>
              <w:rPr>
                <w:rFonts w:hint="default" w:ascii="Times New Roman" w:hAnsi="Times New Roman" w:eastAsia="Times New Roman"/>
                <w:b/>
                <w:color w:val="auto"/>
                <w:sz w:val="21"/>
              </w:rPr>
              <w:t>min</w:t>
            </w:r>
            <w:r>
              <w:rPr>
                <w:rFonts w:hint="eastAsia"/>
                <w:b/>
                <w:color w:val="auto"/>
                <w:sz w:val="21"/>
              </w:rPr>
              <w:t>）</w:t>
            </w:r>
          </w:p>
        </w:tc>
        <w:tc>
          <w:tcPr>
            <w:tcW w:w="876"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ind w:left="235"/>
              <w:jc w:val="left"/>
              <w:rPr>
                <w:rFonts w:hint="eastAsia"/>
                <w:b/>
                <w:color w:val="auto"/>
                <w:sz w:val="21"/>
              </w:rPr>
            </w:pPr>
            <w:r>
              <w:rPr>
                <w:rFonts w:hint="eastAsia"/>
                <w:b/>
                <w:color w:val="auto"/>
                <w:sz w:val="21"/>
              </w:rPr>
              <w:t>高度</w:t>
            </w:r>
          </w:p>
          <w:p>
            <w:pPr>
              <w:pStyle w:val="247"/>
              <w:kinsoku w:val="0"/>
              <w:overflowPunct w:val="0"/>
              <w:spacing w:before="65" w:beforeLines="0" w:afterLines="0" w:line="241" w:lineRule="exact"/>
              <w:ind w:left="290"/>
              <w:jc w:val="left"/>
              <w:rPr>
                <w:rFonts w:hint="default" w:ascii="Times New Roman" w:hAnsi="Times New Roman" w:eastAsia="Times New Roman"/>
                <w:b/>
                <w:color w:val="auto"/>
                <w:sz w:val="21"/>
              </w:rPr>
            </w:pPr>
            <w:r>
              <w:rPr>
                <w:rFonts w:hint="default" w:ascii="Times New Roman" w:hAnsi="Times New Roman" w:eastAsia="Times New Roman"/>
                <w:b/>
                <w:color w:val="auto"/>
                <w:sz w:val="21"/>
              </w:rPr>
              <w:t>(m)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48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48"/>
              <w:rPr>
                <w:rFonts w:hint="eastAsia" w:ascii="Times New Roman" w:hAnsi="Times New Roman" w:eastAsia="宋体"/>
                <w:color w:val="auto"/>
                <w:sz w:val="21"/>
                <w:lang w:eastAsia="zh-CN"/>
              </w:rPr>
            </w:pPr>
            <w:r>
              <w:rPr>
                <w:rFonts w:hint="eastAsia" w:ascii="Times New Roman" w:hAnsi="Times New Roman" w:eastAsia="宋体"/>
                <w:color w:val="auto"/>
                <w:sz w:val="21"/>
                <w:lang w:val="en-US" w:eastAsia="zh-CN"/>
              </w:rPr>
              <w:t>1</w:t>
            </w:r>
          </w:p>
        </w:tc>
        <w:tc>
          <w:tcPr>
            <w:tcW w:w="71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beforeLines="0" w:afterLines="0"/>
              <w:jc w:val="left"/>
              <w:rPr>
                <w:rFonts w:hint="eastAsia" w:ascii="楷体" w:hAnsi="楷体" w:eastAsia="楷体"/>
                <w:b/>
                <w:color w:val="auto"/>
                <w:sz w:val="16"/>
              </w:rPr>
            </w:pPr>
          </w:p>
          <w:p>
            <w:pPr>
              <w:pStyle w:val="247"/>
              <w:kinsoku w:val="0"/>
              <w:overflowPunct w:val="0"/>
              <w:spacing w:beforeLines="0" w:afterLines="0"/>
              <w:ind w:right="122"/>
              <w:jc w:val="right"/>
              <w:rPr>
                <w:rFonts w:hint="eastAsia"/>
                <w:color w:val="auto"/>
                <w:sz w:val="21"/>
              </w:rPr>
            </w:pPr>
            <w:r>
              <w:rPr>
                <w:rFonts w:hint="eastAsia"/>
                <w:color w:val="auto"/>
                <w:sz w:val="21"/>
              </w:rPr>
              <w:t>液氨</w:t>
            </w:r>
          </w:p>
        </w:tc>
        <w:tc>
          <w:tcPr>
            <w:tcW w:w="2685"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Lines="0" w:afterLines="0" w:line="320" w:lineRule="exact"/>
              <w:ind w:left="1234" w:right="8" w:hanging="1117"/>
              <w:jc w:val="left"/>
              <w:rPr>
                <w:rFonts w:hint="eastAsia"/>
                <w:color w:val="auto"/>
                <w:sz w:val="21"/>
              </w:rPr>
            </w:pPr>
            <w:r>
              <w:rPr>
                <w:rFonts w:hint="eastAsia"/>
                <w:color w:val="auto"/>
                <w:sz w:val="21"/>
              </w:rPr>
              <w:t>液氨管道断裂，导致液氨泄漏扩散</w:t>
            </w:r>
          </w:p>
        </w:tc>
        <w:tc>
          <w:tcPr>
            <w:tcW w:w="14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21" w:beforeLines="0" w:afterLines="0"/>
              <w:ind w:right="86"/>
              <w:jc w:val="right"/>
              <w:rPr>
                <w:rFonts w:hint="default" w:ascii="Times New Roman" w:hAnsi="Times New Roman" w:eastAsia="Times New Roman"/>
                <w:color w:val="auto"/>
                <w:sz w:val="21"/>
                <w:vertAlign w:val="superscript"/>
              </w:rPr>
            </w:pPr>
            <w:r>
              <w:rPr>
                <w:rFonts w:hint="default" w:ascii="Times New Roman" w:hAnsi="Times New Roman" w:eastAsia="Times New Roman"/>
                <w:color w:val="auto"/>
                <w:sz w:val="21"/>
              </w:rPr>
              <w:t xml:space="preserve">5.00×10 </w:t>
            </w:r>
            <w:r>
              <w:rPr>
                <w:rFonts w:hint="default" w:ascii="Times New Roman" w:hAnsi="Times New Roman" w:eastAsia="Times New Roman"/>
                <w:color w:val="auto"/>
                <w:sz w:val="21"/>
                <w:vertAlign w:val="superscript"/>
              </w:rPr>
              <w:t>-6</w:t>
            </w:r>
          </w:p>
        </w:tc>
        <w:tc>
          <w:tcPr>
            <w:tcW w:w="128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123" w:right="96"/>
              <w:rPr>
                <w:rFonts w:hint="default" w:ascii="Times New Roman" w:hAnsi="Times New Roman" w:eastAsia="宋体"/>
                <w:color w:val="auto"/>
                <w:sz w:val="21"/>
                <w:lang w:val="en-US" w:eastAsia="zh-CN"/>
              </w:rPr>
            </w:pPr>
            <w:r>
              <w:rPr>
                <w:rFonts w:hint="eastAsia" w:eastAsia="宋体"/>
                <w:color w:val="auto"/>
                <w:sz w:val="21"/>
                <w:highlight w:val="none"/>
                <w:lang w:val="en-US" w:eastAsia="zh-CN"/>
              </w:rPr>
              <w:t>2.14</w:t>
            </w:r>
          </w:p>
        </w:tc>
        <w:tc>
          <w:tcPr>
            <w:tcW w:w="98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left="399"/>
              <w:jc w:val="left"/>
              <w:rPr>
                <w:rFonts w:hint="default" w:ascii="Times New Roman" w:hAnsi="Times New Roman" w:eastAsia="Times New Roman"/>
                <w:color w:val="auto"/>
                <w:sz w:val="21"/>
              </w:rPr>
            </w:pPr>
            <w:r>
              <w:rPr>
                <w:rFonts w:hint="default" w:ascii="Times New Roman" w:hAnsi="Times New Roman" w:eastAsia="Times New Roman"/>
                <w:color w:val="auto"/>
                <w:sz w:val="21"/>
              </w:rPr>
              <w:t>30</w:t>
            </w:r>
          </w:p>
        </w:tc>
        <w:tc>
          <w:tcPr>
            <w:tcW w:w="876"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beforeLines="0" w:afterLines="0"/>
              <w:jc w:val="left"/>
              <w:rPr>
                <w:rFonts w:hint="eastAsia" w:ascii="楷体" w:hAnsi="楷体" w:eastAsia="楷体"/>
                <w:b/>
                <w:color w:val="auto"/>
                <w:sz w:val="17"/>
              </w:rPr>
            </w:pPr>
          </w:p>
          <w:p>
            <w:pPr>
              <w:pStyle w:val="247"/>
              <w:kinsoku w:val="0"/>
              <w:overflowPunct w:val="0"/>
              <w:spacing w:beforeLines="0" w:afterLines="0"/>
              <w:ind w:right="369"/>
              <w:jc w:val="right"/>
              <w:rPr>
                <w:rFonts w:hint="default" w:ascii="Times New Roman" w:hAnsi="Times New Roman" w:eastAsia="Times New Roman"/>
                <w:color w:val="auto"/>
                <w:sz w:val="21"/>
              </w:rPr>
            </w:pPr>
            <w:r>
              <w:rPr>
                <w:rFonts w:hint="default" w:ascii="Times New Roman" w:hAnsi="Times New Roman" w:eastAsia="Times New Roman"/>
                <w:color w:val="auto"/>
                <w:sz w:val="21"/>
              </w:rPr>
              <w:t>5</w:t>
            </w:r>
          </w:p>
        </w:tc>
      </w:tr>
    </w:tbl>
    <w:p>
      <w:pPr>
        <w:spacing w:beforeLines="0" w:afterLines="0"/>
        <w:rPr>
          <w:rFonts w:hint="eastAsia" w:ascii="楷体" w:hAnsi="楷体" w:eastAsia="楷体"/>
          <w:b/>
          <w:color w:val="auto"/>
          <w:sz w:val="24"/>
        </w:rPr>
        <w:sectPr>
          <w:footerReference r:id="rId24" w:type="default"/>
          <w:pgSz w:w="11910" w:h="16840"/>
          <w:pgMar w:top="1380" w:right="0" w:bottom="1660" w:left="1340" w:header="877" w:footer="1476" w:gutter="0"/>
          <w:pgBorders>
            <w:top w:val="none" w:sz="0" w:space="0"/>
            <w:left w:val="none" w:sz="0" w:space="0"/>
            <w:bottom w:val="none" w:sz="0" w:space="0"/>
            <w:right w:val="none" w:sz="0" w:space="0"/>
          </w:pgBorders>
          <w:lnNumType w:countBy="0" w:distance="360"/>
          <w:pgNumType w:fmt="decimal"/>
          <w:cols w:space="720" w:num="1"/>
        </w:sectPr>
      </w:pPr>
    </w:p>
    <w:p>
      <w:pPr>
        <w:pStyle w:val="6"/>
        <w:numPr>
          <w:ilvl w:val="1"/>
          <w:numId w:val="0"/>
        </w:numPr>
        <w:tabs>
          <w:tab w:val="left" w:pos="1092"/>
        </w:tabs>
        <w:kinsoku w:val="0"/>
        <w:overflowPunct w:val="0"/>
        <w:spacing w:before="159" w:beforeLines="0" w:afterLines="0"/>
        <w:ind w:left="460" w:leftChars="0"/>
        <w:rPr>
          <w:rFonts w:hint="eastAsia"/>
          <w:color w:val="auto"/>
          <w:sz w:val="28"/>
        </w:rPr>
      </w:pPr>
      <w:bookmarkStart w:id="381" w:name="_Toc12954"/>
      <w:r>
        <w:rPr>
          <w:rFonts w:hint="eastAsia"/>
          <w:color w:val="auto"/>
          <w:sz w:val="28"/>
          <w:lang w:val="en-US" w:eastAsia="zh-CN"/>
        </w:rPr>
        <w:t>7.5</w:t>
      </w:r>
      <w:r>
        <w:rPr>
          <w:rFonts w:hint="eastAsia"/>
          <w:color w:val="auto"/>
          <w:sz w:val="28"/>
        </w:rPr>
        <w:t>气象参数</w:t>
      </w:r>
      <w:bookmarkEnd w:id="381"/>
    </w:p>
    <w:p>
      <w:pPr>
        <w:pStyle w:val="22"/>
        <w:kinsoku w:val="0"/>
        <w:overflowPunct w:val="0"/>
        <w:spacing w:before="12" w:beforeLines="0" w:afterLines="0"/>
        <w:rPr>
          <w:rFonts w:hint="eastAsia" w:ascii="楷体" w:hAnsi="楷体" w:eastAsia="楷体"/>
          <w:b/>
          <w:color w:val="auto"/>
          <w:sz w:val="22"/>
        </w:rPr>
      </w:pPr>
    </w:p>
    <w:p>
      <w:pPr>
        <w:pStyle w:val="22"/>
        <w:kinsoku w:val="0"/>
        <w:overflowPunct w:val="0"/>
        <w:spacing w:beforeLines="0" w:afterLines="0" w:line="333" w:lineRule="auto"/>
        <w:ind w:left="460" w:right="1798" w:firstLine="559"/>
        <w:rPr>
          <w:rFonts w:hint="eastAsia" w:ascii="宋体" w:hAnsi="宋体" w:eastAsia="宋体" w:cs="宋体"/>
          <w:color w:val="auto"/>
          <w:spacing w:val="-1"/>
          <w:sz w:val="24"/>
          <w:szCs w:val="24"/>
          <w:lang w:eastAsia="zh-CN"/>
        </w:rPr>
      </w:pPr>
      <w:r>
        <w:rPr>
          <w:rFonts w:hint="eastAsia" w:ascii="宋体" w:hAnsi="宋体" w:eastAsia="宋体" w:cs="宋体"/>
          <w:color w:val="auto"/>
          <w:spacing w:val="-10"/>
          <w:sz w:val="24"/>
          <w:szCs w:val="24"/>
        </w:rPr>
        <w:t>本项目环境风险为</w:t>
      </w:r>
      <w:r>
        <w:rPr>
          <w:rFonts w:hint="eastAsia" w:ascii="宋体" w:hAnsi="宋体" w:eastAsia="宋体" w:cs="宋体"/>
          <w:color w:val="auto"/>
          <w:spacing w:val="-10"/>
          <w:sz w:val="24"/>
          <w:szCs w:val="24"/>
          <w:lang w:eastAsia="zh-CN"/>
        </w:rPr>
        <w:t>三</w:t>
      </w:r>
      <w:r>
        <w:rPr>
          <w:rFonts w:hint="eastAsia" w:ascii="宋体" w:hAnsi="宋体" w:eastAsia="宋体" w:cs="宋体"/>
          <w:color w:val="auto"/>
          <w:spacing w:val="-10"/>
          <w:sz w:val="24"/>
          <w:szCs w:val="24"/>
        </w:rPr>
        <w:t>级评价，选取了最不利气象条件</w:t>
      </w:r>
      <w:r>
        <w:rPr>
          <w:rFonts w:hint="eastAsia" w:ascii="宋体" w:hAnsi="宋体" w:eastAsia="宋体" w:cs="宋体"/>
          <w:color w:val="auto"/>
          <w:spacing w:val="-11"/>
          <w:sz w:val="24"/>
          <w:szCs w:val="24"/>
        </w:rPr>
        <w:t xml:space="preserve">。其中最不利气象条件选取：稳定度 </w:t>
      </w:r>
      <w:r>
        <w:rPr>
          <w:rFonts w:hint="eastAsia" w:ascii="宋体" w:hAnsi="宋体" w:eastAsia="宋体" w:cs="宋体"/>
          <w:color w:val="auto"/>
          <w:sz w:val="24"/>
          <w:szCs w:val="24"/>
        </w:rPr>
        <w:t xml:space="preserve">F </w:t>
      </w:r>
      <w:r>
        <w:rPr>
          <w:rFonts w:hint="eastAsia" w:ascii="宋体" w:hAnsi="宋体" w:eastAsia="宋体" w:cs="宋体"/>
          <w:color w:val="auto"/>
          <w:spacing w:val="-2"/>
          <w:sz w:val="24"/>
          <w:szCs w:val="24"/>
        </w:rPr>
        <w:t>类，</w:t>
      </w:r>
      <w:r>
        <w:rPr>
          <w:rFonts w:hint="eastAsia" w:ascii="宋体" w:hAnsi="宋体" w:eastAsia="宋体" w:cs="宋体"/>
          <w:color w:val="auto"/>
          <w:spacing w:val="-3"/>
          <w:sz w:val="24"/>
          <w:szCs w:val="24"/>
        </w:rPr>
        <w:t xml:space="preserve">1.5m/s </w:t>
      </w:r>
      <w:r>
        <w:rPr>
          <w:rFonts w:hint="eastAsia" w:ascii="宋体" w:hAnsi="宋体" w:eastAsia="宋体" w:cs="宋体"/>
          <w:color w:val="auto"/>
          <w:spacing w:val="-8"/>
          <w:sz w:val="24"/>
          <w:szCs w:val="24"/>
        </w:rPr>
        <w:t xml:space="preserve">风速，温度 </w:t>
      </w:r>
      <w:r>
        <w:rPr>
          <w:rFonts w:hint="eastAsia" w:ascii="宋体" w:hAnsi="宋体" w:eastAsia="宋体" w:cs="宋体"/>
          <w:color w:val="auto"/>
          <w:spacing w:val="-3"/>
          <w:sz w:val="24"/>
          <w:szCs w:val="24"/>
        </w:rPr>
        <w:t>25℃</w:t>
      </w:r>
      <w:r>
        <w:rPr>
          <w:rFonts w:hint="eastAsia" w:ascii="宋体" w:hAnsi="宋体" w:eastAsia="宋体" w:cs="宋体"/>
          <w:color w:val="auto"/>
          <w:spacing w:val="-9"/>
          <w:sz w:val="24"/>
          <w:szCs w:val="24"/>
        </w:rPr>
        <w:t xml:space="preserve">，相对湿度 </w:t>
      </w:r>
      <w:r>
        <w:rPr>
          <w:rFonts w:hint="eastAsia" w:ascii="宋体" w:hAnsi="宋体" w:eastAsia="宋体" w:cs="宋体"/>
          <w:color w:val="auto"/>
          <w:sz w:val="24"/>
          <w:szCs w:val="24"/>
        </w:rPr>
        <w:t>50%</w:t>
      </w:r>
      <w:r>
        <w:rPr>
          <w:rFonts w:hint="eastAsia" w:ascii="宋体" w:hAnsi="宋体" w:eastAsia="宋体" w:cs="宋体"/>
          <w:color w:val="auto"/>
          <w:sz w:val="24"/>
          <w:szCs w:val="24"/>
          <w:lang w:eastAsia="zh-CN"/>
        </w:rPr>
        <w:t>。</w:t>
      </w:r>
    </w:p>
    <w:p>
      <w:pPr>
        <w:pStyle w:val="6"/>
        <w:numPr>
          <w:ilvl w:val="1"/>
          <w:numId w:val="0"/>
        </w:numPr>
        <w:tabs>
          <w:tab w:val="left" w:pos="1092"/>
        </w:tabs>
        <w:kinsoku w:val="0"/>
        <w:overflowPunct w:val="0"/>
        <w:spacing w:before="156" w:beforeLines="0" w:afterLines="0"/>
        <w:ind w:left="460" w:leftChars="0"/>
        <w:jc w:val="both"/>
        <w:rPr>
          <w:rFonts w:hint="eastAsia" w:ascii="楷体" w:hAnsi="楷体" w:eastAsia="楷体"/>
          <w:b/>
          <w:color w:val="auto"/>
          <w:sz w:val="22"/>
        </w:rPr>
      </w:pPr>
      <w:bookmarkStart w:id="382" w:name="_Toc7259"/>
      <w:r>
        <w:rPr>
          <w:rFonts w:hint="eastAsia"/>
          <w:color w:val="auto"/>
          <w:sz w:val="28"/>
          <w:lang w:val="en-US" w:eastAsia="zh-CN"/>
        </w:rPr>
        <w:t>7.6</w:t>
      </w:r>
      <w:r>
        <w:rPr>
          <w:rFonts w:hint="eastAsia"/>
          <w:color w:val="auto"/>
          <w:sz w:val="28"/>
        </w:rPr>
        <w:t>大气毒性终点浓度值</w:t>
      </w:r>
      <w:bookmarkEnd w:id="382"/>
    </w:p>
    <w:p>
      <w:pPr>
        <w:pStyle w:val="22"/>
        <w:kinsoku w:val="0"/>
        <w:overflowPunct w:val="0"/>
        <w:spacing w:beforeLines="0" w:afterLines="0"/>
        <w:ind w:left="1019"/>
        <w:rPr>
          <w:rFonts w:hint="eastAsia" w:ascii="宋体" w:hAnsi="宋体" w:eastAsia="宋体" w:cs="宋体"/>
          <w:color w:val="auto"/>
          <w:sz w:val="24"/>
          <w:szCs w:val="24"/>
        </w:rPr>
      </w:pPr>
      <w:r>
        <w:rPr>
          <w:rFonts w:hint="eastAsia" w:ascii="宋体" w:hAnsi="宋体" w:eastAsia="宋体" w:cs="宋体"/>
          <w:color w:val="auto"/>
          <w:sz w:val="24"/>
          <w:szCs w:val="24"/>
        </w:rPr>
        <w:t>根据《建设项目环境风险评价技术导则》（HJ169-2018）附录 H</w:t>
      </w:r>
    </w:p>
    <w:p>
      <w:pPr>
        <w:pStyle w:val="22"/>
        <w:kinsoku w:val="0"/>
        <w:overflowPunct w:val="0"/>
        <w:spacing w:before="141" w:beforeLines="0" w:afterLines="0"/>
        <w:ind w:left="460"/>
        <w:jc w:val="both"/>
        <w:rPr>
          <w:rFonts w:hint="eastAsia" w:ascii="宋体" w:hAnsi="宋体" w:eastAsia="宋体" w:cs="宋体"/>
          <w:color w:val="auto"/>
          <w:sz w:val="24"/>
          <w:szCs w:val="24"/>
        </w:rPr>
      </w:pPr>
      <w:r>
        <w:rPr>
          <w:rFonts w:hint="eastAsia" w:ascii="宋体" w:hAnsi="宋体" w:eastAsia="宋体" w:cs="宋体"/>
          <w:color w:val="auto"/>
          <w:sz w:val="24"/>
          <w:szCs w:val="24"/>
        </w:rPr>
        <w:t>选取本项目风险因子大气毒性终点浓度值。</w:t>
      </w:r>
    </w:p>
    <w:p>
      <w:pPr>
        <w:pStyle w:val="22"/>
        <w:kinsoku w:val="0"/>
        <w:overflowPunct w:val="0"/>
        <w:spacing w:before="180" w:beforeLines="0" w:after="34" w:afterLines="0"/>
        <w:ind w:right="855"/>
        <w:jc w:val="center"/>
        <w:rPr>
          <w:rFonts w:hint="eastAsia" w:ascii="楷体" w:hAnsi="楷体" w:eastAsia="楷体"/>
          <w:b/>
          <w:color w:val="auto"/>
          <w:sz w:val="24"/>
        </w:rPr>
      </w:pPr>
      <w:r>
        <w:rPr>
          <w:rFonts w:hint="eastAsia" w:ascii="宋体" w:hAnsi="宋体" w:eastAsia="宋体" w:cs="宋体"/>
          <w:b/>
          <w:color w:val="auto"/>
          <w:spacing w:val="-30"/>
          <w:sz w:val="24"/>
        </w:rPr>
        <w:t xml:space="preserve">表 </w:t>
      </w:r>
      <w:r>
        <w:rPr>
          <w:rFonts w:hint="eastAsia" w:ascii="宋体" w:hAnsi="宋体" w:eastAsia="宋体" w:cs="宋体"/>
          <w:b/>
          <w:color w:val="auto"/>
          <w:sz w:val="24"/>
        </w:rPr>
        <w:t>7.6-</w:t>
      </w:r>
      <w:r>
        <w:rPr>
          <w:rFonts w:hint="eastAsia" w:ascii="宋体" w:hAnsi="宋体" w:eastAsia="宋体" w:cs="宋体"/>
          <w:b/>
          <w:color w:val="auto"/>
          <w:sz w:val="24"/>
          <w:lang w:val="en-US" w:eastAsia="zh-CN"/>
        </w:rPr>
        <w:t>1</w:t>
      </w:r>
      <w:r>
        <w:rPr>
          <w:rFonts w:hint="eastAsia" w:ascii="宋体" w:hAnsi="宋体" w:eastAsia="宋体" w:cs="宋体"/>
          <w:b/>
          <w:color w:val="auto"/>
          <w:spacing w:val="58"/>
          <w:sz w:val="24"/>
        </w:rPr>
        <w:t xml:space="preserve"> </w:t>
      </w:r>
      <w:r>
        <w:rPr>
          <w:rFonts w:hint="eastAsia" w:ascii="宋体" w:hAnsi="宋体" w:eastAsia="宋体" w:cs="宋体"/>
          <w:b/>
          <w:color w:val="auto"/>
          <w:sz w:val="24"/>
        </w:rPr>
        <w:t>本项目环境风险大气毒性终点浓度值</w:t>
      </w:r>
    </w:p>
    <w:tbl>
      <w:tblPr>
        <w:tblStyle w:val="45"/>
        <w:tblW w:w="8523" w:type="dxa"/>
        <w:tblInd w:w="4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6"/>
        <w:gridCol w:w="1421"/>
        <w:gridCol w:w="3118"/>
        <w:gridCol w:w="31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816"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6" w:beforeLines="0" w:afterLines="0" w:line="255" w:lineRule="exact"/>
              <w:ind w:left="40" w:right="35"/>
              <w:rPr>
                <w:rFonts w:hint="eastAsia"/>
                <w:color w:val="auto"/>
                <w:sz w:val="21"/>
              </w:rPr>
            </w:pPr>
            <w:r>
              <w:rPr>
                <w:rFonts w:hint="eastAsia"/>
                <w:color w:val="auto"/>
                <w:sz w:val="21"/>
              </w:rPr>
              <w:t>序号</w:t>
            </w:r>
          </w:p>
        </w:tc>
        <w:tc>
          <w:tcPr>
            <w:tcW w:w="1421"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6" w:beforeLines="0" w:afterLines="0" w:line="255" w:lineRule="exact"/>
              <w:ind w:right="370"/>
              <w:jc w:val="both"/>
              <w:rPr>
                <w:rFonts w:hint="eastAsia"/>
                <w:color w:val="auto"/>
                <w:sz w:val="21"/>
              </w:rPr>
            </w:pPr>
            <w:r>
              <w:rPr>
                <w:rFonts w:hint="eastAsia"/>
                <w:color w:val="auto"/>
                <w:sz w:val="21"/>
              </w:rPr>
              <w:t>污染物</w:t>
            </w:r>
          </w:p>
        </w:tc>
        <w:tc>
          <w:tcPr>
            <w:tcW w:w="3118" w:type="dxa"/>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6" w:beforeLines="0" w:afterLines="0" w:line="255" w:lineRule="exact"/>
              <w:ind w:right="298"/>
              <w:jc w:val="center"/>
              <w:rPr>
                <w:rFonts w:hint="eastAsia"/>
                <w:color w:val="auto"/>
                <w:sz w:val="21"/>
              </w:rPr>
            </w:pPr>
            <w:r>
              <w:rPr>
                <w:rFonts w:hint="eastAsia"/>
                <w:color w:val="auto"/>
                <w:sz w:val="21"/>
              </w:rPr>
              <w:t>毒性终点浓度</w:t>
            </w:r>
            <w:r>
              <w:rPr>
                <w:rFonts w:hint="default" w:ascii="Times New Roman" w:hAnsi="Times New Roman" w:eastAsia="Times New Roman"/>
                <w:color w:val="auto"/>
                <w:sz w:val="21"/>
              </w:rPr>
              <w:t>-1/</w:t>
            </w:r>
            <w:r>
              <w:rPr>
                <w:rFonts w:hint="eastAsia"/>
                <w:color w:val="auto"/>
                <w:sz w:val="21"/>
              </w:rPr>
              <w:t>（</w:t>
            </w: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eastAsia"/>
                <w:color w:val="auto"/>
                <w:sz w:val="21"/>
              </w:rPr>
              <w:t>）</w:t>
            </w:r>
          </w:p>
        </w:tc>
        <w:tc>
          <w:tcPr>
            <w:tcW w:w="3168"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5" w:lineRule="exact"/>
              <w:ind w:right="327"/>
              <w:jc w:val="center"/>
              <w:rPr>
                <w:rFonts w:hint="eastAsia"/>
                <w:color w:val="auto"/>
                <w:sz w:val="21"/>
              </w:rPr>
            </w:pPr>
            <w:r>
              <w:rPr>
                <w:rFonts w:hint="eastAsia"/>
                <w:color w:val="auto"/>
                <w:sz w:val="21"/>
              </w:rPr>
              <w:t>毒性终点浓度</w:t>
            </w:r>
            <w:r>
              <w:rPr>
                <w:rFonts w:hint="default" w:ascii="Times New Roman" w:hAnsi="Times New Roman" w:eastAsia="Times New Roman"/>
                <w:color w:val="auto"/>
                <w:sz w:val="21"/>
              </w:rPr>
              <w:t>-2/</w:t>
            </w:r>
            <w:r>
              <w:rPr>
                <w:rFonts w:hint="eastAsia"/>
                <w:color w:val="auto"/>
                <w:sz w:val="21"/>
              </w:rPr>
              <w:t>（</w:t>
            </w: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eastAsia"/>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816"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left="4"/>
              <w:rPr>
                <w:rFonts w:hint="eastAsia" w:ascii="Times New Roman" w:hAnsi="Times New Roman" w:eastAsia="宋体"/>
                <w:color w:val="auto"/>
                <w:sz w:val="21"/>
                <w:lang w:eastAsia="zh-CN"/>
              </w:rPr>
            </w:pPr>
            <w:r>
              <w:rPr>
                <w:rFonts w:hint="eastAsia" w:ascii="Times New Roman" w:hAnsi="Times New Roman" w:eastAsia="宋体"/>
                <w:color w:val="auto"/>
                <w:sz w:val="21"/>
                <w:lang w:val="en-US" w:eastAsia="zh-CN"/>
              </w:rPr>
              <w:t>1</w:t>
            </w:r>
          </w:p>
        </w:tc>
        <w:tc>
          <w:tcPr>
            <w:tcW w:w="142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6" w:beforeLines="0" w:afterLines="0" w:line="252" w:lineRule="exact"/>
              <w:rPr>
                <w:rFonts w:hint="eastAsia"/>
                <w:color w:val="auto"/>
                <w:sz w:val="21"/>
              </w:rPr>
            </w:pPr>
            <w:r>
              <w:rPr>
                <w:rFonts w:hint="eastAsia"/>
                <w:color w:val="auto"/>
                <w:sz w:val="21"/>
              </w:rPr>
              <w:t>氨</w:t>
            </w:r>
          </w:p>
        </w:tc>
        <w:tc>
          <w:tcPr>
            <w:tcW w:w="3118"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60" w:beforeLines="0" w:afterLines="0" w:line="238" w:lineRule="exact"/>
              <w:ind w:left="298" w:right="296"/>
              <w:rPr>
                <w:rFonts w:hint="default" w:ascii="Times New Roman" w:hAnsi="Times New Roman" w:eastAsia="Times New Roman"/>
                <w:color w:val="auto"/>
                <w:sz w:val="21"/>
              </w:rPr>
            </w:pPr>
            <w:r>
              <w:rPr>
                <w:rFonts w:hint="default" w:ascii="Times New Roman" w:hAnsi="Times New Roman" w:eastAsia="Times New Roman"/>
                <w:color w:val="auto"/>
                <w:sz w:val="21"/>
              </w:rPr>
              <w:t>770</w:t>
            </w:r>
          </w:p>
        </w:tc>
        <w:tc>
          <w:tcPr>
            <w:tcW w:w="316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60" w:beforeLines="0" w:afterLines="0" w:line="238" w:lineRule="exact"/>
              <w:ind w:left="323" w:right="324"/>
              <w:rPr>
                <w:rFonts w:hint="default" w:ascii="Times New Roman" w:hAnsi="Times New Roman" w:eastAsia="Times New Roman"/>
                <w:color w:val="auto"/>
                <w:sz w:val="21"/>
              </w:rPr>
            </w:pPr>
            <w:r>
              <w:rPr>
                <w:rFonts w:hint="default" w:ascii="Times New Roman" w:hAnsi="Times New Roman" w:eastAsia="Times New Roman"/>
                <w:color w:val="auto"/>
                <w:sz w:val="21"/>
              </w:rPr>
              <w:t>110</w:t>
            </w:r>
          </w:p>
        </w:tc>
      </w:tr>
    </w:tbl>
    <w:p>
      <w:pPr>
        <w:pStyle w:val="22"/>
        <w:kinsoku w:val="0"/>
        <w:overflowPunct w:val="0"/>
        <w:spacing w:before="46" w:beforeLines="0" w:afterLines="0" w:line="285" w:lineRule="auto"/>
        <w:ind w:left="460" w:right="1793"/>
        <w:jc w:val="both"/>
        <w:rPr>
          <w:rFonts w:hint="eastAsia" w:ascii="宋体" w:hAnsi="宋体" w:eastAsia="宋体"/>
          <w:color w:val="auto"/>
          <w:spacing w:val="-3"/>
          <w:sz w:val="21"/>
        </w:rPr>
      </w:pPr>
      <w:r>
        <w:rPr>
          <w:rFonts w:hint="eastAsia" w:ascii="楷体" w:hAnsi="楷体" w:eastAsia="楷体"/>
          <w:b/>
          <w:color w:val="auto"/>
          <w:sz w:val="24"/>
        </w:rPr>
        <mc:AlternateContent>
          <mc:Choice Requires="wps">
            <w:drawing>
              <wp:anchor distT="0" distB="0" distL="114300" distR="114300" simplePos="0" relativeHeight="253189120" behindDoc="1" locked="0" layoutInCell="1" allowOverlap="1">
                <wp:simplePos x="0" y="0"/>
                <wp:positionH relativeFrom="page">
                  <wp:posOffset>1065530</wp:posOffset>
                </wp:positionH>
                <wp:positionV relativeFrom="paragraph">
                  <wp:posOffset>822325</wp:posOffset>
                </wp:positionV>
                <wp:extent cx="5422265" cy="12700"/>
                <wp:effectExtent l="0" t="0" r="0" b="0"/>
                <wp:wrapNone/>
                <wp:docPr id="416" name="任意多边形 416"/>
                <wp:cNvGraphicFramePr/>
                <a:graphic xmlns:a="http://schemas.openxmlformats.org/drawingml/2006/main">
                  <a:graphicData uri="http://schemas.microsoft.com/office/word/2010/wordprocessingShape">
                    <wps:wsp>
                      <wps:cNvSpPr/>
                      <wps:spPr>
                        <a:xfrm>
                          <a:off x="0" y="0"/>
                          <a:ext cx="5422265" cy="12700"/>
                        </a:xfrm>
                        <a:custGeom>
                          <a:avLst/>
                          <a:gdLst/>
                          <a:ahLst/>
                          <a:cxnLst/>
                          <a:pathLst>
                            <a:path w="8539" h="20">
                              <a:moveTo>
                                <a:pt x="0" y="0"/>
                              </a:moveTo>
                              <a:lnTo>
                                <a:pt x="8538" y="0"/>
                              </a:lnTo>
                            </a:path>
                          </a:pathLst>
                        </a:custGeom>
                        <a:noFill/>
                        <a:ln w="18287"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83.9pt;margin-top:64.75pt;height:1pt;width:426.95pt;mso-position-horizontal-relative:page;z-index:-250127360;mso-width-relative:page;mso-height-relative:page;" filled="f" stroked="t" coordsize="8539,20" o:gfxdata="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z7/bjZ&#10;AAAADAEAAA8AAAAAAAAAAQAgAAAAIgAAAGRycy9kb3ducmV2LnhtbFBLAQIUABQAAAAIAIdO4kBC&#10;NiCgHwIAAEQEAAAOAAAAAAAAAAEAIAAAACgBAABkcnMvZTJvRG9jLnhtbFBLBQYAAAAABgAGAFkB&#10;AAC5BQAAAAA=&#10;" path="m0,0l8538,0e">
                <v:fill on="f" focussize="0,0"/>
                <v:stroke weight="1.43992125984252pt" color="#000000" joinstyle="round"/>
                <v:imagedata o:title=""/>
                <o:lock v:ext="edit" aspectratio="f"/>
              </v:shape>
            </w:pict>
          </mc:Fallback>
        </mc:AlternateContent>
      </w:r>
      <w:r>
        <w:rPr>
          <w:rFonts w:hint="eastAsia" w:ascii="宋体" w:hAnsi="宋体" w:eastAsia="宋体"/>
          <w:color w:val="auto"/>
          <w:spacing w:val="-13"/>
          <w:sz w:val="21"/>
        </w:rPr>
        <w:t>注：</w:t>
      </w:r>
      <w:r>
        <w:rPr>
          <w:rFonts w:hint="default" w:ascii="Times New Roman" w:hAnsi="Times New Roman" w:eastAsia="Times New Roman"/>
          <w:color w:val="auto"/>
          <w:spacing w:val="-25"/>
          <w:sz w:val="21"/>
        </w:rPr>
        <w:t xml:space="preserve">1 </w:t>
      </w:r>
      <w:r>
        <w:rPr>
          <w:rFonts w:hint="eastAsia" w:ascii="宋体" w:hAnsi="宋体" w:eastAsia="宋体"/>
          <w:color w:val="auto"/>
          <w:spacing w:val="-6"/>
          <w:sz w:val="21"/>
        </w:rPr>
        <w:t xml:space="preserve">级为当大气中危险物质浓度低于该限值时，绝大多数人员暴露 </w:t>
      </w:r>
      <w:r>
        <w:rPr>
          <w:rFonts w:hint="default" w:ascii="Times New Roman" w:hAnsi="Times New Roman" w:eastAsia="Times New Roman"/>
          <w:color w:val="auto"/>
          <w:sz w:val="21"/>
        </w:rPr>
        <w:t xml:space="preserve">1 h </w:t>
      </w:r>
      <w:r>
        <w:rPr>
          <w:rFonts w:hint="eastAsia" w:ascii="宋体" w:hAnsi="宋体" w:eastAsia="宋体"/>
          <w:color w:val="auto"/>
          <w:spacing w:val="-3"/>
          <w:sz w:val="21"/>
        </w:rPr>
        <w:t>不会对生命造成威</w:t>
      </w:r>
      <w:r>
        <w:rPr>
          <w:rFonts w:hint="eastAsia" w:ascii="宋体" w:hAnsi="宋体" w:eastAsia="宋体"/>
          <w:color w:val="auto"/>
          <w:spacing w:val="-8"/>
          <w:sz w:val="21"/>
        </w:rPr>
        <w:t>胁，当超过该限值时，有可能对人群造成生命威胁；</w:t>
      </w:r>
      <w:r>
        <w:rPr>
          <w:rFonts w:hint="default" w:ascii="Times New Roman" w:hAnsi="Times New Roman" w:eastAsia="Times New Roman"/>
          <w:color w:val="auto"/>
          <w:spacing w:val="-8"/>
          <w:sz w:val="21"/>
        </w:rPr>
        <w:t xml:space="preserve">2 </w:t>
      </w:r>
      <w:r>
        <w:rPr>
          <w:rFonts w:hint="eastAsia" w:ascii="宋体" w:hAnsi="宋体" w:eastAsia="宋体"/>
          <w:color w:val="auto"/>
          <w:spacing w:val="-3"/>
          <w:sz w:val="21"/>
        </w:rPr>
        <w:t>级为当大气中危险物质浓度低于该限</w:t>
      </w:r>
      <w:r>
        <w:rPr>
          <w:rFonts w:hint="eastAsia" w:ascii="宋体" w:hAnsi="宋体" w:eastAsia="宋体"/>
          <w:color w:val="auto"/>
          <w:spacing w:val="-9"/>
          <w:sz w:val="21"/>
        </w:rPr>
        <w:t xml:space="preserve">值时，暴露 </w:t>
      </w:r>
      <w:r>
        <w:rPr>
          <w:rFonts w:hint="default" w:ascii="Times New Roman" w:hAnsi="Times New Roman" w:eastAsia="Times New Roman"/>
          <w:color w:val="auto"/>
          <w:sz w:val="21"/>
        </w:rPr>
        <w:t xml:space="preserve">1h </w:t>
      </w:r>
      <w:r>
        <w:rPr>
          <w:rFonts w:hint="eastAsia" w:ascii="宋体" w:hAnsi="宋体" w:eastAsia="宋体"/>
          <w:color w:val="auto"/>
          <w:spacing w:val="-3"/>
          <w:sz w:val="21"/>
        </w:rPr>
        <w:t>一般不会对人体造成不可逆的伤害，或出现的症状一般不会损伤该个体采取有效防护措施的能力。</w:t>
      </w:r>
    </w:p>
    <w:p>
      <w:pPr>
        <w:pStyle w:val="22"/>
        <w:kinsoku w:val="0"/>
        <w:overflowPunct w:val="0"/>
        <w:spacing w:before="3" w:beforeLines="0" w:afterLines="0"/>
        <w:rPr>
          <w:rFonts w:hint="eastAsia" w:ascii="宋体" w:hAnsi="宋体" w:eastAsia="宋体"/>
          <w:color w:val="auto"/>
          <w:sz w:val="14"/>
        </w:rPr>
      </w:pPr>
    </w:p>
    <w:p>
      <w:pPr>
        <w:pStyle w:val="6"/>
        <w:numPr>
          <w:ilvl w:val="1"/>
          <w:numId w:val="0"/>
        </w:numPr>
        <w:tabs>
          <w:tab w:val="left" w:pos="1092"/>
        </w:tabs>
        <w:kinsoku w:val="0"/>
        <w:overflowPunct w:val="0"/>
        <w:spacing w:before="71" w:beforeLines="0" w:afterLines="0"/>
        <w:ind w:left="460" w:leftChars="0"/>
        <w:rPr>
          <w:rFonts w:hint="eastAsia"/>
          <w:color w:val="auto"/>
          <w:sz w:val="28"/>
          <w:lang w:eastAsia="zh-CN"/>
        </w:rPr>
      </w:pPr>
      <w:bookmarkStart w:id="383" w:name="_Toc26456"/>
      <w:r>
        <w:rPr>
          <w:rFonts w:hint="eastAsia"/>
          <w:color w:val="auto"/>
          <w:sz w:val="28"/>
          <w:lang w:val="en-US" w:eastAsia="zh-CN"/>
        </w:rPr>
        <w:t>7.7</w:t>
      </w:r>
      <w:r>
        <w:rPr>
          <w:rFonts w:hint="eastAsia"/>
          <w:color w:val="auto"/>
          <w:sz w:val="28"/>
        </w:rPr>
        <w:t>预测结果</w:t>
      </w:r>
      <w:bookmarkEnd w:id="383"/>
    </w:p>
    <w:p>
      <w:pPr>
        <w:pStyle w:val="7"/>
        <w:numPr>
          <w:ilvl w:val="2"/>
          <w:numId w:val="0"/>
        </w:numPr>
        <w:spacing w:before="120" w:beforeLines="0" w:after="120" w:afterLines="0"/>
        <w:ind w:firstLine="482" w:firstLineChars="200"/>
        <w:rPr>
          <w:rFonts w:hint="eastAsia"/>
          <w:color w:val="auto"/>
          <w:u w:val="none"/>
          <w:lang w:val="en-US" w:eastAsia="zh-CN"/>
        </w:rPr>
      </w:pPr>
      <w:bookmarkStart w:id="384" w:name="_Toc28751"/>
      <w:r>
        <w:rPr>
          <w:rFonts w:hint="eastAsia"/>
          <w:color w:val="auto"/>
          <w:u w:val="none"/>
          <w:lang w:val="en-US" w:eastAsia="zh-CN"/>
        </w:rPr>
        <w:t>7.7.1下风向不同距离处有毒有害物质的最大浓度</w:t>
      </w:r>
      <w:bookmarkEnd w:id="384"/>
    </w:p>
    <w:p>
      <w:pPr>
        <w:pStyle w:val="22"/>
        <w:kinsoku w:val="0"/>
        <w:overflowPunct w:val="0"/>
        <w:spacing w:before="141" w:beforeLines="0" w:afterLines="0" w:line="333" w:lineRule="auto"/>
        <w:ind w:left="460" w:right="1656" w:firstLine="559"/>
        <w:jc w:val="both"/>
        <w:rPr>
          <w:rFonts w:hint="eastAsia" w:ascii="宋体" w:hAnsi="宋体" w:eastAsia="宋体" w:cs="宋体"/>
          <w:color w:val="auto"/>
          <w:sz w:val="24"/>
          <w:szCs w:val="24"/>
        </w:rPr>
      </w:pPr>
      <w:r>
        <w:rPr>
          <w:rFonts w:hint="eastAsia" w:ascii="宋体" w:hAnsi="宋体" w:eastAsia="宋体" w:cs="宋体"/>
          <w:color w:val="auto"/>
          <w:spacing w:val="-11"/>
          <w:sz w:val="24"/>
          <w:szCs w:val="24"/>
        </w:rPr>
        <w:t>根据预测结果，在最不利气象条件和事故发生地最常见气象条件</w:t>
      </w:r>
      <w:r>
        <w:rPr>
          <w:rFonts w:hint="eastAsia" w:ascii="宋体" w:hAnsi="宋体" w:eastAsia="宋体" w:cs="宋体"/>
          <w:color w:val="auto"/>
          <w:spacing w:val="-9"/>
          <w:sz w:val="24"/>
          <w:szCs w:val="24"/>
        </w:rPr>
        <w:t>下，本项目液氨</w:t>
      </w:r>
      <w:r>
        <w:rPr>
          <w:rFonts w:hint="eastAsia" w:ascii="宋体" w:hAnsi="宋体" w:eastAsia="宋体" w:cs="宋体"/>
          <w:color w:val="auto"/>
          <w:spacing w:val="-9"/>
          <w:sz w:val="24"/>
          <w:szCs w:val="24"/>
          <w:lang w:eastAsia="zh-CN"/>
        </w:rPr>
        <w:t>输送</w:t>
      </w:r>
      <w:r>
        <w:rPr>
          <w:rFonts w:hint="eastAsia" w:ascii="宋体" w:hAnsi="宋体" w:eastAsia="宋体" w:cs="宋体"/>
          <w:color w:val="auto"/>
          <w:spacing w:val="-9"/>
          <w:sz w:val="24"/>
          <w:szCs w:val="24"/>
        </w:rPr>
        <w:t>管道断裂，导致液氨泄漏扩散</w:t>
      </w:r>
      <w:r>
        <w:rPr>
          <w:rFonts w:hint="eastAsia" w:ascii="宋体" w:hAnsi="宋体" w:eastAsia="宋体" w:cs="宋体"/>
          <w:color w:val="auto"/>
          <w:sz w:val="24"/>
          <w:szCs w:val="24"/>
        </w:rPr>
        <w:t>（</w:t>
      </w:r>
      <w:r>
        <w:rPr>
          <w:rFonts w:hint="eastAsia" w:ascii="宋体" w:hAnsi="宋体" w:eastAsia="宋体" w:cs="宋体"/>
          <w:color w:val="auto"/>
          <w:spacing w:val="-2"/>
          <w:sz w:val="24"/>
          <w:szCs w:val="24"/>
        </w:rPr>
        <w:t>氨气</w:t>
      </w:r>
      <w:r>
        <w:rPr>
          <w:rFonts w:hint="eastAsia" w:ascii="宋体" w:hAnsi="宋体" w:eastAsia="宋体" w:cs="宋体"/>
          <w:color w:val="auto"/>
          <w:spacing w:val="-24"/>
          <w:sz w:val="24"/>
          <w:szCs w:val="24"/>
        </w:rPr>
        <w:t>）</w:t>
      </w:r>
      <w:r>
        <w:rPr>
          <w:rFonts w:hint="eastAsia" w:ascii="宋体" w:hAnsi="宋体" w:eastAsia="宋体" w:cs="宋体"/>
          <w:color w:val="auto"/>
          <w:spacing w:val="-1"/>
          <w:sz w:val="24"/>
          <w:szCs w:val="24"/>
        </w:rPr>
        <w:t>对应的下风向不同距离处有毒有害物质的最大浓度见表</w:t>
      </w:r>
      <w:r>
        <w:rPr>
          <w:rFonts w:hint="eastAsia" w:ascii="宋体" w:hAnsi="宋体" w:eastAsia="宋体" w:cs="宋体"/>
          <w:color w:val="auto"/>
          <w:sz w:val="24"/>
          <w:szCs w:val="24"/>
        </w:rPr>
        <w:t>7.</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w:t>
      </w:r>
    </w:p>
    <w:p>
      <w:pPr>
        <w:pStyle w:val="22"/>
        <w:kinsoku w:val="0"/>
        <w:overflowPunct w:val="0"/>
        <w:spacing w:before="44" w:beforeLines="0" w:after="33" w:afterLines="0"/>
        <w:ind w:right="856"/>
        <w:jc w:val="center"/>
        <w:rPr>
          <w:rFonts w:hint="eastAsia" w:ascii="宋体" w:hAnsi="宋体" w:eastAsia="宋体" w:cs="宋体"/>
          <w:b/>
          <w:color w:val="auto"/>
          <w:sz w:val="24"/>
        </w:rPr>
      </w:pPr>
      <w:r>
        <w:rPr>
          <w:rFonts w:hint="eastAsia" w:ascii="宋体" w:hAnsi="宋体" w:eastAsia="宋体" w:cs="宋体"/>
          <w:b/>
          <w:color w:val="auto"/>
          <w:spacing w:val="-30"/>
          <w:sz w:val="24"/>
        </w:rPr>
        <w:t xml:space="preserve">表 </w:t>
      </w:r>
      <w:r>
        <w:rPr>
          <w:rFonts w:hint="eastAsia" w:ascii="宋体" w:hAnsi="宋体" w:eastAsia="宋体" w:cs="宋体"/>
          <w:b/>
          <w:color w:val="auto"/>
          <w:sz w:val="24"/>
        </w:rPr>
        <w:t>7.</w:t>
      </w:r>
      <w:r>
        <w:rPr>
          <w:rFonts w:hint="eastAsia" w:ascii="宋体" w:hAnsi="宋体" w:eastAsia="宋体" w:cs="宋体"/>
          <w:b/>
          <w:color w:val="auto"/>
          <w:sz w:val="24"/>
          <w:lang w:val="en-US" w:eastAsia="zh-CN"/>
        </w:rPr>
        <w:t>7-1</w:t>
      </w:r>
      <w:r>
        <w:rPr>
          <w:rFonts w:hint="eastAsia" w:ascii="宋体" w:hAnsi="宋体" w:eastAsia="宋体" w:cs="宋体"/>
          <w:b/>
          <w:color w:val="auto"/>
          <w:spacing w:val="58"/>
          <w:sz w:val="24"/>
        </w:rPr>
        <w:t xml:space="preserve"> </w:t>
      </w:r>
      <w:r>
        <w:rPr>
          <w:rFonts w:hint="eastAsia" w:ascii="宋体" w:hAnsi="宋体" w:eastAsia="宋体" w:cs="宋体"/>
          <w:b/>
          <w:color w:val="auto"/>
          <w:sz w:val="24"/>
        </w:rPr>
        <w:t>液氨泄漏最大浓度</w:t>
      </w:r>
    </w:p>
    <w:tbl>
      <w:tblPr>
        <w:tblStyle w:val="45"/>
        <w:tblW w:w="8540" w:type="dxa"/>
        <w:tblInd w:w="43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7"/>
        <w:gridCol w:w="2141"/>
        <w:gridCol w:w="1277"/>
        <w:gridCol w:w="2127"/>
        <w:gridCol w:w="21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 w:hRule="atLeast"/>
        </w:trPr>
        <w:tc>
          <w:tcPr>
            <w:tcW w:w="817" w:type="dxa"/>
            <w:vMerge w:val="restart"/>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16"/>
              </w:rPr>
            </w:pPr>
          </w:p>
          <w:p>
            <w:pPr>
              <w:pStyle w:val="247"/>
              <w:kinsoku w:val="0"/>
              <w:overflowPunct w:val="0"/>
              <w:spacing w:beforeLines="0" w:afterLines="0"/>
              <w:jc w:val="left"/>
              <w:rPr>
                <w:rFonts w:hint="eastAsia"/>
                <w:color w:val="auto"/>
                <w:sz w:val="21"/>
              </w:rPr>
            </w:pPr>
            <w:r>
              <w:rPr>
                <w:rFonts w:hint="eastAsia"/>
                <w:color w:val="auto"/>
                <w:sz w:val="21"/>
              </w:rPr>
              <w:t>序号</w:t>
            </w:r>
          </w:p>
        </w:tc>
        <w:tc>
          <w:tcPr>
            <w:tcW w:w="2141" w:type="dxa"/>
            <w:vMerge w:val="restart"/>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beforeLines="0" w:afterLines="0"/>
              <w:jc w:val="left"/>
              <w:rPr>
                <w:rFonts w:hint="eastAsia" w:ascii="楷体" w:hAnsi="楷体" w:eastAsia="楷体"/>
                <w:b/>
                <w:color w:val="auto"/>
                <w:sz w:val="16"/>
              </w:rPr>
            </w:pPr>
          </w:p>
          <w:p>
            <w:pPr>
              <w:pStyle w:val="247"/>
              <w:kinsoku w:val="0"/>
              <w:overflowPunct w:val="0"/>
              <w:spacing w:beforeLines="0" w:afterLines="0"/>
              <w:ind w:left="527"/>
              <w:jc w:val="left"/>
              <w:rPr>
                <w:rFonts w:hint="eastAsia"/>
                <w:color w:val="auto"/>
                <w:sz w:val="21"/>
              </w:rPr>
            </w:pPr>
            <w:r>
              <w:rPr>
                <w:rFonts w:hint="eastAsia"/>
                <w:color w:val="auto"/>
                <w:sz w:val="21"/>
              </w:rPr>
              <w:t>气象条件</w:t>
            </w:r>
          </w:p>
        </w:tc>
        <w:tc>
          <w:tcPr>
            <w:tcW w:w="1277" w:type="dxa"/>
            <w:vMerge w:val="restart"/>
            <w:tcBorders>
              <w:top w:val="single" w:color="000000" w:sz="12"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51" w:beforeLines="0" w:afterLines="0"/>
              <w:jc w:val="left"/>
              <w:rPr>
                <w:rFonts w:hint="eastAsia"/>
                <w:color w:val="auto"/>
                <w:sz w:val="21"/>
              </w:rPr>
            </w:pPr>
            <w:r>
              <w:rPr>
                <w:rFonts w:hint="eastAsia"/>
                <w:color w:val="auto"/>
                <w:sz w:val="21"/>
              </w:rPr>
              <w:t>最大浓度</w:t>
            </w:r>
          </w:p>
          <w:p>
            <w:pPr>
              <w:pStyle w:val="247"/>
              <w:kinsoku w:val="0"/>
              <w:overflowPunct w:val="0"/>
              <w:spacing w:before="53" w:beforeLines="0" w:afterLines="0" w:line="257" w:lineRule="exact"/>
              <w:ind w:left="157"/>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eastAsia"/>
                <w:color w:val="auto"/>
                <w:sz w:val="21"/>
              </w:rPr>
              <w:t>）</w:t>
            </w:r>
          </w:p>
        </w:tc>
        <w:tc>
          <w:tcPr>
            <w:tcW w:w="4305" w:type="dxa"/>
            <w:gridSpan w:val="2"/>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46" w:beforeLines="0" w:afterLines="0" w:line="252" w:lineRule="exact"/>
              <w:ind w:left="1237"/>
              <w:jc w:val="left"/>
              <w:rPr>
                <w:rFonts w:hint="eastAsia"/>
                <w:color w:val="auto"/>
                <w:sz w:val="21"/>
              </w:rPr>
            </w:pPr>
            <w:r>
              <w:rPr>
                <w:rFonts w:hint="eastAsia"/>
                <w:color w:val="auto"/>
                <w:sz w:val="21"/>
              </w:rPr>
              <w:t>最大影响范围（</w:t>
            </w:r>
            <w:r>
              <w:rPr>
                <w:rFonts w:hint="default" w:ascii="Times New Roman" w:hAnsi="Times New Roman" w:eastAsia="Times New Roman"/>
                <w:color w:val="auto"/>
                <w:sz w:val="21"/>
              </w:rPr>
              <w:t>m</w:t>
            </w:r>
            <w:r>
              <w:rPr>
                <w:rFonts w:hint="eastAsia"/>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1" w:hRule="atLeast"/>
        </w:trPr>
        <w:tc>
          <w:tcPr>
            <w:tcW w:w="817"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44" w:beforeLines="0" w:after="33" w:afterLines="0"/>
              <w:ind w:right="856"/>
              <w:jc w:val="center"/>
              <w:rPr>
                <w:rFonts w:hint="eastAsia" w:ascii="楷体" w:hAnsi="楷体" w:eastAsia="楷体"/>
                <w:b/>
                <w:color w:val="auto"/>
                <w:sz w:val="2"/>
              </w:rPr>
            </w:pPr>
          </w:p>
        </w:tc>
        <w:tc>
          <w:tcPr>
            <w:tcW w:w="2141"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44" w:beforeLines="0" w:after="33" w:afterLines="0"/>
              <w:ind w:right="856"/>
              <w:jc w:val="center"/>
              <w:rPr>
                <w:rFonts w:hint="eastAsia" w:ascii="楷体" w:hAnsi="楷体" w:eastAsia="楷体"/>
                <w:b/>
                <w:color w:val="auto"/>
                <w:sz w:val="2"/>
              </w:rPr>
            </w:pPr>
          </w:p>
        </w:tc>
        <w:tc>
          <w:tcPr>
            <w:tcW w:w="1277"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44" w:beforeLines="0" w:after="33" w:afterLines="0"/>
              <w:ind w:right="856"/>
              <w:jc w:val="center"/>
              <w:rPr>
                <w:rFonts w:hint="eastAsia" w:ascii="楷体" w:hAnsi="楷体" w:eastAsia="楷体"/>
                <w:b/>
                <w:color w:val="auto"/>
                <w:sz w:val="2"/>
              </w:rPr>
            </w:pPr>
          </w:p>
        </w:tc>
        <w:tc>
          <w:tcPr>
            <w:tcW w:w="212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49" w:beforeLines="0" w:afterLines="0" w:line="252" w:lineRule="exact"/>
              <w:ind w:right="858"/>
              <w:jc w:val="right"/>
              <w:rPr>
                <w:rFonts w:hint="eastAsia"/>
                <w:color w:val="auto"/>
                <w:sz w:val="21"/>
              </w:rPr>
            </w:pPr>
            <w:r>
              <w:rPr>
                <w:rFonts w:hint="default" w:ascii="Times New Roman" w:hAnsi="Times New Roman" w:eastAsia="Times New Roman"/>
                <w:color w:val="auto"/>
                <w:sz w:val="21"/>
              </w:rPr>
              <w:t xml:space="preserve">1 </w:t>
            </w:r>
            <w:r>
              <w:rPr>
                <w:rFonts w:hint="eastAsia"/>
                <w:color w:val="auto"/>
                <w:sz w:val="21"/>
              </w:rPr>
              <w:t>级</w:t>
            </w:r>
          </w:p>
        </w:tc>
        <w:tc>
          <w:tcPr>
            <w:tcW w:w="2178"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49" w:beforeLines="0" w:afterLines="0" w:line="252" w:lineRule="exact"/>
              <w:ind w:left="913"/>
              <w:jc w:val="left"/>
              <w:rPr>
                <w:rFonts w:hint="eastAsia"/>
                <w:color w:val="auto"/>
                <w:sz w:val="21"/>
              </w:rPr>
            </w:pPr>
            <w:r>
              <w:rPr>
                <w:rFonts w:hint="default" w:ascii="Times New Roman" w:hAnsi="Times New Roman" w:eastAsia="Times New Roman"/>
                <w:color w:val="auto"/>
                <w:sz w:val="21"/>
              </w:rPr>
              <w:t xml:space="preserve">2 </w:t>
            </w:r>
            <w:r>
              <w:rPr>
                <w:rFonts w:hint="eastAsia"/>
                <w:color w:val="auto"/>
                <w:sz w:val="21"/>
              </w:rPr>
              <w:t>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817"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left="45"/>
              <w:rPr>
                <w:rFonts w:hint="default" w:ascii="Times New Roman" w:hAnsi="Times New Roman" w:eastAsia="Times New Roman"/>
                <w:color w:val="auto"/>
                <w:sz w:val="21"/>
              </w:rPr>
            </w:pPr>
            <w:r>
              <w:rPr>
                <w:rFonts w:hint="default" w:ascii="Times New Roman" w:hAnsi="Times New Roman" w:eastAsia="Times New Roman"/>
                <w:color w:val="auto"/>
                <w:sz w:val="21"/>
              </w:rPr>
              <w:t>1</w:t>
            </w:r>
          </w:p>
        </w:tc>
        <w:tc>
          <w:tcPr>
            <w:tcW w:w="2141"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46" w:beforeLines="0" w:afterLines="0" w:line="254" w:lineRule="exact"/>
              <w:ind w:left="212"/>
              <w:jc w:val="left"/>
              <w:rPr>
                <w:rFonts w:hint="eastAsia"/>
                <w:color w:val="auto"/>
                <w:sz w:val="21"/>
              </w:rPr>
            </w:pPr>
            <w:r>
              <w:rPr>
                <w:rFonts w:hint="eastAsia"/>
                <w:color w:val="auto"/>
                <w:sz w:val="21"/>
              </w:rPr>
              <w:t>最不利气象条件</w:t>
            </w:r>
          </w:p>
        </w:tc>
        <w:tc>
          <w:tcPr>
            <w:tcW w:w="1277"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left="383"/>
              <w:jc w:val="left"/>
              <w:rPr>
                <w:rFonts w:hint="default" w:ascii="Times New Roman" w:hAnsi="Times New Roman" w:eastAsia="宋体"/>
                <w:color w:val="auto"/>
                <w:sz w:val="21"/>
                <w:lang w:val="en-US" w:eastAsia="zh-CN"/>
              </w:rPr>
            </w:pPr>
            <w:r>
              <w:rPr>
                <w:rFonts w:hint="eastAsia" w:eastAsia="宋体"/>
                <w:color w:val="auto"/>
                <w:sz w:val="21"/>
                <w:lang w:val="en-US" w:eastAsia="zh-CN"/>
              </w:rPr>
              <w:t>7328</w:t>
            </w:r>
          </w:p>
        </w:tc>
        <w:tc>
          <w:tcPr>
            <w:tcW w:w="2127"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before="60" w:beforeLines="0" w:afterLines="0" w:line="240" w:lineRule="exact"/>
              <w:ind w:right="831"/>
              <w:jc w:val="right"/>
              <w:rPr>
                <w:rFonts w:hint="default" w:ascii="Times New Roman" w:hAnsi="Times New Roman" w:eastAsia="宋体"/>
                <w:color w:val="auto"/>
                <w:sz w:val="21"/>
                <w:lang w:val="en-US" w:eastAsia="zh-CN"/>
              </w:rPr>
            </w:pPr>
            <w:r>
              <w:rPr>
                <w:rFonts w:hint="eastAsia" w:eastAsia="宋体"/>
                <w:color w:val="auto"/>
                <w:sz w:val="21"/>
                <w:lang w:val="en-US" w:eastAsia="zh-CN"/>
              </w:rPr>
              <w:t>612</w:t>
            </w:r>
          </w:p>
        </w:tc>
        <w:tc>
          <w:tcPr>
            <w:tcW w:w="2178"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60" w:beforeLines="0" w:afterLines="0" w:line="240" w:lineRule="exact"/>
              <w:ind w:left="887"/>
              <w:jc w:val="left"/>
              <w:rPr>
                <w:rFonts w:hint="default" w:ascii="Times New Roman" w:hAnsi="Times New Roman" w:eastAsia="宋体"/>
                <w:color w:val="auto"/>
                <w:sz w:val="21"/>
                <w:lang w:val="en-US" w:eastAsia="zh-CN"/>
              </w:rPr>
            </w:pPr>
            <w:r>
              <w:rPr>
                <w:rFonts w:hint="eastAsia" w:eastAsia="宋体"/>
                <w:color w:val="auto"/>
                <w:sz w:val="21"/>
                <w:lang w:val="en-US" w:eastAsia="zh-CN"/>
              </w:rPr>
              <w:t>384</w:t>
            </w:r>
          </w:p>
        </w:tc>
      </w:tr>
    </w:tbl>
    <w:p>
      <w:pPr>
        <w:spacing w:beforeLines="0" w:afterLines="0"/>
        <w:rPr>
          <w:rFonts w:hint="eastAsia" w:ascii="楷体" w:hAnsi="楷体" w:eastAsia="楷体"/>
          <w:b/>
          <w:color w:val="auto"/>
          <w:sz w:val="24"/>
        </w:rPr>
        <w:sectPr>
          <w:pgSz w:w="11910" w:h="16840"/>
          <w:pgMar w:top="1380" w:right="0" w:bottom="1660" w:left="1340" w:header="877" w:footer="1476" w:gutter="0"/>
          <w:pgBorders>
            <w:top w:val="none" w:sz="0" w:space="0"/>
            <w:left w:val="none" w:sz="0" w:space="0"/>
            <w:bottom w:val="none" w:sz="0" w:space="0"/>
            <w:right w:val="none" w:sz="0" w:space="0"/>
          </w:pgBorders>
          <w:lnNumType w:countBy="0" w:distance="360"/>
          <w:pgNumType w:fmt="decimal"/>
          <w:cols w:space="720" w:num="1"/>
        </w:sectPr>
      </w:pPr>
    </w:p>
    <w:p>
      <w:pPr>
        <w:pStyle w:val="22"/>
        <w:kinsoku w:val="0"/>
        <w:overflowPunct w:val="0"/>
        <w:spacing w:before="140" w:beforeLines="0" w:afterLines="0" w:line="333" w:lineRule="auto"/>
        <w:ind w:right="545"/>
        <w:rPr>
          <w:rFonts w:hint="eastAsia"/>
          <w:b/>
          <w:color w:val="auto"/>
          <w:sz w:val="24"/>
        </w:rPr>
      </w:pPr>
    </w:p>
    <w:p>
      <w:pPr>
        <w:pStyle w:val="22"/>
        <w:tabs>
          <w:tab w:val="left" w:pos="3845"/>
        </w:tabs>
        <w:kinsoku w:val="0"/>
        <w:overflowPunct w:val="0"/>
        <w:spacing w:before="68" w:line="268" w:lineRule="auto"/>
        <w:ind w:left="2827" w:right="2663"/>
        <w:jc w:val="center"/>
        <w:rPr>
          <w:rFonts w:hint="eastAsia" w:ascii="宋体" w:hAnsi="宋体" w:eastAsia="宋体"/>
          <w:b/>
          <w:color w:val="auto"/>
          <w:sz w:val="21"/>
        </w:rPr>
      </w:pPr>
      <w:r>
        <w:rPr>
          <w:rFonts w:hint="eastAsia" w:ascii="宋体" w:hAnsi="宋体" w:eastAsia="宋体" w:cs="宋体"/>
          <w:color w:val="auto"/>
          <w:sz w:val="24"/>
          <w:szCs w:val="24"/>
        </w:rPr>
        <mc:AlternateContent>
          <mc:Choice Requires="wps">
            <w:drawing>
              <wp:anchor distT="0" distB="0" distL="114300" distR="114300" simplePos="0" relativeHeight="255423488" behindDoc="1" locked="0" layoutInCell="1" allowOverlap="1">
                <wp:simplePos x="0" y="0"/>
                <wp:positionH relativeFrom="page">
                  <wp:posOffset>1009015</wp:posOffset>
                </wp:positionH>
                <wp:positionV relativeFrom="paragraph">
                  <wp:posOffset>223520</wp:posOffset>
                </wp:positionV>
                <wp:extent cx="5545455" cy="12700"/>
                <wp:effectExtent l="0" t="0" r="0" b="0"/>
                <wp:wrapNone/>
                <wp:docPr id="424" name="任意多边形 424"/>
                <wp:cNvGraphicFramePr/>
                <a:graphic xmlns:a="http://schemas.openxmlformats.org/drawingml/2006/main">
                  <a:graphicData uri="http://schemas.microsoft.com/office/word/2010/wordprocessingShape">
                    <wps:wsp>
                      <wps:cNvSpPr/>
                      <wps:spPr>
                        <a:xfrm>
                          <a:off x="0" y="0"/>
                          <a:ext cx="5545455" cy="12700"/>
                        </a:xfrm>
                        <a:custGeom>
                          <a:avLst/>
                          <a:gdLst/>
                          <a:ahLst/>
                          <a:cxnLst/>
                          <a:pathLst>
                            <a:path w="8733" h="20">
                              <a:moveTo>
                                <a:pt x="0" y="0"/>
                              </a:moveTo>
                              <a:lnTo>
                                <a:pt x="8732" y="0"/>
                              </a:lnTo>
                            </a:path>
                          </a:pathLst>
                        </a:custGeom>
                        <a:noFill/>
                        <a:ln w="18288"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79.45pt;margin-top:17.6pt;height:1pt;width:436.65pt;mso-position-horizontal-relative:page;z-index:-247892992;mso-width-relative:page;mso-height-relative:page;" filled="f" stroked="t" coordsize="8733,20" o:gfxdata="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fW+&#10;ntsAAAAKAQAADwAAAAAAAAABACAAAAAiAAAAZHJzL2Rvd25yZXYueG1sUEsBAhQAFAAAAAgAh07i&#10;QK1uLpEfAgAARAQAAA4AAAAAAAAAAQAgAAAAKgEAAGRycy9lMm9Eb2MueG1sUEsFBgAAAAAGAAYA&#10;WQEAALsFAAAAAA==&#10;" path="m0,0l8732,0e">
                <v:fill on="f" focussize="0,0"/>
                <v:stroke weight="1.44pt" color="#000000" joinstyle="round"/>
                <v:imagedata o:title=""/>
                <o:lock v:ext="edit" aspectratio="f"/>
              </v:shape>
            </w:pict>
          </mc:Fallback>
        </mc:AlternateContent>
      </w:r>
      <w:r>
        <w:rPr>
          <w:rFonts w:hint="eastAsia" w:ascii="宋体" w:hAnsi="宋体" w:eastAsia="宋体" w:cs="宋体"/>
          <w:b/>
          <w:color w:val="auto"/>
          <w:sz w:val="24"/>
          <w:szCs w:val="24"/>
        </w:rPr>
        <w:t>表</w:t>
      </w:r>
      <w:r>
        <w:rPr>
          <w:rFonts w:hint="eastAsia" w:ascii="宋体" w:hAnsi="宋体" w:eastAsia="宋体" w:cs="宋体"/>
          <w:b/>
          <w:color w:val="auto"/>
          <w:spacing w:val="-52"/>
          <w:sz w:val="24"/>
          <w:szCs w:val="24"/>
        </w:rPr>
        <w:t xml:space="preserve"> </w:t>
      </w:r>
      <w:r>
        <w:rPr>
          <w:rFonts w:hint="eastAsia" w:ascii="宋体" w:hAnsi="宋体" w:eastAsia="宋体" w:cs="宋体"/>
          <w:b/>
          <w:color w:val="auto"/>
          <w:sz w:val="24"/>
          <w:szCs w:val="24"/>
        </w:rPr>
        <w:t>7.</w:t>
      </w:r>
      <w:r>
        <w:rPr>
          <w:rFonts w:hint="eastAsia" w:ascii="宋体" w:hAnsi="宋体" w:eastAsia="宋体" w:cs="宋体"/>
          <w:b/>
          <w:color w:val="auto"/>
          <w:sz w:val="24"/>
          <w:szCs w:val="24"/>
          <w:lang w:val="en-US" w:eastAsia="zh-CN"/>
        </w:rPr>
        <w:t>7-2</w:t>
      </w:r>
      <w:r>
        <w:rPr>
          <w:rFonts w:hint="eastAsia" w:ascii="宋体" w:hAnsi="宋体" w:eastAsia="宋体" w:cs="宋体"/>
          <w:b/>
          <w:color w:val="auto"/>
          <w:sz w:val="24"/>
          <w:szCs w:val="24"/>
        </w:rPr>
        <w:tab/>
      </w:r>
      <w:r>
        <w:rPr>
          <w:rFonts w:hint="eastAsia" w:ascii="宋体" w:hAnsi="宋体" w:eastAsia="宋体" w:cs="宋体"/>
          <w:b/>
          <w:color w:val="auto"/>
          <w:sz w:val="24"/>
          <w:szCs w:val="24"/>
        </w:rPr>
        <w:t>液氨泄漏事</w:t>
      </w:r>
      <w:r>
        <w:rPr>
          <w:rFonts w:hint="eastAsia" w:ascii="宋体" w:hAnsi="宋体" w:eastAsia="宋体" w:cs="宋体"/>
          <w:b/>
          <w:color w:val="auto"/>
          <w:spacing w:val="-3"/>
          <w:sz w:val="24"/>
          <w:szCs w:val="24"/>
        </w:rPr>
        <w:t>故</w:t>
      </w:r>
      <w:r>
        <w:rPr>
          <w:rFonts w:hint="eastAsia" w:ascii="宋体" w:hAnsi="宋体" w:eastAsia="宋体" w:cs="宋体"/>
          <w:b/>
          <w:color w:val="auto"/>
          <w:sz w:val="24"/>
          <w:szCs w:val="24"/>
        </w:rPr>
        <w:t>源项及事故后果</w:t>
      </w:r>
      <w:r>
        <w:rPr>
          <w:rFonts w:hint="eastAsia" w:ascii="宋体" w:hAnsi="宋体" w:eastAsia="宋体"/>
          <w:b/>
          <w:color w:val="auto"/>
          <w:sz w:val="21"/>
        </w:rPr>
        <w:t>基</w:t>
      </w:r>
      <w:r>
        <w:rPr>
          <w:rFonts w:hint="eastAsia" w:ascii="宋体" w:hAnsi="宋体" w:eastAsia="宋体"/>
          <w:b/>
          <w:color w:val="auto"/>
          <w:spacing w:val="-3"/>
          <w:sz w:val="21"/>
        </w:rPr>
        <w:t>本</w:t>
      </w:r>
      <w:r>
        <w:rPr>
          <w:rFonts w:hint="eastAsia" w:ascii="宋体" w:hAnsi="宋体" w:eastAsia="宋体"/>
          <w:b/>
          <w:color w:val="auto"/>
          <w:sz w:val="21"/>
        </w:rPr>
        <w:t>信</w:t>
      </w:r>
      <w:r>
        <w:rPr>
          <w:rFonts w:hint="eastAsia" w:ascii="宋体" w:hAnsi="宋体" w:eastAsia="宋体"/>
          <w:b/>
          <w:color w:val="auto"/>
          <w:spacing w:val="-3"/>
          <w:sz w:val="21"/>
        </w:rPr>
        <w:t>息</w:t>
      </w:r>
      <w:r>
        <w:rPr>
          <w:rFonts w:hint="eastAsia" w:ascii="宋体" w:hAnsi="宋体" w:eastAsia="宋体"/>
          <w:b/>
          <w:color w:val="auto"/>
          <w:sz w:val="21"/>
        </w:rPr>
        <w:t>表</w:t>
      </w:r>
    </w:p>
    <w:p>
      <w:pPr>
        <w:pStyle w:val="22"/>
        <w:tabs>
          <w:tab w:val="left" w:pos="3845"/>
        </w:tabs>
        <w:kinsoku w:val="0"/>
        <w:overflowPunct w:val="0"/>
        <w:spacing w:before="68" w:line="268" w:lineRule="auto"/>
        <w:ind w:left="2827" w:right="2663"/>
        <w:jc w:val="center"/>
        <w:rPr>
          <w:rFonts w:hint="eastAsia" w:ascii="宋体" w:hAnsi="宋体" w:eastAsia="宋体"/>
          <w:color w:val="auto"/>
          <w:sz w:val="21"/>
        </w:rPr>
      </w:pPr>
      <w:r>
        <w:rPr>
          <w:rFonts w:hint="eastAsia" w:ascii="宋体" w:hAnsi="宋体" w:eastAsia="宋体"/>
          <w:color w:val="auto"/>
          <w:sz w:val="21"/>
        </w:rPr>
        <w:t>风险</w:t>
      </w:r>
      <w:r>
        <w:rPr>
          <w:rFonts w:hint="eastAsia" w:ascii="宋体" w:hAnsi="宋体" w:eastAsia="宋体"/>
          <w:color w:val="auto"/>
          <w:spacing w:val="-3"/>
          <w:sz w:val="21"/>
        </w:rPr>
        <w:t>事</w:t>
      </w:r>
      <w:r>
        <w:rPr>
          <w:rFonts w:hint="eastAsia" w:ascii="宋体" w:hAnsi="宋体" w:eastAsia="宋体"/>
          <w:color w:val="auto"/>
          <w:sz w:val="21"/>
        </w:rPr>
        <w:t>故</w:t>
      </w:r>
      <w:r>
        <w:rPr>
          <w:rFonts w:hint="eastAsia" w:ascii="宋体" w:hAnsi="宋体" w:eastAsia="宋体"/>
          <w:color w:val="auto"/>
          <w:spacing w:val="-3"/>
          <w:sz w:val="21"/>
        </w:rPr>
        <w:t>情</w:t>
      </w:r>
      <w:r>
        <w:rPr>
          <w:rFonts w:hint="eastAsia" w:ascii="宋体" w:hAnsi="宋体" w:eastAsia="宋体"/>
          <w:color w:val="auto"/>
          <w:sz w:val="21"/>
        </w:rPr>
        <w:t>形</w:t>
      </w:r>
      <w:r>
        <w:rPr>
          <w:rFonts w:hint="eastAsia" w:ascii="宋体" w:hAnsi="宋体" w:eastAsia="宋体"/>
          <w:color w:val="auto"/>
          <w:spacing w:val="-3"/>
          <w:sz w:val="21"/>
        </w:rPr>
        <w:t>分</w:t>
      </w:r>
      <w:r>
        <w:rPr>
          <w:rFonts w:hint="eastAsia" w:ascii="宋体" w:hAnsi="宋体" w:eastAsia="宋体"/>
          <w:color w:val="auto"/>
          <w:sz w:val="21"/>
        </w:rPr>
        <w:t>析</w:t>
      </w:r>
    </w:p>
    <w:tbl>
      <w:tblPr>
        <w:tblStyle w:val="45"/>
        <w:tblW w:w="8726" w:type="dxa"/>
        <w:tblInd w:w="9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50"/>
        <w:gridCol w:w="1392"/>
        <w:gridCol w:w="1749"/>
        <w:gridCol w:w="1146"/>
        <w:gridCol w:w="1607"/>
        <w:gridCol w:w="12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546"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2" w:lineRule="exact"/>
              <w:ind w:left="17" w:right="17"/>
              <w:jc w:val="both"/>
              <w:rPr>
                <w:rFonts w:hint="eastAsia"/>
                <w:color w:val="auto"/>
                <w:sz w:val="21"/>
              </w:rPr>
            </w:pPr>
            <w:r>
              <w:rPr>
                <w:rFonts w:hint="eastAsia"/>
                <w:color w:val="auto"/>
                <w:sz w:val="21"/>
              </w:rPr>
              <w:t>代表性风险事故情形描述</w:t>
            </w:r>
          </w:p>
        </w:tc>
        <w:tc>
          <w:tcPr>
            <w:tcW w:w="7176" w:type="dxa"/>
            <w:gridSpan w:val="5"/>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7"/>
              <w:ind w:left="1803"/>
              <w:jc w:val="left"/>
              <w:rPr>
                <w:rFonts w:hint="eastAsia"/>
                <w:color w:val="auto"/>
                <w:sz w:val="21"/>
              </w:rPr>
            </w:pPr>
            <w:r>
              <w:rPr>
                <w:rFonts w:hint="eastAsia"/>
                <w:color w:val="auto"/>
                <w:sz w:val="21"/>
              </w:rPr>
              <w:t>液氨</w:t>
            </w:r>
            <w:r>
              <w:rPr>
                <w:rFonts w:hint="eastAsia" w:eastAsia="宋体"/>
                <w:color w:val="auto"/>
                <w:sz w:val="21"/>
                <w:lang w:eastAsia="zh-CN"/>
              </w:rPr>
              <w:t>输送</w:t>
            </w:r>
            <w:r>
              <w:rPr>
                <w:rFonts w:hint="eastAsia"/>
                <w:color w:val="auto"/>
                <w:sz w:val="21"/>
              </w:rPr>
              <w:t>管道断裂，导致液氨泄漏扩散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0" w:lineRule="exact"/>
              <w:ind w:left="17" w:right="17"/>
              <w:rPr>
                <w:rFonts w:hint="eastAsia"/>
                <w:color w:val="auto"/>
                <w:sz w:val="21"/>
              </w:rPr>
            </w:pPr>
            <w:r>
              <w:rPr>
                <w:rFonts w:hint="eastAsia"/>
                <w:color w:val="auto"/>
                <w:sz w:val="21"/>
              </w:rPr>
              <w:t>环境风险类型</w:t>
            </w:r>
          </w:p>
        </w:tc>
        <w:tc>
          <w:tcPr>
            <w:tcW w:w="7176" w:type="dxa"/>
            <w:gridSpan w:val="5"/>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40" w:lineRule="exact"/>
              <w:ind w:right="2932"/>
              <w:jc w:val="center"/>
              <w:rPr>
                <w:rFonts w:hint="eastAsia"/>
                <w:color w:val="auto"/>
                <w:sz w:val="21"/>
              </w:rPr>
            </w:pPr>
            <w:r>
              <w:rPr>
                <w:rFonts w:hint="eastAsia"/>
                <w:color w:val="auto"/>
                <w:sz w:val="21"/>
              </w:rPr>
              <w:t>危险物质泄漏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0" w:lineRule="exact"/>
              <w:ind w:left="17" w:right="17"/>
              <w:rPr>
                <w:rFonts w:hint="eastAsia"/>
                <w:color w:val="auto"/>
                <w:sz w:val="21"/>
              </w:rPr>
            </w:pPr>
            <w:r>
              <w:rPr>
                <w:rFonts w:hint="eastAsia"/>
                <w:color w:val="auto"/>
                <w:sz w:val="21"/>
              </w:rPr>
              <w:t>泄漏设备类型</w:t>
            </w:r>
          </w:p>
        </w:tc>
        <w:tc>
          <w:tcPr>
            <w:tcW w:w="13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rPr>
                <w:rFonts w:hint="eastAsia"/>
                <w:color w:val="auto"/>
                <w:sz w:val="21"/>
              </w:rPr>
            </w:pPr>
            <w:r>
              <w:rPr>
                <w:rFonts w:hint="eastAsia"/>
                <w:color w:val="auto"/>
                <w:sz w:val="21"/>
              </w:rPr>
              <w:t>液氨</w:t>
            </w:r>
            <w:r>
              <w:rPr>
                <w:rFonts w:hint="eastAsia" w:eastAsia="宋体"/>
                <w:color w:val="auto"/>
                <w:sz w:val="21"/>
                <w:lang w:eastAsia="zh-CN"/>
              </w:rPr>
              <w:t>输送</w:t>
            </w:r>
            <w:r>
              <w:rPr>
                <w:rFonts w:hint="eastAsia"/>
                <w:color w:val="auto"/>
                <w:sz w:val="21"/>
              </w:rPr>
              <w:t>管道</w:t>
            </w:r>
          </w:p>
        </w:tc>
        <w:tc>
          <w:tcPr>
            <w:tcW w:w="17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80" w:right="179"/>
              <w:rPr>
                <w:rFonts w:hint="default" w:ascii="Times New Roman" w:hAnsi="Times New Roman" w:eastAsia="Times New Roman"/>
                <w:color w:val="auto"/>
                <w:w w:val="110"/>
                <w:sz w:val="21"/>
              </w:rPr>
            </w:pPr>
            <w:r>
              <w:rPr>
                <w:rFonts w:hint="eastAsia"/>
                <w:color w:val="auto"/>
                <w:w w:val="110"/>
                <w:sz w:val="21"/>
              </w:rPr>
              <w:t>操作温度</w:t>
            </w:r>
            <w:r>
              <w:rPr>
                <w:rFonts w:hint="default" w:ascii="Times New Roman" w:hAnsi="Times New Roman" w:eastAsia="Times New Roman"/>
                <w:color w:val="auto"/>
                <w:w w:val="110"/>
                <w:sz w:val="21"/>
              </w:rPr>
              <w:t>/℃</w:t>
            </w:r>
          </w:p>
        </w:tc>
        <w:tc>
          <w:tcPr>
            <w:tcW w:w="114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22" w:lineRule="exact"/>
              <w:ind w:left="6"/>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60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35" w:right="126"/>
              <w:rPr>
                <w:rFonts w:hint="default" w:ascii="Times New Roman" w:hAnsi="Times New Roman" w:eastAsia="Times New Roman"/>
                <w:color w:val="auto"/>
                <w:sz w:val="21"/>
              </w:rPr>
            </w:pPr>
            <w:r>
              <w:rPr>
                <w:rFonts w:hint="eastAsia"/>
                <w:color w:val="auto"/>
                <w:sz w:val="21"/>
              </w:rPr>
              <w:t>操作压力</w:t>
            </w:r>
            <w:r>
              <w:rPr>
                <w:rFonts w:hint="default" w:ascii="Times New Roman" w:hAnsi="Times New Roman" w:eastAsia="Times New Roman"/>
                <w:color w:val="auto"/>
                <w:sz w:val="21"/>
              </w:rPr>
              <w:t>/MPa</w:t>
            </w:r>
          </w:p>
        </w:tc>
        <w:tc>
          <w:tcPr>
            <w:tcW w:w="1282"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22" w:lineRule="exact"/>
              <w:ind w:left="9"/>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0" w:lineRule="exact"/>
              <w:ind w:left="17" w:right="17"/>
              <w:rPr>
                <w:rFonts w:hint="eastAsia"/>
                <w:color w:val="auto"/>
                <w:sz w:val="21"/>
              </w:rPr>
            </w:pPr>
            <w:r>
              <w:rPr>
                <w:rFonts w:hint="eastAsia"/>
                <w:color w:val="auto"/>
                <w:sz w:val="21"/>
              </w:rPr>
              <w:t>泄漏危险物质</w:t>
            </w:r>
          </w:p>
        </w:tc>
        <w:tc>
          <w:tcPr>
            <w:tcW w:w="13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42" w:right="41"/>
              <w:rPr>
                <w:rFonts w:hint="eastAsia"/>
                <w:color w:val="auto"/>
                <w:sz w:val="21"/>
              </w:rPr>
            </w:pPr>
            <w:r>
              <w:rPr>
                <w:rFonts w:hint="eastAsia"/>
                <w:color w:val="auto"/>
                <w:sz w:val="21"/>
              </w:rPr>
              <w:t>液氨</w:t>
            </w:r>
          </w:p>
        </w:tc>
        <w:tc>
          <w:tcPr>
            <w:tcW w:w="17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83" w:right="179"/>
              <w:rPr>
                <w:rFonts w:hint="default" w:ascii="Times New Roman" w:hAnsi="Times New Roman" w:eastAsia="Times New Roman"/>
                <w:color w:val="auto"/>
                <w:sz w:val="21"/>
              </w:rPr>
            </w:pPr>
            <w:r>
              <w:rPr>
                <w:rFonts w:hint="eastAsia"/>
                <w:color w:val="auto"/>
                <w:sz w:val="21"/>
              </w:rPr>
              <w:t>最大存在量</w:t>
            </w:r>
            <w:r>
              <w:rPr>
                <w:rFonts w:hint="default" w:ascii="Times New Roman" w:hAnsi="Times New Roman" w:eastAsia="Times New Roman"/>
                <w:color w:val="auto"/>
                <w:sz w:val="21"/>
              </w:rPr>
              <w:t>/kg</w:t>
            </w:r>
          </w:p>
        </w:tc>
        <w:tc>
          <w:tcPr>
            <w:tcW w:w="114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19" w:lineRule="exact"/>
              <w:ind w:left="184" w:right="177"/>
              <w:rPr>
                <w:rFonts w:hint="default" w:ascii="Times New Roman" w:hAnsi="Times New Roman" w:eastAsia="宋体"/>
                <w:color w:val="auto"/>
                <w:sz w:val="21"/>
                <w:lang w:val="en-US" w:eastAsia="zh-CN"/>
              </w:rPr>
            </w:pPr>
            <w:r>
              <w:rPr>
                <w:rFonts w:hint="eastAsia" w:eastAsia="宋体"/>
                <w:color w:val="auto"/>
                <w:sz w:val="21"/>
                <w:lang w:val="en-US" w:eastAsia="zh-CN"/>
              </w:rPr>
              <w:t>30000</w:t>
            </w:r>
          </w:p>
        </w:tc>
        <w:tc>
          <w:tcPr>
            <w:tcW w:w="160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34" w:right="126"/>
              <w:rPr>
                <w:rFonts w:hint="default" w:ascii="Times New Roman" w:hAnsi="Times New Roman" w:eastAsia="Times New Roman"/>
                <w:color w:val="auto"/>
                <w:sz w:val="21"/>
              </w:rPr>
            </w:pPr>
            <w:r>
              <w:rPr>
                <w:rFonts w:hint="eastAsia"/>
                <w:color w:val="auto"/>
                <w:sz w:val="21"/>
              </w:rPr>
              <w:t>泄漏孔径</w:t>
            </w:r>
            <w:r>
              <w:rPr>
                <w:rFonts w:hint="default" w:ascii="Times New Roman" w:hAnsi="Times New Roman" w:eastAsia="Times New Roman"/>
                <w:color w:val="auto"/>
                <w:sz w:val="21"/>
              </w:rPr>
              <w:t>/mm</w:t>
            </w:r>
          </w:p>
        </w:tc>
        <w:tc>
          <w:tcPr>
            <w:tcW w:w="1282"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19" w:lineRule="exact"/>
              <w:ind w:left="8"/>
              <w:rPr>
                <w:rFonts w:hint="default" w:ascii="Times New Roman" w:hAnsi="Times New Roman" w:eastAsia="Times New Roman"/>
                <w:color w:val="auto"/>
                <w:sz w:val="21"/>
              </w:rPr>
            </w:pPr>
            <w:r>
              <w:rPr>
                <w:rFonts w:hint="default" w:ascii="Times New Roman" w:hAnsi="Times New Roman" w:eastAsia="Times New Roman"/>
                <w:color w:val="auto"/>
                <w:sz w:val="21"/>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0" w:lineRule="exact"/>
              <w:ind w:left="17" w:right="13"/>
              <w:rPr>
                <w:rFonts w:hint="default" w:ascii="Times New Roman" w:hAnsi="Times New Roman" w:eastAsia="Times New Roman"/>
                <w:color w:val="auto"/>
                <w:sz w:val="21"/>
              </w:rPr>
            </w:pPr>
            <w:r>
              <w:rPr>
                <w:rFonts w:hint="eastAsia"/>
                <w:color w:val="auto"/>
                <w:sz w:val="21"/>
              </w:rPr>
              <w:t>泄漏速率</w:t>
            </w:r>
            <w:r>
              <w:rPr>
                <w:rFonts w:hint="default" w:ascii="Times New Roman" w:hAnsi="Times New Roman" w:eastAsia="Times New Roman"/>
                <w:color w:val="auto"/>
                <w:sz w:val="21"/>
              </w:rPr>
              <w:t>/(kg/s)</w:t>
            </w:r>
          </w:p>
        </w:tc>
        <w:tc>
          <w:tcPr>
            <w:tcW w:w="13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19" w:lineRule="exact"/>
              <w:rPr>
                <w:rFonts w:hint="default" w:ascii="Times New Roman" w:hAnsi="Times New Roman" w:eastAsia="宋体"/>
                <w:color w:val="auto"/>
                <w:sz w:val="21"/>
                <w:lang w:val="en-US" w:eastAsia="zh-CN"/>
              </w:rPr>
            </w:pPr>
            <w:r>
              <w:rPr>
                <w:rFonts w:hint="eastAsia" w:eastAsia="宋体"/>
                <w:color w:val="auto"/>
                <w:sz w:val="21"/>
                <w:lang w:val="en-US" w:eastAsia="zh-CN"/>
              </w:rPr>
              <w:t>2.14</w:t>
            </w:r>
          </w:p>
        </w:tc>
        <w:tc>
          <w:tcPr>
            <w:tcW w:w="17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79" w:right="179"/>
              <w:rPr>
                <w:rFonts w:hint="default" w:ascii="Times New Roman" w:hAnsi="Times New Roman" w:eastAsia="Times New Roman"/>
                <w:color w:val="auto"/>
                <w:sz w:val="21"/>
              </w:rPr>
            </w:pPr>
            <w:r>
              <w:rPr>
                <w:rFonts w:hint="eastAsia"/>
                <w:color w:val="auto"/>
                <w:sz w:val="21"/>
              </w:rPr>
              <w:t>泄漏时间</w:t>
            </w:r>
            <w:r>
              <w:rPr>
                <w:rFonts w:hint="default" w:ascii="Times New Roman" w:hAnsi="Times New Roman" w:eastAsia="Times New Roman"/>
                <w:color w:val="auto"/>
                <w:sz w:val="21"/>
              </w:rPr>
              <w:t>/min</w:t>
            </w:r>
          </w:p>
        </w:tc>
        <w:tc>
          <w:tcPr>
            <w:tcW w:w="114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19" w:lineRule="exact"/>
              <w:ind w:left="182" w:right="177"/>
              <w:rPr>
                <w:rFonts w:hint="default" w:ascii="Times New Roman" w:hAnsi="Times New Roman" w:eastAsia="Times New Roman"/>
                <w:color w:val="auto"/>
                <w:sz w:val="21"/>
              </w:rPr>
            </w:pPr>
            <w:r>
              <w:rPr>
                <w:rFonts w:hint="default" w:ascii="Times New Roman" w:hAnsi="Times New Roman" w:eastAsia="Times New Roman"/>
                <w:color w:val="auto"/>
                <w:sz w:val="21"/>
              </w:rPr>
              <w:t>30</w:t>
            </w:r>
          </w:p>
        </w:tc>
        <w:tc>
          <w:tcPr>
            <w:tcW w:w="160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35" w:right="126"/>
              <w:rPr>
                <w:rFonts w:hint="default" w:ascii="Times New Roman" w:hAnsi="Times New Roman" w:eastAsia="Times New Roman"/>
                <w:color w:val="auto"/>
                <w:sz w:val="21"/>
              </w:rPr>
            </w:pPr>
            <w:r>
              <w:rPr>
                <w:rFonts w:hint="eastAsia"/>
                <w:color w:val="auto"/>
                <w:sz w:val="21"/>
              </w:rPr>
              <w:t>泄漏量</w:t>
            </w:r>
            <w:r>
              <w:rPr>
                <w:rFonts w:hint="default" w:ascii="Times New Roman" w:hAnsi="Times New Roman" w:eastAsia="Times New Roman"/>
                <w:color w:val="auto"/>
                <w:sz w:val="21"/>
              </w:rPr>
              <w:t>/kg</w:t>
            </w:r>
          </w:p>
        </w:tc>
        <w:tc>
          <w:tcPr>
            <w:tcW w:w="1282"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19" w:lineRule="exact"/>
              <w:ind w:left="102" w:right="94"/>
              <w:rPr>
                <w:rFonts w:hint="default" w:ascii="Times New Roman" w:hAnsi="Times New Roman" w:eastAsia="宋体"/>
                <w:color w:val="auto"/>
                <w:sz w:val="21"/>
                <w:lang w:val="en-US" w:eastAsia="zh-CN"/>
              </w:rPr>
            </w:pPr>
            <w:r>
              <w:rPr>
                <w:rFonts w:hint="eastAsia" w:eastAsia="宋体"/>
                <w:color w:val="auto"/>
                <w:sz w:val="21"/>
                <w:lang w:val="en-US" w:eastAsia="zh-CN"/>
              </w:rPr>
              <w:t>3852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5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line="240" w:lineRule="exact"/>
              <w:ind w:left="17" w:right="15"/>
              <w:rPr>
                <w:rFonts w:hint="default" w:ascii="Times New Roman" w:hAnsi="Times New Roman" w:eastAsia="Times New Roman"/>
                <w:color w:val="auto"/>
                <w:sz w:val="21"/>
              </w:rPr>
            </w:pPr>
            <w:r>
              <w:rPr>
                <w:rFonts w:hint="eastAsia"/>
                <w:color w:val="auto"/>
                <w:sz w:val="21"/>
              </w:rPr>
              <w:t>泄漏高度</w:t>
            </w:r>
            <w:r>
              <w:rPr>
                <w:rFonts w:hint="default" w:ascii="Times New Roman" w:hAnsi="Times New Roman" w:eastAsia="Times New Roman"/>
                <w:color w:val="auto"/>
                <w:sz w:val="21"/>
              </w:rPr>
              <w:t>/m</w:t>
            </w:r>
          </w:p>
        </w:tc>
        <w:tc>
          <w:tcPr>
            <w:tcW w:w="1392"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22" w:lineRule="exact"/>
              <w:ind w:left="1"/>
              <w:rPr>
                <w:rFonts w:hint="default" w:ascii="Times New Roman" w:hAnsi="Times New Roman" w:eastAsia="Times New Roman"/>
                <w:color w:val="auto"/>
                <w:sz w:val="21"/>
              </w:rPr>
            </w:pPr>
            <w:r>
              <w:rPr>
                <w:rFonts w:hint="default" w:ascii="Times New Roman" w:hAnsi="Times New Roman" w:eastAsia="Times New Roman"/>
                <w:color w:val="auto"/>
                <w:sz w:val="21"/>
              </w:rPr>
              <w:t>5</w:t>
            </w:r>
          </w:p>
        </w:tc>
        <w:tc>
          <w:tcPr>
            <w:tcW w:w="17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right="-15"/>
              <w:rPr>
                <w:rFonts w:hint="default" w:ascii="Times New Roman" w:hAnsi="Times New Roman" w:eastAsia="Times New Roman"/>
                <w:color w:val="auto"/>
                <w:sz w:val="21"/>
              </w:rPr>
            </w:pPr>
            <w:r>
              <w:rPr>
                <w:rFonts w:hint="eastAsia"/>
                <w:color w:val="auto"/>
                <w:spacing w:val="-3"/>
                <w:sz w:val="21"/>
              </w:rPr>
              <w:t>泄漏液体蒸发量</w:t>
            </w:r>
            <w:r>
              <w:rPr>
                <w:rFonts w:hint="default" w:ascii="Times New Roman" w:hAnsi="Times New Roman" w:eastAsia="Times New Roman"/>
                <w:color w:val="auto"/>
                <w:sz w:val="21"/>
              </w:rPr>
              <w:t>/kg</w:t>
            </w:r>
          </w:p>
        </w:tc>
        <w:tc>
          <w:tcPr>
            <w:tcW w:w="114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22" w:lineRule="exact"/>
              <w:ind w:left="6"/>
              <w:rPr>
                <w:rFonts w:hint="default" w:ascii="Times New Roman" w:hAnsi="Times New Roman" w:eastAsia="Times New Roman"/>
                <w:color w:val="auto"/>
                <w:sz w:val="21"/>
              </w:rPr>
            </w:pPr>
            <w:r>
              <w:rPr>
                <w:rFonts w:hint="default" w:ascii="Times New Roman" w:hAnsi="Times New Roman" w:eastAsia="Times New Roman"/>
                <w:color w:val="auto"/>
                <w:sz w:val="21"/>
              </w:rPr>
              <w:t>/</w:t>
            </w:r>
          </w:p>
        </w:tc>
        <w:tc>
          <w:tcPr>
            <w:tcW w:w="160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40" w:lineRule="exact"/>
              <w:ind w:left="135" w:right="126"/>
              <w:rPr>
                <w:rFonts w:hint="eastAsia"/>
                <w:color w:val="auto"/>
                <w:sz w:val="21"/>
              </w:rPr>
            </w:pPr>
            <w:r>
              <w:rPr>
                <w:rFonts w:hint="eastAsia"/>
                <w:color w:val="auto"/>
                <w:sz w:val="21"/>
              </w:rPr>
              <w:t>泄漏频率</w:t>
            </w:r>
          </w:p>
        </w:tc>
        <w:tc>
          <w:tcPr>
            <w:tcW w:w="1282"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22" w:lineRule="exact"/>
              <w:ind w:left="100" w:right="94"/>
              <w:rPr>
                <w:rFonts w:hint="default" w:ascii="Times New Roman" w:hAnsi="Times New Roman" w:eastAsia="Times New Roman"/>
                <w:color w:val="auto"/>
                <w:sz w:val="21"/>
                <w:vertAlign w:val="superscript"/>
              </w:rPr>
            </w:pPr>
            <w:r>
              <w:rPr>
                <w:rFonts w:hint="default" w:ascii="Times New Roman" w:hAnsi="Times New Roman" w:eastAsia="Times New Roman"/>
                <w:color w:val="auto"/>
                <w:sz w:val="21"/>
              </w:rPr>
              <w:t xml:space="preserve">5.00×10 </w:t>
            </w:r>
            <w:r>
              <w:rPr>
                <w:rFonts w:hint="default" w:ascii="Times New Roman" w:hAnsi="Times New Roman" w:eastAsia="Times New Roman"/>
                <w:color w:val="auto"/>
                <w:sz w:val="21"/>
                <w:vertAlign w:val="superscript"/>
              </w:rPr>
              <w:t>-6</w:t>
            </w:r>
          </w:p>
        </w:tc>
      </w:tr>
    </w:tbl>
    <w:p>
      <w:pPr>
        <w:pStyle w:val="22"/>
        <w:kinsoku w:val="0"/>
        <w:overflowPunct w:val="0"/>
        <w:ind w:left="2827" w:right="2663"/>
        <w:jc w:val="center"/>
        <w:rPr>
          <w:rFonts w:hint="eastAsia" w:ascii="宋体" w:hAnsi="宋体" w:eastAsia="宋体"/>
          <w:color w:val="auto"/>
          <w:sz w:val="21"/>
        </w:rPr>
      </w:pPr>
      <w:r>
        <w:rPr>
          <w:rFonts w:hint="eastAsia" w:ascii="宋体" w:hAnsi="宋体" w:eastAsia="宋体"/>
          <w:color w:val="auto"/>
          <w:sz w:val="21"/>
        </w:rPr>
        <w:t>事故后果预测</w:t>
      </w:r>
    </w:p>
    <w:tbl>
      <w:tblPr>
        <w:tblStyle w:val="45"/>
        <w:tblW w:w="8729" w:type="dxa"/>
        <w:tblInd w:w="9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550"/>
        <w:gridCol w:w="986"/>
        <w:gridCol w:w="1771"/>
        <w:gridCol w:w="1339"/>
        <w:gridCol w:w="1500"/>
        <w:gridCol w:w="15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3" w:hRule="atLeast"/>
        </w:trPr>
        <w:tc>
          <w:tcPr>
            <w:tcW w:w="1550" w:type="dxa"/>
            <w:vMerge w:val="restart"/>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jc w:val="left"/>
              <w:rPr>
                <w:rFonts w:hint="eastAsia"/>
                <w:color w:val="auto"/>
                <w:sz w:val="20"/>
              </w:rPr>
            </w:pPr>
          </w:p>
          <w:p>
            <w:pPr>
              <w:pStyle w:val="247"/>
              <w:kinsoku w:val="0"/>
              <w:overflowPunct w:val="0"/>
              <w:jc w:val="left"/>
              <w:rPr>
                <w:rFonts w:hint="eastAsia"/>
                <w:color w:val="auto"/>
                <w:sz w:val="20"/>
              </w:rPr>
            </w:pPr>
          </w:p>
          <w:p>
            <w:pPr>
              <w:pStyle w:val="247"/>
              <w:kinsoku w:val="0"/>
              <w:overflowPunct w:val="0"/>
              <w:jc w:val="left"/>
              <w:rPr>
                <w:rFonts w:hint="eastAsia"/>
                <w:color w:val="auto"/>
                <w:sz w:val="20"/>
              </w:rPr>
            </w:pPr>
          </w:p>
          <w:p>
            <w:pPr>
              <w:pStyle w:val="247"/>
              <w:kinsoku w:val="0"/>
              <w:overflowPunct w:val="0"/>
              <w:jc w:val="left"/>
              <w:rPr>
                <w:rFonts w:hint="eastAsia"/>
                <w:color w:val="auto"/>
                <w:sz w:val="20"/>
              </w:rPr>
            </w:pPr>
          </w:p>
          <w:p>
            <w:pPr>
              <w:pStyle w:val="247"/>
              <w:kinsoku w:val="0"/>
              <w:overflowPunct w:val="0"/>
              <w:spacing w:before="167"/>
              <w:ind w:left="17" w:right="17"/>
              <w:rPr>
                <w:rFonts w:hint="eastAsia"/>
                <w:color w:val="auto"/>
                <w:sz w:val="21"/>
              </w:rPr>
            </w:pPr>
            <w:r>
              <w:rPr>
                <w:rFonts w:hint="eastAsia"/>
                <w:color w:val="auto"/>
                <w:sz w:val="21"/>
              </w:rPr>
              <w:t>大气</w:t>
            </w:r>
          </w:p>
        </w:tc>
        <w:tc>
          <w:tcPr>
            <w:tcW w:w="986"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40" w:lineRule="exact"/>
              <w:ind w:left="64"/>
              <w:jc w:val="left"/>
              <w:rPr>
                <w:rFonts w:hint="eastAsia"/>
                <w:color w:val="auto"/>
                <w:sz w:val="21"/>
              </w:rPr>
            </w:pPr>
            <w:r>
              <w:rPr>
                <w:rFonts w:hint="eastAsia"/>
                <w:color w:val="auto"/>
                <w:sz w:val="21"/>
              </w:rPr>
              <w:t>危险物质</w:t>
            </w:r>
          </w:p>
        </w:tc>
        <w:tc>
          <w:tcPr>
            <w:tcW w:w="6193" w:type="dxa"/>
            <w:gridSpan w:val="4"/>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line="240" w:lineRule="exact"/>
              <w:ind w:left="2444" w:right="2444"/>
              <w:rPr>
                <w:rFonts w:hint="eastAsia"/>
                <w:color w:val="auto"/>
                <w:sz w:val="21"/>
              </w:rPr>
            </w:pPr>
            <w:r>
              <w:rPr>
                <w:rFonts w:hint="eastAsia"/>
                <w:color w:val="auto"/>
                <w:sz w:val="21"/>
              </w:rPr>
              <w:t>大气环境影响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3" w:hRule="atLeast"/>
        </w:trPr>
        <w:tc>
          <w:tcPr>
            <w:tcW w:w="1550"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986" w:type="dxa"/>
            <w:vMerge w:val="restart"/>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jc w:val="left"/>
              <w:rPr>
                <w:rFonts w:hint="eastAsia"/>
                <w:color w:val="auto"/>
                <w:sz w:val="20"/>
              </w:rPr>
            </w:pPr>
          </w:p>
          <w:p>
            <w:pPr>
              <w:pStyle w:val="247"/>
              <w:kinsoku w:val="0"/>
              <w:overflowPunct w:val="0"/>
              <w:jc w:val="left"/>
              <w:rPr>
                <w:rFonts w:hint="eastAsia"/>
                <w:color w:val="auto"/>
                <w:sz w:val="20"/>
              </w:rPr>
            </w:pPr>
          </w:p>
          <w:p>
            <w:pPr>
              <w:pStyle w:val="247"/>
              <w:kinsoku w:val="0"/>
              <w:overflowPunct w:val="0"/>
              <w:jc w:val="left"/>
              <w:rPr>
                <w:rFonts w:hint="eastAsia"/>
                <w:color w:val="auto"/>
                <w:sz w:val="20"/>
              </w:rPr>
            </w:pPr>
          </w:p>
          <w:p>
            <w:pPr>
              <w:pStyle w:val="247"/>
              <w:kinsoku w:val="0"/>
              <w:overflowPunct w:val="0"/>
              <w:spacing w:before="2"/>
              <w:jc w:val="left"/>
              <w:rPr>
                <w:rFonts w:hint="eastAsia"/>
                <w:color w:val="auto"/>
                <w:sz w:val="21"/>
              </w:rPr>
            </w:pPr>
          </w:p>
          <w:p>
            <w:pPr>
              <w:pStyle w:val="247"/>
              <w:kinsoku w:val="0"/>
              <w:overflowPunct w:val="0"/>
              <w:ind w:right="4"/>
              <w:rPr>
                <w:rFonts w:hint="eastAsia"/>
                <w:color w:val="auto"/>
                <w:sz w:val="21"/>
              </w:rPr>
            </w:pPr>
            <w:r>
              <w:rPr>
                <w:rFonts w:hint="eastAsia"/>
                <w:color w:val="auto"/>
                <w:sz w:val="21"/>
              </w:rPr>
              <w:t>氨</w:t>
            </w:r>
          </w:p>
        </w:tc>
        <w:tc>
          <w:tcPr>
            <w:tcW w:w="177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4"/>
              <w:ind w:left="19" w:right="20"/>
              <w:rPr>
                <w:rFonts w:hint="eastAsia"/>
                <w:color w:val="auto"/>
                <w:sz w:val="21"/>
              </w:rPr>
            </w:pPr>
            <w:r>
              <w:rPr>
                <w:rFonts w:hint="eastAsia"/>
                <w:color w:val="auto"/>
                <w:sz w:val="21"/>
              </w:rPr>
              <w:t>指标</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59" w:lineRule="exact"/>
              <w:ind w:left="349"/>
              <w:jc w:val="left"/>
              <w:rPr>
                <w:rFonts w:hint="eastAsia"/>
                <w:color w:val="auto"/>
                <w:sz w:val="21"/>
              </w:rPr>
            </w:pPr>
            <w:r>
              <w:rPr>
                <w:rFonts w:hint="eastAsia"/>
                <w:color w:val="auto"/>
                <w:sz w:val="21"/>
              </w:rPr>
              <w:t>浓度值</w:t>
            </w:r>
          </w:p>
          <w:p>
            <w:pPr>
              <w:pStyle w:val="247"/>
              <w:kinsoku w:val="0"/>
              <w:overflowPunct w:val="0"/>
              <w:spacing w:line="215" w:lineRule="exact"/>
              <w:ind w:left="284"/>
              <w:jc w:val="left"/>
              <w:rPr>
                <w:rFonts w:hint="default" w:ascii="Times New Roman" w:hAnsi="Times New Roman" w:eastAsia="Times New Roman"/>
                <w:color w:val="auto"/>
                <w:sz w:val="21"/>
              </w:rPr>
            </w:pP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default" w:ascii="Times New Roman" w:hAnsi="Times New Roman" w:eastAsia="Times New Roman"/>
                <w:color w:val="auto"/>
                <w:sz w:val="21"/>
              </w:rPr>
              <w:t>)</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4"/>
              <w:ind w:left="6" w:right="-15"/>
              <w:rPr>
                <w:rFonts w:hint="default" w:ascii="Times New Roman" w:hAnsi="Times New Roman" w:eastAsia="Times New Roman"/>
                <w:color w:val="auto"/>
                <w:sz w:val="21"/>
              </w:rPr>
            </w:pPr>
            <w:r>
              <w:rPr>
                <w:rFonts w:hint="eastAsia"/>
                <w:color w:val="auto"/>
                <w:spacing w:val="-2"/>
                <w:sz w:val="21"/>
              </w:rPr>
              <w:t>最远影响距离</w:t>
            </w:r>
            <w:r>
              <w:rPr>
                <w:rFonts w:hint="default" w:ascii="Times New Roman" w:hAnsi="Times New Roman" w:eastAsia="Times New Roman"/>
                <w:color w:val="auto"/>
                <w:sz w:val="21"/>
              </w:rPr>
              <w:t>/m</w:t>
            </w:r>
          </w:p>
        </w:tc>
        <w:tc>
          <w:tcPr>
            <w:tcW w:w="1583"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14"/>
              <w:ind w:left="156" w:right="155"/>
              <w:rPr>
                <w:rFonts w:hint="default" w:ascii="Times New Roman" w:hAnsi="Times New Roman" w:eastAsia="Times New Roman"/>
                <w:color w:val="auto"/>
                <w:sz w:val="21"/>
              </w:rPr>
            </w:pPr>
            <w:r>
              <w:rPr>
                <w:rFonts w:hint="eastAsia"/>
                <w:color w:val="auto"/>
                <w:sz w:val="21"/>
              </w:rPr>
              <w:t>到达时间</w:t>
            </w:r>
            <w:r>
              <w:rPr>
                <w:rFonts w:hint="default" w:ascii="Times New Roman" w:hAnsi="Times New Roman" w:eastAsia="Times New Roman"/>
                <w:color w:val="auto"/>
                <w:sz w:val="21"/>
              </w:rPr>
              <w:t>/min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5" w:hRule="atLeast"/>
        </w:trPr>
        <w:tc>
          <w:tcPr>
            <w:tcW w:w="1550"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986" w:type="dxa"/>
            <w:vMerge w:val="continue"/>
            <w:tcBorders>
              <w:top w:val="nil"/>
              <w:left w:val="single" w:color="000000" w:sz="4" w:space="0"/>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177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60" w:lineRule="exact"/>
              <w:ind w:left="19" w:right="21"/>
              <w:rPr>
                <w:rFonts w:hint="eastAsia"/>
                <w:color w:val="auto"/>
                <w:sz w:val="21"/>
              </w:rPr>
            </w:pPr>
            <w:r>
              <w:rPr>
                <w:rFonts w:hint="eastAsia"/>
                <w:color w:val="auto"/>
                <w:sz w:val="21"/>
              </w:rPr>
              <w:t>大气毒性终点浓度</w:t>
            </w:r>
          </w:p>
          <w:p>
            <w:pPr>
              <w:pStyle w:val="247"/>
              <w:kinsoku w:val="0"/>
              <w:overflowPunct w:val="0"/>
              <w:spacing w:line="216" w:lineRule="exact"/>
              <w:ind w:left="17" w:right="21"/>
              <w:rPr>
                <w:rFonts w:hint="default" w:ascii="Times New Roman" w:hAnsi="Times New Roman" w:eastAsia="Times New Roman"/>
                <w:color w:val="auto"/>
                <w:sz w:val="21"/>
              </w:rPr>
            </w:pPr>
            <w:r>
              <w:rPr>
                <w:rFonts w:hint="default" w:ascii="Times New Roman" w:hAnsi="Times New Roman" w:eastAsia="Times New Roman"/>
                <w:color w:val="auto"/>
                <w:sz w:val="21"/>
              </w:rPr>
              <w:t>-1</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0"/>
              <w:ind w:left="36" w:right="32"/>
              <w:rPr>
                <w:rFonts w:hint="default" w:ascii="Times New Roman" w:hAnsi="Times New Roman" w:eastAsia="Times New Roman"/>
                <w:color w:val="auto"/>
                <w:sz w:val="21"/>
              </w:rPr>
            </w:pPr>
            <w:r>
              <w:rPr>
                <w:rFonts w:hint="default" w:ascii="Times New Roman" w:hAnsi="Times New Roman" w:eastAsia="Times New Roman"/>
                <w:color w:val="auto"/>
                <w:sz w:val="21"/>
              </w:rPr>
              <w:t>770</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0"/>
              <w:ind w:left="98" w:right="92"/>
              <w:rPr>
                <w:rFonts w:hint="default" w:ascii="Times New Roman" w:hAnsi="Times New Roman" w:eastAsia="宋体"/>
                <w:color w:val="auto"/>
                <w:sz w:val="21"/>
                <w:lang w:val="en-US" w:eastAsia="zh-CN"/>
              </w:rPr>
            </w:pPr>
            <w:r>
              <w:rPr>
                <w:rFonts w:hint="eastAsia" w:eastAsia="宋体"/>
                <w:color w:val="auto"/>
                <w:sz w:val="21"/>
                <w:lang w:val="en-US" w:eastAsia="zh-CN"/>
              </w:rPr>
              <w:t>612</w:t>
            </w:r>
          </w:p>
        </w:tc>
        <w:tc>
          <w:tcPr>
            <w:tcW w:w="1583"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20"/>
              <w:ind w:left="156" w:right="155"/>
              <w:rPr>
                <w:rFonts w:hint="eastAsia" w:ascii="Times New Roman" w:hAnsi="Times New Roman" w:eastAsia="宋体"/>
                <w:color w:val="auto"/>
                <w:sz w:val="21"/>
                <w:lang w:eastAsia="zh-CN"/>
              </w:rPr>
            </w:pPr>
            <w:r>
              <w:rPr>
                <w:rFonts w:hint="eastAsia" w:eastAsia="宋体"/>
                <w:color w:val="auto"/>
                <w:sz w:val="21"/>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3" w:hRule="atLeast"/>
        </w:trPr>
        <w:tc>
          <w:tcPr>
            <w:tcW w:w="1550"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986" w:type="dxa"/>
            <w:vMerge w:val="continue"/>
            <w:tcBorders>
              <w:top w:val="nil"/>
              <w:left w:val="single" w:color="000000" w:sz="4" w:space="0"/>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177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57" w:lineRule="exact"/>
              <w:ind w:left="19" w:right="21"/>
              <w:rPr>
                <w:rFonts w:hint="eastAsia"/>
                <w:color w:val="auto"/>
                <w:sz w:val="21"/>
              </w:rPr>
            </w:pPr>
            <w:r>
              <w:rPr>
                <w:rFonts w:hint="eastAsia"/>
                <w:color w:val="auto"/>
                <w:sz w:val="21"/>
              </w:rPr>
              <w:t>大气毒性终点浓度</w:t>
            </w:r>
          </w:p>
          <w:p>
            <w:pPr>
              <w:pStyle w:val="247"/>
              <w:kinsoku w:val="0"/>
              <w:overflowPunct w:val="0"/>
              <w:spacing w:line="216" w:lineRule="exact"/>
              <w:ind w:left="17" w:right="21"/>
              <w:rPr>
                <w:rFonts w:hint="default" w:ascii="Times New Roman" w:hAnsi="Times New Roman" w:eastAsia="Times New Roman"/>
                <w:color w:val="auto"/>
                <w:sz w:val="21"/>
              </w:rPr>
            </w:pPr>
            <w:r>
              <w:rPr>
                <w:rFonts w:hint="default" w:ascii="Times New Roman" w:hAnsi="Times New Roman" w:eastAsia="Times New Roman"/>
                <w:color w:val="auto"/>
                <w:sz w:val="21"/>
              </w:rPr>
              <w:t>-2</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7"/>
              <w:ind w:left="36" w:right="32"/>
              <w:rPr>
                <w:rFonts w:hint="default" w:ascii="Times New Roman" w:hAnsi="Times New Roman" w:eastAsia="Times New Roman"/>
                <w:color w:val="auto"/>
                <w:sz w:val="21"/>
              </w:rPr>
            </w:pPr>
            <w:r>
              <w:rPr>
                <w:rFonts w:hint="default" w:ascii="Times New Roman" w:hAnsi="Times New Roman" w:eastAsia="Times New Roman"/>
                <w:color w:val="auto"/>
                <w:sz w:val="21"/>
              </w:rPr>
              <w:t>110</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7"/>
              <w:ind w:left="98" w:right="92"/>
              <w:rPr>
                <w:rFonts w:hint="default" w:ascii="Times New Roman" w:hAnsi="Times New Roman" w:eastAsia="宋体"/>
                <w:color w:val="auto"/>
                <w:sz w:val="21"/>
                <w:lang w:val="en-US" w:eastAsia="zh-CN"/>
              </w:rPr>
            </w:pPr>
            <w:r>
              <w:rPr>
                <w:rFonts w:hint="eastAsia" w:eastAsia="宋体"/>
                <w:color w:val="auto"/>
                <w:sz w:val="21"/>
                <w:lang w:val="en-US" w:eastAsia="zh-CN"/>
              </w:rPr>
              <w:t>384</w:t>
            </w:r>
          </w:p>
        </w:tc>
        <w:tc>
          <w:tcPr>
            <w:tcW w:w="1583"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17"/>
              <w:ind w:left="156" w:right="155"/>
              <w:rPr>
                <w:rFonts w:hint="eastAsia" w:ascii="Times New Roman" w:hAnsi="Times New Roman" w:eastAsia="宋体"/>
                <w:color w:val="auto"/>
                <w:sz w:val="21"/>
                <w:lang w:eastAsia="zh-CN"/>
              </w:rPr>
            </w:pPr>
            <w:r>
              <w:rPr>
                <w:rFonts w:hint="eastAsia" w:eastAsia="宋体"/>
                <w:color w:val="auto"/>
                <w:sz w:val="21"/>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3" w:hRule="atLeast"/>
        </w:trPr>
        <w:tc>
          <w:tcPr>
            <w:tcW w:w="1550"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986" w:type="dxa"/>
            <w:vMerge w:val="continue"/>
            <w:tcBorders>
              <w:top w:val="nil"/>
              <w:left w:val="single" w:color="000000" w:sz="4" w:space="0"/>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1771"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1"/>
              <w:ind w:left="19" w:right="20"/>
              <w:rPr>
                <w:rFonts w:hint="eastAsia"/>
                <w:color w:val="auto"/>
                <w:sz w:val="21"/>
              </w:rPr>
            </w:pPr>
            <w:r>
              <w:rPr>
                <w:rFonts w:hint="eastAsia"/>
                <w:color w:val="auto"/>
                <w:sz w:val="21"/>
              </w:rPr>
              <w:t>敏感目标名称</w:t>
            </w:r>
          </w:p>
        </w:tc>
        <w:tc>
          <w:tcPr>
            <w:tcW w:w="133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11"/>
              <w:ind w:left="31" w:right="32"/>
              <w:rPr>
                <w:rFonts w:hint="default" w:ascii="Times New Roman" w:hAnsi="Times New Roman" w:eastAsia="Times New Roman"/>
                <w:color w:val="auto"/>
                <w:sz w:val="21"/>
              </w:rPr>
            </w:pPr>
            <w:r>
              <w:rPr>
                <w:rFonts w:hint="eastAsia"/>
                <w:color w:val="auto"/>
                <w:sz w:val="21"/>
              </w:rPr>
              <w:t>超标时间</w:t>
            </w:r>
            <w:r>
              <w:rPr>
                <w:rFonts w:hint="default" w:ascii="Times New Roman" w:hAnsi="Times New Roman" w:eastAsia="Times New Roman"/>
                <w:color w:val="auto"/>
                <w:sz w:val="21"/>
              </w:rPr>
              <w:t>/min</w:t>
            </w:r>
          </w:p>
        </w:tc>
        <w:tc>
          <w:tcPr>
            <w:tcW w:w="1500"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257" w:lineRule="exact"/>
              <w:ind w:left="98" w:right="92"/>
              <w:rPr>
                <w:rFonts w:hint="eastAsia"/>
                <w:color w:val="auto"/>
                <w:sz w:val="21"/>
              </w:rPr>
            </w:pPr>
            <w:r>
              <w:rPr>
                <w:rFonts w:hint="eastAsia"/>
                <w:color w:val="auto"/>
                <w:sz w:val="21"/>
              </w:rPr>
              <w:t>超标持续时间</w:t>
            </w:r>
          </w:p>
          <w:p>
            <w:pPr>
              <w:pStyle w:val="247"/>
              <w:kinsoku w:val="0"/>
              <w:overflowPunct w:val="0"/>
              <w:spacing w:line="216" w:lineRule="exact"/>
              <w:ind w:left="92" w:right="92"/>
              <w:rPr>
                <w:rFonts w:hint="default" w:ascii="Times New Roman" w:hAnsi="Times New Roman" w:eastAsia="Times New Roman"/>
                <w:color w:val="auto"/>
                <w:sz w:val="21"/>
              </w:rPr>
            </w:pPr>
            <w:r>
              <w:rPr>
                <w:rFonts w:hint="default" w:ascii="Times New Roman" w:hAnsi="Times New Roman" w:eastAsia="Times New Roman"/>
                <w:color w:val="auto"/>
                <w:sz w:val="21"/>
              </w:rPr>
              <w:t>/min</w:t>
            </w:r>
          </w:p>
        </w:tc>
        <w:tc>
          <w:tcPr>
            <w:tcW w:w="1583"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line="257" w:lineRule="exact"/>
              <w:ind w:left="369"/>
              <w:jc w:val="left"/>
              <w:rPr>
                <w:rFonts w:hint="eastAsia"/>
                <w:color w:val="auto"/>
                <w:sz w:val="21"/>
              </w:rPr>
            </w:pPr>
            <w:r>
              <w:rPr>
                <w:rFonts w:hint="eastAsia"/>
                <w:color w:val="auto"/>
                <w:sz w:val="21"/>
              </w:rPr>
              <w:t>最大浓度</w:t>
            </w:r>
          </w:p>
          <w:p>
            <w:pPr>
              <w:pStyle w:val="247"/>
              <w:kinsoku w:val="0"/>
              <w:overflowPunct w:val="0"/>
              <w:spacing w:line="216" w:lineRule="exact"/>
              <w:ind w:left="410"/>
              <w:jc w:val="left"/>
              <w:rPr>
                <w:rFonts w:hint="default" w:ascii="Times New Roman" w:hAnsi="Times New Roman" w:eastAsia="Times New Roman"/>
                <w:color w:val="auto"/>
                <w:sz w:val="21"/>
              </w:rPr>
            </w:pP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6" w:hRule="atLeast"/>
        </w:trPr>
        <w:tc>
          <w:tcPr>
            <w:tcW w:w="1550" w:type="dxa"/>
            <w:vMerge w:val="continue"/>
            <w:tcBorders>
              <w:top w:val="nil"/>
              <w:left w:val="nil"/>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986" w:type="dxa"/>
            <w:vMerge w:val="continue"/>
            <w:tcBorders>
              <w:top w:val="nil"/>
              <w:left w:val="single" w:color="000000" w:sz="4" w:space="0"/>
              <w:bottom w:val="single" w:color="000000" w:sz="12" w:space="0"/>
              <w:right w:val="single" w:color="000000" w:sz="4" w:space="0"/>
              <w:tl2br w:val="nil"/>
              <w:tr2bl w:val="nil"/>
            </w:tcBorders>
            <w:vAlign w:val="top"/>
          </w:tcPr>
          <w:p>
            <w:pPr>
              <w:pStyle w:val="22"/>
              <w:kinsoku w:val="0"/>
              <w:overflowPunct w:val="0"/>
              <w:ind w:left="2827" w:right="2663"/>
              <w:jc w:val="center"/>
              <w:rPr>
                <w:rFonts w:hint="eastAsia" w:ascii="宋体" w:hAnsi="宋体" w:eastAsia="宋体"/>
                <w:color w:val="auto"/>
                <w:sz w:val="2"/>
              </w:rPr>
            </w:pPr>
          </w:p>
        </w:tc>
        <w:tc>
          <w:tcPr>
            <w:tcW w:w="1771"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spacing w:line="243" w:lineRule="exact"/>
              <w:ind w:left="19" w:right="20"/>
              <w:rPr>
                <w:rFonts w:hint="eastAsia" w:eastAsia="宋体"/>
                <w:color w:val="auto"/>
                <w:sz w:val="21"/>
                <w:lang w:eastAsia="zh-CN"/>
              </w:rPr>
            </w:pPr>
            <w:r>
              <w:rPr>
                <w:rFonts w:hint="eastAsia" w:eastAsia="宋体"/>
                <w:color w:val="auto"/>
                <w:sz w:val="21"/>
                <w:lang w:val="en-US" w:eastAsia="zh-CN"/>
              </w:rPr>
              <w:t>/</w:t>
            </w:r>
          </w:p>
        </w:tc>
        <w:tc>
          <w:tcPr>
            <w:tcW w:w="1339"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ind w:left="32" w:right="32"/>
              <w:rPr>
                <w:rFonts w:hint="eastAsia" w:ascii="Times New Roman" w:hAnsi="Times New Roman" w:eastAsia="宋体"/>
                <w:color w:val="auto"/>
                <w:sz w:val="21"/>
                <w:lang w:eastAsia="zh-CN"/>
              </w:rPr>
            </w:pPr>
            <w:r>
              <w:rPr>
                <w:rFonts w:hint="eastAsia" w:eastAsia="宋体"/>
                <w:color w:val="auto"/>
                <w:sz w:val="21"/>
                <w:lang w:val="en-US" w:eastAsia="zh-CN"/>
              </w:rPr>
              <w:t>/</w:t>
            </w:r>
          </w:p>
        </w:tc>
        <w:tc>
          <w:tcPr>
            <w:tcW w:w="1500" w:type="dxa"/>
            <w:tcBorders>
              <w:top w:val="single" w:color="000000" w:sz="4" w:space="0"/>
              <w:left w:val="single" w:color="000000" w:sz="4" w:space="0"/>
              <w:bottom w:val="single" w:color="000000" w:sz="12" w:space="0"/>
              <w:right w:val="single" w:color="000000" w:sz="4" w:space="0"/>
              <w:tl2br w:val="nil"/>
              <w:tr2bl w:val="nil"/>
            </w:tcBorders>
            <w:vAlign w:val="top"/>
          </w:tcPr>
          <w:p>
            <w:pPr>
              <w:pStyle w:val="247"/>
              <w:kinsoku w:val="0"/>
              <w:overflowPunct w:val="0"/>
              <w:ind w:left="93" w:right="92"/>
              <w:rPr>
                <w:rFonts w:hint="eastAsia" w:ascii="Times New Roman" w:hAnsi="Times New Roman" w:eastAsia="宋体"/>
                <w:color w:val="auto"/>
                <w:sz w:val="21"/>
                <w:lang w:eastAsia="zh-CN"/>
              </w:rPr>
            </w:pPr>
            <w:r>
              <w:rPr>
                <w:rFonts w:hint="eastAsia" w:eastAsia="宋体"/>
                <w:color w:val="auto"/>
                <w:sz w:val="21"/>
                <w:lang w:val="en-US" w:eastAsia="zh-CN"/>
              </w:rPr>
              <w:t>/</w:t>
            </w:r>
          </w:p>
        </w:tc>
        <w:tc>
          <w:tcPr>
            <w:tcW w:w="1583"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ind w:left="156" w:right="150"/>
              <w:rPr>
                <w:rFonts w:hint="eastAsia" w:ascii="Times New Roman" w:hAnsi="Times New Roman" w:eastAsia="宋体"/>
                <w:color w:val="auto"/>
                <w:sz w:val="21"/>
                <w:lang w:eastAsia="zh-CN"/>
              </w:rPr>
            </w:pPr>
            <w:r>
              <w:rPr>
                <w:rFonts w:hint="eastAsia" w:eastAsia="宋体"/>
                <w:color w:val="auto"/>
                <w:sz w:val="21"/>
                <w:lang w:val="en-US" w:eastAsia="zh-CN"/>
              </w:rPr>
              <w:t>/</w:t>
            </w:r>
          </w:p>
        </w:tc>
      </w:tr>
    </w:tbl>
    <w:p>
      <w:pPr>
        <w:pStyle w:val="22"/>
        <w:kinsoku w:val="0"/>
        <w:overflowPunct w:val="0"/>
        <w:spacing w:before="140" w:beforeLines="0" w:afterLines="0" w:line="333" w:lineRule="auto"/>
        <w:ind w:left="140" w:right="545" w:firstLine="554"/>
        <w:rPr>
          <w:rFonts w:hint="eastAsia"/>
          <w:b/>
          <w:color w:val="auto"/>
          <w:sz w:val="24"/>
        </w:rPr>
      </w:pPr>
    </w:p>
    <w:p>
      <w:pPr>
        <w:pStyle w:val="7"/>
        <w:numPr>
          <w:ilvl w:val="2"/>
          <w:numId w:val="0"/>
        </w:numPr>
        <w:spacing w:before="120" w:beforeLines="0" w:after="120" w:afterLines="0"/>
        <w:ind w:firstLine="482" w:firstLineChars="200"/>
        <w:rPr>
          <w:rFonts w:hint="eastAsia"/>
          <w:color w:val="auto"/>
          <w:u w:val="none"/>
          <w:lang w:val="en-US" w:eastAsia="zh-CN"/>
        </w:rPr>
      </w:pPr>
      <w:bookmarkStart w:id="385" w:name="_Toc20371"/>
      <w:r>
        <w:rPr>
          <w:rFonts w:hint="eastAsia"/>
          <w:color w:val="auto"/>
          <w:u w:val="none"/>
          <w:lang w:val="en-US" w:eastAsia="zh-CN"/>
        </w:rPr>
        <w:t>7.7.2预测小结</w:t>
      </w:r>
      <w:bookmarkEnd w:id="385"/>
    </w:p>
    <w:p>
      <w:pPr>
        <w:pStyle w:val="22"/>
        <w:keepNext w:val="0"/>
        <w:keepLines w:val="0"/>
        <w:pageBreakBefore w:val="0"/>
        <w:widowControl w:val="0"/>
        <w:kinsoku w:val="0"/>
        <w:wordWrap/>
        <w:overflowPunct w:val="0"/>
        <w:topLinePunct w:val="0"/>
        <w:autoSpaceDE/>
        <w:autoSpaceDN/>
        <w:bidi w:val="0"/>
        <w:adjustRightInd/>
        <w:snapToGrid/>
        <w:spacing w:before="8" w:line="360" w:lineRule="auto"/>
        <w:ind w:left="867" w:firstLine="536" w:firstLineChars="200"/>
        <w:jc w:val="both"/>
        <w:textAlignment w:val="auto"/>
        <w:rPr>
          <w:rFonts w:hint="eastAsia" w:ascii="宋体" w:hAnsi="宋体" w:eastAsia="宋体" w:cs="宋体"/>
          <w:color w:val="auto"/>
          <w:sz w:val="28"/>
        </w:rPr>
      </w:pPr>
      <w:r>
        <w:rPr>
          <w:rFonts w:hint="eastAsia" w:ascii="宋体" w:hAnsi="宋体" w:eastAsia="宋体" w:cs="宋体"/>
          <w:color w:val="auto"/>
          <w:spacing w:val="-6"/>
          <w:sz w:val="28"/>
        </w:rPr>
        <w:t>根据预测结果，在最不利气象条件下，</w:t>
      </w:r>
      <w:r>
        <w:rPr>
          <w:rFonts w:hint="eastAsia" w:ascii="宋体" w:hAnsi="宋体" w:eastAsia="宋体" w:cs="宋体"/>
          <w:color w:val="auto"/>
          <w:spacing w:val="-6"/>
          <w:sz w:val="28"/>
          <w:lang w:eastAsia="zh-CN"/>
        </w:rPr>
        <w:t>液氨</w:t>
      </w:r>
      <w:r>
        <w:rPr>
          <w:rFonts w:hint="eastAsia" w:ascii="宋体" w:hAnsi="宋体" w:eastAsia="宋体" w:cs="宋体"/>
          <w:color w:val="auto"/>
          <w:spacing w:val="-6"/>
          <w:sz w:val="28"/>
        </w:rPr>
        <w:t xml:space="preserve">泄漏下风向 </w:t>
      </w:r>
      <w:r>
        <w:rPr>
          <w:rFonts w:hint="eastAsia" w:ascii="宋体" w:hAnsi="宋体" w:eastAsia="宋体" w:cs="宋体"/>
          <w:color w:val="auto"/>
          <w:sz w:val="28"/>
          <w:lang w:eastAsia="zh-CN"/>
        </w:rPr>
        <w:t>氨</w:t>
      </w:r>
      <w:r>
        <w:rPr>
          <w:rFonts w:hint="eastAsia" w:ascii="宋体" w:hAnsi="宋体" w:eastAsia="宋体" w:cs="宋体"/>
          <w:color w:val="auto"/>
          <w:spacing w:val="-23"/>
          <w:sz w:val="28"/>
        </w:rPr>
        <w:t xml:space="preserve">达到 </w:t>
      </w:r>
      <w:r>
        <w:rPr>
          <w:rFonts w:hint="eastAsia" w:ascii="宋体" w:hAnsi="宋体" w:eastAsia="宋体" w:cs="宋体"/>
          <w:color w:val="auto"/>
          <w:sz w:val="28"/>
        </w:rPr>
        <w:t xml:space="preserve">1 </w:t>
      </w:r>
      <w:r>
        <w:rPr>
          <w:rFonts w:hint="eastAsia" w:ascii="宋体" w:hAnsi="宋体" w:eastAsia="宋体" w:cs="宋体"/>
          <w:color w:val="auto"/>
          <w:spacing w:val="-7"/>
          <w:sz w:val="28"/>
        </w:rPr>
        <w:t xml:space="preserve">级毒性重点浓度的最大影响范围为 </w:t>
      </w:r>
      <w:r>
        <w:rPr>
          <w:rFonts w:hint="eastAsia" w:ascii="宋体" w:hAnsi="宋体" w:eastAsia="宋体" w:cs="宋体"/>
          <w:color w:val="auto"/>
          <w:sz w:val="30"/>
          <w:szCs w:val="30"/>
          <w:lang w:val="en-US" w:eastAsia="zh-CN"/>
        </w:rPr>
        <w:t>612</w:t>
      </w:r>
      <w:r>
        <w:rPr>
          <w:rFonts w:hint="eastAsia" w:ascii="宋体" w:hAnsi="宋体" w:eastAsia="宋体" w:cs="宋体"/>
          <w:color w:val="auto"/>
          <w:sz w:val="28"/>
        </w:rPr>
        <w:t>m</w:t>
      </w:r>
      <w:r>
        <w:rPr>
          <w:rFonts w:hint="eastAsia" w:ascii="宋体" w:hAnsi="宋体" w:eastAsia="宋体" w:cs="宋体"/>
          <w:color w:val="auto"/>
          <w:spacing w:val="-16"/>
          <w:sz w:val="28"/>
        </w:rPr>
        <w:t xml:space="preserve">，达到 </w:t>
      </w:r>
      <w:r>
        <w:rPr>
          <w:rFonts w:hint="eastAsia" w:ascii="宋体" w:hAnsi="宋体" w:eastAsia="宋体" w:cs="宋体"/>
          <w:color w:val="auto"/>
          <w:sz w:val="28"/>
        </w:rPr>
        <w:t xml:space="preserve">2 </w:t>
      </w:r>
      <w:r>
        <w:rPr>
          <w:rFonts w:hint="eastAsia" w:ascii="宋体" w:hAnsi="宋体" w:eastAsia="宋体" w:cs="宋体"/>
          <w:color w:val="auto"/>
          <w:spacing w:val="-2"/>
          <w:sz w:val="28"/>
        </w:rPr>
        <w:t>级毒性重点浓度的最</w:t>
      </w:r>
      <w:r>
        <w:rPr>
          <w:rFonts w:hint="eastAsia" w:ascii="宋体" w:hAnsi="宋体" w:eastAsia="宋体" w:cs="宋体"/>
          <w:color w:val="auto"/>
          <w:spacing w:val="-13"/>
          <w:sz w:val="28"/>
        </w:rPr>
        <w:t xml:space="preserve">大影响范围为 </w:t>
      </w:r>
      <w:r>
        <w:rPr>
          <w:rFonts w:hint="eastAsia" w:ascii="宋体" w:hAnsi="宋体" w:eastAsia="宋体" w:cs="宋体"/>
          <w:color w:val="auto"/>
          <w:sz w:val="28"/>
          <w:lang w:val="en-US" w:eastAsia="zh-CN"/>
        </w:rPr>
        <w:t>384</w:t>
      </w:r>
      <w:r>
        <w:rPr>
          <w:rFonts w:hint="eastAsia" w:ascii="宋体" w:hAnsi="宋体" w:eastAsia="宋体" w:cs="宋体"/>
          <w:color w:val="auto"/>
          <w:sz w:val="28"/>
        </w:rPr>
        <w:t>m</w:t>
      </w:r>
      <w:r>
        <w:rPr>
          <w:rFonts w:hint="eastAsia" w:ascii="宋体" w:hAnsi="宋体" w:eastAsia="宋体" w:cs="宋体"/>
          <w:color w:val="auto"/>
          <w:spacing w:val="-3"/>
          <w:sz w:val="28"/>
        </w:rPr>
        <w:t>。根据预测，本项目周边</w:t>
      </w:r>
      <w:r>
        <w:rPr>
          <w:rFonts w:hint="eastAsia" w:ascii="宋体" w:hAnsi="宋体" w:eastAsia="宋体" w:cs="宋体"/>
          <w:color w:val="auto"/>
          <w:spacing w:val="-3"/>
          <w:sz w:val="28"/>
          <w:lang w:eastAsia="zh-CN"/>
        </w:rPr>
        <w:t>居民点或医院离项目地大于</w:t>
      </w:r>
      <w:r>
        <w:rPr>
          <w:rFonts w:hint="eastAsia" w:ascii="宋体" w:hAnsi="宋体" w:eastAsia="宋体" w:cs="宋体"/>
          <w:color w:val="auto"/>
          <w:spacing w:val="-3"/>
          <w:sz w:val="28"/>
          <w:lang w:val="en-US" w:eastAsia="zh-CN"/>
        </w:rPr>
        <w:t>612米，故不会对</w:t>
      </w:r>
      <w:r>
        <w:rPr>
          <w:rFonts w:hint="eastAsia" w:ascii="宋体" w:hAnsi="宋体" w:eastAsia="宋体" w:cs="宋体"/>
          <w:color w:val="auto"/>
          <w:spacing w:val="-3"/>
          <w:sz w:val="28"/>
        </w:rPr>
        <w:t>关注点人群健康产生影响。</w:t>
      </w:r>
      <w:r>
        <w:rPr>
          <w:rFonts w:hint="eastAsia" w:ascii="宋体" w:hAnsi="宋体" w:eastAsia="宋体" w:cs="宋体"/>
          <w:color w:val="auto"/>
          <w:sz w:val="28"/>
        </w:rPr>
        <w:t>因此本项目环境风险可接受。</w:t>
      </w:r>
    </w:p>
    <w:p>
      <w:pPr>
        <w:pStyle w:val="22"/>
        <w:kinsoku w:val="0"/>
        <w:overflowPunct w:val="0"/>
        <w:spacing w:before="194" w:after="37"/>
        <w:ind w:left="2825" w:right="2663"/>
        <w:jc w:val="center"/>
        <w:rPr>
          <w:rFonts w:hint="eastAsia"/>
          <w:b/>
          <w:color w:val="auto"/>
          <w:spacing w:val="-26"/>
          <w:sz w:val="21"/>
        </w:rPr>
      </w:pPr>
    </w:p>
    <w:p>
      <w:pPr>
        <w:pStyle w:val="22"/>
        <w:kinsoku w:val="0"/>
        <w:overflowPunct w:val="0"/>
        <w:spacing w:before="194" w:after="37"/>
        <w:ind w:left="2825" w:right="2663"/>
        <w:jc w:val="center"/>
        <w:rPr>
          <w:rFonts w:hint="eastAsia"/>
          <w:b/>
          <w:color w:val="auto"/>
          <w:spacing w:val="-26"/>
          <w:sz w:val="21"/>
        </w:rPr>
      </w:pPr>
    </w:p>
    <w:p>
      <w:pPr>
        <w:pStyle w:val="22"/>
        <w:kinsoku w:val="0"/>
        <w:overflowPunct w:val="0"/>
        <w:spacing w:before="194" w:after="37"/>
        <w:ind w:left="2825" w:right="2663"/>
        <w:jc w:val="center"/>
        <w:rPr>
          <w:rFonts w:hint="eastAsia"/>
          <w:b/>
          <w:color w:val="auto"/>
          <w:spacing w:val="-26"/>
          <w:sz w:val="21"/>
        </w:rPr>
      </w:pPr>
    </w:p>
    <w:p>
      <w:pPr>
        <w:pStyle w:val="2"/>
        <w:ind w:left="0" w:leftChars="0" w:firstLine="0" w:firstLineChars="0"/>
        <w:rPr>
          <w:rFonts w:hint="eastAsia"/>
          <w:b/>
          <w:color w:val="auto"/>
          <w:spacing w:val="-1"/>
          <w:sz w:val="21"/>
        </w:rPr>
      </w:pPr>
    </w:p>
    <w:p>
      <w:pPr>
        <w:rPr>
          <w:rFonts w:hint="eastAsia"/>
          <w:color w:val="auto"/>
          <w:sz w:val="28"/>
          <w:lang w:val="en-US" w:eastAsia="zh-CN"/>
        </w:rPr>
      </w:pPr>
    </w:p>
    <w:p>
      <w:pPr>
        <w:pStyle w:val="6"/>
        <w:numPr>
          <w:ilvl w:val="1"/>
          <w:numId w:val="0"/>
        </w:numPr>
        <w:tabs>
          <w:tab w:val="left" w:pos="1092"/>
        </w:tabs>
        <w:kinsoku w:val="0"/>
        <w:overflowPunct w:val="0"/>
        <w:spacing w:before="71" w:beforeLines="0" w:afterLines="0"/>
        <w:rPr>
          <w:rFonts w:hint="eastAsia"/>
          <w:color w:val="auto"/>
          <w:sz w:val="28"/>
          <w:lang w:val="en-US" w:eastAsia="zh-CN"/>
        </w:rPr>
      </w:pPr>
      <w:bookmarkStart w:id="386" w:name="_Toc23423"/>
      <w:r>
        <w:rPr>
          <w:rFonts w:hint="eastAsia"/>
          <w:color w:val="auto"/>
          <w:sz w:val="28"/>
          <w:lang w:val="en-US" w:eastAsia="zh-CN"/>
        </w:rPr>
        <w:t>7.8 环境风险防控措施</w:t>
      </w:r>
      <w:bookmarkEnd w:id="386"/>
    </w:p>
    <w:p>
      <w:pPr>
        <w:pStyle w:val="22"/>
        <w:kinsoku w:val="0"/>
        <w:overflowPunct w:val="0"/>
        <w:spacing w:before="134" w:beforeLines="0" w:afterLines="0" w:line="328" w:lineRule="auto"/>
        <w:ind w:right="273" w:firstLine="520" w:firstLineChars="200"/>
        <w:jc w:val="both"/>
        <w:rPr>
          <w:rFonts w:hint="eastAsia"/>
          <w:color w:val="auto"/>
          <w:sz w:val="28"/>
        </w:rPr>
      </w:pPr>
      <w:r>
        <w:rPr>
          <w:rFonts w:hint="eastAsia"/>
          <w:color w:val="auto"/>
          <w:spacing w:val="-10"/>
          <w:sz w:val="28"/>
        </w:rPr>
        <w:t>根据《国家安全监管总局关于公布首批重点监管的危险化学品名录的</w:t>
      </w:r>
      <w:r>
        <w:rPr>
          <w:rFonts w:hint="eastAsia"/>
          <w:color w:val="auto"/>
          <w:spacing w:val="-56"/>
          <w:sz w:val="28"/>
        </w:rPr>
        <w:t>通</w:t>
      </w:r>
      <w:r>
        <w:rPr>
          <w:rFonts w:hint="eastAsia"/>
          <w:color w:val="auto"/>
          <w:spacing w:val="-56"/>
          <w:sz w:val="28"/>
          <w:lang w:val="en-US" w:eastAsia="zh-CN"/>
        </w:rPr>
        <w:t xml:space="preserve">    </w:t>
      </w:r>
      <w:r>
        <w:rPr>
          <w:rFonts w:hint="eastAsia"/>
          <w:color w:val="auto"/>
          <w:spacing w:val="-56"/>
          <w:sz w:val="28"/>
        </w:rPr>
        <w:t>知</w:t>
      </w:r>
      <w:r>
        <w:rPr>
          <w:rFonts w:hint="eastAsia"/>
          <w:color w:val="auto"/>
          <w:spacing w:val="-56"/>
          <w:sz w:val="28"/>
          <w:lang w:val="en-US" w:eastAsia="zh-CN"/>
        </w:rPr>
        <w:t xml:space="preserve">  </w:t>
      </w:r>
      <w:r>
        <w:rPr>
          <w:rFonts w:hint="eastAsia"/>
          <w:color w:val="auto"/>
          <w:spacing w:val="-56"/>
          <w:sz w:val="28"/>
        </w:rPr>
        <w:t>》</w:t>
      </w:r>
      <w:r>
        <w:rPr>
          <w:rFonts w:hint="eastAsia"/>
          <w:color w:val="auto"/>
          <w:spacing w:val="-10"/>
          <w:sz w:val="28"/>
        </w:rPr>
        <w:t>（</w:t>
      </w:r>
      <w:r>
        <w:rPr>
          <w:rFonts w:hint="eastAsia"/>
          <w:color w:val="auto"/>
          <w:spacing w:val="-11"/>
          <w:sz w:val="28"/>
        </w:rPr>
        <w:t>安监总管三〔</w:t>
      </w:r>
      <w:r>
        <w:rPr>
          <w:rFonts w:hint="default" w:ascii="Times New Roman" w:hAnsi="Times New Roman" w:eastAsia="Times New Roman"/>
          <w:color w:val="auto"/>
          <w:spacing w:val="-6"/>
          <w:sz w:val="28"/>
        </w:rPr>
        <w:t>2</w:t>
      </w:r>
      <w:r>
        <w:rPr>
          <w:rFonts w:hint="default" w:ascii="Times New Roman" w:hAnsi="Times New Roman" w:eastAsia="Times New Roman"/>
          <w:color w:val="auto"/>
          <w:spacing w:val="-4"/>
          <w:sz w:val="28"/>
        </w:rPr>
        <w:t>0</w:t>
      </w:r>
      <w:r>
        <w:rPr>
          <w:rFonts w:hint="default" w:ascii="Times New Roman" w:hAnsi="Times New Roman" w:eastAsia="Times New Roman"/>
          <w:color w:val="auto"/>
          <w:spacing w:val="-16"/>
          <w:sz w:val="28"/>
        </w:rPr>
        <w:t>1</w:t>
      </w:r>
      <w:r>
        <w:rPr>
          <w:rFonts w:hint="default" w:ascii="Times New Roman" w:hAnsi="Times New Roman" w:eastAsia="Times New Roman"/>
          <w:color w:val="auto"/>
          <w:spacing w:val="-4"/>
          <w:sz w:val="28"/>
        </w:rPr>
        <w:t>1</w:t>
      </w:r>
      <w:r>
        <w:rPr>
          <w:rFonts w:hint="eastAsia"/>
          <w:color w:val="auto"/>
          <w:spacing w:val="-15"/>
          <w:sz w:val="28"/>
        </w:rPr>
        <w:t>〕</w:t>
      </w:r>
      <w:r>
        <w:rPr>
          <w:rFonts w:hint="default" w:ascii="Times New Roman" w:hAnsi="Times New Roman" w:eastAsia="Times New Roman"/>
          <w:color w:val="auto"/>
          <w:spacing w:val="-4"/>
          <w:sz w:val="28"/>
        </w:rPr>
        <w:t>9</w:t>
      </w:r>
      <w:r>
        <w:rPr>
          <w:rFonts w:hint="default" w:ascii="Times New Roman" w:hAnsi="Times New Roman" w:eastAsia="Times New Roman"/>
          <w:color w:val="auto"/>
          <w:sz w:val="28"/>
        </w:rPr>
        <w:t xml:space="preserve">5 </w:t>
      </w:r>
      <w:r>
        <w:rPr>
          <w:rFonts w:hint="eastAsia"/>
          <w:color w:val="auto"/>
          <w:spacing w:val="-10"/>
          <w:sz w:val="28"/>
        </w:rPr>
        <w:t>号</w:t>
      </w:r>
      <w:r>
        <w:rPr>
          <w:rFonts w:hint="eastAsia"/>
          <w:color w:val="auto"/>
          <w:spacing w:val="-147"/>
          <w:sz w:val="28"/>
        </w:rPr>
        <w:t>）</w:t>
      </w:r>
      <w:r>
        <w:rPr>
          <w:rFonts w:hint="eastAsia"/>
          <w:color w:val="auto"/>
          <w:spacing w:val="-13"/>
          <w:sz w:val="28"/>
        </w:rPr>
        <w:t>，本项目涉及的氨</w:t>
      </w:r>
      <w:r>
        <w:rPr>
          <w:rFonts w:hint="eastAsia"/>
          <w:color w:val="auto"/>
          <w:spacing w:val="-10"/>
          <w:sz w:val="28"/>
        </w:rPr>
        <w:t>为重点监管的危险化学品。重点监管的危险化学品安全措施和事故应急处</w:t>
      </w:r>
      <w:r>
        <w:rPr>
          <w:rFonts w:hint="eastAsia"/>
          <w:color w:val="auto"/>
          <w:spacing w:val="-19"/>
          <w:sz w:val="28"/>
        </w:rPr>
        <w:t>置原则分别见表</w:t>
      </w:r>
      <w:r>
        <w:rPr>
          <w:rFonts w:hint="eastAsia"/>
          <w:color w:val="auto"/>
          <w:spacing w:val="-19"/>
          <w:sz w:val="28"/>
          <w:lang w:val="en-US" w:eastAsia="zh-CN"/>
        </w:rPr>
        <w:t>7.8</w:t>
      </w:r>
      <w:r>
        <w:rPr>
          <w:rFonts w:hint="default" w:ascii="Times New Roman" w:hAnsi="Times New Roman" w:eastAsia="Times New Roman"/>
          <w:color w:val="auto"/>
          <w:spacing w:val="-6"/>
          <w:sz w:val="28"/>
        </w:rPr>
        <w:t>-1</w:t>
      </w:r>
      <w:r>
        <w:rPr>
          <w:rFonts w:hint="eastAsia"/>
          <w:color w:val="auto"/>
          <w:sz w:val="28"/>
        </w:rPr>
        <w:t>。</w:t>
      </w:r>
    </w:p>
    <w:p>
      <w:pPr>
        <w:pStyle w:val="22"/>
        <w:kinsoku w:val="0"/>
        <w:overflowPunct w:val="0"/>
        <w:spacing w:before="35" w:beforeLines="0" w:after="28" w:afterLines="0"/>
        <w:ind w:left="2774"/>
        <w:rPr>
          <w:rFonts w:hint="eastAsia"/>
          <w:b/>
          <w:color w:val="auto"/>
          <w:spacing w:val="-8"/>
          <w:sz w:val="24"/>
        </w:rPr>
      </w:pPr>
      <w:r>
        <w:rPr>
          <w:rFonts w:hint="eastAsia"/>
          <w:b/>
          <w:color w:val="auto"/>
          <w:spacing w:val="-36"/>
          <w:sz w:val="24"/>
        </w:rPr>
        <w:t xml:space="preserve">表 </w:t>
      </w:r>
      <w:r>
        <w:rPr>
          <w:rFonts w:hint="eastAsia" w:ascii="Times New Roman" w:hAnsi="Times New Roman" w:eastAsia="宋体"/>
          <w:b/>
          <w:color w:val="auto"/>
          <w:spacing w:val="-4"/>
          <w:sz w:val="24"/>
          <w:lang w:val="en-US" w:eastAsia="zh-CN"/>
        </w:rPr>
        <w:t>7.</w:t>
      </w:r>
      <w:r>
        <w:rPr>
          <w:rFonts w:hint="eastAsia"/>
          <w:b/>
          <w:color w:val="auto"/>
          <w:spacing w:val="-4"/>
          <w:sz w:val="24"/>
          <w:lang w:val="en-US" w:eastAsia="zh-CN"/>
        </w:rPr>
        <w:t>8</w:t>
      </w:r>
      <w:r>
        <w:rPr>
          <w:rFonts w:hint="default" w:ascii="Times New Roman" w:hAnsi="Times New Roman" w:eastAsia="Times New Roman"/>
          <w:b/>
          <w:color w:val="auto"/>
          <w:spacing w:val="-4"/>
          <w:sz w:val="24"/>
        </w:rPr>
        <w:t>-1</w:t>
      </w:r>
      <w:r>
        <w:rPr>
          <w:rFonts w:hint="default" w:ascii="Times New Roman" w:hAnsi="Times New Roman" w:eastAsia="Times New Roman"/>
          <w:b/>
          <w:color w:val="auto"/>
          <w:spacing w:val="46"/>
          <w:sz w:val="24"/>
        </w:rPr>
        <w:t xml:space="preserve"> </w:t>
      </w:r>
      <w:r>
        <w:rPr>
          <w:rFonts w:hint="eastAsia"/>
          <w:b/>
          <w:color w:val="auto"/>
          <w:spacing w:val="-8"/>
          <w:sz w:val="24"/>
        </w:rPr>
        <w:t>氨安全措施和事故应急处置原则</w:t>
      </w:r>
    </w:p>
    <w:tbl>
      <w:tblPr>
        <w:tblStyle w:val="45"/>
        <w:tblW w:w="8537" w:type="dxa"/>
        <w:tblInd w:w="2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
        <w:gridCol w:w="77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1" w:hRule="atLeast"/>
        </w:trPr>
        <w:tc>
          <w:tcPr>
            <w:tcW w:w="830"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4" w:beforeLines="0" w:afterLines="0" w:line="280" w:lineRule="atLeast"/>
              <w:ind w:left="225" w:right="176"/>
              <w:jc w:val="left"/>
              <w:rPr>
                <w:rFonts w:hint="eastAsia"/>
                <w:b/>
                <w:color w:val="auto"/>
                <w:sz w:val="21"/>
              </w:rPr>
            </w:pPr>
            <w:r>
              <w:rPr>
                <w:rFonts w:hint="eastAsia"/>
                <w:b/>
                <w:color w:val="auto"/>
                <w:sz w:val="21"/>
              </w:rPr>
              <w:t>特别警示</w:t>
            </w:r>
          </w:p>
        </w:tc>
        <w:tc>
          <w:tcPr>
            <w:tcW w:w="7707"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154" w:beforeLines="0" w:afterLines="0"/>
              <w:ind w:left="537"/>
              <w:jc w:val="left"/>
              <w:rPr>
                <w:rFonts w:hint="eastAsia"/>
                <w:color w:val="auto"/>
                <w:sz w:val="21"/>
              </w:rPr>
            </w:pPr>
            <w:r>
              <w:rPr>
                <w:rFonts w:hint="eastAsia"/>
                <w:color w:val="auto"/>
                <w:sz w:val="21"/>
              </w:rPr>
              <w:t>与空气能形成爆炸性混合物；吸入可引起中毒性肺水肿。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57" w:hRule="atLeast"/>
        </w:trPr>
        <w:tc>
          <w:tcPr>
            <w:tcW w:w="83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74" w:beforeLines="0" w:afterLines="0" w:line="249" w:lineRule="auto"/>
              <w:ind w:left="331" w:right="280"/>
              <w:jc w:val="both"/>
              <w:rPr>
                <w:rFonts w:hint="eastAsia"/>
                <w:b/>
                <w:color w:val="auto"/>
                <w:sz w:val="21"/>
              </w:rPr>
            </w:pPr>
            <w:r>
              <w:rPr>
                <w:rFonts w:hint="eastAsia"/>
                <w:b/>
                <w:color w:val="auto"/>
                <w:sz w:val="21"/>
              </w:rPr>
              <w:t>理化特性</w:t>
            </w:r>
          </w:p>
        </w:tc>
        <w:tc>
          <w:tcPr>
            <w:tcW w:w="770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beforeLines="0" w:afterLines="0" w:line="249" w:lineRule="auto"/>
              <w:ind w:left="117" w:right="-15" w:firstLine="420"/>
              <w:jc w:val="left"/>
              <w:rPr>
                <w:rFonts w:hint="eastAsia"/>
                <w:color w:val="auto"/>
                <w:w w:val="105"/>
                <w:sz w:val="21"/>
              </w:rPr>
            </w:pPr>
            <w:r>
              <w:rPr>
                <w:rFonts w:hint="eastAsia"/>
                <w:color w:val="auto"/>
                <w:spacing w:val="-3"/>
                <w:sz w:val="21"/>
              </w:rPr>
              <w:t>常温常压下为无色气体，有强烈的刺激性气味。</w:t>
            </w:r>
            <w:r>
              <w:rPr>
                <w:rFonts w:hint="default" w:ascii="Times New Roman" w:hAnsi="Times New Roman" w:eastAsia="Times New Roman"/>
                <w:color w:val="auto"/>
                <w:sz w:val="21"/>
              </w:rPr>
              <w:t>20℃</w:t>
            </w:r>
            <w:r>
              <w:rPr>
                <w:rFonts w:hint="eastAsia"/>
                <w:color w:val="auto"/>
                <w:sz w:val="21"/>
              </w:rPr>
              <w:t>、</w:t>
            </w:r>
            <w:r>
              <w:rPr>
                <w:rFonts w:hint="default" w:ascii="Times New Roman" w:hAnsi="Times New Roman" w:eastAsia="Times New Roman"/>
                <w:color w:val="auto"/>
                <w:sz w:val="21"/>
              </w:rPr>
              <w:t>891kPa</w:t>
            </w:r>
            <w:r>
              <w:rPr>
                <w:rFonts w:hint="default" w:ascii="Times New Roman" w:hAnsi="Times New Roman" w:eastAsia="Times New Roman"/>
                <w:color w:val="auto"/>
                <w:spacing w:val="23"/>
                <w:sz w:val="21"/>
              </w:rPr>
              <w:t xml:space="preserve"> </w:t>
            </w:r>
            <w:r>
              <w:rPr>
                <w:rFonts w:hint="eastAsia"/>
                <w:color w:val="auto"/>
                <w:spacing w:val="-3"/>
                <w:sz w:val="21"/>
              </w:rPr>
              <w:t xml:space="preserve">下即可液化， </w:t>
            </w:r>
            <w:r>
              <w:rPr>
                <w:rFonts w:hint="eastAsia"/>
                <w:color w:val="auto"/>
                <w:spacing w:val="-15"/>
                <w:sz w:val="21"/>
              </w:rPr>
              <w:t>并放出大量的热。液氨在温度变化时，体积变化的系数很大。溶于水、乙醇和乙醚。</w:t>
            </w:r>
            <w:r>
              <w:rPr>
                <w:rFonts w:hint="eastAsia"/>
                <w:color w:val="auto"/>
                <w:spacing w:val="-1"/>
                <w:sz w:val="21"/>
              </w:rPr>
              <w:t xml:space="preserve">分子量为 </w:t>
            </w:r>
            <w:r>
              <w:rPr>
                <w:rFonts w:hint="default" w:ascii="Times New Roman" w:hAnsi="Times New Roman" w:eastAsia="Times New Roman"/>
                <w:color w:val="auto"/>
                <w:spacing w:val="-11"/>
                <w:sz w:val="21"/>
              </w:rPr>
              <w:t>17.03</w:t>
            </w:r>
            <w:r>
              <w:rPr>
                <w:rFonts w:hint="eastAsia"/>
                <w:color w:val="auto"/>
                <w:spacing w:val="-5"/>
                <w:sz w:val="21"/>
              </w:rPr>
              <w:t>，熔点</w:t>
            </w:r>
            <w:r>
              <w:rPr>
                <w:rFonts w:hint="default" w:ascii="Times New Roman" w:hAnsi="Times New Roman" w:eastAsia="Times New Roman"/>
                <w:color w:val="auto"/>
                <w:spacing w:val="-11"/>
                <w:sz w:val="21"/>
              </w:rPr>
              <w:t>-77.7℃</w:t>
            </w:r>
            <w:r>
              <w:rPr>
                <w:rFonts w:hint="eastAsia"/>
                <w:color w:val="auto"/>
                <w:spacing w:val="-4"/>
                <w:sz w:val="21"/>
              </w:rPr>
              <w:t>，沸点</w:t>
            </w:r>
            <w:r>
              <w:rPr>
                <w:rFonts w:hint="default" w:ascii="Times New Roman" w:hAnsi="Times New Roman" w:eastAsia="Times New Roman"/>
                <w:color w:val="auto"/>
                <w:spacing w:val="-10"/>
                <w:sz w:val="21"/>
              </w:rPr>
              <w:t>-33.5℃</w:t>
            </w:r>
            <w:r>
              <w:rPr>
                <w:rFonts w:hint="eastAsia"/>
                <w:color w:val="auto"/>
                <w:sz w:val="21"/>
              </w:rPr>
              <w:t xml:space="preserve">，气体密度 </w:t>
            </w:r>
            <w:r>
              <w:rPr>
                <w:rFonts w:hint="default" w:ascii="Times New Roman" w:hAnsi="Times New Roman" w:eastAsia="Times New Roman"/>
                <w:color w:val="auto"/>
                <w:spacing w:val="-7"/>
                <w:sz w:val="21"/>
              </w:rPr>
              <w:t>0.7708g/L</w:t>
            </w:r>
            <w:r>
              <w:rPr>
                <w:rFonts w:hint="eastAsia"/>
                <w:color w:val="auto"/>
                <w:spacing w:val="-12"/>
                <w:sz w:val="21"/>
              </w:rPr>
              <w:t>，相对蒸气密度</w:t>
            </w:r>
            <w:r>
              <w:rPr>
                <w:rFonts w:hint="eastAsia"/>
                <w:color w:val="auto"/>
                <w:spacing w:val="-3"/>
                <w:sz w:val="21"/>
              </w:rPr>
              <w:t>（</w:t>
            </w:r>
            <w:r>
              <w:rPr>
                <w:rFonts w:hint="eastAsia"/>
                <w:color w:val="auto"/>
                <w:sz w:val="21"/>
              </w:rPr>
              <w:t>空气</w:t>
            </w:r>
            <w:r>
              <w:rPr>
                <w:rFonts w:hint="eastAsia"/>
                <w:color w:val="auto"/>
                <w:spacing w:val="-17"/>
                <w:sz w:val="21"/>
              </w:rPr>
              <w:t>＝</w:t>
            </w:r>
            <w:r>
              <w:rPr>
                <w:rFonts w:hint="default" w:ascii="Times New Roman" w:hAnsi="Times New Roman" w:eastAsia="Times New Roman"/>
                <w:color w:val="auto"/>
                <w:spacing w:val="-17"/>
                <w:sz w:val="21"/>
              </w:rPr>
              <w:t>1</w:t>
            </w:r>
            <w:r>
              <w:rPr>
                <w:rFonts w:hint="eastAsia"/>
                <w:color w:val="auto"/>
                <w:spacing w:val="-17"/>
                <w:sz w:val="21"/>
              </w:rPr>
              <w:t>）</w:t>
            </w:r>
            <w:r>
              <w:rPr>
                <w:rFonts w:hint="default" w:ascii="Times New Roman" w:hAnsi="Times New Roman" w:eastAsia="Times New Roman"/>
                <w:color w:val="auto"/>
                <w:spacing w:val="-17"/>
                <w:sz w:val="21"/>
              </w:rPr>
              <w:t>0.59</w:t>
            </w:r>
            <w:r>
              <w:rPr>
                <w:rFonts w:hint="eastAsia"/>
                <w:color w:val="auto"/>
                <w:spacing w:val="-18"/>
                <w:sz w:val="21"/>
              </w:rPr>
              <w:t>，相对密度</w:t>
            </w:r>
            <w:r>
              <w:rPr>
                <w:rFonts w:hint="eastAsia"/>
                <w:color w:val="auto"/>
                <w:spacing w:val="-3"/>
                <w:sz w:val="21"/>
              </w:rPr>
              <w:t>（水</w:t>
            </w:r>
            <w:r>
              <w:rPr>
                <w:rFonts w:hint="eastAsia"/>
                <w:color w:val="auto"/>
                <w:spacing w:val="-11"/>
                <w:sz w:val="21"/>
              </w:rPr>
              <w:t>＝</w:t>
            </w:r>
            <w:r>
              <w:rPr>
                <w:rFonts w:hint="default" w:ascii="Times New Roman" w:hAnsi="Times New Roman" w:eastAsia="Times New Roman"/>
                <w:color w:val="auto"/>
                <w:spacing w:val="-11"/>
                <w:sz w:val="21"/>
              </w:rPr>
              <w:t>1</w:t>
            </w:r>
            <w:r>
              <w:rPr>
                <w:rFonts w:hint="eastAsia"/>
                <w:color w:val="auto"/>
                <w:spacing w:val="-11"/>
                <w:sz w:val="21"/>
              </w:rPr>
              <w:t>）</w:t>
            </w:r>
            <w:r>
              <w:rPr>
                <w:rFonts w:hint="default" w:ascii="Times New Roman" w:hAnsi="Times New Roman" w:eastAsia="Times New Roman"/>
                <w:color w:val="auto"/>
                <w:spacing w:val="-11"/>
                <w:sz w:val="21"/>
              </w:rPr>
              <w:t>0.7(-33℃)</w:t>
            </w:r>
            <w:r>
              <w:rPr>
                <w:rFonts w:hint="eastAsia"/>
                <w:color w:val="auto"/>
                <w:spacing w:val="1"/>
                <w:sz w:val="21"/>
              </w:rPr>
              <w:t xml:space="preserve">，临界压力 </w:t>
            </w:r>
            <w:r>
              <w:rPr>
                <w:rFonts w:hint="default" w:ascii="Times New Roman" w:hAnsi="Times New Roman" w:eastAsia="Times New Roman"/>
                <w:color w:val="auto"/>
                <w:spacing w:val="-8"/>
                <w:sz w:val="21"/>
              </w:rPr>
              <w:t>11.40MPa</w:t>
            </w:r>
            <w:r>
              <w:rPr>
                <w:rFonts w:hint="eastAsia"/>
                <w:color w:val="auto"/>
                <w:spacing w:val="1"/>
                <w:sz w:val="21"/>
              </w:rPr>
              <w:t xml:space="preserve">，临界温度 </w:t>
            </w:r>
            <w:r>
              <w:rPr>
                <w:rFonts w:hint="default" w:ascii="Times New Roman" w:hAnsi="Times New Roman" w:eastAsia="Times New Roman"/>
                <w:color w:val="auto"/>
                <w:spacing w:val="-17"/>
                <w:sz w:val="21"/>
              </w:rPr>
              <w:t>132.5℃</w:t>
            </w:r>
            <w:r>
              <w:rPr>
                <w:rFonts w:hint="eastAsia"/>
                <w:color w:val="auto"/>
                <w:spacing w:val="-17"/>
                <w:sz w:val="21"/>
              </w:rPr>
              <w:t xml:space="preserve">， </w:t>
            </w:r>
            <w:r>
              <w:rPr>
                <w:rFonts w:hint="eastAsia"/>
                <w:color w:val="auto"/>
                <w:spacing w:val="-3"/>
                <w:sz w:val="21"/>
              </w:rPr>
              <w:t xml:space="preserve">饱和蒸气压 </w:t>
            </w:r>
            <w:r>
              <w:rPr>
                <w:rFonts w:hint="default" w:ascii="Times New Roman" w:hAnsi="Times New Roman" w:eastAsia="Times New Roman"/>
                <w:color w:val="auto"/>
                <w:sz w:val="21"/>
              </w:rPr>
              <w:t>1013kPa(26℃)</w:t>
            </w:r>
            <w:r>
              <w:rPr>
                <w:rFonts w:hint="eastAsia"/>
                <w:color w:val="auto"/>
                <w:spacing w:val="-3"/>
                <w:sz w:val="21"/>
              </w:rPr>
              <w:t xml:space="preserve">，爆炸极限 </w:t>
            </w:r>
            <w:r>
              <w:rPr>
                <w:rFonts w:hint="default" w:ascii="Times New Roman" w:hAnsi="Times New Roman" w:eastAsia="Times New Roman"/>
                <w:color w:val="auto"/>
                <w:sz w:val="21"/>
              </w:rPr>
              <w:t>15%</w:t>
            </w:r>
            <w:r>
              <w:rPr>
                <w:rFonts w:hint="eastAsia"/>
                <w:color w:val="auto"/>
                <w:sz w:val="21"/>
              </w:rPr>
              <w:t>～</w:t>
            </w:r>
            <w:r>
              <w:rPr>
                <w:rFonts w:hint="default" w:ascii="Times New Roman" w:hAnsi="Times New Roman" w:eastAsia="Times New Roman"/>
                <w:color w:val="auto"/>
                <w:sz w:val="21"/>
              </w:rPr>
              <w:t>30.2%</w:t>
            </w:r>
            <w:r>
              <w:rPr>
                <w:rFonts w:hint="eastAsia"/>
                <w:color w:val="auto"/>
                <w:sz w:val="21"/>
              </w:rPr>
              <w:t>（</w:t>
            </w:r>
            <w:r>
              <w:rPr>
                <w:rFonts w:hint="eastAsia"/>
                <w:color w:val="auto"/>
                <w:spacing w:val="-1"/>
                <w:sz w:val="21"/>
              </w:rPr>
              <w:t>体积比</w:t>
            </w:r>
            <w:r>
              <w:rPr>
                <w:rFonts w:hint="eastAsia"/>
                <w:color w:val="auto"/>
                <w:sz w:val="21"/>
              </w:rPr>
              <w:t>）</w:t>
            </w:r>
            <w:r>
              <w:rPr>
                <w:rFonts w:hint="eastAsia"/>
                <w:color w:val="auto"/>
                <w:spacing w:val="-3"/>
                <w:sz w:val="21"/>
              </w:rPr>
              <w:t xml:space="preserve">，自燃温度 </w:t>
            </w:r>
            <w:r>
              <w:rPr>
                <w:rFonts w:hint="default" w:ascii="Times New Roman" w:hAnsi="Times New Roman" w:eastAsia="Times New Roman"/>
                <w:color w:val="auto"/>
                <w:spacing w:val="-12"/>
                <w:sz w:val="21"/>
              </w:rPr>
              <w:t>630℃</w:t>
            </w:r>
            <w:r>
              <w:rPr>
                <w:rFonts w:hint="eastAsia"/>
                <w:color w:val="auto"/>
                <w:spacing w:val="-12"/>
                <w:sz w:val="21"/>
              </w:rPr>
              <w:t xml:space="preserve">， </w:t>
            </w:r>
            <w:r>
              <w:rPr>
                <w:rFonts w:hint="eastAsia"/>
                <w:color w:val="auto"/>
                <w:spacing w:val="-11"/>
                <w:w w:val="105"/>
                <w:sz w:val="21"/>
              </w:rPr>
              <w:t xml:space="preserve">最大爆炸压力 </w:t>
            </w:r>
            <w:r>
              <w:rPr>
                <w:rFonts w:hint="default" w:ascii="Times New Roman" w:hAnsi="Times New Roman" w:eastAsia="Times New Roman"/>
                <w:color w:val="auto"/>
                <w:w w:val="105"/>
                <w:sz w:val="21"/>
              </w:rPr>
              <w:t>0.580MPa</w:t>
            </w:r>
            <w:r>
              <w:rPr>
                <w:rFonts w:hint="eastAsia"/>
                <w:color w:val="auto"/>
                <w:w w:val="105"/>
                <w:sz w:val="21"/>
              </w:rPr>
              <w:t>。</w:t>
            </w:r>
          </w:p>
          <w:p>
            <w:pPr>
              <w:pStyle w:val="247"/>
              <w:kinsoku w:val="0"/>
              <w:overflowPunct w:val="0"/>
              <w:spacing w:before="1" w:beforeLines="0" w:afterLines="0" w:line="247" w:lineRule="exact"/>
              <w:ind w:left="537"/>
              <w:jc w:val="left"/>
              <w:rPr>
                <w:rFonts w:hint="eastAsia"/>
                <w:color w:val="auto"/>
                <w:sz w:val="21"/>
              </w:rPr>
            </w:pPr>
            <w:r>
              <w:rPr>
                <w:rFonts w:hint="eastAsia"/>
                <w:color w:val="auto"/>
                <w:sz w:val="21"/>
              </w:rPr>
              <w:t>主要用途：主要用作致冷剂及制取铵盐和氮肥。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00" w:hRule="atLeast"/>
        </w:trPr>
        <w:tc>
          <w:tcPr>
            <w:tcW w:w="830" w:type="dxa"/>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7" w:beforeLines="0" w:afterLines="0"/>
              <w:jc w:val="left"/>
              <w:rPr>
                <w:rFonts w:hint="eastAsia" w:ascii="楷体" w:hAnsi="楷体" w:eastAsia="楷体"/>
                <w:b/>
                <w:color w:val="auto"/>
                <w:sz w:val="26"/>
              </w:rPr>
            </w:pPr>
          </w:p>
          <w:p>
            <w:pPr>
              <w:pStyle w:val="247"/>
              <w:kinsoku w:val="0"/>
              <w:overflowPunct w:val="0"/>
              <w:spacing w:beforeLines="0" w:afterLines="0" w:line="249" w:lineRule="auto"/>
              <w:ind w:left="331" w:right="280"/>
              <w:jc w:val="both"/>
              <w:rPr>
                <w:rFonts w:hint="eastAsia"/>
                <w:b/>
                <w:color w:val="auto"/>
                <w:sz w:val="21"/>
              </w:rPr>
            </w:pPr>
            <w:r>
              <w:rPr>
                <w:rFonts w:hint="eastAsia"/>
                <w:b/>
                <w:color w:val="auto"/>
                <w:sz w:val="21"/>
              </w:rPr>
              <w:t>危害信息</w:t>
            </w:r>
          </w:p>
        </w:tc>
        <w:tc>
          <w:tcPr>
            <w:tcW w:w="7707"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 w:beforeLines="0" w:afterLines="0"/>
              <w:ind w:left="117"/>
              <w:jc w:val="left"/>
              <w:rPr>
                <w:rFonts w:hint="eastAsia"/>
                <w:color w:val="auto"/>
                <w:sz w:val="21"/>
              </w:rPr>
            </w:pPr>
            <w:r>
              <w:rPr>
                <w:rFonts w:hint="eastAsia"/>
                <w:color w:val="auto"/>
                <w:sz w:val="21"/>
              </w:rPr>
              <w:t>【燃烧和爆炸危险性】</w:t>
            </w:r>
          </w:p>
          <w:p>
            <w:pPr>
              <w:pStyle w:val="247"/>
              <w:kinsoku w:val="0"/>
              <w:overflowPunct w:val="0"/>
              <w:spacing w:before="11" w:beforeLines="0" w:afterLines="0"/>
              <w:ind w:left="537"/>
              <w:jc w:val="left"/>
              <w:rPr>
                <w:rFonts w:hint="eastAsia"/>
                <w:color w:val="auto"/>
                <w:sz w:val="21"/>
              </w:rPr>
            </w:pPr>
            <w:r>
              <w:rPr>
                <w:rFonts w:hint="eastAsia"/>
                <w:color w:val="auto"/>
                <w:sz w:val="21"/>
              </w:rPr>
              <w:t>极易燃，能与空气形成爆炸性混合物，遇明火、高热引起燃烧爆炸。</w:t>
            </w:r>
          </w:p>
          <w:p>
            <w:pPr>
              <w:pStyle w:val="247"/>
              <w:kinsoku w:val="0"/>
              <w:overflowPunct w:val="0"/>
              <w:spacing w:before="10" w:beforeLines="0" w:afterLines="0"/>
              <w:ind w:left="117"/>
              <w:jc w:val="left"/>
              <w:rPr>
                <w:rFonts w:hint="eastAsia"/>
                <w:color w:val="auto"/>
                <w:sz w:val="21"/>
              </w:rPr>
            </w:pPr>
            <w:r>
              <w:rPr>
                <w:rFonts w:hint="eastAsia"/>
                <w:color w:val="auto"/>
                <w:sz w:val="21"/>
              </w:rPr>
              <w:t>【活性反应】</w:t>
            </w:r>
          </w:p>
          <w:p>
            <w:pPr>
              <w:pStyle w:val="247"/>
              <w:kinsoku w:val="0"/>
              <w:overflowPunct w:val="0"/>
              <w:spacing w:before="12" w:beforeLines="0" w:afterLines="0"/>
              <w:ind w:left="537"/>
              <w:jc w:val="left"/>
              <w:rPr>
                <w:rFonts w:hint="eastAsia"/>
                <w:color w:val="auto"/>
                <w:sz w:val="21"/>
              </w:rPr>
            </w:pPr>
            <w:r>
              <w:rPr>
                <w:rFonts w:hint="eastAsia"/>
                <w:color w:val="auto"/>
                <w:sz w:val="21"/>
              </w:rPr>
              <w:t>与氟、氯等接触会发生剧烈的化学反应。</w:t>
            </w:r>
          </w:p>
          <w:p>
            <w:pPr>
              <w:pStyle w:val="247"/>
              <w:kinsoku w:val="0"/>
              <w:overflowPunct w:val="0"/>
              <w:spacing w:before="12" w:beforeLines="0" w:afterLines="0"/>
              <w:ind w:left="117"/>
              <w:jc w:val="left"/>
              <w:rPr>
                <w:rFonts w:hint="eastAsia"/>
                <w:color w:val="auto"/>
                <w:sz w:val="21"/>
              </w:rPr>
            </w:pPr>
            <w:r>
              <w:rPr>
                <w:rFonts w:hint="eastAsia"/>
                <w:color w:val="auto"/>
                <w:sz w:val="21"/>
              </w:rPr>
              <w:t>【健康危害】</w:t>
            </w:r>
          </w:p>
          <w:p>
            <w:pPr>
              <w:pStyle w:val="247"/>
              <w:kinsoku w:val="0"/>
              <w:overflowPunct w:val="0"/>
              <w:spacing w:before="9" w:beforeLines="0" w:afterLines="0" w:line="249" w:lineRule="auto"/>
              <w:ind w:left="117" w:right="88" w:firstLine="420"/>
              <w:jc w:val="both"/>
              <w:rPr>
                <w:rFonts w:hint="eastAsia"/>
                <w:color w:val="auto"/>
                <w:spacing w:val="-5"/>
                <w:sz w:val="21"/>
              </w:rPr>
            </w:pPr>
            <w:r>
              <w:rPr>
                <w:rFonts w:hint="eastAsia"/>
                <w:color w:val="auto"/>
                <w:spacing w:val="-9"/>
                <w:sz w:val="21"/>
              </w:rPr>
              <w:t>对眼、呼吸道粘膜有强烈刺激和腐蚀作用。急性氨中毒引起眼和呼吸道刺激症</w:t>
            </w:r>
            <w:r>
              <w:rPr>
                <w:rFonts w:hint="eastAsia"/>
                <w:color w:val="auto"/>
                <w:spacing w:val="-10"/>
                <w:sz w:val="21"/>
              </w:rPr>
              <w:t>状，支气管炎或支气管周围炎，肺炎，重度中毒者可发生中毒性肺水肿。高浓度氨</w:t>
            </w:r>
            <w:r>
              <w:rPr>
                <w:rFonts w:hint="eastAsia"/>
                <w:color w:val="auto"/>
                <w:spacing w:val="-5"/>
                <w:sz w:val="21"/>
              </w:rPr>
              <w:t>可引起反射性呼吸和心搏停止。可致眼和皮肤灼伤。</w:t>
            </w:r>
          </w:p>
          <w:p>
            <w:pPr>
              <w:pStyle w:val="247"/>
              <w:kinsoku w:val="0"/>
              <w:overflowPunct w:val="0"/>
              <w:spacing w:before="1" w:beforeLines="0" w:afterLines="0"/>
              <w:ind w:left="640"/>
              <w:jc w:val="left"/>
              <w:rPr>
                <w:rFonts w:hint="eastAsia"/>
                <w:color w:val="auto"/>
                <w:sz w:val="21"/>
              </w:rPr>
            </w:pPr>
            <w:r>
              <w:rPr>
                <w:rFonts w:hint="default" w:ascii="Times New Roman" w:hAnsi="Times New Roman" w:eastAsia="Times New Roman"/>
                <w:color w:val="auto"/>
                <w:sz w:val="21"/>
              </w:rPr>
              <w:t>PC-TWA(</w:t>
            </w:r>
            <w:r>
              <w:rPr>
                <w:rFonts w:hint="eastAsia"/>
                <w:color w:val="auto"/>
                <w:sz w:val="21"/>
              </w:rPr>
              <w:t>时间加权平均容许浓度</w:t>
            </w: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default" w:ascii="Times New Roman" w:hAnsi="Times New Roman" w:eastAsia="Times New Roman"/>
                <w:color w:val="auto"/>
                <w:sz w:val="21"/>
              </w:rPr>
              <w:t>):20; PC-STEL(</w:t>
            </w:r>
            <w:r>
              <w:rPr>
                <w:rFonts w:hint="eastAsia"/>
                <w:color w:val="auto"/>
                <w:sz w:val="21"/>
              </w:rPr>
              <w:t>短时间接触容许浓</w:t>
            </w:r>
          </w:p>
          <w:p>
            <w:pPr>
              <w:pStyle w:val="247"/>
              <w:kinsoku w:val="0"/>
              <w:overflowPunct w:val="0"/>
              <w:spacing w:before="11" w:beforeLines="0" w:afterLines="0" w:line="247" w:lineRule="exact"/>
              <w:ind w:left="117"/>
              <w:jc w:val="left"/>
              <w:rPr>
                <w:rFonts w:hint="eastAsia"/>
                <w:color w:val="auto"/>
                <w:sz w:val="21"/>
              </w:rPr>
            </w:pPr>
            <w:r>
              <w:rPr>
                <w:rFonts w:hint="eastAsia"/>
                <w:color w:val="auto"/>
                <w:sz w:val="21"/>
              </w:rPr>
              <w:t>度</w:t>
            </w:r>
            <w:r>
              <w:rPr>
                <w:rFonts w:hint="default" w:ascii="Times New Roman" w:hAnsi="Times New Roman" w:eastAsia="Times New Roman"/>
                <w:color w:val="auto"/>
                <w:sz w:val="21"/>
              </w:rPr>
              <w:t>)(mg/m</w:t>
            </w:r>
            <w:r>
              <w:rPr>
                <w:rFonts w:hint="default" w:ascii="Times New Roman" w:hAnsi="Times New Roman" w:eastAsia="Times New Roman"/>
                <w:color w:val="auto"/>
                <w:sz w:val="21"/>
                <w:vertAlign w:val="superscript"/>
              </w:rPr>
              <w:t>3</w:t>
            </w:r>
            <w:r>
              <w:rPr>
                <w:rFonts w:hint="default" w:ascii="Times New Roman" w:hAnsi="Times New Roman" w:eastAsia="Times New Roman"/>
                <w:color w:val="auto"/>
                <w:sz w:val="21"/>
              </w:rPr>
              <w:t>):30</w:t>
            </w:r>
            <w:r>
              <w:rPr>
                <w:rFonts w:hint="eastAsia"/>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321" w:hRule="atLeast"/>
        </w:trPr>
        <w:tc>
          <w:tcPr>
            <w:tcW w:w="830"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Lines="0" w:afterLines="0"/>
              <w:jc w:val="left"/>
              <w:rPr>
                <w:rFonts w:hint="eastAsia" w:ascii="楷体" w:hAnsi="楷体" w:eastAsia="楷体"/>
                <w:b/>
                <w:color w:val="auto"/>
                <w:sz w:val="20"/>
              </w:rPr>
            </w:pPr>
          </w:p>
          <w:p>
            <w:pPr>
              <w:pStyle w:val="247"/>
              <w:kinsoku w:val="0"/>
              <w:overflowPunct w:val="0"/>
              <w:spacing w:before="12" w:beforeLines="0" w:afterLines="0"/>
              <w:jc w:val="left"/>
              <w:rPr>
                <w:rFonts w:hint="eastAsia" w:ascii="楷体" w:hAnsi="楷体" w:eastAsia="楷体"/>
                <w:b/>
                <w:color w:val="auto"/>
                <w:sz w:val="24"/>
              </w:rPr>
            </w:pPr>
          </w:p>
          <w:p>
            <w:pPr>
              <w:pStyle w:val="247"/>
              <w:kinsoku w:val="0"/>
              <w:overflowPunct w:val="0"/>
              <w:spacing w:beforeLines="0" w:afterLines="0" w:line="249" w:lineRule="auto"/>
              <w:ind w:left="331" w:right="280"/>
              <w:jc w:val="both"/>
              <w:rPr>
                <w:rFonts w:hint="eastAsia"/>
                <w:b/>
                <w:color w:val="auto"/>
                <w:sz w:val="21"/>
              </w:rPr>
            </w:pPr>
            <w:r>
              <w:rPr>
                <w:rFonts w:hint="eastAsia"/>
                <w:b/>
                <w:color w:val="auto"/>
                <w:sz w:val="21"/>
              </w:rPr>
              <w:t>安全措施</w:t>
            </w:r>
          </w:p>
        </w:tc>
        <w:tc>
          <w:tcPr>
            <w:tcW w:w="7707"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13" w:beforeLines="0" w:afterLines="0"/>
              <w:ind w:left="117"/>
              <w:jc w:val="left"/>
              <w:rPr>
                <w:rFonts w:hint="eastAsia"/>
                <w:color w:val="auto"/>
                <w:sz w:val="21"/>
              </w:rPr>
            </w:pPr>
            <w:r>
              <w:rPr>
                <w:rFonts w:hint="eastAsia"/>
                <w:color w:val="auto"/>
                <w:sz w:val="21"/>
              </w:rPr>
              <w:t>【一般要求】</w:t>
            </w:r>
          </w:p>
          <w:p>
            <w:pPr>
              <w:pStyle w:val="247"/>
              <w:kinsoku w:val="0"/>
              <w:overflowPunct w:val="0"/>
              <w:spacing w:before="11" w:beforeLines="0" w:afterLines="0" w:line="247" w:lineRule="auto"/>
              <w:ind w:left="117" w:right="90" w:firstLine="420"/>
              <w:jc w:val="both"/>
              <w:rPr>
                <w:rFonts w:hint="eastAsia"/>
                <w:color w:val="auto"/>
                <w:spacing w:val="-5"/>
                <w:sz w:val="21"/>
              </w:rPr>
            </w:pPr>
            <w:r>
              <w:rPr>
                <w:rFonts w:hint="eastAsia"/>
                <w:color w:val="auto"/>
                <w:spacing w:val="-7"/>
                <w:sz w:val="21"/>
              </w:rPr>
              <w:t>操作人员必须经过专门培训，严格遵守操作规程，熟练掌握操作技能，具备应</w:t>
            </w:r>
            <w:r>
              <w:rPr>
                <w:rFonts w:hint="eastAsia"/>
                <w:color w:val="auto"/>
                <w:spacing w:val="-5"/>
                <w:sz w:val="21"/>
              </w:rPr>
              <w:t>急处置知识。</w:t>
            </w:r>
          </w:p>
          <w:p>
            <w:pPr>
              <w:pStyle w:val="247"/>
              <w:kinsoku w:val="0"/>
              <w:overflowPunct w:val="0"/>
              <w:spacing w:before="5" w:beforeLines="0" w:afterLines="0" w:line="252" w:lineRule="auto"/>
              <w:ind w:left="117" w:right="16" w:firstLine="420"/>
              <w:jc w:val="both"/>
              <w:rPr>
                <w:rFonts w:hint="eastAsia"/>
                <w:color w:val="auto"/>
                <w:sz w:val="21"/>
              </w:rPr>
            </w:pPr>
            <w:r>
              <w:rPr>
                <w:rFonts w:hint="eastAsia"/>
                <w:color w:val="auto"/>
                <w:sz w:val="21"/>
              </w:rPr>
              <w:t>严加密闭，防止泄漏，工作场所提供充分的局部排风和全面通风，远离火种、热源，工作场所严禁吸烟。</w:t>
            </w:r>
          </w:p>
          <w:p>
            <w:pPr>
              <w:pStyle w:val="247"/>
              <w:kinsoku w:val="0"/>
              <w:overflowPunct w:val="0"/>
              <w:spacing w:beforeLines="0" w:afterLines="0" w:line="249" w:lineRule="auto"/>
              <w:ind w:left="117" w:right="88" w:firstLine="420"/>
              <w:jc w:val="both"/>
              <w:rPr>
                <w:rFonts w:hint="eastAsia"/>
                <w:color w:val="auto"/>
                <w:spacing w:val="-6"/>
                <w:sz w:val="21"/>
              </w:rPr>
            </w:pPr>
            <w:r>
              <w:rPr>
                <w:rFonts w:hint="eastAsia"/>
                <w:color w:val="auto"/>
                <w:spacing w:val="-9"/>
                <w:sz w:val="21"/>
              </w:rPr>
              <w:t>生产、使用氨气的车间及贮氨场所应设置氨气泄漏检测报警仪，使用防爆型的</w:t>
            </w:r>
            <w:r>
              <w:rPr>
                <w:rFonts w:hint="eastAsia"/>
                <w:color w:val="auto"/>
                <w:spacing w:val="-10"/>
                <w:sz w:val="21"/>
              </w:rPr>
              <w:t>通风系统和设备，应至少配备两套正压式空气呼吸器、长管式防毒面具、重型防护</w:t>
            </w:r>
            <w:r>
              <w:rPr>
                <w:rFonts w:hint="eastAsia"/>
                <w:color w:val="auto"/>
                <w:spacing w:val="-11"/>
                <w:sz w:val="21"/>
              </w:rPr>
              <w:t>服等防护器具。戴化学安全防护眼镜，穿防静电工作服，戴橡胶手套。工作场所浓</w:t>
            </w:r>
            <w:r>
              <w:rPr>
                <w:rFonts w:hint="eastAsia"/>
                <w:color w:val="auto"/>
                <w:spacing w:val="-6"/>
                <w:sz w:val="21"/>
              </w:rPr>
              <w:t>度超标时，操作人员应该佩戴过滤式防毒面具。可能接触液体时，应防止冻伤。</w:t>
            </w:r>
          </w:p>
          <w:p>
            <w:pPr>
              <w:pStyle w:val="247"/>
              <w:kinsoku w:val="0"/>
              <w:overflowPunct w:val="0"/>
              <w:spacing w:beforeLines="0" w:afterLines="0" w:line="249" w:lineRule="auto"/>
              <w:ind w:left="117" w:right="88" w:firstLine="420"/>
              <w:jc w:val="both"/>
              <w:rPr>
                <w:rFonts w:hint="eastAsia"/>
                <w:color w:val="auto"/>
                <w:spacing w:val="-7"/>
                <w:sz w:val="21"/>
              </w:rPr>
            </w:pPr>
            <w:r>
              <w:rPr>
                <w:rFonts w:hint="eastAsia"/>
                <w:color w:val="auto"/>
                <w:spacing w:val="-7"/>
                <w:sz w:val="21"/>
              </w:rPr>
              <w:t>储罐等压力容器和设备应设置安全阀、压力表、液位计、温度计，并应装有带</w:t>
            </w:r>
            <w:r>
              <w:rPr>
                <w:rFonts w:hint="eastAsia"/>
                <w:color w:val="auto"/>
                <w:spacing w:val="-10"/>
                <w:sz w:val="21"/>
              </w:rPr>
              <w:t>压力、液位、温度远传记录和报警功能的安全装置，设置整流装置与压力机、动力</w:t>
            </w:r>
            <w:r>
              <w:rPr>
                <w:rFonts w:hint="eastAsia"/>
                <w:color w:val="auto"/>
                <w:spacing w:val="-11"/>
                <w:sz w:val="21"/>
              </w:rPr>
              <w:t>电源、管线压力、通风设施或相应的吸收装置的联锁装置。重点储罐需设置紧急切</w:t>
            </w:r>
            <w:r>
              <w:rPr>
                <w:rFonts w:hint="eastAsia"/>
                <w:color w:val="auto"/>
                <w:spacing w:val="-7"/>
                <w:sz w:val="21"/>
              </w:rPr>
              <w:t>断装置。</w:t>
            </w:r>
          </w:p>
          <w:p>
            <w:pPr>
              <w:pStyle w:val="247"/>
              <w:kinsoku w:val="0"/>
              <w:overflowPunct w:val="0"/>
              <w:spacing w:beforeLines="0" w:afterLines="0"/>
              <w:ind w:left="537"/>
              <w:jc w:val="left"/>
              <w:rPr>
                <w:rFonts w:hint="eastAsia"/>
                <w:color w:val="auto"/>
                <w:sz w:val="21"/>
              </w:rPr>
            </w:pPr>
            <w:r>
              <w:rPr>
                <w:rFonts w:hint="eastAsia"/>
                <w:color w:val="auto"/>
                <w:sz w:val="21"/>
              </w:rPr>
              <w:t>避免与氧化剂、酸类、卤素接触。</w:t>
            </w:r>
          </w:p>
          <w:p>
            <w:pPr>
              <w:pStyle w:val="247"/>
              <w:kinsoku w:val="0"/>
              <w:overflowPunct w:val="0"/>
              <w:spacing w:before="7" w:beforeLines="0" w:afterLines="0" w:line="249" w:lineRule="auto"/>
              <w:ind w:left="117" w:right="88" w:firstLine="420"/>
              <w:jc w:val="both"/>
              <w:rPr>
                <w:rFonts w:hint="eastAsia"/>
                <w:color w:val="auto"/>
                <w:spacing w:val="-6"/>
                <w:sz w:val="21"/>
              </w:rPr>
            </w:pPr>
            <w:r>
              <w:rPr>
                <w:rFonts w:hint="eastAsia"/>
                <w:color w:val="auto"/>
                <w:spacing w:val="-9"/>
                <w:sz w:val="21"/>
              </w:rPr>
              <w:t>生产、储存区域应设置安全警示标志。在传送过程中，钢瓶和容器必须接地和</w:t>
            </w:r>
            <w:r>
              <w:rPr>
                <w:rFonts w:hint="eastAsia"/>
                <w:color w:val="auto"/>
                <w:spacing w:val="-10"/>
                <w:sz w:val="21"/>
              </w:rPr>
              <w:t>跨接，防止产生静电。搬运时轻装轻卸，防止钢瓶及附件破损。禁止使用电磁起重</w:t>
            </w:r>
            <w:r>
              <w:rPr>
                <w:rFonts w:hint="eastAsia"/>
                <w:color w:val="auto"/>
                <w:spacing w:val="-11"/>
                <w:sz w:val="21"/>
              </w:rPr>
              <w:t>机和用链绳捆扎、或将瓶阀作为吊运着力点。配备相应品种和数量的消防器材及泄</w:t>
            </w:r>
            <w:r>
              <w:rPr>
                <w:rFonts w:hint="eastAsia"/>
                <w:color w:val="auto"/>
                <w:spacing w:val="-6"/>
                <w:sz w:val="21"/>
              </w:rPr>
              <w:t>漏应急处理设备。</w:t>
            </w:r>
          </w:p>
          <w:p>
            <w:pPr>
              <w:pStyle w:val="247"/>
              <w:kinsoku w:val="0"/>
              <w:overflowPunct w:val="0"/>
              <w:spacing w:before="2" w:beforeLines="0" w:afterLines="0" w:line="247" w:lineRule="exact"/>
              <w:ind w:left="117"/>
              <w:jc w:val="left"/>
              <w:rPr>
                <w:rFonts w:hint="eastAsia"/>
                <w:color w:val="auto"/>
                <w:sz w:val="21"/>
              </w:rPr>
            </w:pPr>
            <w:r>
              <w:rPr>
                <w:rFonts w:hint="eastAsia"/>
                <w:color w:val="auto"/>
                <w:sz w:val="21"/>
              </w:rPr>
              <w:t>【特殊要求】</w:t>
            </w:r>
          </w:p>
        </w:tc>
      </w:tr>
    </w:tbl>
    <w:p>
      <w:pPr>
        <w:spacing w:beforeLines="0" w:afterLines="0"/>
        <w:rPr>
          <w:rFonts w:hint="eastAsia"/>
          <w:b/>
          <w:color w:val="auto"/>
          <w:spacing w:val="-8"/>
          <w:sz w:val="24"/>
        </w:rPr>
        <w:sectPr>
          <w:footerReference r:id="rId25" w:type="default"/>
          <w:pgSz w:w="11910" w:h="16840"/>
          <w:pgMar w:top="1360" w:right="1300" w:bottom="1320" w:left="1340" w:header="877" w:footer="1127" w:gutter="0"/>
          <w:lnNumType w:countBy="0" w:distance="360"/>
          <w:pgNumType w:fmt="decimal"/>
          <w:cols w:space="720" w:num="1"/>
        </w:sectPr>
      </w:pPr>
    </w:p>
    <w:p>
      <w:pPr>
        <w:pStyle w:val="22"/>
        <w:kinsoku w:val="0"/>
        <w:overflowPunct w:val="0"/>
        <w:spacing w:before="10" w:beforeLines="0" w:afterLines="0"/>
        <w:rPr>
          <w:rFonts w:hint="default" w:ascii="Times New Roman" w:hAnsi="Times New Roman" w:eastAsia="Times New Roman"/>
          <w:color w:val="auto"/>
          <w:sz w:val="5"/>
        </w:rPr>
      </w:pPr>
    </w:p>
    <w:tbl>
      <w:tblPr>
        <w:tblStyle w:val="45"/>
        <w:tblW w:w="8537" w:type="dxa"/>
        <w:tblInd w:w="2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
        <w:gridCol w:w="77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243" w:hRule="atLeast"/>
        </w:trPr>
        <w:tc>
          <w:tcPr>
            <w:tcW w:w="830" w:type="dxa"/>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Lines="0" w:afterLines="0"/>
              <w:jc w:val="left"/>
              <w:rPr>
                <w:rFonts w:hint="default" w:ascii="Times New Roman" w:hAnsi="Times New Roman" w:eastAsia="Times New Roman"/>
                <w:color w:val="auto"/>
                <w:sz w:val="20"/>
              </w:rPr>
            </w:pPr>
          </w:p>
        </w:tc>
        <w:tc>
          <w:tcPr>
            <w:tcW w:w="7707" w:type="dxa"/>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15" w:beforeLines="0" w:afterLines="0"/>
              <w:ind w:left="537"/>
              <w:jc w:val="left"/>
              <w:rPr>
                <w:rFonts w:hint="eastAsia"/>
                <w:color w:val="auto"/>
                <w:sz w:val="21"/>
              </w:rPr>
            </w:pPr>
            <w:r>
              <w:rPr>
                <w:rFonts w:hint="eastAsia"/>
                <w:color w:val="auto"/>
                <w:sz w:val="21"/>
              </w:rPr>
              <w:t>【操作安全】</w:t>
            </w:r>
          </w:p>
          <w:p>
            <w:pPr>
              <w:pStyle w:val="247"/>
              <w:kinsoku w:val="0"/>
              <w:overflowPunct w:val="0"/>
              <w:spacing w:before="9" w:beforeLines="0" w:afterLines="0" w:line="249" w:lineRule="auto"/>
              <w:ind w:left="117" w:right="121" w:firstLine="420"/>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1</w:t>
            </w:r>
            <w:r>
              <w:rPr>
                <w:rFonts w:hint="eastAsia"/>
                <w:color w:val="auto"/>
                <w:sz w:val="21"/>
              </w:rPr>
              <w:t>）严禁利用氨气管道做电焊接地线。严禁用铁器敲击管道与阀体，以免引起火花。</w:t>
            </w:r>
          </w:p>
          <w:p>
            <w:pPr>
              <w:pStyle w:val="247"/>
              <w:kinsoku w:val="0"/>
              <w:overflowPunct w:val="0"/>
              <w:spacing w:before="2" w:beforeLines="0" w:afterLines="0"/>
              <w:ind w:left="537"/>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2</w:t>
            </w:r>
            <w:r>
              <w:rPr>
                <w:rFonts w:hint="eastAsia"/>
                <w:color w:val="auto"/>
                <w:sz w:val="21"/>
              </w:rPr>
              <w:t>）在含氨气环境中作业应采用以下防护措施：</w:t>
            </w:r>
          </w:p>
          <w:p>
            <w:pPr>
              <w:pStyle w:val="247"/>
              <w:kinsoku w:val="0"/>
              <w:overflowPunct w:val="0"/>
              <w:spacing w:before="10" w:beforeLines="0" w:afterLines="0" w:line="249" w:lineRule="auto"/>
              <w:ind w:left="117" w:right="16" w:firstLine="420"/>
              <w:jc w:val="left"/>
              <w:rPr>
                <w:rFonts w:hint="eastAsia"/>
                <w:color w:val="auto"/>
                <w:sz w:val="21"/>
              </w:rPr>
            </w:pPr>
            <w:r>
              <w:rPr>
                <w:rFonts w:hint="default" w:ascii="Times New Roman" w:hAnsi="Times New Roman" w:eastAsia="Times New Roman"/>
                <w:color w:val="auto"/>
                <w:sz w:val="21"/>
              </w:rPr>
              <w:t>——</w:t>
            </w:r>
            <w:r>
              <w:rPr>
                <w:rFonts w:hint="eastAsia"/>
                <w:color w:val="auto"/>
                <w:sz w:val="21"/>
              </w:rPr>
              <w:t>根据不同作业环境配备相应的氨气检测仪及防护装置，并落实人员管理， 使氨气检测仪及防护装置处于备用状态；</w:t>
            </w:r>
          </w:p>
          <w:p>
            <w:pPr>
              <w:pStyle w:val="247"/>
              <w:kinsoku w:val="0"/>
              <w:overflowPunct w:val="0"/>
              <w:spacing w:before="2" w:beforeLines="0" w:afterLines="0"/>
              <w:ind w:left="537"/>
              <w:jc w:val="left"/>
              <w:rPr>
                <w:rFonts w:hint="eastAsia"/>
                <w:color w:val="auto"/>
                <w:sz w:val="21"/>
              </w:rPr>
            </w:pPr>
            <w:r>
              <w:rPr>
                <w:rFonts w:hint="default" w:ascii="Times New Roman" w:hAnsi="Times New Roman" w:eastAsia="Times New Roman"/>
                <w:color w:val="auto"/>
                <w:sz w:val="21"/>
              </w:rPr>
              <w:t>——</w:t>
            </w:r>
            <w:r>
              <w:rPr>
                <w:rFonts w:hint="eastAsia"/>
                <w:color w:val="auto"/>
                <w:sz w:val="21"/>
              </w:rPr>
              <w:t>作业环境应设立风向标；</w:t>
            </w:r>
          </w:p>
          <w:p>
            <w:pPr>
              <w:pStyle w:val="247"/>
              <w:kinsoku w:val="0"/>
              <w:overflowPunct w:val="0"/>
              <w:spacing w:before="9" w:beforeLines="0" w:afterLines="0"/>
              <w:ind w:left="537"/>
              <w:jc w:val="left"/>
              <w:rPr>
                <w:rFonts w:hint="eastAsia"/>
                <w:color w:val="auto"/>
                <w:sz w:val="21"/>
              </w:rPr>
            </w:pPr>
            <w:r>
              <w:rPr>
                <w:rFonts w:hint="default" w:ascii="Times New Roman" w:hAnsi="Times New Roman" w:eastAsia="Times New Roman"/>
                <w:color w:val="auto"/>
                <w:sz w:val="21"/>
              </w:rPr>
              <w:t>——</w:t>
            </w:r>
            <w:r>
              <w:rPr>
                <w:rFonts w:hint="eastAsia"/>
                <w:color w:val="auto"/>
                <w:sz w:val="21"/>
              </w:rPr>
              <w:t>供气装置的空气压缩机应置于上风侧；</w:t>
            </w:r>
          </w:p>
          <w:p>
            <w:pPr>
              <w:pStyle w:val="247"/>
              <w:kinsoku w:val="0"/>
              <w:overflowPunct w:val="0"/>
              <w:spacing w:before="12" w:beforeLines="0" w:afterLines="0"/>
              <w:ind w:left="537"/>
              <w:jc w:val="left"/>
              <w:rPr>
                <w:rFonts w:hint="eastAsia"/>
                <w:color w:val="auto"/>
                <w:sz w:val="21"/>
              </w:rPr>
            </w:pPr>
            <w:r>
              <w:rPr>
                <w:rFonts w:hint="default" w:ascii="Times New Roman" w:hAnsi="Times New Roman" w:eastAsia="Times New Roman"/>
                <w:color w:val="auto"/>
                <w:sz w:val="21"/>
              </w:rPr>
              <w:t>——</w:t>
            </w:r>
            <w:r>
              <w:rPr>
                <w:rFonts w:hint="eastAsia"/>
                <w:color w:val="auto"/>
                <w:sz w:val="21"/>
              </w:rPr>
              <w:t>进行检修和抢修作业时，应携带氨气检测仪和正压式空气呼吸器。</w:t>
            </w:r>
          </w:p>
          <w:p>
            <w:pPr>
              <w:pStyle w:val="247"/>
              <w:kinsoku w:val="0"/>
              <w:overflowPunct w:val="0"/>
              <w:spacing w:before="11" w:beforeLines="0" w:afterLines="0"/>
              <w:ind w:left="537"/>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3</w:t>
            </w:r>
            <w:r>
              <w:rPr>
                <w:rFonts w:hint="eastAsia"/>
                <w:color w:val="auto"/>
                <w:sz w:val="21"/>
              </w:rPr>
              <w:t>）充装时，使用万向节管道充装系统，严防超装。</w:t>
            </w:r>
          </w:p>
          <w:p>
            <w:pPr>
              <w:pStyle w:val="247"/>
              <w:kinsoku w:val="0"/>
              <w:overflowPunct w:val="0"/>
              <w:spacing w:before="10" w:beforeLines="0" w:afterLines="0"/>
              <w:ind w:left="537"/>
              <w:jc w:val="left"/>
              <w:rPr>
                <w:rFonts w:hint="eastAsia"/>
                <w:color w:val="auto"/>
                <w:sz w:val="21"/>
              </w:rPr>
            </w:pPr>
            <w:r>
              <w:rPr>
                <w:rFonts w:hint="eastAsia"/>
                <w:color w:val="auto"/>
                <w:sz w:val="21"/>
              </w:rPr>
              <w:t>【储存安全】</w:t>
            </w:r>
          </w:p>
          <w:p>
            <w:pPr>
              <w:pStyle w:val="247"/>
              <w:kinsoku w:val="0"/>
              <w:overflowPunct w:val="0"/>
              <w:spacing w:before="12" w:beforeLines="0" w:afterLines="0"/>
              <w:ind w:left="537" w:right="-15"/>
              <w:jc w:val="left"/>
              <w:rPr>
                <w:rFonts w:hint="eastAsia"/>
                <w:color w:val="auto"/>
                <w:spacing w:val="-56"/>
                <w:sz w:val="21"/>
              </w:rPr>
            </w:pPr>
            <w:r>
              <w:rPr>
                <w:rFonts w:hint="eastAsia"/>
                <w:color w:val="auto"/>
                <w:spacing w:val="-24"/>
                <w:sz w:val="21"/>
              </w:rPr>
              <w:t>（</w:t>
            </w:r>
            <w:r>
              <w:rPr>
                <w:rFonts w:hint="default" w:ascii="Times New Roman" w:hAnsi="Times New Roman" w:eastAsia="Times New Roman"/>
                <w:color w:val="auto"/>
                <w:spacing w:val="-24"/>
                <w:sz w:val="21"/>
              </w:rPr>
              <w:t>1</w:t>
            </w:r>
            <w:r>
              <w:rPr>
                <w:rFonts w:hint="eastAsia"/>
                <w:color w:val="auto"/>
                <w:spacing w:val="-24"/>
                <w:sz w:val="21"/>
              </w:rPr>
              <w:t>）</w:t>
            </w:r>
            <w:r>
              <w:rPr>
                <w:rFonts w:hint="eastAsia"/>
                <w:color w:val="auto"/>
                <w:spacing w:val="-20"/>
                <w:sz w:val="21"/>
              </w:rPr>
              <w:t xml:space="preserve">储存于阴凉、通风的专用库房。远离火种、热源。库房温度不宜超过 </w:t>
            </w:r>
            <w:r>
              <w:rPr>
                <w:rFonts w:hint="default" w:ascii="Times New Roman" w:hAnsi="Times New Roman" w:eastAsia="Times New Roman"/>
                <w:color w:val="auto"/>
                <w:sz w:val="21"/>
              </w:rPr>
              <w:t>30℃</w:t>
            </w:r>
            <w:r>
              <w:rPr>
                <w:rFonts w:hint="eastAsia"/>
                <w:color w:val="auto"/>
                <w:spacing w:val="-56"/>
                <w:sz w:val="21"/>
              </w:rPr>
              <w:t>。</w:t>
            </w:r>
          </w:p>
          <w:p>
            <w:pPr>
              <w:pStyle w:val="247"/>
              <w:kinsoku w:val="0"/>
              <w:overflowPunct w:val="0"/>
              <w:spacing w:before="12" w:beforeLines="0" w:afterLines="0" w:line="249" w:lineRule="auto"/>
              <w:ind w:left="117" w:right="16" w:firstLine="420"/>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2</w:t>
            </w:r>
            <w:r>
              <w:rPr>
                <w:rFonts w:hint="eastAsia"/>
                <w:color w:val="auto"/>
                <w:sz w:val="21"/>
              </w:rPr>
              <w:t>）与氧化剂、酸类、卤素、食用化学品分开存放，切忌混储。储罐远离火种、热源。采用防爆型照明、通风设施。禁止使用易产生火花的机械设备和工具。储存区应备有泄漏应急处理设备。</w:t>
            </w:r>
          </w:p>
          <w:p>
            <w:pPr>
              <w:pStyle w:val="247"/>
              <w:kinsoku w:val="0"/>
              <w:overflowPunct w:val="0"/>
              <w:spacing w:beforeLines="0" w:afterLines="0"/>
              <w:ind w:left="537"/>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3</w:t>
            </w:r>
            <w:r>
              <w:rPr>
                <w:rFonts w:hint="eastAsia"/>
                <w:color w:val="auto"/>
                <w:sz w:val="21"/>
              </w:rPr>
              <w:t xml:space="preserve">）液氨气瓶应放置在距工作场地至少 </w:t>
            </w:r>
            <w:r>
              <w:rPr>
                <w:rFonts w:hint="default" w:ascii="Times New Roman" w:hAnsi="Times New Roman" w:eastAsia="Times New Roman"/>
                <w:color w:val="auto"/>
                <w:sz w:val="21"/>
              </w:rPr>
              <w:t xml:space="preserve">5m </w:t>
            </w:r>
            <w:r>
              <w:rPr>
                <w:rFonts w:hint="eastAsia"/>
                <w:color w:val="auto"/>
                <w:sz w:val="21"/>
              </w:rPr>
              <w:t>以外的地方，并且通风良好。</w:t>
            </w:r>
          </w:p>
          <w:p>
            <w:pPr>
              <w:pStyle w:val="247"/>
              <w:kinsoku w:val="0"/>
              <w:overflowPunct w:val="0"/>
              <w:spacing w:before="10" w:beforeLines="0" w:afterLines="0"/>
              <w:ind w:left="537" w:right="-29"/>
              <w:jc w:val="left"/>
              <w:rPr>
                <w:rFonts w:hint="eastAsia"/>
                <w:color w:val="auto"/>
                <w:spacing w:val="-3"/>
                <w:sz w:val="21"/>
              </w:rPr>
            </w:pPr>
            <w:r>
              <w:rPr>
                <w:rFonts w:hint="eastAsia"/>
                <w:color w:val="auto"/>
                <w:sz w:val="21"/>
              </w:rPr>
              <w:t>（</w:t>
            </w:r>
            <w:r>
              <w:rPr>
                <w:rFonts w:hint="default" w:ascii="Times New Roman" w:hAnsi="Times New Roman" w:eastAsia="Times New Roman"/>
                <w:color w:val="auto"/>
                <w:sz w:val="21"/>
              </w:rPr>
              <w:t>4</w:t>
            </w:r>
            <w:r>
              <w:rPr>
                <w:rFonts w:hint="eastAsia"/>
                <w:color w:val="auto"/>
                <w:sz w:val="21"/>
              </w:rPr>
              <w:t>）</w:t>
            </w:r>
            <w:r>
              <w:rPr>
                <w:rFonts w:hint="eastAsia"/>
                <w:color w:val="auto"/>
                <w:spacing w:val="-3"/>
                <w:sz w:val="21"/>
              </w:rPr>
              <w:t>注意防雷、防静电，厂</w:t>
            </w:r>
            <w:r>
              <w:rPr>
                <w:rFonts w:hint="default" w:ascii="Times New Roman" w:hAnsi="Times New Roman" w:eastAsia="Times New Roman"/>
                <w:color w:val="auto"/>
                <w:sz w:val="21"/>
              </w:rPr>
              <w:t>(</w:t>
            </w:r>
            <w:r>
              <w:rPr>
                <w:rFonts w:hint="eastAsia"/>
                <w:color w:val="auto"/>
                <w:sz w:val="21"/>
              </w:rPr>
              <w:t>车间</w:t>
            </w:r>
            <w:r>
              <w:rPr>
                <w:rFonts w:hint="default" w:ascii="Times New Roman" w:hAnsi="Times New Roman" w:eastAsia="Times New Roman"/>
                <w:color w:val="auto"/>
                <w:spacing w:val="-4"/>
                <w:sz w:val="21"/>
              </w:rPr>
              <w:t>)</w:t>
            </w:r>
            <w:r>
              <w:rPr>
                <w:rFonts w:hint="eastAsia"/>
                <w:color w:val="auto"/>
                <w:spacing w:val="-3"/>
                <w:sz w:val="21"/>
              </w:rPr>
              <w:t>内的氨气储罐应按《建筑物防雷设计规范》</w:t>
            </w:r>
          </w:p>
          <w:p>
            <w:pPr>
              <w:pStyle w:val="247"/>
              <w:kinsoku w:val="0"/>
              <w:overflowPunct w:val="0"/>
              <w:spacing w:before="11" w:beforeLines="0" w:afterLines="0"/>
              <w:ind w:left="117"/>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GB 50057</w:t>
            </w:r>
            <w:r>
              <w:rPr>
                <w:rFonts w:hint="eastAsia"/>
                <w:color w:val="auto"/>
                <w:sz w:val="21"/>
              </w:rPr>
              <w:t>）的规定设置防雷、防静电设施。</w:t>
            </w:r>
          </w:p>
          <w:p>
            <w:pPr>
              <w:pStyle w:val="247"/>
              <w:kinsoku w:val="0"/>
              <w:overflowPunct w:val="0"/>
              <w:spacing w:before="12" w:beforeLines="0" w:afterLines="0"/>
              <w:ind w:left="537"/>
              <w:jc w:val="left"/>
              <w:rPr>
                <w:rFonts w:hint="eastAsia"/>
                <w:color w:val="auto"/>
                <w:sz w:val="21"/>
              </w:rPr>
            </w:pPr>
            <w:r>
              <w:rPr>
                <w:rFonts w:hint="eastAsia"/>
                <w:color w:val="auto"/>
                <w:sz w:val="21"/>
              </w:rPr>
              <w:t>【运输安全】</w:t>
            </w:r>
          </w:p>
          <w:p>
            <w:pPr>
              <w:pStyle w:val="247"/>
              <w:kinsoku w:val="0"/>
              <w:overflowPunct w:val="0"/>
              <w:spacing w:before="10" w:beforeLines="0" w:afterLines="0" w:line="249" w:lineRule="auto"/>
              <w:ind w:left="117" w:right="18" w:firstLine="420"/>
              <w:jc w:val="left"/>
              <w:rPr>
                <w:rFonts w:hint="eastAsia"/>
                <w:color w:val="auto"/>
                <w:sz w:val="21"/>
              </w:rPr>
            </w:pPr>
            <w:r>
              <w:rPr>
                <w:rFonts w:hint="eastAsia"/>
                <w:color w:val="auto"/>
                <w:sz w:val="21"/>
              </w:rPr>
              <w:t>（</w:t>
            </w:r>
            <w:r>
              <w:rPr>
                <w:rFonts w:hint="default" w:ascii="Times New Roman" w:hAnsi="Times New Roman" w:eastAsia="Times New Roman"/>
                <w:color w:val="auto"/>
                <w:sz w:val="21"/>
              </w:rPr>
              <w:t>1</w:t>
            </w:r>
            <w:r>
              <w:rPr>
                <w:rFonts w:hint="eastAsia"/>
                <w:color w:val="auto"/>
                <w:sz w:val="21"/>
              </w:rPr>
              <w:t>）运输车辆应有危险货物运输标志、安装具有行驶记录功能的卫星定位装置。未经公安机关批准，运输车辆不得进入危险化学品运输车辆限制通行的区域。</w:t>
            </w:r>
          </w:p>
          <w:p>
            <w:pPr>
              <w:pStyle w:val="247"/>
              <w:kinsoku w:val="0"/>
              <w:overflowPunct w:val="0"/>
              <w:spacing w:before="2" w:beforeLines="0" w:afterLines="0" w:line="249" w:lineRule="auto"/>
              <w:ind w:left="117" w:right="-29" w:firstLine="420"/>
              <w:jc w:val="left"/>
              <w:rPr>
                <w:rFonts w:hint="eastAsia"/>
                <w:color w:val="auto"/>
                <w:spacing w:val="-3"/>
                <w:sz w:val="21"/>
              </w:rPr>
            </w:pPr>
            <w:r>
              <w:rPr>
                <w:rFonts w:hint="eastAsia"/>
                <w:color w:val="auto"/>
                <w:spacing w:val="-7"/>
                <w:sz w:val="21"/>
              </w:rPr>
              <w:t>（</w:t>
            </w:r>
            <w:r>
              <w:rPr>
                <w:rFonts w:hint="default" w:ascii="Times New Roman" w:hAnsi="Times New Roman" w:eastAsia="Times New Roman"/>
                <w:color w:val="auto"/>
                <w:spacing w:val="-7"/>
                <w:sz w:val="21"/>
              </w:rPr>
              <w:t>2</w:t>
            </w:r>
            <w:r>
              <w:rPr>
                <w:rFonts w:hint="eastAsia"/>
                <w:color w:val="auto"/>
                <w:spacing w:val="-7"/>
                <w:sz w:val="21"/>
              </w:rPr>
              <w:t>）</w:t>
            </w:r>
            <w:r>
              <w:rPr>
                <w:rFonts w:hint="eastAsia"/>
                <w:color w:val="auto"/>
                <w:spacing w:val="-6"/>
                <w:sz w:val="21"/>
              </w:rPr>
              <w:t>槽车运输时要用专用槽车。槽车安装的阻火器</w:t>
            </w:r>
            <w:r>
              <w:rPr>
                <w:rFonts w:hint="eastAsia"/>
                <w:color w:val="auto"/>
                <w:sz w:val="21"/>
              </w:rPr>
              <w:t>（</w:t>
            </w:r>
            <w:r>
              <w:rPr>
                <w:rFonts w:hint="eastAsia"/>
                <w:color w:val="auto"/>
                <w:spacing w:val="-3"/>
                <w:sz w:val="21"/>
              </w:rPr>
              <w:t>火星熄灭器</w:t>
            </w:r>
            <w:r>
              <w:rPr>
                <w:rFonts w:hint="eastAsia"/>
                <w:color w:val="auto"/>
                <w:spacing w:val="-20"/>
                <w:sz w:val="21"/>
              </w:rPr>
              <w:t>）</w:t>
            </w:r>
            <w:r>
              <w:rPr>
                <w:rFonts w:hint="eastAsia"/>
                <w:color w:val="auto"/>
                <w:spacing w:val="-2"/>
                <w:sz w:val="21"/>
              </w:rPr>
              <w:t>必须完好。</w:t>
            </w:r>
            <w:r>
              <w:rPr>
                <w:rFonts w:hint="eastAsia"/>
                <w:color w:val="auto"/>
                <w:spacing w:val="-10"/>
                <w:sz w:val="21"/>
              </w:rPr>
              <w:t xml:space="preserve">槽车和运输卡车要有导静电拖线；槽车上要备有 </w:t>
            </w:r>
            <w:r>
              <w:rPr>
                <w:rFonts w:hint="default" w:ascii="Times New Roman" w:hAnsi="Times New Roman" w:eastAsia="Times New Roman"/>
                <w:color w:val="auto"/>
                <w:sz w:val="21"/>
              </w:rPr>
              <w:t>2</w:t>
            </w:r>
            <w:r>
              <w:rPr>
                <w:rFonts w:hint="default" w:ascii="Times New Roman" w:hAnsi="Times New Roman" w:eastAsia="Times New Roman"/>
                <w:color w:val="auto"/>
                <w:spacing w:val="5"/>
                <w:sz w:val="21"/>
              </w:rPr>
              <w:t xml:space="preserve"> </w:t>
            </w:r>
            <w:r>
              <w:rPr>
                <w:rFonts w:hint="eastAsia"/>
                <w:color w:val="auto"/>
                <w:spacing w:val="-3"/>
                <w:sz w:val="21"/>
              </w:rPr>
              <w:t>只以上干粉或二氧化碳灭火器和防爆工具；防止阳光直射。</w:t>
            </w:r>
          </w:p>
          <w:p>
            <w:pPr>
              <w:pStyle w:val="247"/>
              <w:kinsoku w:val="0"/>
              <w:overflowPunct w:val="0"/>
              <w:spacing w:beforeLines="0" w:afterLines="0" w:line="249" w:lineRule="auto"/>
              <w:ind w:left="117" w:right="88" w:firstLine="420"/>
              <w:jc w:val="both"/>
              <w:rPr>
                <w:rFonts w:hint="eastAsia"/>
                <w:color w:val="auto"/>
                <w:spacing w:val="-6"/>
                <w:sz w:val="21"/>
              </w:rPr>
            </w:pPr>
            <w:r>
              <w:rPr>
                <w:rFonts w:hint="eastAsia"/>
                <w:color w:val="auto"/>
                <w:spacing w:val="-5"/>
                <w:sz w:val="21"/>
              </w:rPr>
              <w:t>（</w:t>
            </w:r>
            <w:r>
              <w:rPr>
                <w:rFonts w:hint="default" w:ascii="Times New Roman" w:hAnsi="Times New Roman" w:eastAsia="Times New Roman"/>
                <w:color w:val="auto"/>
                <w:spacing w:val="-5"/>
                <w:sz w:val="21"/>
              </w:rPr>
              <w:t>3</w:t>
            </w:r>
            <w:r>
              <w:rPr>
                <w:rFonts w:hint="eastAsia"/>
                <w:color w:val="auto"/>
                <w:spacing w:val="-5"/>
                <w:sz w:val="21"/>
              </w:rPr>
              <w:t>）</w:t>
            </w:r>
            <w:r>
              <w:rPr>
                <w:rFonts w:hint="eastAsia"/>
                <w:color w:val="auto"/>
                <w:spacing w:val="-3"/>
                <w:sz w:val="21"/>
              </w:rPr>
              <w:t>车辆运输钢瓶时</w:t>
            </w:r>
            <w:r>
              <w:rPr>
                <w:rFonts w:hint="default" w:ascii="Times New Roman" w:hAnsi="Times New Roman" w:eastAsia="Times New Roman"/>
                <w:color w:val="auto"/>
                <w:sz w:val="21"/>
              </w:rPr>
              <w:t>,</w:t>
            </w:r>
            <w:r>
              <w:rPr>
                <w:rFonts w:hint="eastAsia"/>
                <w:color w:val="auto"/>
                <w:spacing w:val="-4"/>
                <w:sz w:val="21"/>
              </w:rPr>
              <w:t>瓶口一律朝向车辆行驶方向的右方，堆放高度不得超过</w:t>
            </w:r>
            <w:r>
              <w:rPr>
                <w:rFonts w:hint="eastAsia"/>
                <w:color w:val="auto"/>
                <w:spacing w:val="-9"/>
                <w:sz w:val="21"/>
              </w:rPr>
              <w:t>车辆的防护栏板，并用三角木垫卡牢，防止滚动。不准同车混装有抵触性质的物品</w:t>
            </w:r>
            <w:r>
              <w:rPr>
                <w:rFonts w:hint="eastAsia"/>
                <w:color w:val="auto"/>
                <w:spacing w:val="-11"/>
                <w:sz w:val="21"/>
              </w:rPr>
              <w:t>和让无关人员搭车。运输途中远离火种，不准在有明火地点或人多地段停车，停车</w:t>
            </w:r>
            <w:r>
              <w:rPr>
                <w:rFonts w:hint="eastAsia"/>
                <w:color w:val="auto"/>
                <w:spacing w:val="-6"/>
                <w:sz w:val="21"/>
              </w:rPr>
              <w:t>时要有人看管。发生泄漏或火灾时要把车开到安全地方进行灭火或堵漏。</w:t>
            </w:r>
          </w:p>
          <w:p>
            <w:pPr>
              <w:pStyle w:val="247"/>
              <w:kinsoku w:val="0"/>
              <w:overflowPunct w:val="0"/>
              <w:spacing w:beforeLines="0" w:afterLines="0" w:line="249" w:lineRule="auto"/>
              <w:ind w:left="117" w:right="16" w:firstLine="420"/>
              <w:jc w:val="left"/>
              <w:rPr>
                <w:rFonts w:hint="eastAsia"/>
                <w:color w:val="auto"/>
                <w:spacing w:val="-15"/>
                <w:sz w:val="21"/>
              </w:rPr>
            </w:pPr>
            <w:r>
              <w:rPr>
                <w:rFonts w:hint="eastAsia"/>
                <w:color w:val="auto"/>
                <w:sz w:val="21"/>
              </w:rPr>
              <w:t>（</w:t>
            </w:r>
            <w:r>
              <w:rPr>
                <w:rFonts w:hint="default" w:ascii="Times New Roman" w:hAnsi="Times New Roman" w:eastAsia="Times New Roman"/>
                <w:color w:val="auto"/>
                <w:sz w:val="21"/>
              </w:rPr>
              <w:t>4</w:t>
            </w:r>
            <w:r>
              <w:rPr>
                <w:rFonts w:hint="eastAsia"/>
                <w:color w:val="auto"/>
                <w:sz w:val="21"/>
              </w:rPr>
              <w:t>）</w:t>
            </w:r>
            <w:r>
              <w:rPr>
                <w:rFonts w:hint="eastAsia"/>
                <w:color w:val="auto"/>
                <w:spacing w:val="-3"/>
                <w:sz w:val="21"/>
              </w:rPr>
              <w:t>输送氨的管道不应靠近热源敷设；管道采用地上敷设时，应在人员活动</w:t>
            </w:r>
            <w:r>
              <w:rPr>
                <w:rFonts w:hint="eastAsia"/>
                <w:color w:val="auto"/>
                <w:spacing w:val="-9"/>
                <w:sz w:val="21"/>
              </w:rPr>
              <w:t>较多和易遭车辆、外来物撞击的地段，采取保护措施并设置明显的警示标志；氨管</w:t>
            </w:r>
            <w:r>
              <w:rPr>
                <w:rFonts w:hint="eastAsia"/>
                <w:color w:val="auto"/>
                <w:spacing w:val="-5"/>
                <w:sz w:val="21"/>
              </w:rPr>
              <w:t xml:space="preserve">道架空敷设时，管道应敷设在非燃烧体的支架或栈桥上。在已敷设的氨管道下面， </w:t>
            </w:r>
            <w:r>
              <w:rPr>
                <w:rFonts w:hint="eastAsia"/>
                <w:color w:val="auto"/>
                <w:spacing w:val="-15"/>
                <w:sz w:val="21"/>
              </w:rPr>
              <w:t>不得修建与氨管道无关的建筑物和堆放易燃物品；氨管道外壁颜色、标志应执行《工</w:t>
            </w:r>
          </w:p>
          <w:p>
            <w:pPr>
              <w:pStyle w:val="247"/>
              <w:kinsoku w:val="0"/>
              <w:overflowPunct w:val="0"/>
              <w:spacing w:before="1" w:beforeLines="0" w:afterLines="0" w:line="247" w:lineRule="exact"/>
              <w:ind w:left="117"/>
              <w:jc w:val="left"/>
              <w:rPr>
                <w:rFonts w:hint="eastAsia"/>
                <w:color w:val="auto"/>
                <w:sz w:val="21"/>
              </w:rPr>
            </w:pPr>
            <w:r>
              <w:rPr>
                <w:rFonts w:hint="eastAsia"/>
                <w:color w:val="auto"/>
                <w:sz w:val="21"/>
              </w:rPr>
              <w:t>业管道的基本识别色、识别符号和安全标识》（</w:t>
            </w:r>
            <w:r>
              <w:rPr>
                <w:rFonts w:hint="default" w:ascii="Times New Roman" w:hAnsi="Times New Roman" w:eastAsia="Times New Roman"/>
                <w:color w:val="auto"/>
                <w:sz w:val="21"/>
              </w:rPr>
              <w:t>GB 7231</w:t>
            </w:r>
            <w:r>
              <w:rPr>
                <w:rFonts w:hint="eastAsia"/>
                <w:color w:val="auto"/>
                <w:sz w:val="21"/>
              </w:rPr>
              <w:t>）的规定。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80" w:hRule="atLeast"/>
        </w:trPr>
        <w:tc>
          <w:tcPr>
            <w:tcW w:w="830" w:type="dxa"/>
            <w:tcBorders>
              <w:top w:val="single" w:color="000000" w:sz="4" w:space="0"/>
              <w:left w:val="nil"/>
              <w:bottom w:val="single" w:color="000000" w:sz="12" w:space="0"/>
              <w:right w:val="single" w:color="000000" w:sz="4" w:space="0"/>
              <w:tl2br w:val="nil"/>
              <w:tr2bl w:val="nil"/>
            </w:tcBorders>
            <w:vAlign w:val="top"/>
          </w:tcPr>
          <w:p>
            <w:pPr>
              <w:pStyle w:val="247"/>
              <w:kinsoku w:val="0"/>
              <w:overflowPunct w:val="0"/>
              <w:spacing w:beforeLines="0" w:afterLines="0"/>
              <w:jc w:val="left"/>
              <w:rPr>
                <w:rFonts w:hint="default" w:ascii="Times New Roman" w:hAnsi="Times New Roman" w:eastAsia="Times New Roman"/>
                <w:color w:val="auto"/>
                <w:sz w:val="20"/>
              </w:rPr>
            </w:pPr>
          </w:p>
          <w:p>
            <w:pPr>
              <w:pStyle w:val="247"/>
              <w:kinsoku w:val="0"/>
              <w:overflowPunct w:val="0"/>
              <w:spacing w:beforeLines="0" w:afterLines="0"/>
              <w:jc w:val="left"/>
              <w:rPr>
                <w:rFonts w:hint="default" w:ascii="Times New Roman" w:hAnsi="Times New Roman" w:eastAsia="Times New Roman"/>
                <w:color w:val="auto"/>
                <w:sz w:val="20"/>
              </w:rPr>
            </w:pPr>
          </w:p>
          <w:p>
            <w:pPr>
              <w:pStyle w:val="247"/>
              <w:kinsoku w:val="0"/>
              <w:overflowPunct w:val="0"/>
              <w:spacing w:beforeLines="0" w:afterLines="0"/>
              <w:jc w:val="left"/>
              <w:rPr>
                <w:rFonts w:hint="default" w:ascii="Times New Roman" w:hAnsi="Times New Roman" w:eastAsia="Times New Roman"/>
                <w:color w:val="auto"/>
                <w:sz w:val="20"/>
              </w:rPr>
            </w:pPr>
          </w:p>
          <w:p>
            <w:pPr>
              <w:pStyle w:val="247"/>
              <w:kinsoku w:val="0"/>
              <w:overflowPunct w:val="0"/>
              <w:spacing w:beforeLines="0" w:afterLines="0"/>
              <w:jc w:val="left"/>
              <w:rPr>
                <w:rFonts w:hint="default" w:ascii="Times New Roman" w:hAnsi="Times New Roman" w:eastAsia="Times New Roman"/>
                <w:color w:val="auto"/>
                <w:sz w:val="20"/>
              </w:rPr>
            </w:pPr>
          </w:p>
          <w:p>
            <w:pPr>
              <w:pStyle w:val="247"/>
              <w:kinsoku w:val="0"/>
              <w:overflowPunct w:val="0"/>
              <w:spacing w:beforeLines="0" w:afterLines="0"/>
              <w:jc w:val="left"/>
              <w:rPr>
                <w:rFonts w:hint="default" w:ascii="Times New Roman" w:hAnsi="Times New Roman" w:eastAsia="Times New Roman"/>
                <w:color w:val="auto"/>
                <w:sz w:val="20"/>
              </w:rPr>
            </w:pPr>
          </w:p>
          <w:p>
            <w:pPr>
              <w:pStyle w:val="247"/>
              <w:kinsoku w:val="0"/>
              <w:overflowPunct w:val="0"/>
              <w:spacing w:before="9" w:beforeLines="0" w:afterLines="0"/>
              <w:jc w:val="left"/>
              <w:rPr>
                <w:rFonts w:hint="default" w:ascii="Times New Roman" w:hAnsi="Times New Roman" w:eastAsia="Times New Roman"/>
                <w:color w:val="auto"/>
                <w:sz w:val="22"/>
              </w:rPr>
            </w:pPr>
          </w:p>
          <w:p>
            <w:pPr>
              <w:pStyle w:val="247"/>
              <w:kinsoku w:val="0"/>
              <w:overflowPunct w:val="0"/>
              <w:spacing w:before="1" w:beforeLines="0" w:afterLines="0" w:line="249" w:lineRule="auto"/>
              <w:ind w:left="331" w:right="280"/>
              <w:jc w:val="both"/>
              <w:rPr>
                <w:rFonts w:hint="eastAsia"/>
                <w:b/>
                <w:color w:val="auto"/>
                <w:sz w:val="21"/>
              </w:rPr>
            </w:pPr>
            <w:r>
              <w:rPr>
                <w:rFonts w:hint="eastAsia"/>
                <w:b/>
                <w:color w:val="auto"/>
                <w:sz w:val="21"/>
              </w:rPr>
              <w:t>应急处置原则</w:t>
            </w:r>
          </w:p>
        </w:tc>
        <w:tc>
          <w:tcPr>
            <w:tcW w:w="7707" w:type="dxa"/>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13" w:beforeLines="0" w:afterLines="0"/>
              <w:ind w:left="117"/>
              <w:jc w:val="left"/>
              <w:rPr>
                <w:rFonts w:hint="eastAsia"/>
                <w:color w:val="auto"/>
                <w:sz w:val="21"/>
              </w:rPr>
            </w:pPr>
            <w:r>
              <w:rPr>
                <w:rFonts w:hint="eastAsia"/>
                <w:color w:val="auto"/>
                <w:sz w:val="21"/>
              </w:rPr>
              <w:t>【急救措施】</w:t>
            </w:r>
          </w:p>
          <w:p>
            <w:pPr>
              <w:pStyle w:val="247"/>
              <w:kinsoku w:val="0"/>
              <w:overflowPunct w:val="0"/>
              <w:spacing w:before="10" w:beforeLines="0" w:afterLines="0" w:line="249" w:lineRule="auto"/>
              <w:ind w:left="117" w:right="91" w:firstLine="420"/>
              <w:jc w:val="left"/>
              <w:rPr>
                <w:rFonts w:hint="eastAsia"/>
                <w:color w:val="auto"/>
                <w:spacing w:val="-5"/>
                <w:sz w:val="21"/>
              </w:rPr>
            </w:pPr>
            <w:r>
              <w:rPr>
                <w:rFonts w:hint="eastAsia"/>
                <w:color w:val="auto"/>
                <w:spacing w:val="-9"/>
                <w:sz w:val="21"/>
              </w:rPr>
              <w:t>吸入：迅速脱离现场至空气新鲜处。保持呼吸道通畅。如呼吸困难，给氧。如</w:t>
            </w:r>
            <w:r>
              <w:rPr>
                <w:rFonts w:hint="eastAsia"/>
                <w:color w:val="auto"/>
                <w:spacing w:val="-5"/>
                <w:sz w:val="21"/>
              </w:rPr>
              <w:t>呼吸停止，立即进行人工呼吸。就医。</w:t>
            </w:r>
          </w:p>
          <w:p>
            <w:pPr>
              <w:pStyle w:val="247"/>
              <w:kinsoku w:val="0"/>
              <w:overflowPunct w:val="0"/>
              <w:spacing w:before="2" w:beforeLines="0" w:afterLines="0" w:line="247" w:lineRule="auto"/>
              <w:ind w:left="537" w:right="-29"/>
              <w:jc w:val="left"/>
              <w:rPr>
                <w:rFonts w:hint="eastAsia"/>
                <w:color w:val="auto"/>
                <w:sz w:val="21"/>
              </w:rPr>
            </w:pPr>
            <w:r>
              <w:rPr>
                <w:rFonts w:hint="eastAsia"/>
                <w:color w:val="auto"/>
                <w:spacing w:val="-11"/>
                <w:sz w:val="21"/>
              </w:rPr>
              <w:t xml:space="preserve">皮肤接触：立即脱去污染的衣着，应用 </w:t>
            </w:r>
            <w:r>
              <w:rPr>
                <w:rFonts w:hint="default" w:ascii="Times New Roman" w:hAnsi="Times New Roman" w:eastAsia="Times New Roman"/>
                <w:color w:val="auto"/>
                <w:sz w:val="21"/>
              </w:rPr>
              <w:t>2%</w:t>
            </w:r>
            <w:r>
              <w:rPr>
                <w:rFonts w:hint="eastAsia"/>
                <w:color w:val="auto"/>
                <w:spacing w:val="-5"/>
                <w:sz w:val="21"/>
              </w:rPr>
              <w:t>硼酸液或大量清水彻底冲洗。就医。</w:t>
            </w:r>
            <w:r>
              <w:rPr>
                <w:rFonts w:hint="eastAsia"/>
                <w:color w:val="auto"/>
                <w:spacing w:val="-12"/>
                <w:sz w:val="21"/>
              </w:rPr>
              <w:t xml:space="preserve">眼睛接触：立即提起眼睑，用大量流动清水或生理盐水彻底冲洗至少 </w:t>
            </w:r>
            <w:r>
              <w:rPr>
                <w:rFonts w:hint="default" w:ascii="Times New Roman" w:hAnsi="Times New Roman" w:eastAsia="Times New Roman"/>
                <w:color w:val="auto"/>
                <w:sz w:val="21"/>
              </w:rPr>
              <w:t>15</w:t>
            </w:r>
            <w:r>
              <w:rPr>
                <w:rFonts w:hint="default" w:ascii="Times New Roman" w:hAnsi="Times New Roman" w:eastAsia="Times New Roman"/>
                <w:color w:val="auto"/>
                <w:spacing w:val="11"/>
                <w:sz w:val="21"/>
              </w:rPr>
              <w:t xml:space="preserve"> </w:t>
            </w:r>
            <w:r>
              <w:rPr>
                <w:rFonts w:hint="eastAsia"/>
                <w:color w:val="auto"/>
                <w:sz w:val="21"/>
              </w:rPr>
              <w:t>分钟。</w:t>
            </w:r>
          </w:p>
          <w:p>
            <w:pPr>
              <w:pStyle w:val="247"/>
              <w:kinsoku w:val="0"/>
              <w:overflowPunct w:val="0"/>
              <w:spacing w:before="5" w:beforeLines="0" w:afterLines="0"/>
              <w:ind w:left="117"/>
              <w:jc w:val="left"/>
              <w:rPr>
                <w:rFonts w:hint="eastAsia"/>
                <w:color w:val="auto"/>
                <w:sz w:val="21"/>
              </w:rPr>
            </w:pPr>
            <w:r>
              <w:rPr>
                <w:rFonts w:hint="eastAsia"/>
                <w:color w:val="auto"/>
                <w:sz w:val="21"/>
              </w:rPr>
              <w:t>就医。</w:t>
            </w:r>
          </w:p>
          <w:p>
            <w:pPr>
              <w:pStyle w:val="247"/>
              <w:kinsoku w:val="0"/>
              <w:overflowPunct w:val="0"/>
              <w:spacing w:before="11" w:beforeLines="0" w:afterLines="0"/>
              <w:ind w:left="117"/>
              <w:jc w:val="left"/>
              <w:rPr>
                <w:rFonts w:hint="eastAsia"/>
                <w:color w:val="auto"/>
                <w:sz w:val="21"/>
              </w:rPr>
            </w:pPr>
            <w:r>
              <w:rPr>
                <w:rFonts w:hint="eastAsia"/>
                <w:color w:val="auto"/>
                <w:sz w:val="21"/>
              </w:rPr>
              <w:t>【灭火方法】</w:t>
            </w:r>
          </w:p>
          <w:p>
            <w:pPr>
              <w:pStyle w:val="247"/>
              <w:kinsoku w:val="0"/>
              <w:overflowPunct w:val="0"/>
              <w:spacing w:before="10" w:beforeLines="0" w:afterLines="0" w:line="249" w:lineRule="auto"/>
              <w:ind w:left="117" w:right="-29" w:firstLine="420"/>
              <w:jc w:val="left"/>
              <w:rPr>
                <w:rFonts w:hint="eastAsia"/>
                <w:color w:val="auto"/>
                <w:spacing w:val="-6"/>
                <w:sz w:val="21"/>
              </w:rPr>
            </w:pPr>
            <w:r>
              <w:rPr>
                <w:rFonts w:hint="eastAsia"/>
                <w:color w:val="auto"/>
                <w:spacing w:val="-12"/>
                <w:sz w:val="21"/>
              </w:rPr>
              <w:t xml:space="preserve">消防人员必须穿全身防火防毒服，在上风向灭火。切断气源。若不能切断气源， </w:t>
            </w:r>
            <w:r>
              <w:rPr>
                <w:rFonts w:hint="eastAsia"/>
                <w:color w:val="auto"/>
                <w:spacing w:val="-6"/>
                <w:sz w:val="21"/>
              </w:rPr>
              <w:t>则不允许熄灭泄漏处的火焰。喷水冷却容器，尽可能将容器从火场移至空旷处。</w:t>
            </w:r>
          </w:p>
          <w:p>
            <w:pPr>
              <w:pStyle w:val="247"/>
              <w:kinsoku w:val="0"/>
              <w:overflowPunct w:val="0"/>
              <w:spacing w:before="2" w:beforeLines="0" w:afterLines="0"/>
              <w:ind w:left="537"/>
              <w:jc w:val="left"/>
              <w:rPr>
                <w:rFonts w:hint="eastAsia"/>
                <w:color w:val="auto"/>
                <w:sz w:val="21"/>
              </w:rPr>
            </w:pPr>
            <w:r>
              <w:rPr>
                <w:rFonts w:hint="eastAsia"/>
                <w:color w:val="auto"/>
                <w:sz w:val="21"/>
              </w:rPr>
              <w:t>灭火剂：雾状水、抗溶性泡沫、二氧化碳、砂土。</w:t>
            </w:r>
          </w:p>
          <w:p>
            <w:pPr>
              <w:pStyle w:val="247"/>
              <w:kinsoku w:val="0"/>
              <w:overflowPunct w:val="0"/>
              <w:spacing w:before="9" w:beforeLines="0" w:afterLines="0"/>
              <w:ind w:left="117"/>
              <w:jc w:val="left"/>
              <w:rPr>
                <w:rFonts w:hint="eastAsia"/>
                <w:color w:val="auto"/>
                <w:sz w:val="21"/>
              </w:rPr>
            </w:pPr>
            <w:r>
              <w:rPr>
                <w:rFonts w:hint="eastAsia"/>
                <w:color w:val="auto"/>
                <w:sz w:val="21"/>
              </w:rPr>
              <w:t>【泄漏应急处置】</w:t>
            </w:r>
          </w:p>
          <w:p>
            <w:pPr>
              <w:pStyle w:val="247"/>
              <w:kinsoku w:val="0"/>
              <w:overflowPunct w:val="0"/>
              <w:spacing w:before="15" w:beforeLines="0" w:afterLines="0" w:line="249" w:lineRule="auto"/>
              <w:ind w:right="15"/>
              <w:jc w:val="left"/>
              <w:rPr>
                <w:rFonts w:hint="eastAsia"/>
                <w:color w:val="auto"/>
                <w:spacing w:val="-5"/>
                <w:sz w:val="21"/>
              </w:rPr>
            </w:pPr>
            <w:r>
              <w:rPr>
                <w:rFonts w:hint="eastAsia"/>
                <w:color w:val="auto"/>
                <w:spacing w:val="-8"/>
                <w:sz w:val="21"/>
              </w:rPr>
              <w:t>消除所有点火源。根据气体的影响区域划定警戒区，无关人员从侧风、上风向</w:t>
            </w:r>
            <w:r>
              <w:rPr>
                <w:rFonts w:hint="eastAsia"/>
                <w:color w:val="auto"/>
                <w:spacing w:val="-5"/>
                <w:sz w:val="21"/>
              </w:rPr>
              <w:t>撤离至安全区。建议应急处理人员穿内置正压自给式空气呼吸器的全封闭防化服。</w:t>
            </w:r>
            <w:r>
              <w:rPr>
                <w:rFonts w:hint="eastAsia"/>
                <w:color w:val="auto"/>
                <w:spacing w:val="-10"/>
                <w:sz w:val="21"/>
              </w:rPr>
              <w:t>如果是液化气体泄漏，还应注意防冻伤。禁止接触或跨越泄漏物。尽可能切断泄漏源。防止气体通过下水道、通风系统和密闭性空间扩散。若可能翻转容器，使之逸</w:t>
            </w:r>
            <w:r>
              <w:rPr>
                <w:rFonts w:hint="eastAsia"/>
                <w:color w:val="auto"/>
                <w:sz w:val="21"/>
              </w:rPr>
              <w:t>出气体而非液体。构筑围堤或挖坑收容液体泄漏物。用醋酸或其它稀酸中和。也可</w:t>
            </w:r>
            <w:r>
              <w:rPr>
                <w:rFonts w:hint="eastAsia" w:eastAsia="宋体"/>
                <w:color w:val="auto"/>
                <w:sz w:val="21"/>
                <w:lang w:eastAsia="zh-CN"/>
              </w:rPr>
              <w:t>以</w:t>
            </w:r>
            <w:r>
              <w:rPr>
                <w:rFonts w:hint="eastAsia"/>
                <w:color w:val="auto"/>
                <w:spacing w:val="-10"/>
                <w:sz w:val="21"/>
              </w:rPr>
              <w:t>喷雾状水稀释、溶解，同时构筑围堤或挖坑收容产生的大量废水。如有可能，将</w:t>
            </w:r>
            <w:r>
              <w:rPr>
                <w:rFonts w:hint="eastAsia"/>
                <w:color w:val="auto"/>
                <w:spacing w:val="-5"/>
                <w:sz w:val="21"/>
              </w:rPr>
              <w:t xml:space="preserve">残余气或漏出气用排风机送至水洗塔或与塔相连的通风橱内。如果钢瓶发生泄漏， </w:t>
            </w:r>
            <w:r>
              <w:rPr>
                <w:rFonts w:hint="eastAsia"/>
                <w:color w:val="auto"/>
                <w:spacing w:val="-10"/>
                <w:sz w:val="21"/>
              </w:rPr>
              <w:t>无法封堵时可浸入水中。储罐区最好设水或稀酸喷洒设施。隔离泄漏区直至气体散</w:t>
            </w:r>
            <w:r>
              <w:rPr>
                <w:rFonts w:hint="eastAsia"/>
                <w:color w:val="auto"/>
                <w:spacing w:val="-5"/>
                <w:sz w:val="21"/>
              </w:rPr>
              <w:t>尽。漏气容器要妥善处理，修复、检验后再用。</w:t>
            </w:r>
          </w:p>
          <w:p>
            <w:pPr>
              <w:pStyle w:val="247"/>
              <w:kinsoku w:val="0"/>
              <w:overflowPunct w:val="0"/>
              <w:spacing w:beforeLines="0" w:afterLines="0" w:line="268" w:lineRule="exact"/>
              <w:ind w:left="537" w:right="-15"/>
              <w:jc w:val="left"/>
              <w:rPr>
                <w:rFonts w:hint="eastAsia"/>
                <w:color w:val="auto"/>
                <w:sz w:val="21"/>
              </w:rPr>
            </w:pPr>
            <w:r>
              <w:rPr>
                <w:rFonts w:hint="eastAsia"/>
                <w:color w:val="auto"/>
                <w:spacing w:val="-17"/>
                <w:sz w:val="21"/>
              </w:rPr>
              <w:t>隔离与疏散距离：小量泄漏，初始隔离</w:t>
            </w:r>
            <w:r>
              <w:rPr>
                <w:rFonts w:hint="eastAsia"/>
                <w:color w:val="auto"/>
                <w:spacing w:val="-52"/>
                <w:sz w:val="21"/>
              </w:rPr>
              <w:t xml:space="preserve"> </w:t>
            </w:r>
            <w:r>
              <w:rPr>
                <w:rFonts w:hint="default" w:ascii="Times New Roman" w:hAnsi="Times New Roman" w:eastAsia="Times New Roman"/>
                <w:color w:val="auto"/>
                <w:sz w:val="21"/>
              </w:rPr>
              <w:t>30</w:t>
            </w:r>
            <w:r>
              <w:rPr>
                <w:rFonts w:hint="default" w:ascii="Times New Roman" w:hAnsi="Times New Roman" w:eastAsia="Times New Roman"/>
                <w:color w:val="auto"/>
                <w:spacing w:val="-4"/>
                <w:sz w:val="21"/>
              </w:rPr>
              <w:t>m</w:t>
            </w:r>
            <w:r>
              <w:rPr>
                <w:rFonts w:hint="eastAsia"/>
                <w:color w:val="auto"/>
                <w:spacing w:val="-16"/>
                <w:sz w:val="21"/>
              </w:rPr>
              <w:t>，下风向疏散白天</w:t>
            </w:r>
            <w:r>
              <w:rPr>
                <w:rFonts w:hint="eastAsia"/>
                <w:color w:val="auto"/>
                <w:spacing w:val="-53"/>
                <w:sz w:val="21"/>
              </w:rPr>
              <w:t xml:space="preserve"> </w:t>
            </w:r>
            <w:r>
              <w:rPr>
                <w:rFonts w:hint="default" w:ascii="Times New Roman" w:hAnsi="Times New Roman" w:eastAsia="Times New Roman"/>
                <w:color w:val="auto"/>
                <w:sz w:val="21"/>
              </w:rPr>
              <w:t>100</w:t>
            </w:r>
            <w:r>
              <w:rPr>
                <w:rFonts w:hint="default" w:ascii="Times New Roman" w:hAnsi="Times New Roman" w:eastAsia="Times New Roman"/>
                <w:color w:val="auto"/>
                <w:spacing w:val="-3"/>
                <w:sz w:val="21"/>
              </w:rPr>
              <w:t>m</w:t>
            </w:r>
            <w:r>
              <w:rPr>
                <w:rFonts w:hint="eastAsia"/>
                <w:color w:val="auto"/>
                <w:spacing w:val="-35"/>
                <w:sz w:val="21"/>
              </w:rPr>
              <w:t>、夜晚</w:t>
            </w:r>
            <w:r>
              <w:rPr>
                <w:rFonts w:hint="eastAsia"/>
                <w:color w:val="auto"/>
                <w:spacing w:val="-53"/>
                <w:sz w:val="21"/>
              </w:rPr>
              <w:t xml:space="preserve"> </w:t>
            </w:r>
            <w:r>
              <w:rPr>
                <w:rFonts w:hint="default" w:ascii="Times New Roman" w:hAnsi="Times New Roman" w:eastAsia="Times New Roman"/>
                <w:color w:val="auto"/>
                <w:sz w:val="21"/>
              </w:rPr>
              <w:t>2</w:t>
            </w:r>
            <w:r>
              <w:rPr>
                <w:rFonts w:hint="default" w:ascii="Times New Roman" w:hAnsi="Times New Roman" w:eastAsia="Times New Roman"/>
                <w:color w:val="auto"/>
                <w:spacing w:val="-3"/>
                <w:sz w:val="21"/>
              </w:rPr>
              <w:t>0</w:t>
            </w:r>
            <w:r>
              <w:rPr>
                <w:rFonts w:hint="default" w:ascii="Times New Roman" w:hAnsi="Times New Roman" w:eastAsia="Times New Roman"/>
                <w:color w:val="auto"/>
                <w:sz w:val="21"/>
              </w:rPr>
              <w:t>0</w:t>
            </w:r>
            <w:r>
              <w:rPr>
                <w:rFonts w:hint="default" w:ascii="Times New Roman" w:hAnsi="Times New Roman" w:eastAsia="Times New Roman"/>
                <w:color w:val="auto"/>
                <w:spacing w:val="-4"/>
                <w:sz w:val="21"/>
              </w:rPr>
              <w:t>m</w:t>
            </w:r>
            <w:r>
              <w:rPr>
                <w:rFonts w:hint="eastAsia"/>
                <w:color w:val="auto"/>
                <w:sz w:val="21"/>
              </w:rPr>
              <w:t>；</w:t>
            </w:r>
          </w:p>
          <w:p>
            <w:pPr>
              <w:pStyle w:val="247"/>
              <w:kinsoku w:val="0"/>
              <w:overflowPunct w:val="0"/>
              <w:spacing w:before="12" w:beforeLines="0" w:afterLines="0" w:line="249" w:lineRule="auto"/>
              <w:ind w:left="117" w:right="16" w:firstLine="420"/>
              <w:jc w:val="left"/>
              <w:rPr>
                <w:rFonts w:hint="eastAsia"/>
                <w:color w:val="auto"/>
                <w:sz w:val="21"/>
              </w:rPr>
            </w:pPr>
            <w:r>
              <w:rPr>
                <w:rFonts w:hint="eastAsia"/>
                <w:color w:val="auto"/>
                <w:sz w:val="21"/>
              </w:rPr>
              <w:t xml:space="preserve">大量泄漏，初始隔离 </w:t>
            </w:r>
            <w:r>
              <w:rPr>
                <w:rFonts w:hint="default" w:ascii="Times New Roman" w:hAnsi="Times New Roman" w:eastAsia="Times New Roman"/>
                <w:color w:val="auto"/>
                <w:sz w:val="21"/>
              </w:rPr>
              <w:t>150m</w:t>
            </w:r>
            <w:r>
              <w:rPr>
                <w:rFonts w:hint="eastAsia"/>
                <w:color w:val="auto"/>
                <w:sz w:val="21"/>
              </w:rPr>
              <w:t xml:space="preserve">，下风向疏散白天 </w:t>
            </w:r>
            <w:r>
              <w:rPr>
                <w:rFonts w:hint="default" w:ascii="Times New Roman" w:hAnsi="Times New Roman" w:eastAsia="Times New Roman"/>
                <w:color w:val="auto"/>
                <w:sz w:val="21"/>
              </w:rPr>
              <w:t>800m</w:t>
            </w:r>
            <w:r>
              <w:rPr>
                <w:rFonts w:hint="eastAsia"/>
                <w:color w:val="auto"/>
                <w:sz w:val="21"/>
              </w:rPr>
              <w:t xml:space="preserve">、夜晚 </w:t>
            </w:r>
            <w:r>
              <w:rPr>
                <w:rFonts w:hint="default" w:ascii="Times New Roman" w:hAnsi="Times New Roman" w:eastAsia="Times New Roman"/>
                <w:color w:val="auto"/>
                <w:sz w:val="21"/>
              </w:rPr>
              <w:t>2300m</w:t>
            </w:r>
            <w:r>
              <w:rPr>
                <w:rFonts w:hint="eastAsia"/>
                <w:color w:val="auto"/>
                <w:sz w:val="21"/>
              </w:rPr>
              <w:t>。</w:t>
            </w:r>
          </w:p>
        </w:tc>
      </w:tr>
    </w:tbl>
    <w:p>
      <w:pPr>
        <w:pStyle w:val="7"/>
        <w:numPr>
          <w:ilvl w:val="2"/>
          <w:numId w:val="0"/>
        </w:numPr>
        <w:spacing w:before="120" w:beforeLines="0" w:after="120" w:afterLines="0"/>
        <w:ind w:firstLine="482" w:firstLineChars="200"/>
        <w:rPr>
          <w:rFonts w:hint="eastAsia"/>
          <w:color w:val="auto"/>
          <w:u w:val="none"/>
          <w:lang w:val="en-US" w:eastAsia="zh-CN"/>
        </w:rPr>
      </w:pPr>
      <w:bookmarkStart w:id="387" w:name="_Toc12804"/>
      <w:r>
        <w:rPr>
          <w:rFonts w:hint="eastAsia"/>
          <w:color w:val="auto"/>
          <w:u w:val="none"/>
          <w:lang w:val="en-US" w:eastAsia="zh-CN"/>
        </w:rPr>
        <w:t>7.8.1泄漏环境影响分析</w:t>
      </w:r>
      <w:bookmarkEnd w:id="387"/>
    </w:p>
    <w:p>
      <w:pPr>
        <w:pStyle w:val="8"/>
        <w:numPr>
          <w:ilvl w:val="3"/>
          <w:numId w:val="0"/>
        </w:numPr>
        <w:tabs>
          <w:tab w:val="clear" w:pos="0"/>
        </w:tabs>
        <w:ind w:leftChars="0" w:firstLine="480" w:firstLineChars="200"/>
        <w:rPr>
          <w:color w:val="auto"/>
        </w:rPr>
      </w:pPr>
      <w:r>
        <w:rPr>
          <w:rFonts w:hint="eastAsia"/>
          <w:color w:val="auto"/>
          <w:lang w:val="en-US" w:eastAsia="zh-CN"/>
        </w:rPr>
        <w:t>7.8.1.1</w:t>
      </w:r>
      <w:r>
        <w:rPr>
          <w:rFonts w:hint="eastAsia"/>
          <w:color w:val="auto"/>
        </w:rPr>
        <w:t>泄漏后</w:t>
      </w:r>
      <w:r>
        <w:rPr>
          <w:color w:val="auto"/>
        </w:rPr>
        <w:t>污染转移途径及危害形式</w:t>
      </w:r>
    </w:p>
    <w:p>
      <w:pPr>
        <w:snapToGrid w:val="0"/>
        <w:spacing w:line="360" w:lineRule="auto"/>
        <w:ind w:firstLine="480" w:firstLineChars="200"/>
        <w:jc w:val="left"/>
        <w:rPr>
          <w:rFonts w:ascii="Times New Roman" w:hAnsi="Times New Roman" w:cs="Times New Roman"/>
          <w:color w:val="auto"/>
          <w:sz w:val="24"/>
        </w:rPr>
      </w:pPr>
      <w:r>
        <w:rPr>
          <w:rFonts w:hint="eastAsia" w:ascii="Times New Roman" w:hAnsi="Times New Roman" w:cs="Times New Roman"/>
          <w:color w:val="auto"/>
          <w:sz w:val="24"/>
          <w:lang w:eastAsia="zh-CN"/>
        </w:rPr>
        <w:t>液氨</w:t>
      </w:r>
      <w:r>
        <w:rPr>
          <w:rFonts w:hint="eastAsia" w:ascii="Times New Roman" w:hAnsi="Times New Roman" w:cs="Times New Roman"/>
          <w:color w:val="auto"/>
          <w:sz w:val="24"/>
        </w:rPr>
        <w:t>泄漏后，可能产生物料的环境扩散或发生燃爆事故，而对环境构成重大污染事故的主要是环境扩散，或者是由燃爆事故后产生的伴生/次生危害导致环境污染事故。环境扩散途径示意图见图</w:t>
      </w:r>
      <w:r>
        <w:rPr>
          <w:rFonts w:hint="eastAsia" w:ascii="Times New Roman" w:hAnsi="Times New Roman" w:cs="Times New Roman"/>
          <w:color w:val="auto"/>
          <w:sz w:val="24"/>
          <w:lang w:val="en-US" w:eastAsia="zh-CN"/>
        </w:rPr>
        <w:t>7.9</w:t>
      </w:r>
      <w:r>
        <w:rPr>
          <w:rFonts w:hint="eastAsia" w:ascii="Times New Roman" w:hAnsi="Times New Roman" w:cs="Times New Roman"/>
          <w:color w:val="auto"/>
          <w:sz w:val="24"/>
        </w:rPr>
        <w:t>-1：</w:t>
      </w:r>
    </w:p>
    <w:p>
      <w:pPr>
        <w:pStyle w:val="2"/>
        <w:ind w:left="420" w:firstLine="420"/>
        <w:jc w:val="center"/>
        <w:rPr>
          <w:color w:val="auto"/>
        </w:rPr>
      </w:pPr>
      <w:r>
        <w:rPr>
          <w:color w:val="auto"/>
        </w:rPr>
        <w:drawing>
          <wp:inline distT="0" distB="0" distL="0" distR="0">
            <wp:extent cx="4337050" cy="2463800"/>
            <wp:effectExtent l="0" t="0" r="6350" b="1270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337050" cy="2463800"/>
                    </a:xfrm>
                    <a:prstGeom prst="rect">
                      <a:avLst/>
                    </a:prstGeom>
                    <a:noFill/>
                    <a:ln>
                      <a:noFill/>
                    </a:ln>
                  </pic:spPr>
                </pic:pic>
              </a:graphicData>
            </a:graphic>
          </wp:inline>
        </w:drawing>
      </w:r>
    </w:p>
    <w:p>
      <w:pPr>
        <w:pStyle w:val="2"/>
        <w:ind w:left="420" w:firstLine="422"/>
        <w:jc w:val="center"/>
        <w:rPr>
          <w:color w:val="auto"/>
        </w:rPr>
      </w:pPr>
      <w:r>
        <w:rPr>
          <w:b/>
          <w:color w:val="auto"/>
        </w:rPr>
        <w:t>图</w:t>
      </w:r>
      <w:r>
        <w:rPr>
          <w:rFonts w:hint="eastAsia"/>
          <w:b/>
          <w:color w:val="auto"/>
        </w:rPr>
        <w:t>7</w:t>
      </w:r>
      <w:r>
        <w:rPr>
          <w:b/>
          <w:color w:val="auto"/>
        </w:rPr>
        <w:t>.</w:t>
      </w:r>
      <w:r>
        <w:rPr>
          <w:rFonts w:hint="eastAsia"/>
          <w:b/>
          <w:color w:val="auto"/>
        </w:rPr>
        <w:t>4</w:t>
      </w:r>
      <w:r>
        <w:rPr>
          <w:b/>
          <w:color w:val="auto"/>
        </w:rPr>
        <w:t>-1  环境扩散途径示意图</w:t>
      </w:r>
    </w:p>
    <w:p>
      <w:pPr>
        <w:snapToGrid w:val="0"/>
        <w:spacing w:line="360" w:lineRule="auto"/>
        <w:ind w:firstLine="480" w:firstLineChars="200"/>
        <w:jc w:val="left"/>
        <w:rPr>
          <w:rFonts w:ascii="Times New Roman" w:hAnsi="Times New Roman" w:cs="Times New Roman"/>
          <w:color w:val="auto"/>
          <w:sz w:val="24"/>
        </w:rPr>
      </w:pPr>
      <w:r>
        <w:rPr>
          <w:rFonts w:ascii="Times New Roman" w:hAnsi="Times New Roman" w:cs="Times New Roman"/>
          <w:color w:val="auto"/>
          <w:sz w:val="24"/>
        </w:rPr>
        <w:t>如管道或输送泵泄漏，极有可能随下水道或渗漏污染地表水体，或土壤和地下水体。项目管道沿线都进行地面硬化防渗处理，因此发生土壤和地下水体渗漏污染可能性不大。</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7.8.1.2主要环境影响</w:t>
      </w:r>
    </w:p>
    <w:p>
      <w:pPr>
        <w:snapToGrid w:val="0"/>
        <w:spacing w:line="360" w:lineRule="auto"/>
        <w:ind w:firstLine="480" w:firstLineChars="200"/>
        <w:jc w:val="left"/>
        <w:rPr>
          <w:rFonts w:ascii="Times New Roman" w:hAnsi="Times New Roman" w:cs="Times New Roman"/>
          <w:color w:val="auto"/>
          <w:sz w:val="24"/>
        </w:rPr>
      </w:pPr>
      <w:r>
        <w:rPr>
          <w:rFonts w:hint="eastAsia" w:ascii="Times New Roman" w:hAnsi="Times New Roman" w:cs="Times New Roman"/>
          <w:color w:val="auto"/>
          <w:sz w:val="24"/>
        </w:rPr>
        <w:t>（1）对大气环境的污染影响</w:t>
      </w:r>
    </w:p>
    <w:p>
      <w:pPr>
        <w:snapToGrid w:val="0"/>
        <w:spacing w:line="360" w:lineRule="auto"/>
        <w:ind w:firstLine="480" w:firstLineChars="200"/>
        <w:jc w:val="left"/>
        <w:rPr>
          <w:rFonts w:hint="eastAsia" w:ascii="Times New Roman" w:hAnsi="Times New Roman" w:cs="Times New Roman"/>
          <w:color w:val="auto"/>
          <w:sz w:val="24"/>
        </w:rPr>
      </w:pPr>
      <w:r>
        <w:rPr>
          <w:rFonts w:hint="eastAsia" w:ascii="Times New Roman" w:hAnsi="Times New Roman" w:cs="Times New Roman"/>
          <w:color w:val="auto"/>
          <w:sz w:val="24"/>
          <w:lang w:eastAsia="zh-CN"/>
        </w:rPr>
        <w:t>液氨</w:t>
      </w:r>
      <w:r>
        <w:rPr>
          <w:rFonts w:hint="eastAsia" w:ascii="Times New Roman" w:hAnsi="Times New Roman" w:cs="Times New Roman"/>
          <w:color w:val="auto"/>
          <w:sz w:val="24"/>
        </w:rPr>
        <w:t>泄漏后在大气中挥发，大气中高浓度</w:t>
      </w:r>
      <w:r>
        <w:rPr>
          <w:rFonts w:hint="eastAsia" w:ascii="Times New Roman" w:hAnsi="Times New Roman" w:cs="Times New Roman"/>
          <w:color w:val="auto"/>
          <w:sz w:val="24"/>
          <w:lang w:eastAsia="zh-CN"/>
        </w:rPr>
        <w:t>液氨</w:t>
      </w:r>
      <w:r>
        <w:rPr>
          <w:rFonts w:hint="eastAsia" w:ascii="Times New Roman" w:hAnsi="Times New Roman" w:cs="Times New Roman"/>
          <w:color w:val="auto"/>
          <w:sz w:val="24"/>
        </w:rPr>
        <w:t>蒸气，主要是对人体健康的危害。</w:t>
      </w:r>
    </w:p>
    <w:p>
      <w:pPr>
        <w:snapToGrid w:val="0"/>
        <w:spacing w:line="360" w:lineRule="auto"/>
        <w:jc w:val="left"/>
        <w:rPr>
          <w:rFonts w:hint="eastAsia" w:ascii="Times New Roman" w:hAnsi="Times New Roman" w:cs="Times New Roman"/>
          <w:color w:val="auto"/>
          <w:sz w:val="24"/>
        </w:rPr>
      </w:pPr>
      <w:r>
        <w:rPr>
          <w:rFonts w:hint="eastAsia" w:ascii="Times New Roman" w:hAnsi="Times New Roman" w:cs="Times New Roman"/>
          <w:color w:val="auto"/>
          <w:sz w:val="24"/>
          <w:lang w:eastAsia="zh-CN"/>
        </w:rPr>
        <w:t>对眼、呼吸道粘膜有强烈刺激和腐蚀作用，可致眼和皮肤灼伤。高浓度氨可引起反射性呼吸和心搏停止。液氨极易燃，</w:t>
      </w:r>
      <w:r>
        <w:rPr>
          <w:rFonts w:hint="eastAsia" w:ascii="Times New Roman" w:hAnsi="Times New Roman" w:cs="Times New Roman"/>
          <w:color w:val="auto"/>
          <w:sz w:val="24"/>
        </w:rPr>
        <w:t>能与空气形成爆炸性混合物，遇明火、高热引起燃烧爆炸。</w:t>
      </w:r>
    </w:p>
    <w:p>
      <w:pPr>
        <w:snapToGrid w:val="0"/>
        <w:spacing w:line="360" w:lineRule="auto"/>
        <w:ind w:firstLine="480" w:firstLineChars="200"/>
        <w:jc w:val="left"/>
        <w:rPr>
          <w:rFonts w:ascii="Times New Roman" w:hAnsi="Times New Roman" w:cs="Times New Roman"/>
          <w:color w:val="auto"/>
          <w:sz w:val="24"/>
        </w:rPr>
      </w:pPr>
      <w:r>
        <w:rPr>
          <w:rFonts w:hint="eastAsia" w:ascii="Times New Roman" w:hAnsi="Times New Roman" w:cs="Times New Roman"/>
          <w:color w:val="auto"/>
          <w:sz w:val="24"/>
        </w:rPr>
        <w:t>（2）对水环境和土壤污染影响</w:t>
      </w:r>
    </w:p>
    <w:p>
      <w:pPr>
        <w:snapToGrid w:val="0"/>
        <w:spacing w:line="360" w:lineRule="auto"/>
        <w:ind w:firstLine="480" w:firstLineChars="200"/>
        <w:jc w:val="left"/>
        <w:rPr>
          <w:color w:val="auto"/>
        </w:rPr>
      </w:pPr>
      <w:r>
        <w:rPr>
          <w:rFonts w:hint="eastAsia" w:ascii="Times New Roman" w:hAnsi="Times New Roman" w:cs="Times New Roman"/>
          <w:color w:val="auto"/>
          <w:sz w:val="24"/>
        </w:rPr>
        <w:t>一旦泄漏，</w:t>
      </w:r>
      <w:r>
        <w:rPr>
          <w:rFonts w:hint="eastAsia" w:ascii="Times New Roman" w:hAnsi="Times New Roman" w:cs="Times New Roman"/>
          <w:color w:val="auto"/>
          <w:sz w:val="24"/>
          <w:lang w:eastAsia="zh-CN"/>
        </w:rPr>
        <w:t>事故水</w:t>
      </w:r>
      <w:r>
        <w:rPr>
          <w:rFonts w:hint="eastAsia" w:ascii="Times New Roman" w:hAnsi="Times New Roman" w:cs="Times New Roman"/>
          <w:color w:val="auto"/>
          <w:sz w:val="24"/>
        </w:rPr>
        <w:t>如处置不当或措施存在问题，会进入水体，如进入污水管网，对会污水处理厂产生冲击影响，影响污水处理厂的处理效果；如进入雨水排放系统，将会最终排入项目地</w:t>
      </w:r>
      <w:r>
        <w:rPr>
          <w:rFonts w:hint="eastAsia" w:ascii="Times New Roman" w:hAnsi="Times New Roman" w:cs="Times New Roman"/>
          <w:color w:val="auto"/>
          <w:sz w:val="24"/>
          <w:lang w:eastAsia="zh-CN"/>
        </w:rPr>
        <w:t>北</w:t>
      </w:r>
      <w:r>
        <w:rPr>
          <w:rFonts w:hint="eastAsia" w:ascii="Times New Roman" w:hAnsi="Times New Roman" w:cs="Times New Roman"/>
          <w:color w:val="auto"/>
          <w:sz w:val="24"/>
        </w:rPr>
        <w:t>侧的</w:t>
      </w:r>
      <w:r>
        <w:rPr>
          <w:rFonts w:hint="eastAsia" w:ascii="Times New Roman" w:hAnsi="Times New Roman" w:cs="Times New Roman"/>
          <w:color w:val="auto"/>
          <w:sz w:val="24"/>
          <w:lang w:eastAsia="zh-CN"/>
        </w:rPr>
        <w:t>小河沟</w:t>
      </w:r>
      <w:r>
        <w:rPr>
          <w:rFonts w:hint="eastAsia" w:ascii="Times New Roman" w:hAnsi="Times New Roman" w:cs="Times New Roman"/>
          <w:color w:val="auto"/>
          <w:sz w:val="24"/>
        </w:rPr>
        <w:t>，会对</w:t>
      </w:r>
      <w:r>
        <w:rPr>
          <w:rFonts w:hint="eastAsia" w:ascii="Times New Roman" w:hAnsi="Times New Roman" w:cs="Times New Roman"/>
          <w:color w:val="auto"/>
          <w:sz w:val="24"/>
          <w:lang w:eastAsia="zh-CN"/>
        </w:rPr>
        <w:t>小河沟及下游</w:t>
      </w:r>
      <w:r>
        <w:rPr>
          <w:rFonts w:hint="eastAsia" w:ascii="Times New Roman" w:hAnsi="Times New Roman" w:cs="Times New Roman"/>
          <w:color w:val="auto"/>
          <w:sz w:val="24"/>
        </w:rPr>
        <w:t>水生生态系统产生较大的破坏，导致水生生物的死亡。渗漏进入地下，会对地下水产生污染。如发生火灾，产生的消防废水未及时发现收集进事故池或处理设施，有毒物质有可能通过雨水或消防水排水系统进入周围水环境，也将造成水环境和土壤污染。</w:t>
      </w:r>
    </w:p>
    <w:p>
      <w:pPr>
        <w:pStyle w:val="7"/>
        <w:numPr>
          <w:ilvl w:val="2"/>
          <w:numId w:val="0"/>
        </w:numPr>
        <w:ind w:left="142" w:leftChars="0"/>
        <w:rPr>
          <w:color w:val="auto"/>
        </w:rPr>
      </w:pPr>
      <w:bookmarkStart w:id="388" w:name="_Toc6471"/>
      <w:r>
        <w:rPr>
          <w:rFonts w:hint="eastAsia"/>
          <w:color w:val="auto"/>
          <w:lang w:val="en-US" w:eastAsia="zh-CN"/>
        </w:rPr>
        <w:t>7.8.2</w:t>
      </w:r>
      <w:r>
        <w:rPr>
          <w:rFonts w:hint="eastAsia"/>
          <w:color w:val="auto"/>
        </w:rPr>
        <w:t>风险管理及防范措施</w:t>
      </w:r>
      <w:bookmarkEnd w:id="388"/>
    </w:p>
    <w:p>
      <w:pPr>
        <w:spacing w:line="360" w:lineRule="auto"/>
        <w:ind w:firstLine="480" w:firstLineChars="200"/>
        <w:rPr>
          <w:rFonts w:ascii="Times New Roman" w:hAnsi="Times New Roman"/>
          <w:color w:val="auto"/>
          <w:sz w:val="24"/>
          <w:szCs w:val="24"/>
        </w:rPr>
      </w:pPr>
      <w:r>
        <w:rPr>
          <w:rFonts w:ascii="Times New Roman" w:hAnsi="Times New Roman"/>
          <w:color w:val="auto"/>
          <w:sz w:val="24"/>
          <w:szCs w:val="24"/>
        </w:rPr>
        <w:t>风险管理是研究风险发生规律和风险控制技术的一门管理科学，各组织通过风险识别、风险估测、风险评价，并在此基础上优化组合各种风险管理技术，对风险实施有效的控制并妥善处理风险事故，以期达到最低事故率、最小损失和最大的安全投资效益的目的。</w:t>
      </w:r>
    </w:p>
    <w:p>
      <w:pPr>
        <w:spacing w:line="360" w:lineRule="auto"/>
        <w:ind w:firstLine="480" w:firstLineChars="200"/>
        <w:rPr>
          <w:rFonts w:ascii="Times New Roman" w:hAnsi="Times New Roman"/>
          <w:color w:val="auto"/>
          <w:sz w:val="24"/>
          <w:szCs w:val="24"/>
        </w:rPr>
      </w:pPr>
      <w:r>
        <w:rPr>
          <w:rFonts w:ascii="Times New Roman" w:hAnsi="Times New Roman"/>
          <w:color w:val="auto"/>
          <w:sz w:val="24"/>
          <w:szCs w:val="24"/>
        </w:rPr>
        <w:t>为了预防和减少事故风险，本次环评从总图设计、建筑安全、工艺技术设计、自动控制设计、危险化学品储运、消防及火灾报警等</w:t>
      </w:r>
      <w:r>
        <w:rPr>
          <w:rFonts w:hint="eastAsia" w:ascii="Times New Roman" w:hAnsi="Times New Roman"/>
          <w:color w:val="auto"/>
          <w:sz w:val="24"/>
          <w:szCs w:val="24"/>
        </w:rPr>
        <w:t>多</w:t>
      </w:r>
      <w:r>
        <w:rPr>
          <w:rFonts w:ascii="Times New Roman" w:hAnsi="Times New Roman"/>
          <w:color w:val="auto"/>
          <w:sz w:val="24"/>
          <w:szCs w:val="24"/>
        </w:rPr>
        <w:t>方面</w:t>
      </w:r>
      <w:r>
        <w:rPr>
          <w:rFonts w:hint="eastAsia" w:ascii="Times New Roman" w:hAnsi="Times New Roman"/>
          <w:color w:val="auto"/>
          <w:sz w:val="24"/>
          <w:szCs w:val="24"/>
        </w:rPr>
        <w:t>，</w:t>
      </w:r>
      <w:r>
        <w:rPr>
          <w:rFonts w:ascii="Times New Roman" w:hAnsi="Times New Roman"/>
          <w:color w:val="auto"/>
          <w:sz w:val="24"/>
          <w:szCs w:val="24"/>
        </w:rPr>
        <w:t>提出事故风险防范措施。</w:t>
      </w:r>
    </w:p>
    <w:p>
      <w:pPr>
        <w:pStyle w:val="8"/>
        <w:numPr>
          <w:ilvl w:val="3"/>
          <w:numId w:val="0"/>
        </w:numPr>
        <w:tabs>
          <w:tab w:val="clear" w:pos="0"/>
        </w:tabs>
        <w:ind w:leftChars="0" w:firstLine="480" w:firstLineChars="200"/>
        <w:rPr>
          <w:color w:val="auto"/>
        </w:rPr>
      </w:pPr>
      <w:r>
        <w:rPr>
          <w:rFonts w:hint="eastAsia"/>
          <w:color w:val="auto"/>
          <w:lang w:val="en-US" w:eastAsia="zh-CN"/>
        </w:rPr>
        <w:t>7.8.2.1</w:t>
      </w:r>
      <w:r>
        <w:rPr>
          <w:color w:val="auto"/>
        </w:rPr>
        <w:t xml:space="preserve"> </w:t>
      </w:r>
      <w:r>
        <w:rPr>
          <w:rFonts w:hint="eastAsia"/>
          <w:color w:val="auto"/>
        </w:rPr>
        <w:t>选址、总图布置和建筑安全防范措施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（1）选址</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本项目厂址位于</w:t>
      </w:r>
      <w:r>
        <w:rPr>
          <w:rFonts w:hint="eastAsia" w:ascii="Times New Roman" w:hAnsi="Times New Roman"/>
          <w:color w:val="auto"/>
          <w:sz w:val="24"/>
          <w:szCs w:val="24"/>
          <w:u w:val="none"/>
          <w:lang w:eastAsia="zh-CN"/>
        </w:rPr>
        <w:t>中石化长岭分公司厂</w:t>
      </w:r>
      <w:r>
        <w:rPr>
          <w:rFonts w:hint="eastAsia" w:ascii="Times New Roman" w:hAnsi="Times New Roman"/>
          <w:color w:val="auto"/>
          <w:sz w:val="24"/>
          <w:szCs w:val="24"/>
          <w:u w:val="none"/>
        </w:rPr>
        <w:t>区，根据《岳阳市中心城区云溪片控制性详细规划》，厂址属于工业用地，周围无自然保护区、风景名胜区、水源地等敏感点，其中距离最近的居民生活区为约</w:t>
      </w:r>
      <w:r>
        <w:rPr>
          <w:rFonts w:hint="eastAsia" w:ascii="Times New Roman" w:hAnsi="Times New Roman"/>
          <w:color w:val="auto"/>
          <w:sz w:val="24"/>
          <w:szCs w:val="24"/>
          <w:u w:val="none"/>
          <w:lang w:val="en-US" w:eastAsia="zh-CN"/>
        </w:rPr>
        <w:t>8</w:t>
      </w:r>
      <w:r>
        <w:rPr>
          <w:rFonts w:hint="eastAsia" w:ascii="Times New Roman" w:hAnsi="Times New Roman"/>
          <w:color w:val="auto"/>
          <w:sz w:val="24"/>
          <w:szCs w:val="24"/>
          <w:u w:val="none"/>
        </w:rPr>
        <w:t>00m处</w:t>
      </w:r>
      <w:r>
        <w:rPr>
          <w:rFonts w:hint="eastAsia" w:ascii="Times New Roman" w:hAnsi="Times New Roman"/>
          <w:color w:val="auto"/>
          <w:sz w:val="24"/>
          <w:szCs w:val="24"/>
          <w:u w:val="none"/>
          <w:lang w:eastAsia="zh-CN"/>
        </w:rPr>
        <w:t>和平村</w:t>
      </w:r>
      <w:r>
        <w:rPr>
          <w:rFonts w:hint="eastAsia" w:ascii="Times New Roman" w:hAnsi="Times New Roman"/>
          <w:color w:val="auto"/>
          <w:sz w:val="24"/>
          <w:szCs w:val="24"/>
          <w:u w:val="none"/>
        </w:rPr>
        <w:t>，根据对最大可信事故的预测，在发生风险事故的状态下，居民区不会受到较大影响。</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（2）总图布置和建筑安全防范措施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环评要求施工设计中严格执行国家有关部门现行的设计规范、规定及标准</w:t>
      </w:r>
      <w:r>
        <w:rPr>
          <w:rFonts w:hint="eastAsia" w:ascii="Times New Roman" w:hAnsi="Times New Roman"/>
          <w:color w:val="auto"/>
          <w:sz w:val="24"/>
          <w:szCs w:val="24"/>
          <w:u w:val="none"/>
          <w:lang w:eastAsia="zh-CN"/>
        </w:rPr>
        <w:t>。液氨输送管线与各</w:t>
      </w:r>
      <w:r>
        <w:rPr>
          <w:rFonts w:hint="eastAsia" w:ascii="Times New Roman" w:hAnsi="Times New Roman"/>
          <w:color w:val="auto"/>
          <w:sz w:val="24"/>
          <w:szCs w:val="24"/>
          <w:u w:val="none"/>
        </w:rPr>
        <w:t>生产装置之间严格按防火防爆间距布置。根据工序生产过程中火灾、爆炸危险等级及毒物危害程度分级进行分类、分区布置。合理组织人流和货流，结合交通、消防的需要，</w:t>
      </w:r>
      <w:r>
        <w:rPr>
          <w:rFonts w:hint="eastAsia" w:ascii="Times New Roman" w:hAnsi="Times New Roman"/>
          <w:color w:val="auto"/>
          <w:sz w:val="24"/>
          <w:szCs w:val="24"/>
          <w:u w:val="none"/>
          <w:lang w:eastAsia="zh-CN"/>
        </w:rPr>
        <w:t>泵</w:t>
      </w:r>
      <w:r>
        <w:rPr>
          <w:rFonts w:hint="eastAsia" w:ascii="Times New Roman" w:hAnsi="Times New Roman"/>
          <w:color w:val="auto"/>
          <w:sz w:val="24"/>
          <w:szCs w:val="24"/>
          <w:u w:val="none"/>
        </w:rPr>
        <w:t>区周围设置环形消防道，以满足工艺流程、厂内外运输、检修及生产管理的要求。</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7.8.2.2液氨储运安全防范措施</w:t>
      </w:r>
    </w:p>
    <w:p>
      <w:pPr>
        <w:spacing w:line="360" w:lineRule="auto"/>
        <w:ind w:firstLine="480" w:firstLineChars="200"/>
        <w:rPr>
          <w:rFonts w:ascii="Times New Roman" w:hAnsi="Times New Roman"/>
          <w:color w:val="auto"/>
          <w:sz w:val="24"/>
          <w:szCs w:val="24"/>
          <w:u w:val="none"/>
        </w:rPr>
      </w:pPr>
      <w:r>
        <w:rPr>
          <w:rFonts w:ascii="Times New Roman" w:hAnsi="Times New Roman"/>
          <w:color w:val="auto"/>
          <w:sz w:val="24"/>
          <w:szCs w:val="24"/>
          <w:u w:val="none"/>
        </w:rPr>
        <w:t>（1）项目</w:t>
      </w:r>
      <w:r>
        <w:rPr>
          <w:rFonts w:hint="eastAsia" w:ascii="Times New Roman" w:hAnsi="Times New Roman"/>
          <w:color w:val="auto"/>
          <w:sz w:val="24"/>
          <w:szCs w:val="24"/>
          <w:u w:val="none"/>
        </w:rPr>
        <w:t>涉及的</w:t>
      </w:r>
      <w:r>
        <w:rPr>
          <w:rFonts w:ascii="Times New Roman" w:hAnsi="Times New Roman"/>
          <w:color w:val="auto"/>
          <w:sz w:val="24"/>
          <w:szCs w:val="24"/>
          <w:u w:val="none"/>
        </w:rPr>
        <w:t>主要危险化学品</w:t>
      </w:r>
      <w:r>
        <w:rPr>
          <w:rFonts w:hint="eastAsia" w:ascii="Times New Roman" w:hAnsi="Times New Roman"/>
          <w:color w:val="auto"/>
          <w:sz w:val="24"/>
          <w:szCs w:val="24"/>
          <w:u w:val="none"/>
        </w:rPr>
        <w:t>，在生产储运中须按照</w:t>
      </w:r>
      <w:r>
        <w:rPr>
          <w:rFonts w:ascii="Times New Roman" w:hAnsi="Times New Roman"/>
          <w:color w:val="auto"/>
          <w:sz w:val="24"/>
          <w:szCs w:val="24"/>
          <w:u w:val="none"/>
        </w:rPr>
        <w:t>国家有关标准，满足安全、消防的要求，设置明显标志，并由专人负责管理。</w:t>
      </w:r>
    </w:p>
    <w:p>
      <w:pPr>
        <w:spacing w:line="360" w:lineRule="auto"/>
        <w:ind w:firstLine="480" w:firstLineChars="200"/>
        <w:rPr>
          <w:rFonts w:ascii="Times New Roman" w:hAnsi="Times New Roman"/>
          <w:color w:val="auto"/>
          <w:sz w:val="24"/>
          <w:szCs w:val="24"/>
          <w:u w:val="none"/>
        </w:rPr>
      </w:pPr>
      <w:r>
        <w:rPr>
          <w:rFonts w:ascii="Times New Roman" w:hAnsi="Times New Roman"/>
          <w:color w:val="auto"/>
          <w:sz w:val="24"/>
          <w:szCs w:val="24"/>
          <w:u w:val="none"/>
        </w:rPr>
        <w:t>（2）每年进行一次对</w:t>
      </w:r>
      <w:r>
        <w:rPr>
          <w:rFonts w:hint="eastAsia" w:ascii="Times New Roman" w:hAnsi="Times New Roman"/>
          <w:color w:val="auto"/>
          <w:sz w:val="24"/>
          <w:szCs w:val="24"/>
          <w:u w:val="none"/>
          <w:lang w:eastAsia="zh-CN"/>
        </w:rPr>
        <w:t>本项目</w:t>
      </w:r>
      <w:r>
        <w:rPr>
          <w:rFonts w:ascii="Times New Roman" w:hAnsi="Times New Roman"/>
          <w:color w:val="auto"/>
          <w:sz w:val="24"/>
          <w:szCs w:val="24"/>
          <w:u w:val="none"/>
        </w:rPr>
        <w:t>的安全评价，对存在安全问题的提出整改方案，如发现</w:t>
      </w:r>
      <w:r>
        <w:rPr>
          <w:rFonts w:hint="eastAsia" w:ascii="Times New Roman" w:hAnsi="Times New Roman"/>
          <w:color w:val="auto"/>
          <w:sz w:val="24"/>
          <w:szCs w:val="24"/>
          <w:u w:val="none"/>
          <w:lang w:eastAsia="zh-CN"/>
        </w:rPr>
        <w:t>设备设施</w:t>
      </w:r>
      <w:r>
        <w:rPr>
          <w:rFonts w:ascii="Times New Roman" w:hAnsi="Times New Roman"/>
          <w:color w:val="auto"/>
          <w:sz w:val="24"/>
          <w:szCs w:val="24"/>
          <w:u w:val="none"/>
        </w:rPr>
        <w:t>存在现实危险的，应当立即停止使用，予以更换或者修复，并采取相应安全措施。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w:t>
      </w:r>
      <w:r>
        <w:rPr>
          <w:rFonts w:hint="eastAsia" w:ascii="Times New Roman" w:hAnsi="Times New Roman"/>
          <w:color w:val="auto"/>
          <w:sz w:val="24"/>
          <w:szCs w:val="24"/>
          <w:u w:val="none"/>
          <w:lang w:val="en-US" w:eastAsia="zh-CN"/>
        </w:rPr>
        <w:t>3</w:t>
      </w:r>
      <w:r>
        <w:rPr>
          <w:rFonts w:hint="eastAsia" w:ascii="Times New Roman" w:hAnsi="Times New Roman"/>
          <w:color w:val="auto"/>
          <w:sz w:val="24"/>
          <w:szCs w:val="24"/>
          <w:u w:val="none"/>
        </w:rPr>
        <w:t>）</w:t>
      </w:r>
      <w:r>
        <w:rPr>
          <w:rFonts w:hint="eastAsia" w:ascii="Times New Roman" w:hAnsi="Times New Roman"/>
          <w:color w:val="auto"/>
          <w:sz w:val="24"/>
          <w:szCs w:val="24"/>
          <w:u w:val="none"/>
          <w:lang w:eastAsia="zh-CN"/>
        </w:rPr>
        <w:t>泵区</w:t>
      </w:r>
      <w:r>
        <w:rPr>
          <w:rFonts w:hint="eastAsia" w:ascii="Times New Roman" w:hAnsi="Times New Roman"/>
          <w:color w:val="auto"/>
          <w:sz w:val="24"/>
          <w:szCs w:val="24"/>
          <w:u w:val="none"/>
        </w:rPr>
        <w:t>周围筑围堰，使物质泄漏时不至于扩散到围堰外，利于迅速收集，并设置消防栓等灭火设备。</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w:t>
      </w:r>
      <w:r>
        <w:rPr>
          <w:rFonts w:hint="eastAsia" w:ascii="Times New Roman" w:hAnsi="Times New Roman"/>
          <w:color w:val="auto"/>
          <w:sz w:val="24"/>
          <w:szCs w:val="24"/>
          <w:u w:val="none"/>
          <w:lang w:val="en-US" w:eastAsia="zh-CN"/>
        </w:rPr>
        <w:t>4</w:t>
      </w:r>
      <w:r>
        <w:rPr>
          <w:rFonts w:hint="eastAsia" w:ascii="Times New Roman" w:hAnsi="Times New Roman"/>
          <w:color w:val="auto"/>
          <w:sz w:val="24"/>
          <w:szCs w:val="24"/>
          <w:u w:val="none"/>
        </w:rPr>
        <w:t>）在</w:t>
      </w:r>
      <w:r>
        <w:rPr>
          <w:rFonts w:hint="eastAsia" w:ascii="Times New Roman" w:hAnsi="Times New Roman"/>
          <w:color w:val="auto"/>
          <w:sz w:val="24"/>
          <w:szCs w:val="24"/>
          <w:u w:val="none"/>
          <w:lang w:eastAsia="zh-CN"/>
        </w:rPr>
        <w:t>泵区</w:t>
      </w:r>
      <w:r>
        <w:rPr>
          <w:rFonts w:hint="eastAsia" w:ascii="Times New Roman" w:hAnsi="Times New Roman"/>
          <w:color w:val="auto"/>
          <w:sz w:val="24"/>
          <w:szCs w:val="24"/>
          <w:u w:val="none"/>
        </w:rPr>
        <w:t>按照安全评价的要求安装</w:t>
      </w:r>
      <w:r>
        <w:rPr>
          <w:rFonts w:hint="eastAsia" w:ascii="Times New Roman" w:hAnsi="Times New Roman"/>
          <w:color w:val="auto"/>
          <w:sz w:val="24"/>
          <w:szCs w:val="24"/>
          <w:u w:val="none"/>
          <w:lang w:eastAsia="zh-CN"/>
        </w:rPr>
        <w:t>氨气泄漏</w:t>
      </w:r>
      <w:r>
        <w:rPr>
          <w:rFonts w:ascii="Times New Roman" w:hAnsi="Times New Roman"/>
          <w:color w:val="auto"/>
          <w:sz w:val="24"/>
          <w:szCs w:val="24"/>
          <w:u w:val="none"/>
        </w:rPr>
        <w:t>报警器若干</w:t>
      </w:r>
      <w:r>
        <w:rPr>
          <w:rFonts w:hint="eastAsia" w:ascii="Times New Roman" w:hAnsi="Times New Roman"/>
          <w:color w:val="auto"/>
          <w:sz w:val="24"/>
          <w:szCs w:val="24"/>
          <w:u w:val="none"/>
        </w:rPr>
        <w:t>。</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w:t>
      </w:r>
      <w:r>
        <w:rPr>
          <w:rFonts w:hint="eastAsia" w:ascii="Times New Roman" w:hAnsi="Times New Roman"/>
          <w:color w:val="auto"/>
          <w:sz w:val="24"/>
          <w:szCs w:val="24"/>
          <w:u w:val="none"/>
          <w:lang w:val="en-US" w:eastAsia="zh-CN"/>
        </w:rPr>
        <w:t>5</w:t>
      </w:r>
      <w:r>
        <w:rPr>
          <w:rFonts w:hint="eastAsia" w:ascii="Times New Roman" w:hAnsi="Times New Roman"/>
          <w:color w:val="auto"/>
          <w:sz w:val="24"/>
          <w:szCs w:val="24"/>
          <w:u w:val="none"/>
        </w:rPr>
        <w:t>）储运系统设置明显的警告标志，消防系统齐备，消防水管路压力大于0.3 MPa，灭火后的消防水通过临时围堰进入公司</w:t>
      </w:r>
      <w:r>
        <w:rPr>
          <w:rFonts w:hint="eastAsia" w:ascii="Times New Roman" w:hAnsi="Times New Roman"/>
          <w:color w:val="auto"/>
          <w:sz w:val="24"/>
          <w:szCs w:val="24"/>
          <w:u w:val="none"/>
          <w:lang w:eastAsia="zh-CN"/>
        </w:rPr>
        <w:t>事故水池</w:t>
      </w:r>
      <w:r>
        <w:rPr>
          <w:rFonts w:hint="eastAsia" w:ascii="Times New Roman" w:hAnsi="Times New Roman"/>
          <w:color w:val="auto"/>
          <w:sz w:val="24"/>
          <w:szCs w:val="24"/>
          <w:u w:val="none"/>
        </w:rPr>
        <w:t>，经污水处理站处理后</w:t>
      </w:r>
      <w:r>
        <w:rPr>
          <w:rFonts w:hint="eastAsia" w:ascii="Times New Roman" w:hAnsi="Times New Roman"/>
          <w:color w:val="auto"/>
          <w:sz w:val="24"/>
          <w:szCs w:val="24"/>
          <w:u w:val="none"/>
          <w:lang w:eastAsia="zh-CN"/>
        </w:rPr>
        <w:t>达标排放</w:t>
      </w:r>
      <w:r>
        <w:rPr>
          <w:rFonts w:hint="eastAsia" w:ascii="Times New Roman" w:hAnsi="Times New Roman"/>
          <w:color w:val="auto"/>
          <w:sz w:val="24"/>
          <w:szCs w:val="24"/>
          <w:u w:val="none"/>
        </w:rPr>
        <w:t>。</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w:t>
      </w:r>
      <w:r>
        <w:rPr>
          <w:rFonts w:hint="eastAsia" w:ascii="Times New Roman" w:hAnsi="Times New Roman"/>
          <w:color w:val="auto"/>
          <w:sz w:val="24"/>
          <w:szCs w:val="24"/>
          <w:u w:val="none"/>
          <w:lang w:val="en-US" w:eastAsia="zh-CN"/>
        </w:rPr>
        <w:t>6</w:t>
      </w:r>
      <w:r>
        <w:rPr>
          <w:rFonts w:hint="eastAsia" w:ascii="Times New Roman" w:hAnsi="Times New Roman"/>
          <w:color w:val="auto"/>
          <w:sz w:val="24"/>
          <w:szCs w:val="24"/>
          <w:u w:val="none"/>
        </w:rPr>
        <w:t>）管线采用较高的管道设计等级。除必要的阀门及仪表等，尽量减少法兰接头，以减少泄漏机会。</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7.8.2.3工艺技术设计安全防范措施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（1）</w:t>
      </w:r>
      <w:r>
        <w:rPr>
          <w:rFonts w:ascii="Times New Roman" w:hAnsi="Times New Roman"/>
          <w:color w:val="auto"/>
          <w:sz w:val="24"/>
          <w:szCs w:val="24"/>
          <w:u w:val="none"/>
        </w:rPr>
        <w:t>根据工艺要求，须确保</w:t>
      </w:r>
      <w:r>
        <w:rPr>
          <w:rFonts w:hint="eastAsia" w:ascii="Times New Roman" w:hAnsi="Times New Roman"/>
          <w:color w:val="auto"/>
          <w:sz w:val="24"/>
          <w:szCs w:val="24"/>
          <w:u w:val="none"/>
          <w:lang w:eastAsia="zh-CN"/>
        </w:rPr>
        <w:t>泵区</w:t>
      </w:r>
      <w:r>
        <w:rPr>
          <w:rFonts w:ascii="Times New Roman" w:hAnsi="Times New Roman"/>
          <w:color w:val="auto"/>
          <w:sz w:val="24"/>
          <w:szCs w:val="24"/>
          <w:u w:val="none"/>
        </w:rPr>
        <w:t>安全和作业场所有害物质的浓度符合安全卫生标准。</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（2）</w:t>
      </w:r>
      <w:r>
        <w:rPr>
          <w:rFonts w:ascii="Times New Roman" w:hAnsi="Times New Roman"/>
          <w:color w:val="auto"/>
          <w:sz w:val="24"/>
          <w:szCs w:val="24"/>
          <w:u w:val="none"/>
        </w:rPr>
        <w:t>工程范围内的建（构）筑物的火灾耐火等级均不小于二级；其防火分区、防爆措施、安全疏散等均遵照国家现行消防法规的有关规定执行。</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（3）采用先进可靠的工艺技术和合理的工艺流程，设计考虑必要的裕度及操作弹性，以适应加工负荷上下波动的需要。</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（4）为确保安全操作，保障人身安全，</w:t>
      </w:r>
      <w:r>
        <w:rPr>
          <w:rFonts w:hint="eastAsia" w:ascii="Times New Roman" w:hAnsi="Times New Roman"/>
          <w:color w:val="auto"/>
          <w:sz w:val="24"/>
          <w:szCs w:val="24"/>
          <w:u w:val="none"/>
          <w:lang w:eastAsia="zh-CN"/>
        </w:rPr>
        <w:t>泵区</w:t>
      </w:r>
      <w:r>
        <w:rPr>
          <w:rFonts w:hint="eastAsia" w:ascii="Times New Roman" w:hAnsi="Times New Roman"/>
          <w:color w:val="auto"/>
          <w:sz w:val="24"/>
          <w:szCs w:val="24"/>
          <w:u w:val="none"/>
        </w:rPr>
        <w:t>设置自动联锁保护系统。</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7.8.2.4自动控制及电气仪表设计安全防范措施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（1）本项目生产控制系统拟采用先进的</w:t>
      </w:r>
      <w:r>
        <w:rPr>
          <w:rFonts w:ascii="Times New Roman" w:hAnsi="Times New Roman"/>
          <w:color w:val="auto"/>
          <w:sz w:val="24"/>
          <w:szCs w:val="24"/>
          <w:u w:val="none"/>
        </w:rPr>
        <w:t>DCS</w:t>
      </w:r>
      <w:r>
        <w:rPr>
          <w:rFonts w:hint="eastAsia" w:ascii="Times New Roman" w:hAnsi="Times New Roman"/>
          <w:color w:val="auto"/>
          <w:sz w:val="24"/>
          <w:szCs w:val="24"/>
          <w:u w:val="none"/>
        </w:rPr>
        <w:t>控制系统，对各生产设备工作状态进行集中显示、控制和操作。</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（2）</w:t>
      </w:r>
      <w:r>
        <w:rPr>
          <w:rFonts w:hint="eastAsia" w:ascii="Times New Roman" w:hAnsi="Times New Roman"/>
          <w:color w:val="auto"/>
          <w:sz w:val="24"/>
          <w:szCs w:val="24"/>
          <w:u w:val="none"/>
          <w:lang w:eastAsia="zh-CN"/>
        </w:rPr>
        <w:t>泵</w:t>
      </w:r>
      <w:r>
        <w:rPr>
          <w:rFonts w:hint="eastAsia" w:ascii="Times New Roman" w:hAnsi="Times New Roman"/>
          <w:color w:val="auto"/>
          <w:sz w:val="24"/>
          <w:szCs w:val="24"/>
          <w:u w:val="none"/>
        </w:rPr>
        <w:t>区所用仪表均按所处区域的防爆等级选用本安型或隔爆型仪表。</w:t>
      </w:r>
      <w:r>
        <w:rPr>
          <w:rFonts w:hint="eastAsia" w:ascii="Times New Roman" w:hAnsi="Times New Roman"/>
          <w:color w:val="auto"/>
          <w:sz w:val="24"/>
          <w:szCs w:val="24"/>
          <w:u w:val="none"/>
          <w:lang w:eastAsia="zh-CN"/>
        </w:rPr>
        <w:t>泵</w:t>
      </w:r>
      <w:r>
        <w:rPr>
          <w:rFonts w:hint="eastAsia" w:ascii="Times New Roman" w:hAnsi="Times New Roman"/>
          <w:color w:val="auto"/>
          <w:sz w:val="24"/>
          <w:szCs w:val="24"/>
          <w:u w:val="none"/>
        </w:rPr>
        <w:t>区的爆炸危险区域划分执行《爆炸和火灾危险环境电力装置设计规范》</w:t>
      </w:r>
      <w:r>
        <w:rPr>
          <w:rFonts w:ascii="Times New Roman" w:hAnsi="Times New Roman"/>
          <w:color w:val="auto"/>
          <w:sz w:val="24"/>
          <w:szCs w:val="24"/>
          <w:u w:val="none"/>
        </w:rPr>
        <w:t>GB50058-92</w:t>
      </w:r>
      <w:r>
        <w:rPr>
          <w:rFonts w:hint="eastAsia" w:ascii="Times New Roman" w:hAnsi="Times New Roman"/>
          <w:color w:val="auto"/>
          <w:sz w:val="24"/>
          <w:szCs w:val="24"/>
          <w:u w:val="none"/>
        </w:rPr>
        <w:t>，危险区内的各类电气设备均选用相应防爆等级的产品。</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（3）电缆敷设及配电间的设计均考虑防火、防爆要求。均按《建筑物防雷击设计规范》</w:t>
      </w:r>
      <w:r>
        <w:rPr>
          <w:rFonts w:ascii="Times New Roman" w:hAnsi="Times New Roman"/>
          <w:color w:val="auto"/>
          <w:sz w:val="24"/>
          <w:szCs w:val="24"/>
          <w:u w:val="none"/>
        </w:rPr>
        <w:t>GB50057-94</w:t>
      </w:r>
      <w:r>
        <w:rPr>
          <w:rFonts w:hint="eastAsia" w:ascii="Times New Roman" w:hAnsi="Times New Roman"/>
          <w:color w:val="auto"/>
          <w:sz w:val="24"/>
          <w:szCs w:val="24"/>
          <w:u w:val="none"/>
        </w:rPr>
        <w:t>（</w:t>
      </w:r>
      <w:r>
        <w:rPr>
          <w:rFonts w:ascii="Times New Roman" w:hAnsi="Times New Roman"/>
          <w:color w:val="auto"/>
          <w:sz w:val="24"/>
          <w:szCs w:val="24"/>
          <w:u w:val="none"/>
        </w:rPr>
        <w:t>2000</w:t>
      </w:r>
      <w:r>
        <w:rPr>
          <w:rFonts w:hint="eastAsia" w:ascii="Times New Roman" w:hAnsi="Times New Roman"/>
          <w:color w:val="auto"/>
          <w:sz w:val="24"/>
          <w:szCs w:val="24"/>
          <w:u w:val="none"/>
        </w:rPr>
        <w:t>版）和《工业与民用电力装置的接地设计规范》（试行）</w:t>
      </w:r>
      <w:r>
        <w:rPr>
          <w:rFonts w:ascii="Times New Roman" w:hAnsi="Times New Roman"/>
          <w:color w:val="auto"/>
          <w:sz w:val="24"/>
          <w:szCs w:val="24"/>
          <w:u w:val="none"/>
        </w:rPr>
        <w:t>GBJ65-83</w:t>
      </w:r>
      <w:r>
        <w:rPr>
          <w:rFonts w:hint="eastAsia" w:ascii="Times New Roman" w:hAnsi="Times New Roman"/>
          <w:color w:val="auto"/>
          <w:sz w:val="24"/>
          <w:szCs w:val="24"/>
          <w:u w:val="none"/>
        </w:rPr>
        <w:t>的规定，设防雷击、防静电系统。</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（4）为减少电缆着火及损坏的危险，尽可能采用地下敷设。紧急电源线及仪表电缆线布置在危险区域地上时，采用相应级别的电缆电线。电缆的选用充分考虑阻燃、环境腐蚀等不利因素。</w:t>
      </w:r>
    </w:p>
    <w:p>
      <w:pPr>
        <w:spacing w:line="360" w:lineRule="auto"/>
        <w:ind w:firstLine="480" w:firstLineChars="200"/>
        <w:rPr>
          <w:rFonts w:hint="eastAsia" w:ascii="Times New Roman" w:hAnsi="Times New Roman"/>
          <w:color w:val="auto"/>
          <w:sz w:val="24"/>
          <w:szCs w:val="24"/>
          <w:u w:val="none"/>
        </w:rPr>
      </w:pPr>
      <w:r>
        <w:rPr>
          <w:rFonts w:hint="eastAsia" w:ascii="Times New Roman" w:hAnsi="Times New Roman"/>
          <w:color w:val="auto"/>
          <w:sz w:val="24"/>
          <w:szCs w:val="24"/>
          <w:u w:val="none"/>
        </w:rPr>
        <w:t>（5）所有正常不带电的金属外壳及爆炸危险区域内的工艺金属设备均可靠接地，接地电阻不大于</w:t>
      </w:r>
      <w:r>
        <w:rPr>
          <w:rFonts w:ascii="Times New Roman" w:hAnsi="Times New Roman"/>
          <w:color w:val="auto"/>
          <w:sz w:val="24"/>
          <w:szCs w:val="24"/>
          <w:u w:val="none"/>
        </w:rPr>
        <w:t>4</w:t>
      </w:r>
      <w:r>
        <w:rPr>
          <w:rFonts w:hint="eastAsia" w:ascii="Times New Roman" w:hAnsi="Times New Roman"/>
          <w:color w:val="auto"/>
          <w:sz w:val="24"/>
          <w:szCs w:val="24"/>
          <w:u w:val="none"/>
        </w:rPr>
        <w:t>欧。</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（6）爆炸危险场所采用防爆灯具。</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（7）在</w:t>
      </w:r>
      <w:r>
        <w:rPr>
          <w:rFonts w:hint="eastAsia" w:ascii="Times New Roman" w:hAnsi="Times New Roman"/>
          <w:color w:val="auto"/>
          <w:sz w:val="24"/>
          <w:szCs w:val="24"/>
          <w:u w:val="none"/>
          <w:lang w:eastAsia="zh-CN"/>
        </w:rPr>
        <w:t>项目</w:t>
      </w:r>
      <w:r>
        <w:rPr>
          <w:rFonts w:hint="eastAsia" w:ascii="Times New Roman" w:hAnsi="Times New Roman"/>
          <w:color w:val="auto"/>
          <w:sz w:val="24"/>
          <w:szCs w:val="24"/>
          <w:u w:val="none"/>
        </w:rPr>
        <w:t>区主要通道和消防通道设置火灾报警按钮。</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7.8.2.5应急控制措施</w:t>
      </w:r>
    </w:p>
    <w:p>
      <w:pPr>
        <w:spacing w:line="360" w:lineRule="auto"/>
        <w:ind w:firstLine="540" w:firstLineChars="225"/>
        <w:rPr>
          <w:rFonts w:ascii="Times New Roman" w:hAnsi="Times New Roman"/>
          <w:color w:val="auto"/>
          <w:sz w:val="24"/>
          <w:szCs w:val="24"/>
          <w:u w:val="none"/>
        </w:rPr>
      </w:pPr>
      <w:r>
        <w:rPr>
          <w:rFonts w:hint="eastAsia" w:ascii="Times New Roman" w:hAnsi="Times New Roman"/>
          <w:color w:val="auto"/>
          <w:sz w:val="24"/>
          <w:szCs w:val="24"/>
          <w:u w:val="none"/>
        </w:rPr>
        <w:t>（1）</w:t>
      </w:r>
      <w:r>
        <w:rPr>
          <w:rFonts w:hint="eastAsia" w:ascii="Times New Roman" w:hAnsi="Times New Roman"/>
          <w:color w:val="auto"/>
          <w:sz w:val="24"/>
          <w:szCs w:val="24"/>
          <w:u w:val="none"/>
          <w:lang w:eastAsia="zh-CN"/>
        </w:rPr>
        <w:t>液氨</w:t>
      </w:r>
      <w:r>
        <w:rPr>
          <w:rFonts w:ascii="Times New Roman" w:hAnsi="Times New Roman"/>
          <w:color w:val="auto"/>
          <w:sz w:val="24"/>
          <w:szCs w:val="24"/>
          <w:u w:val="none"/>
        </w:rPr>
        <w:t>火灾、爆炸应急措施</w:t>
      </w:r>
    </w:p>
    <w:p>
      <w:pPr>
        <w:spacing w:line="360" w:lineRule="auto"/>
        <w:ind w:firstLine="480" w:firstLineChars="200"/>
        <w:rPr>
          <w:rFonts w:ascii="Times New Roman" w:hAnsi="Times New Roman"/>
          <w:color w:val="auto"/>
          <w:sz w:val="24"/>
          <w:szCs w:val="24"/>
          <w:u w:val="none"/>
        </w:rPr>
      </w:pPr>
      <w:r>
        <w:rPr>
          <w:rFonts w:ascii="Times New Roman" w:hAnsi="Times New Roman"/>
          <w:color w:val="auto"/>
          <w:sz w:val="24"/>
          <w:szCs w:val="24"/>
          <w:u w:val="none"/>
        </w:rPr>
        <w:t>如发生</w:t>
      </w:r>
      <w:r>
        <w:rPr>
          <w:rFonts w:hint="eastAsia" w:ascii="Times New Roman" w:hAnsi="Times New Roman"/>
          <w:color w:val="auto"/>
          <w:sz w:val="24"/>
          <w:szCs w:val="24"/>
          <w:u w:val="none"/>
        </w:rPr>
        <w:t>火灾、</w:t>
      </w:r>
      <w:r>
        <w:rPr>
          <w:rFonts w:ascii="Times New Roman" w:hAnsi="Times New Roman"/>
          <w:color w:val="auto"/>
          <w:sz w:val="24"/>
          <w:szCs w:val="24"/>
          <w:u w:val="none"/>
        </w:rPr>
        <w:t>爆炸事故，岗位人员立即向生产调度、</w:t>
      </w:r>
      <w:r>
        <w:rPr>
          <w:rFonts w:hint="eastAsia" w:ascii="Times New Roman" w:hAnsi="Times New Roman"/>
          <w:color w:val="auto"/>
          <w:sz w:val="24"/>
          <w:szCs w:val="24"/>
          <w:u w:val="none"/>
          <w:lang w:eastAsia="zh-CN"/>
        </w:rPr>
        <w:t>运行部</w:t>
      </w:r>
      <w:r>
        <w:rPr>
          <w:rFonts w:ascii="Times New Roman" w:hAnsi="Times New Roman"/>
          <w:color w:val="auto"/>
          <w:sz w:val="24"/>
          <w:szCs w:val="24"/>
          <w:u w:val="none"/>
        </w:rPr>
        <w:t>电话报警，并迅速组织力量采取相应的方法灭火。调度在接到通知后，迅速通知消防队和有关部门组织人员赶至现场。消防队在接到报警后应根据事故性质制定方案，采取相应措施，若发生较大的火灾爆炸事故，迅速向公安消防部门报警。</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（2）</w:t>
      </w:r>
      <w:r>
        <w:rPr>
          <w:rFonts w:hint="eastAsia" w:ascii="Times New Roman" w:hAnsi="Times New Roman"/>
          <w:color w:val="auto"/>
          <w:sz w:val="24"/>
          <w:szCs w:val="24"/>
          <w:u w:val="none"/>
          <w:lang w:eastAsia="zh-CN"/>
        </w:rPr>
        <w:t>液氨</w:t>
      </w:r>
      <w:r>
        <w:rPr>
          <w:rFonts w:ascii="Times New Roman" w:hAnsi="Times New Roman"/>
          <w:color w:val="auto"/>
          <w:sz w:val="24"/>
          <w:szCs w:val="24"/>
          <w:u w:val="none"/>
        </w:rPr>
        <w:t>泄漏应急措施</w:t>
      </w:r>
    </w:p>
    <w:p>
      <w:pPr>
        <w:spacing w:line="360" w:lineRule="auto"/>
        <w:ind w:firstLine="480" w:firstLineChars="200"/>
        <w:rPr>
          <w:rFonts w:hint="eastAsia" w:ascii="Times New Roman" w:hAnsi="Times New Roman" w:eastAsia="宋体"/>
          <w:color w:val="auto"/>
          <w:sz w:val="24"/>
          <w:szCs w:val="24"/>
          <w:u w:val="none"/>
          <w:lang w:eastAsia="zh-CN"/>
        </w:rPr>
      </w:pPr>
      <w:r>
        <w:rPr>
          <w:rFonts w:hint="eastAsia" w:ascii="Times New Roman" w:hAnsi="Times New Roman"/>
          <w:color w:val="auto"/>
          <w:sz w:val="24"/>
          <w:szCs w:val="24"/>
          <w:u w:val="none"/>
          <w:lang w:eastAsia="zh-CN"/>
        </w:rPr>
        <w:t>液氨</w:t>
      </w:r>
      <w:r>
        <w:rPr>
          <w:rFonts w:ascii="Times New Roman" w:hAnsi="Times New Roman"/>
          <w:color w:val="auto"/>
          <w:sz w:val="24"/>
          <w:szCs w:val="24"/>
          <w:u w:val="none"/>
        </w:rPr>
        <w:t>泄漏首要措施为控制泄漏源</w:t>
      </w:r>
      <w:r>
        <w:rPr>
          <w:rFonts w:hint="eastAsia" w:ascii="Times New Roman" w:hAnsi="Times New Roman"/>
          <w:color w:val="auto"/>
          <w:sz w:val="24"/>
          <w:szCs w:val="24"/>
          <w:u w:val="none"/>
        </w:rPr>
        <w:t>，</w:t>
      </w:r>
      <w:r>
        <w:rPr>
          <w:rFonts w:ascii="Times New Roman" w:hAnsi="Times New Roman"/>
          <w:color w:val="auto"/>
          <w:sz w:val="24"/>
          <w:szCs w:val="24"/>
          <w:u w:val="none"/>
        </w:rPr>
        <w:t>即对发生泄漏的</w:t>
      </w:r>
      <w:r>
        <w:rPr>
          <w:rFonts w:hint="eastAsia" w:ascii="Times New Roman" w:hAnsi="Times New Roman"/>
          <w:color w:val="auto"/>
          <w:sz w:val="24"/>
          <w:szCs w:val="24"/>
          <w:u w:val="none"/>
          <w:lang w:eastAsia="zh-CN"/>
        </w:rPr>
        <w:t>设施切断阀门或</w:t>
      </w:r>
      <w:r>
        <w:rPr>
          <w:rFonts w:ascii="Times New Roman" w:hAnsi="Times New Roman"/>
          <w:color w:val="auto"/>
          <w:sz w:val="24"/>
          <w:szCs w:val="24"/>
          <w:u w:val="none"/>
        </w:rPr>
        <w:t>尽量彻底堵漏以使泄漏量最小。如</w:t>
      </w:r>
      <w:r>
        <w:rPr>
          <w:rFonts w:hint="eastAsia" w:ascii="Times New Roman" w:hAnsi="Times New Roman"/>
          <w:color w:val="auto"/>
          <w:sz w:val="24"/>
          <w:szCs w:val="24"/>
          <w:u w:val="none"/>
          <w:lang w:eastAsia="zh-CN"/>
        </w:rPr>
        <w:t>对</w:t>
      </w:r>
      <w:r>
        <w:rPr>
          <w:rFonts w:ascii="Times New Roman" w:hAnsi="Times New Roman"/>
          <w:color w:val="auto"/>
          <w:sz w:val="24"/>
          <w:szCs w:val="24"/>
          <w:u w:val="none"/>
        </w:rPr>
        <w:t>泄漏点的系统上端阀门处进行关闭，杜绝泄漏源；</w:t>
      </w:r>
      <w:r>
        <w:rPr>
          <w:rFonts w:hint="eastAsia" w:ascii="Times New Roman" w:hAnsi="Times New Roman"/>
          <w:color w:val="auto"/>
          <w:sz w:val="24"/>
          <w:szCs w:val="24"/>
          <w:u w:val="none"/>
          <w:lang w:eastAsia="zh-CN"/>
        </w:rPr>
        <w:t>或</w:t>
      </w:r>
      <w:r>
        <w:rPr>
          <w:rFonts w:ascii="Times New Roman" w:hAnsi="Times New Roman"/>
          <w:color w:val="auto"/>
          <w:sz w:val="24"/>
          <w:szCs w:val="24"/>
          <w:u w:val="none"/>
        </w:rPr>
        <w:t>立即采取紧急停车的方式杜绝泄漏的产生。</w:t>
      </w:r>
      <w:r>
        <w:rPr>
          <w:rFonts w:hint="eastAsia" w:ascii="Times New Roman" w:hAnsi="Times New Roman"/>
          <w:color w:val="auto"/>
          <w:sz w:val="24"/>
          <w:szCs w:val="24"/>
          <w:u w:val="none"/>
          <w:lang w:eastAsia="zh-CN"/>
        </w:rPr>
        <w:t>对泄漏出的氨气采用酸性水进行中和，并将事故水引入公司事故水池。</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（3）</w:t>
      </w:r>
      <w:r>
        <w:rPr>
          <w:rFonts w:ascii="Times New Roman" w:hAnsi="Times New Roman"/>
          <w:color w:val="auto"/>
          <w:sz w:val="24"/>
          <w:szCs w:val="24"/>
          <w:u w:val="none"/>
        </w:rPr>
        <w:t>事故泄漏物料及事故废水收集处置措施</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①</w:t>
      </w:r>
      <w:r>
        <w:rPr>
          <w:rFonts w:ascii="Times New Roman" w:hAnsi="Times New Roman"/>
          <w:color w:val="auto"/>
          <w:sz w:val="24"/>
          <w:szCs w:val="24"/>
          <w:u w:val="none"/>
        </w:rPr>
        <w:t>厂区总平面布置</w:t>
      </w:r>
    </w:p>
    <w:p>
      <w:pPr>
        <w:spacing w:line="360" w:lineRule="auto"/>
        <w:ind w:firstLine="480" w:firstLineChars="200"/>
        <w:rPr>
          <w:rFonts w:ascii="Times New Roman" w:hAnsi="Times New Roman"/>
          <w:color w:val="auto"/>
          <w:sz w:val="24"/>
          <w:szCs w:val="24"/>
          <w:u w:val="none"/>
        </w:rPr>
      </w:pPr>
      <w:r>
        <w:rPr>
          <w:rFonts w:ascii="Times New Roman" w:hAnsi="Times New Roman"/>
          <w:color w:val="auto"/>
          <w:sz w:val="24"/>
          <w:szCs w:val="24"/>
          <w:u w:val="none"/>
        </w:rPr>
        <w:t>结合全厂总平面布局、场地竖向、道路及排雨水系统状况，以自流排放为原则合理划分事故排水收集系统。</w:t>
      </w:r>
    </w:p>
    <w:p>
      <w:pPr>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fldChar w:fldCharType="begin"/>
      </w:r>
      <w:r>
        <w:rPr>
          <w:rFonts w:hint="eastAsia" w:ascii="Times New Roman" w:hAnsi="Times New Roman"/>
          <w:color w:val="auto"/>
          <w:sz w:val="24"/>
          <w:szCs w:val="24"/>
          <w:u w:val="none"/>
        </w:rPr>
        <w:instrText xml:space="preserve"> = 2 \* GB3 \* MERGEFORMAT </w:instrText>
      </w:r>
      <w:r>
        <w:rPr>
          <w:rFonts w:hint="eastAsia" w:ascii="Times New Roman" w:hAnsi="Times New Roman"/>
          <w:color w:val="auto"/>
          <w:sz w:val="24"/>
          <w:szCs w:val="24"/>
          <w:u w:val="none"/>
        </w:rPr>
        <w:fldChar w:fldCharType="separate"/>
      </w:r>
      <w:r>
        <w:rPr>
          <w:color w:val="auto"/>
          <w:u w:val="none"/>
        </w:rPr>
        <w:t>②</w:t>
      </w:r>
      <w:r>
        <w:rPr>
          <w:rFonts w:hint="eastAsia" w:ascii="Times New Roman" w:hAnsi="Times New Roman"/>
          <w:color w:val="auto"/>
          <w:sz w:val="24"/>
          <w:szCs w:val="24"/>
          <w:u w:val="none"/>
        </w:rPr>
        <w:fldChar w:fldCharType="end"/>
      </w:r>
      <w:r>
        <w:rPr>
          <w:rFonts w:ascii="Times New Roman" w:hAnsi="Times New Roman"/>
          <w:color w:val="auto"/>
          <w:sz w:val="24"/>
          <w:szCs w:val="24"/>
          <w:u w:val="none"/>
        </w:rPr>
        <w:t>消防废水收集</w:t>
      </w:r>
    </w:p>
    <w:p>
      <w:pPr>
        <w:adjustRightInd w:val="0"/>
        <w:snapToGrid w:val="0"/>
        <w:spacing w:line="360" w:lineRule="auto"/>
        <w:ind w:firstLine="480" w:firstLineChars="200"/>
        <w:rPr>
          <w:rFonts w:ascii="Times New Roman" w:hAnsi="Times New Roman"/>
          <w:color w:val="auto"/>
          <w:sz w:val="24"/>
          <w:szCs w:val="24"/>
          <w:u w:val="none"/>
        </w:rPr>
      </w:pPr>
      <w:r>
        <w:rPr>
          <w:rFonts w:hint="eastAsia" w:ascii="Times New Roman" w:hAnsi="Times New Roman"/>
          <w:color w:val="auto"/>
          <w:sz w:val="24"/>
          <w:szCs w:val="24"/>
          <w:u w:val="none"/>
        </w:rPr>
        <w:t>本</w:t>
      </w:r>
      <w:r>
        <w:rPr>
          <w:rFonts w:ascii="Times New Roman" w:hAnsi="Times New Roman"/>
          <w:color w:val="auto"/>
          <w:sz w:val="24"/>
          <w:szCs w:val="24"/>
          <w:u w:val="none"/>
        </w:rPr>
        <w:t>项目消防系统分为消火栓系统和灭火器系统。</w:t>
      </w:r>
      <w:r>
        <w:rPr>
          <w:rFonts w:hint="eastAsia" w:ascii="Times New Roman" w:hAnsi="Times New Roman"/>
          <w:color w:val="auto"/>
          <w:sz w:val="24"/>
          <w:szCs w:val="24"/>
          <w:u w:val="none"/>
        </w:rPr>
        <w:t>本项目依托</w:t>
      </w:r>
      <w:r>
        <w:rPr>
          <w:rFonts w:hint="eastAsia" w:ascii="Times New Roman" w:hAnsi="Times New Roman"/>
          <w:color w:val="auto"/>
          <w:sz w:val="24"/>
          <w:szCs w:val="24"/>
          <w:u w:val="none"/>
          <w:lang w:eastAsia="zh-CN"/>
        </w:rPr>
        <w:t>公司</w:t>
      </w:r>
      <w:r>
        <w:rPr>
          <w:rFonts w:hint="eastAsia" w:ascii="Times New Roman" w:hAnsi="Times New Roman"/>
          <w:color w:val="auto"/>
          <w:sz w:val="24"/>
          <w:szCs w:val="24"/>
          <w:u w:val="none"/>
        </w:rPr>
        <w:t>现有的事故废水池收集消防废水，</w:t>
      </w:r>
      <w:r>
        <w:rPr>
          <w:rFonts w:ascii="Times New Roman" w:hAnsi="Times New Roman"/>
          <w:color w:val="auto"/>
          <w:sz w:val="24"/>
          <w:szCs w:val="24"/>
          <w:u w:val="none"/>
        </w:rPr>
        <w:t>收集的消防废水</w:t>
      </w:r>
      <w:r>
        <w:rPr>
          <w:rFonts w:hint="eastAsia" w:ascii="Times New Roman" w:hAnsi="Times New Roman"/>
          <w:color w:val="auto"/>
          <w:sz w:val="24"/>
          <w:szCs w:val="24"/>
          <w:u w:val="none"/>
        </w:rPr>
        <w:t>处理达标</w:t>
      </w:r>
      <w:r>
        <w:rPr>
          <w:rFonts w:hint="eastAsia" w:ascii="Times New Roman" w:hAnsi="Times New Roman"/>
          <w:color w:val="auto"/>
          <w:sz w:val="24"/>
          <w:szCs w:val="24"/>
          <w:u w:val="none"/>
          <w:lang w:eastAsia="zh-CN"/>
        </w:rPr>
        <w:t>后达标排放</w:t>
      </w:r>
      <w:r>
        <w:rPr>
          <w:rFonts w:hint="eastAsia" w:ascii="Times New Roman" w:hAnsi="Times New Roman"/>
          <w:color w:val="auto"/>
          <w:sz w:val="24"/>
          <w:szCs w:val="24"/>
          <w:u w:val="none"/>
        </w:rPr>
        <w:t>。</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7.8.2.6危废贮存、运输过程风险防范措施</w:t>
      </w:r>
    </w:p>
    <w:p>
      <w:pPr>
        <w:snapToGrid w:val="0"/>
        <w:spacing w:line="360" w:lineRule="auto"/>
        <w:ind w:firstLine="480" w:firstLineChars="200"/>
        <w:jc w:val="left"/>
        <w:rPr>
          <w:rFonts w:ascii="Times New Roman" w:hAnsi="Times New Roman" w:cs="Times New Roman"/>
          <w:color w:val="auto"/>
          <w:sz w:val="24"/>
          <w:u w:val="none"/>
        </w:rPr>
      </w:pPr>
      <w:r>
        <w:rPr>
          <w:rFonts w:hint="eastAsia" w:ascii="Times New Roman" w:hAnsi="Times New Roman" w:cs="Times New Roman"/>
          <w:color w:val="auto"/>
          <w:sz w:val="24"/>
          <w:u w:val="none"/>
        </w:rPr>
        <w:t>本项目产生的危险废物依托现有</w:t>
      </w:r>
      <w:r>
        <w:rPr>
          <w:rFonts w:ascii="Times New Roman" w:hAnsi="Times New Roman" w:cs="Times New Roman"/>
          <w:color w:val="auto"/>
          <w:sz w:val="24"/>
          <w:u w:val="none"/>
        </w:rPr>
        <w:t>危废</w:t>
      </w:r>
      <w:r>
        <w:rPr>
          <w:rFonts w:hint="eastAsia" w:ascii="Times New Roman" w:hAnsi="Times New Roman" w:cs="Times New Roman"/>
          <w:color w:val="auto"/>
          <w:sz w:val="24"/>
          <w:u w:val="none"/>
        </w:rPr>
        <w:t>暂</w:t>
      </w:r>
      <w:r>
        <w:rPr>
          <w:rFonts w:ascii="Times New Roman" w:hAnsi="Times New Roman" w:cs="Times New Roman"/>
          <w:color w:val="auto"/>
          <w:sz w:val="24"/>
          <w:u w:val="none"/>
        </w:rPr>
        <w:t>存</w:t>
      </w:r>
      <w:r>
        <w:rPr>
          <w:rFonts w:hint="eastAsia" w:ascii="Times New Roman" w:hAnsi="Times New Roman" w:cs="Times New Roman"/>
          <w:color w:val="auto"/>
          <w:sz w:val="24"/>
          <w:u w:val="none"/>
        </w:rPr>
        <w:t>仓库。</w:t>
      </w:r>
      <w:r>
        <w:rPr>
          <w:rFonts w:ascii="Times New Roman" w:hAnsi="Times New Roman" w:cs="Times New Roman"/>
          <w:color w:val="auto"/>
          <w:sz w:val="24"/>
          <w:u w:val="none"/>
        </w:rPr>
        <w:t>危废</w:t>
      </w:r>
      <w:r>
        <w:rPr>
          <w:rFonts w:hint="eastAsia" w:ascii="Times New Roman" w:hAnsi="Times New Roman" w:cs="Times New Roman"/>
          <w:color w:val="auto"/>
          <w:sz w:val="24"/>
          <w:u w:val="none"/>
        </w:rPr>
        <w:t>暂</w:t>
      </w:r>
      <w:r>
        <w:rPr>
          <w:rFonts w:ascii="Times New Roman" w:hAnsi="Times New Roman" w:cs="Times New Roman"/>
          <w:color w:val="auto"/>
          <w:sz w:val="24"/>
          <w:u w:val="none"/>
        </w:rPr>
        <w:t>存</w:t>
      </w:r>
      <w:r>
        <w:rPr>
          <w:rFonts w:hint="eastAsia" w:ascii="Times New Roman" w:hAnsi="Times New Roman" w:cs="Times New Roman"/>
          <w:color w:val="auto"/>
          <w:sz w:val="24"/>
          <w:u w:val="none"/>
        </w:rPr>
        <w:t>仓</w:t>
      </w:r>
      <w:r>
        <w:rPr>
          <w:rFonts w:ascii="Times New Roman" w:hAnsi="Times New Roman" w:cs="Times New Roman"/>
          <w:color w:val="auto"/>
          <w:sz w:val="24"/>
          <w:u w:val="none"/>
        </w:rPr>
        <w:t>已按照《危险废物贮存控制标准》进行建设，并设置防渗、防漏、防雨、防腐等相关设施，可满足暂存要求。</w:t>
      </w:r>
      <w:r>
        <w:rPr>
          <w:rFonts w:hint="eastAsia" w:ascii="Times New Roman" w:hAnsi="Times New Roman" w:cs="Times New Roman"/>
          <w:color w:val="auto"/>
          <w:sz w:val="24"/>
          <w:u w:val="none"/>
        </w:rPr>
        <w:t>拟建工程产生的危险废物在</w:t>
      </w:r>
      <w:r>
        <w:rPr>
          <w:rFonts w:ascii="Times New Roman" w:hAnsi="Times New Roman" w:cs="Times New Roman"/>
          <w:color w:val="auto"/>
          <w:sz w:val="24"/>
          <w:u w:val="none"/>
        </w:rPr>
        <w:t>运输应</w:t>
      </w:r>
      <w:r>
        <w:rPr>
          <w:rFonts w:hint="eastAsia" w:ascii="Times New Roman" w:hAnsi="Times New Roman" w:cs="Times New Roman"/>
          <w:color w:val="auto"/>
          <w:sz w:val="24"/>
          <w:u w:val="none"/>
        </w:rPr>
        <w:t>中，应</w:t>
      </w:r>
      <w:r>
        <w:rPr>
          <w:rFonts w:ascii="Times New Roman" w:hAnsi="Times New Roman" w:cs="Times New Roman"/>
          <w:color w:val="auto"/>
          <w:sz w:val="24"/>
          <w:u w:val="none"/>
        </w:rPr>
        <w:t>安排专人专车运送，同时注意运输工具的密封，采取相应的安全防护和污染防治措施，包括防爆、防火、防中毒、防泄漏、防飞扬、防雨或其他防治污染环境的措施等，防止造成二次污染。</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同时在环境管理中注意以下内容：建设单位应进行危险废物申报登记，将危险废物的实际产生、贮存、利用、处置等情况纳入生产记录，建立危险废物管理台账和企业内部产生和收集、贮存、转移等部门危险废物交接制度；必须明确企业为固体废物污染防治的责任主体，要求企业建立风险管理及应急救援体系，执行环境监测计划、转移联单管理制度及国家和省有关转移管理的相关规定、处置过程安全操作规程、人员培训考核制度、档案管理制度、处置全过程管理制度等。</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7.8.2.7废水风险防范措施</w:t>
      </w:r>
    </w:p>
    <w:p>
      <w:pPr>
        <w:pStyle w:val="22"/>
        <w:kinsoku w:val="0"/>
        <w:overflowPunct w:val="0"/>
        <w:spacing w:before="157" w:beforeLines="0" w:afterLines="0" w:line="364" w:lineRule="auto"/>
        <w:ind w:right="313" w:firstLine="480"/>
        <w:jc w:val="both"/>
        <w:rPr>
          <w:rFonts w:hint="eastAsia"/>
          <w:color w:val="auto"/>
          <w:spacing w:val="-10"/>
          <w:sz w:val="24"/>
          <w:u w:val="none"/>
        </w:rPr>
      </w:pPr>
      <w:r>
        <w:rPr>
          <w:rFonts w:hint="eastAsia"/>
          <w:color w:val="auto"/>
          <w:spacing w:val="-2"/>
          <w:sz w:val="24"/>
          <w:u w:val="none"/>
        </w:rPr>
        <w:t>本项目产生的含油废水送污水处理场处理，</w:t>
      </w:r>
      <w:r>
        <w:rPr>
          <w:rFonts w:hint="eastAsia"/>
          <w:color w:val="auto"/>
          <w:spacing w:val="-2"/>
          <w:sz w:val="24"/>
          <w:u w:val="none"/>
          <w:lang w:eastAsia="zh-CN"/>
        </w:rPr>
        <w:t>项目位于长岭分公司厂</w:t>
      </w:r>
      <w:r>
        <w:rPr>
          <w:rFonts w:hint="eastAsia"/>
          <w:color w:val="auto"/>
          <w:sz w:val="24"/>
          <w:u w:val="none"/>
        </w:rPr>
        <w:t>区</w:t>
      </w:r>
      <w:r>
        <w:rPr>
          <w:rFonts w:hint="eastAsia"/>
          <w:color w:val="auto"/>
          <w:spacing w:val="-7"/>
          <w:sz w:val="24"/>
          <w:u w:val="none"/>
        </w:rPr>
        <w:t>内，项目区域地面进行硬化防渗处理；风险事故对水环境主要指含污废水通过裂缝等病</w:t>
      </w:r>
      <w:r>
        <w:rPr>
          <w:rFonts w:hint="eastAsia"/>
          <w:color w:val="auto"/>
          <w:spacing w:val="-10"/>
          <w:sz w:val="24"/>
          <w:u w:val="none"/>
        </w:rPr>
        <w:t>状地面进入地下水体及污水处理场故障事故；公司设有围堰、污水处理场、事故池等三级防控措施，且在公司上下游均设有地下水监控井，在一定程度上可有效减少风险事故造成的水污染事件。</w:t>
      </w:r>
    </w:p>
    <w:p>
      <w:pPr>
        <w:pStyle w:val="22"/>
        <w:kinsoku w:val="0"/>
        <w:overflowPunct w:val="0"/>
        <w:spacing w:beforeLines="0" w:afterLines="0" w:line="362" w:lineRule="auto"/>
        <w:ind w:right="317" w:firstLine="480"/>
        <w:jc w:val="both"/>
        <w:rPr>
          <w:rFonts w:hint="eastAsia"/>
          <w:color w:val="auto"/>
          <w:spacing w:val="-4"/>
          <w:sz w:val="24"/>
          <w:u w:val="none"/>
        </w:rPr>
      </w:pPr>
      <w:r>
        <w:rPr>
          <w:rFonts w:hint="eastAsia"/>
          <w:color w:val="auto"/>
          <w:spacing w:val="-4"/>
          <w:sz w:val="24"/>
          <w:u w:val="none"/>
        </w:rPr>
        <w:t>本次项目工程量小，现有的风险防范措施满足建设后后生产要求，未来生产中应加强管理，避免跑冒滴漏等污染影响。</w:t>
      </w:r>
    </w:p>
    <w:p>
      <w:pPr>
        <w:pStyle w:val="8"/>
        <w:numPr>
          <w:ilvl w:val="3"/>
          <w:numId w:val="0"/>
        </w:numPr>
        <w:tabs>
          <w:tab w:val="clear" w:pos="0"/>
        </w:tabs>
        <w:ind w:leftChars="0" w:firstLine="480" w:firstLineChars="200"/>
        <w:rPr>
          <w:rFonts w:hint="eastAsia"/>
          <w:color w:val="auto"/>
          <w:lang w:val="en-US" w:eastAsia="zh-CN"/>
        </w:rPr>
      </w:pPr>
      <w:r>
        <w:rPr>
          <w:rFonts w:hint="eastAsia"/>
          <w:color w:val="auto"/>
          <w:lang w:val="en-US" w:eastAsia="zh-CN"/>
        </w:rPr>
        <w:t>7.8.2.8环境风险防范管理要求</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环境保护部于 2012 年 7 月 3 日发布《关于进一步加强环境影响评价管理防范环境风险的通知》环发[2012]77 号，明确建设单位及其所属企业是环境风险防范的责任主体，应建立有效的环境风险防范与应急管理体系并不断完善。</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（1）建设项目的环境风险防范设施和应急措施是企业环境风险防范与应急管理 体系的组成部分，也是企业制定和完善突发环境事件应急预案的基础。企业突发环境事件应急预案的编制、评估、备案和实施等，应按《企业事业单位突发环境事件应急预案备案管理办法（试行）》（环发〔2015〕4号）等相关规定执行。</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2）企业应建设并完善日常和应急监测系统，配备大气、水环境特征污染物监控设备，编制日常和应急监测方案，提高监控水平、应急响应速度和应急处理能力；建立完备的环境信息平台，定期向社会公布企业环境信息，接受公众监督。将企业突发环境事件应急预案演练和应急物资管理作为日常工作任务，不断提升环境风险防范应急保障能力。</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 xml:space="preserve">（3）企业应积极完善环境风险预警体系、环境风险防控工程、环境应急保障体系。企业突发环境事件应急预案应与当地政府和相关部门以及周边企业、工业园区的应急预案相衔接，加强区域应急物资调配管理，构建区域环境风险联控机制。 </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4）项目应在其设计方案确定后、设计文件批复前，逐项对比防治污染、防止生态破坏以及防范环境风险设施的设计方案与环境影响评价文件及批复要求的相符性。建设单位应将上述环保设施在设计阶段的落实情况报环境影响评价文件审批部门备案，并抄报当地环保部门。</w:t>
      </w:r>
    </w:p>
    <w:p>
      <w:pPr>
        <w:snapToGrid w:val="0"/>
        <w:spacing w:line="360" w:lineRule="auto"/>
        <w:ind w:firstLine="480" w:firstLineChars="200"/>
        <w:jc w:val="left"/>
        <w:rPr>
          <w:rFonts w:ascii="Times New Roman" w:hAnsi="Times New Roman" w:cs="Times New Roman"/>
          <w:color w:val="auto"/>
          <w:sz w:val="24"/>
          <w:u w:val="none"/>
        </w:rPr>
      </w:pPr>
      <w:r>
        <w:rPr>
          <w:rFonts w:ascii="Times New Roman" w:hAnsi="Times New Roman" w:cs="Times New Roman"/>
          <w:color w:val="auto"/>
          <w:sz w:val="24"/>
          <w:u w:val="none"/>
        </w:rPr>
        <w:t>（5）项目的环境影响评价文件经批准后，环境风险防范设施发生重大变动的， 建设单位应按《环境影响评价法》要求重新办理报批手续。</w:t>
      </w:r>
    </w:p>
    <w:p>
      <w:pPr>
        <w:pStyle w:val="6"/>
        <w:numPr>
          <w:ilvl w:val="1"/>
          <w:numId w:val="0"/>
        </w:numPr>
        <w:tabs>
          <w:tab w:val="clear" w:pos="0"/>
        </w:tabs>
        <w:ind w:leftChars="0"/>
        <w:rPr>
          <w:color w:val="auto"/>
        </w:rPr>
      </w:pPr>
      <w:bookmarkStart w:id="389" w:name="_Toc22012"/>
      <w:r>
        <w:rPr>
          <w:rFonts w:hint="eastAsia"/>
          <w:color w:val="auto"/>
          <w:lang w:val="en-US" w:eastAsia="zh-CN"/>
        </w:rPr>
        <w:t xml:space="preserve">7.9 </w:t>
      </w:r>
      <w:r>
        <w:rPr>
          <w:color w:val="auto"/>
        </w:rPr>
        <w:t>环境风险应急预案</w:t>
      </w:r>
      <w:bookmarkEnd w:id="389"/>
    </w:p>
    <w:p>
      <w:pPr>
        <w:pStyle w:val="22"/>
        <w:kinsoku w:val="0"/>
        <w:overflowPunct w:val="0"/>
        <w:spacing w:before="160" w:beforeLines="0" w:afterLines="0" w:line="364" w:lineRule="auto"/>
        <w:ind w:right="317" w:firstLine="480"/>
        <w:jc w:val="both"/>
        <w:rPr>
          <w:rFonts w:hint="eastAsia"/>
          <w:color w:val="auto"/>
          <w:spacing w:val="1"/>
          <w:sz w:val="24"/>
          <w:u w:val="none"/>
        </w:rPr>
      </w:pPr>
      <w:r>
        <w:rPr>
          <w:rFonts w:hint="eastAsia"/>
          <w:color w:val="auto"/>
          <w:spacing w:val="1"/>
          <w:sz w:val="24"/>
          <w:u w:val="none"/>
        </w:rPr>
        <w:t>公司现有工程和在建工程已经建立了一套较为完善的应急预案和应急体系以应对</w:t>
      </w:r>
      <w:r>
        <w:rPr>
          <w:rFonts w:hint="eastAsia"/>
          <w:color w:val="auto"/>
          <w:spacing w:val="-228"/>
          <w:sz w:val="24"/>
          <w:u w:val="none"/>
        </w:rPr>
        <w:t>厂</w:t>
      </w:r>
      <w:r>
        <w:rPr>
          <w:rFonts w:hint="eastAsia"/>
          <w:color w:val="auto"/>
          <w:spacing w:val="-5"/>
          <w:sz w:val="24"/>
          <w:u w:val="none"/>
        </w:rPr>
        <w:t>区内各风险事故，包括应急启动条件、应急终止、应急保障等，本项目位于公司现有厂区内，风险应急措施主要依附厂内现有的应急系统。</w:t>
      </w:r>
    </w:p>
    <w:p>
      <w:pPr>
        <w:pStyle w:val="22"/>
        <w:kinsoku w:val="0"/>
        <w:overflowPunct w:val="0"/>
        <w:spacing w:beforeLines="0" w:afterLines="0" w:line="304" w:lineRule="exact"/>
        <w:ind w:left="716"/>
        <w:rPr>
          <w:rFonts w:hint="eastAsia"/>
          <w:color w:val="auto"/>
          <w:sz w:val="24"/>
          <w:u w:val="none"/>
        </w:rPr>
      </w:pPr>
      <w:r>
        <w:rPr>
          <w:rFonts w:hint="eastAsia"/>
          <w:color w:val="auto"/>
          <w:sz w:val="24"/>
          <w:u w:val="none"/>
        </w:rPr>
        <w:t>（</w:t>
      </w:r>
      <w:r>
        <w:rPr>
          <w:rFonts w:hint="default" w:ascii="Times New Roman" w:hAnsi="Times New Roman" w:eastAsia="Times New Roman"/>
          <w:color w:val="auto"/>
          <w:sz w:val="24"/>
          <w:u w:val="none"/>
        </w:rPr>
        <w:t>1</w:t>
      </w:r>
      <w:r>
        <w:rPr>
          <w:rFonts w:hint="eastAsia"/>
          <w:color w:val="auto"/>
          <w:sz w:val="24"/>
          <w:u w:val="none"/>
        </w:rPr>
        <w:t>）风险事故处理程序</w:t>
      </w:r>
    </w:p>
    <w:p>
      <w:pPr>
        <w:pStyle w:val="22"/>
        <w:kinsoku w:val="0"/>
        <w:overflowPunct w:val="0"/>
        <w:spacing w:before="161" w:beforeLines="0" w:afterLines="0" w:line="362" w:lineRule="auto"/>
        <w:ind w:right="317" w:firstLine="480"/>
        <w:rPr>
          <w:rFonts w:hint="eastAsia"/>
          <w:color w:val="auto"/>
          <w:spacing w:val="-3"/>
          <w:sz w:val="24"/>
          <w:u w:val="none"/>
        </w:rPr>
      </w:pPr>
      <w:r>
        <w:rPr>
          <w:rFonts w:hint="eastAsia"/>
          <w:color w:val="auto"/>
          <w:spacing w:val="-3"/>
          <w:sz w:val="24"/>
          <w:u w:val="none"/>
        </w:rPr>
        <w:t>项目风险事故处理应当有完整的处理程序图，一旦发生应急事故，必须依照风险事</w:t>
      </w:r>
      <w:r>
        <w:rPr>
          <w:rFonts w:hint="eastAsia"/>
          <w:color w:val="auto"/>
          <w:spacing w:val="-240"/>
          <w:sz w:val="24"/>
          <w:u w:val="none"/>
        </w:rPr>
        <w:t>故</w:t>
      </w:r>
      <w:r>
        <w:rPr>
          <w:rFonts w:hint="eastAsia"/>
          <w:color w:val="auto"/>
          <w:sz w:val="24"/>
          <w:u w:val="none"/>
        </w:rPr>
        <w:t>处理程序图进行操作。</w:t>
      </w:r>
    </w:p>
    <w:p>
      <w:pPr>
        <w:pStyle w:val="22"/>
        <w:kinsoku w:val="0"/>
        <w:overflowPunct w:val="0"/>
        <w:spacing w:before="5" w:beforeLines="0" w:afterLines="0"/>
        <w:ind w:left="706"/>
        <w:rPr>
          <w:rFonts w:hint="eastAsia"/>
          <w:color w:val="auto"/>
          <w:sz w:val="24"/>
          <w:u w:val="none"/>
        </w:rPr>
      </w:pPr>
      <w:r>
        <w:rPr>
          <w:rFonts w:hint="eastAsia"/>
          <w:color w:val="auto"/>
          <w:sz w:val="24"/>
          <w:u w:val="none"/>
        </w:rPr>
        <w:t>（</w:t>
      </w:r>
      <w:r>
        <w:rPr>
          <w:rFonts w:hint="default" w:ascii="Times New Roman" w:hAnsi="Times New Roman" w:eastAsia="Times New Roman"/>
          <w:color w:val="auto"/>
          <w:sz w:val="24"/>
          <w:u w:val="none"/>
        </w:rPr>
        <w:t>2</w:t>
      </w:r>
      <w:r>
        <w:rPr>
          <w:rFonts w:hint="eastAsia"/>
          <w:color w:val="auto"/>
          <w:sz w:val="24"/>
          <w:u w:val="none"/>
        </w:rPr>
        <w:t>）风险事故处理措施</w:t>
      </w:r>
    </w:p>
    <w:p>
      <w:pPr>
        <w:pStyle w:val="22"/>
        <w:kinsoku w:val="0"/>
        <w:overflowPunct w:val="0"/>
        <w:spacing w:before="80" w:beforeLines="0" w:afterLines="0"/>
        <w:rPr>
          <w:rFonts w:hint="eastAsia"/>
          <w:color w:val="auto"/>
          <w:sz w:val="24"/>
          <w:u w:val="none"/>
        </w:rPr>
      </w:pPr>
      <w:r>
        <w:rPr>
          <w:rFonts w:hint="eastAsia"/>
          <w:color w:val="auto"/>
          <w:spacing w:val="-3"/>
          <w:sz w:val="24"/>
          <w:u w:val="none"/>
        </w:rPr>
        <w:t>为了有效地处理风险事故，应有切实可行的处理措施。项目风险事故应急措施包括</w:t>
      </w:r>
      <w:r>
        <w:rPr>
          <w:rFonts w:hint="eastAsia"/>
          <w:color w:val="auto"/>
          <w:spacing w:val="-240"/>
          <w:sz w:val="24"/>
          <w:u w:val="none"/>
        </w:rPr>
        <w:t>设</w:t>
      </w:r>
      <w:r>
        <w:rPr>
          <w:rFonts w:hint="eastAsia"/>
          <w:color w:val="auto"/>
          <w:spacing w:val="-7"/>
          <w:sz w:val="24"/>
          <w:u w:val="none"/>
        </w:rPr>
        <w:t>备器材、事故现场指挥、救护、通讯等系统的建立、现场应急措施方案、事故危害监</w:t>
      </w:r>
      <w:r>
        <w:rPr>
          <w:rFonts w:hint="eastAsia"/>
          <w:color w:val="auto"/>
          <w:sz w:val="24"/>
          <w:u w:val="none"/>
        </w:rPr>
        <w:t>测队伍、现场撤离和善后措施方案等。</w:t>
      </w:r>
    </w:p>
    <w:p>
      <w:pPr>
        <w:pStyle w:val="246"/>
        <w:numPr>
          <w:ilvl w:val="0"/>
          <w:numId w:val="9"/>
        </w:numPr>
        <w:tabs>
          <w:tab w:val="left" w:pos="862"/>
        </w:tabs>
        <w:kinsoku w:val="0"/>
        <w:overflowPunct w:val="0"/>
        <w:spacing w:before="158" w:beforeLines="0" w:afterLines="0"/>
        <w:ind w:left="236" w:firstLine="480"/>
        <w:rPr>
          <w:rFonts w:hint="eastAsia"/>
          <w:color w:val="auto"/>
          <w:sz w:val="24"/>
          <w:u w:val="none"/>
        </w:rPr>
      </w:pPr>
      <w:r>
        <w:rPr>
          <w:rFonts w:hint="eastAsia"/>
          <w:color w:val="auto"/>
          <w:sz w:val="24"/>
          <w:u w:val="none"/>
        </w:rPr>
        <w:t>设立报警、通讯系统以及事故处置领导体系；</w:t>
      </w:r>
    </w:p>
    <w:p>
      <w:pPr>
        <w:pStyle w:val="246"/>
        <w:numPr>
          <w:ilvl w:val="0"/>
          <w:numId w:val="9"/>
        </w:numPr>
        <w:tabs>
          <w:tab w:val="left" w:pos="863"/>
        </w:tabs>
        <w:kinsoku w:val="0"/>
        <w:overflowPunct w:val="0"/>
        <w:spacing w:before="161" w:beforeLines="0" w:afterLines="0" w:line="362" w:lineRule="auto"/>
        <w:ind w:left="236" w:right="316" w:firstLine="480"/>
        <w:rPr>
          <w:rFonts w:hint="eastAsia"/>
          <w:color w:val="auto"/>
          <w:sz w:val="24"/>
          <w:u w:val="none"/>
        </w:rPr>
      </w:pPr>
      <w:r>
        <w:rPr>
          <w:rFonts w:hint="eastAsia"/>
          <w:color w:val="auto"/>
          <w:sz w:val="24"/>
          <w:u w:val="none"/>
        </w:rPr>
        <w:t>制定有效处理事故的应急行动方案，并得到厂内外有关部门的认可，能与有关部</w:t>
      </w:r>
      <w:r>
        <w:rPr>
          <w:rFonts w:hint="eastAsia"/>
          <w:color w:val="auto"/>
          <w:spacing w:val="-239"/>
          <w:sz w:val="24"/>
          <w:u w:val="none"/>
        </w:rPr>
        <w:t>门</w:t>
      </w:r>
      <w:r>
        <w:rPr>
          <w:rFonts w:hint="eastAsia"/>
          <w:color w:val="auto"/>
          <w:sz w:val="24"/>
          <w:u w:val="none"/>
        </w:rPr>
        <w:t>有效配合；</w:t>
      </w:r>
    </w:p>
    <w:p>
      <w:pPr>
        <w:pStyle w:val="246"/>
        <w:numPr>
          <w:ilvl w:val="0"/>
          <w:numId w:val="9"/>
        </w:numPr>
        <w:tabs>
          <w:tab w:val="left" w:pos="862"/>
        </w:tabs>
        <w:kinsoku w:val="0"/>
        <w:overflowPunct w:val="0"/>
        <w:spacing w:before="5" w:beforeLines="0" w:afterLines="0"/>
        <w:ind w:left="236" w:firstLine="480"/>
        <w:rPr>
          <w:rFonts w:hint="eastAsia"/>
          <w:color w:val="auto"/>
          <w:sz w:val="24"/>
          <w:u w:val="none"/>
        </w:rPr>
      </w:pPr>
      <w:r>
        <w:rPr>
          <w:rFonts w:hint="eastAsia"/>
          <w:color w:val="auto"/>
          <w:sz w:val="24"/>
          <w:u w:val="none"/>
        </w:rPr>
        <w:t>明确职责，并落实到单位和有关人员；</w:t>
      </w:r>
    </w:p>
    <w:p>
      <w:pPr>
        <w:pStyle w:val="246"/>
        <w:numPr>
          <w:ilvl w:val="0"/>
          <w:numId w:val="9"/>
        </w:numPr>
        <w:tabs>
          <w:tab w:val="left" w:pos="862"/>
        </w:tabs>
        <w:kinsoku w:val="0"/>
        <w:overflowPunct w:val="0"/>
        <w:spacing w:before="160" w:beforeLines="0" w:afterLines="0"/>
        <w:ind w:left="236" w:firstLine="480"/>
        <w:rPr>
          <w:rFonts w:hint="eastAsia"/>
          <w:color w:val="auto"/>
          <w:sz w:val="24"/>
          <w:u w:val="none"/>
        </w:rPr>
      </w:pPr>
      <w:r>
        <w:rPr>
          <w:rFonts w:hint="eastAsia"/>
          <w:color w:val="auto"/>
          <w:sz w:val="24"/>
          <w:u w:val="none"/>
        </w:rPr>
        <w:t>制定控制和减少事故影响范围以及补救行动的实施计划；</w:t>
      </w:r>
    </w:p>
    <w:p>
      <w:pPr>
        <w:pStyle w:val="246"/>
        <w:numPr>
          <w:ilvl w:val="0"/>
          <w:numId w:val="9"/>
        </w:numPr>
        <w:tabs>
          <w:tab w:val="left" w:pos="863"/>
        </w:tabs>
        <w:kinsoku w:val="0"/>
        <w:overflowPunct w:val="0"/>
        <w:spacing w:before="159" w:beforeLines="0" w:afterLines="0" w:line="364" w:lineRule="auto"/>
        <w:ind w:left="236" w:right="316" w:firstLine="480"/>
        <w:rPr>
          <w:rFonts w:hint="eastAsia"/>
          <w:color w:val="auto"/>
          <w:sz w:val="24"/>
          <w:u w:val="none"/>
        </w:rPr>
      </w:pPr>
      <w:r>
        <w:rPr>
          <w:rFonts w:hint="eastAsia"/>
          <w:color w:val="auto"/>
          <w:sz w:val="24"/>
          <w:u w:val="none"/>
        </w:rPr>
        <w:t>对事故现场管理以及事故处置全过程的监督，应由富有事故处置经验的人员或有</w:t>
      </w:r>
      <w:r>
        <w:rPr>
          <w:rFonts w:hint="eastAsia"/>
          <w:color w:val="auto"/>
          <w:spacing w:val="-239"/>
          <w:sz w:val="24"/>
          <w:u w:val="none"/>
        </w:rPr>
        <w:t>关</w:t>
      </w:r>
      <w:r>
        <w:rPr>
          <w:rFonts w:hint="eastAsia"/>
          <w:color w:val="auto"/>
          <w:sz w:val="24"/>
          <w:u w:val="none"/>
        </w:rPr>
        <w:t>部门工作人员承担；</w:t>
      </w:r>
    </w:p>
    <w:p>
      <w:pPr>
        <w:pStyle w:val="246"/>
        <w:numPr>
          <w:ilvl w:val="0"/>
          <w:numId w:val="9"/>
        </w:numPr>
        <w:tabs>
          <w:tab w:val="left" w:pos="863"/>
        </w:tabs>
        <w:kinsoku w:val="0"/>
        <w:overflowPunct w:val="0"/>
        <w:spacing w:beforeLines="0" w:afterLines="0" w:line="364" w:lineRule="auto"/>
        <w:ind w:left="236" w:right="316" w:firstLine="480"/>
        <w:rPr>
          <w:rFonts w:hint="eastAsia"/>
          <w:color w:val="auto"/>
          <w:sz w:val="24"/>
          <w:u w:val="none"/>
        </w:rPr>
      </w:pPr>
      <w:r>
        <w:rPr>
          <w:rFonts w:hint="eastAsia"/>
          <w:color w:val="auto"/>
          <w:sz w:val="24"/>
          <w:u w:val="none"/>
        </w:rPr>
        <w:t>为提高事故处置队伍的协同救援水平和实战能力，检验救援体系的应急综合运作</w:t>
      </w:r>
      <w:r>
        <w:rPr>
          <w:rFonts w:hint="eastAsia"/>
          <w:color w:val="auto"/>
          <w:spacing w:val="-239"/>
          <w:sz w:val="24"/>
          <w:u w:val="none"/>
        </w:rPr>
        <w:t>状</w:t>
      </w:r>
      <w:r>
        <w:rPr>
          <w:rFonts w:hint="eastAsia"/>
          <w:color w:val="auto"/>
          <w:sz w:val="24"/>
          <w:u w:val="none"/>
        </w:rPr>
        <w:t>态，提高其实战水平，应进行应急救援演练。</w:t>
      </w:r>
    </w:p>
    <w:p>
      <w:pPr>
        <w:pStyle w:val="22"/>
        <w:kinsoku w:val="0"/>
        <w:overflowPunct w:val="0"/>
        <w:spacing w:before="158" w:beforeLines="0" w:afterLines="0" w:line="364" w:lineRule="auto"/>
        <w:ind w:right="313" w:firstLine="480"/>
        <w:rPr>
          <w:rFonts w:hint="eastAsia"/>
          <w:color w:val="auto"/>
          <w:spacing w:val="-3"/>
          <w:sz w:val="24"/>
          <w:u w:val="none"/>
        </w:rPr>
        <w:sectPr>
          <w:footerReference r:id="rId26" w:type="default"/>
          <w:pgSz w:w="11910" w:h="16840"/>
          <w:pgMar w:top="1620" w:right="1100" w:bottom="1160" w:left="1180" w:header="897" w:footer="975" w:gutter="0"/>
          <w:lnNumType w:countBy="0" w:distance="360"/>
          <w:pgNumType w:fmt="decimal"/>
          <w:cols w:space="720" w:num="1"/>
        </w:sectPr>
      </w:pPr>
    </w:p>
    <w:p>
      <w:pPr>
        <w:pStyle w:val="22"/>
        <w:kinsoku w:val="0"/>
        <w:overflowPunct w:val="0"/>
        <w:spacing w:beforeLines="0" w:afterLines="0" w:line="306" w:lineRule="exact"/>
        <w:ind w:left="716"/>
        <w:rPr>
          <w:rFonts w:hint="eastAsia"/>
          <w:color w:val="auto"/>
          <w:sz w:val="24"/>
          <w:u w:val="none"/>
        </w:rPr>
      </w:pPr>
      <w:r>
        <w:rPr>
          <w:rFonts w:hint="eastAsia"/>
          <w:color w:val="auto"/>
          <w:sz w:val="24"/>
          <w:u w:val="none"/>
        </w:rPr>
        <w:t>（</w:t>
      </w:r>
      <w:r>
        <w:rPr>
          <w:rFonts w:hint="default" w:ascii="Times New Roman" w:hAnsi="Times New Roman" w:eastAsia="Times New Roman"/>
          <w:color w:val="auto"/>
          <w:sz w:val="24"/>
          <w:u w:val="none"/>
        </w:rPr>
        <w:t>3</w:t>
      </w:r>
      <w:r>
        <w:rPr>
          <w:rFonts w:hint="eastAsia"/>
          <w:color w:val="auto"/>
          <w:sz w:val="24"/>
          <w:u w:val="none"/>
        </w:rPr>
        <w:t>）风险事故应急计划</w:t>
      </w:r>
    </w:p>
    <w:p>
      <w:pPr>
        <w:pStyle w:val="22"/>
        <w:kinsoku w:val="0"/>
        <w:overflowPunct w:val="0"/>
        <w:spacing w:before="159" w:beforeLines="0" w:afterLines="0" w:line="362" w:lineRule="auto"/>
        <w:ind w:right="317" w:firstLine="480"/>
        <w:rPr>
          <w:rFonts w:hint="eastAsia"/>
          <w:color w:val="auto"/>
          <w:spacing w:val="-4"/>
          <w:sz w:val="24"/>
          <w:u w:val="none"/>
        </w:rPr>
      </w:pPr>
      <w:r>
        <w:rPr>
          <w:rFonts w:hint="eastAsia"/>
          <w:color w:val="auto"/>
          <w:spacing w:val="-4"/>
          <w:sz w:val="24"/>
          <w:u w:val="none"/>
        </w:rPr>
        <w:t>必须拟定事故应急预案，以应对可能发生的应急危害事故，一旦发生事故，即可在</w:t>
      </w:r>
      <w:r>
        <w:rPr>
          <w:rFonts w:hint="eastAsia"/>
          <w:color w:val="auto"/>
          <w:spacing w:val="-240"/>
          <w:sz w:val="24"/>
          <w:u w:val="none"/>
        </w:rPr>
        <w:t>有</w:t>
      </w:r>
      <w:r>
        <w:rPr>
          <w:rFonts w:hint="eastAsia"/>
          <w:color w:val="auto"/>
          <w:sz w:val="24"/>
          <w:u w:val="none"/>
        </w:rPr>
        <w:t>充分准备的情况下，对事故进行积极处理。</w:t>
      </w:r>
    </w:p>
    <w:p>
      <w:pPr>
        <w:pStyle w:val="22"/>
        <w:kinsoku w:val="0"/>
        <w:overflowPunct w:val="0"/>
        <w:spacing w:before="5" w:beforeLines="0" w:afterLines="0" w:line="362" w:lineRule="auto"/>
        <w:ind w:right="269" w:firstLine="480"/>
        <w:rPr>
          <w:rFonts w:hint="eastAsia"/>
          <w:color w:val="auto"/>
          <w:sz w:val="24"/>
          <w:u w:val="none"/>
        </w:rPr>
      </w:pPr>
      <w:r>
        <w:rPr>
          <w:rFonts w:hint="eastAsia"/>
          <w:color w:val="auto"/>
          <w:sz w:val="24"/>
          <w:u w:val="none"/>
        </w:rPr>
        <w:t>风险事故的应急计划包括应急状态分类、应急计划区和事故等级水平、应急防护、</w:t>
      </w:r>
      <w:r>
        <w:rPr>
          <w:rFonts w:hint="eastAsia"/>
          <w:color w:val="auto"/>
          <w:spacing w:val="-240"/>
          <w:sz w:val="24"/>
          <w:u w:val="none"/>
        </w:rPr>
        <w:t>应</w:t>
      </w:r>
      <w:r>
        <w:rPr>
          <w:rFonts w:hint="eastAsia"/>
          <w:color w:val="auto"/>
          <w:sz w:val="24"/>
          <w:u w:val="none"/>
        </w:rPr>
        <w:t>急医学处理等。因此，风险事故应急计划应当包括以下内容：</w:t>
      </w:r>
    </w:p>
    <w:p>
      <w:pPr>
        <w:pStyle w:val="246"/>
        <w:numPr>
          <w:ilvl w:val="0"/>
          <w:numId w:val="9"/>
        </w:numPr>
        <w:tabs>
          <w:tab w:val="left" w:pos="862"/>
        </w:tabs>
        <w:kinsoku w:val="0"/>
        <w:overflowPunct w:val="0"/>
        <w:spacing w:before="5" w:beforeLines="0" w:afterLines="0"/>
        <w:ind w:left="236" w:firstLine="480"/>
        <w:rPr>
          <w:rFonts w:hint="eastAsia"/>
          <w:color w:val="auto"/>
          <w:sz w:val="24"/>
          <w:u w:val="none"/>
        </w:rPr>
      </w:pPr>
      <w:r>
        <w:rPr>
          <w:rFonts w:hint="eastAsia"/>
          <w:color w:val="auto"/>
          <w:sz w:val="24"/>
          <w:u w:val="none"/>
        </w:rPr>
        <w:t>项目在生产过程中所使用以及产生的有毒化学品、危险源的概况；</w:t>
      </w:r>
    </w:p>
    <w:p>
      <w:pPr>
        <w:pStyle w:val="246"/>
        <w:numPr>
          <w:ilvl w:val="0"/>
          <w:numId w:val="9"/>
        </w:numPr>
        <w:tabs>
          <w:tab w:val="left" w:pos="862"/>
        </w:tabs>
        <w:kinsoku w:val="0"/>
        <w:overflowPunct w:val="0"/>
        <w:spacing w:before="160" w:beforeLines="0" w:afterLines="0"/>
        <w:ind w:left="236" w:firstLine="480"/>
        <w:rPr>
          <w:rFonts w:hint="eastAsia"/>
          <w:color w:val="auto"/>
          <w:sz w:val="24"/>
          <w:u w:val="none"/>
        </w:rPr>
      </w:pPr>
      <w:r>
        <w:rPr>
          <w:rFonts w:hint="eastAsia"/>
          <w:color w:val="auto"/>
          <w:sz w:val="24"/>
          <w:u w:val="none"/>
        </w:rPr>
        <w:t>应急计划实施区域；</w:t>
      </w:r>
    </w:p>
    <w:p>
      <w:pPr>
        <w:pStyle w:val="246"/>
        <w:numPr>
          <w:ilvl w:val="0"/>
          <w:numId w:val="9"/>
        </w:numPr>
        <w:tabs>
          <w:tab w:val="left" w:pos="862"/>
        </w:tabs>
        <w:kinsoku w:val="0"/>
        <w:overflowPunct w:val="0"/>
        <w:spacing w:before="158" w:beforeLines="0" w:afterLines="0"/>
        <w:ind w:left="236" w:firstLine="480"/>
        <w:rPr>
          <w:rFonts w:hint="eastAsia"/>
          <w:color w:val="auto"/>
          <w:sz w:val="24"/>
          <w:u w:val="none"/>
        </w:rPr>
      </w:pPr>
      <w:r>
        <w:rPr>
          <w:rFonts w:hint="eastAsia"/>
          <w:color w:val="auto"/>
          <w:sz w:val="24"/>
          <w:u w:val="none"/>
        </w:rPr>
        <w:t>应急和事故灾害控制的组织、责任、授权人；</w:t>
      </w:r>
    </w:p>
    <w:p>
      <w:pPr>
        <w:pStyle w:val="246"/>
        <w:numPr>
          <w:ilvl w:val="0"/>
          <w:numId w:val="9"/>
        </w:numPr>
        <w:tabs>
          <w:tab w:val="left" w:pos="862"/>
        </w:tabs>
        <w:kinsoku w:val="0"/>
        <w:overflowPunct w:val="0"/>
        <w:spacing w:before="158" w:beforeLines="0" w:afterLines="0"/>
        <w:ind w:left="236" w:firstLine="480"/>
        <w:rPr>
          <w:rFonts w:hint="eastAsia"/>
          <w:color w:val="auto"/>
          <w:sz w:val="24"/>
          <w:u w:val="none"/>
        </w:rPr>
      </w:pPr>
      <w:r>
        <w:rPr>
          <w:rFonts w:hint="eastAsia"/>
          <w:color w:val="auto"/>
          <w:sz w:val="24"/>
          <w:u w:val="none"/>
        </w:rPr>
        <w:t>应急状态分类以及应急状态响应程序；</w:t>
      </w:r>
    </w:p>
    <w:p>
      <w:pPr>
        <w:pStyle w:val="246"/>
        <w:numPr>
          <w:ilvl w:val="0"/>
          <w:numId w:val="9"/>
        </w:numPr>
        <w:tabs>
          <w:tab w:val="left" w:pos="862"/>
        </w:tabs>
        <w:kinsoku w:val="0"/>
        <w:overflowPunct w:val="0"/>
        <w:spacing w:before="161" w:beforeLines="0" w:afterLines="0"/>
        <w:ind w:left="236" w:firstLine="480"/>
        <w:rPr>
          <w:rFonts w:hint="eastAsia"/>
          <w:color w:val="auto"/>
          <w:sz w:val="24"/>
          <w:u w:val="none"/>
        </w:rPr>
      </w:pPr>
      <w:r>
        <w:rPr>
          <w:rFonts w:hint="eastAsia"/>
          <w:color w:val="auto"/>
          <w:sz w:val="24"/>
          <w:u w:val="none"/>
        </w:rPr>
        <w:t>应急设备、设施、材料和人员调动系统和程序；</w:t>
      </w:r>
    </w:p>
    <w:p>
      <w:pPr>
        <w:pStyle w:val="246"/>
        <w:numPr>
          <w:ilvl w:val="0"/>
          <w:numId w:val="0"/>
        </w:numPr>
        <w:tabs>
          <w:tab w:val="left" w:pos="853"/>
        </w:tabs>
        <w:kinsoku w:val="0"/>
        <w:overflowPunct w:val="0"/>
        <w:spacing w:before="160" w:beforeLines="0" w:afterLines="0"/>
        <w:ind w:leftChars="200" w:firstLine="240" w:firstLineChars="100"/>
        <w:rPr>
          <w:rFonts w:hint="eastAsia"/>
          <w:color w:val="auto"/>
          <w:sz w:val="24"/>
          <w:u w:val="none"/>
        </w:rPr>
      </w:pPr>
      <w:r>
        <w:rPr>
          <w:rFonts w:hint="eastAsia"/>
          <w:color w:val="auto"/>
          <w:sz w:val="24"/>
          <w:u w:val="none"/>
          <w:lang w:val="en-US" w:eastAsia="zh-CN"/>
        </w:rPr>
        <w:t xml:space="preserve">16  </w:t>
      </w:r>
      <w:r>
        <w:rPr>
          <w:rFonts w:hint="eastAsia"/>
          <w:color w:val="auto"/>
          <w:sz w:val="24"/>
          <w:u w:val="none"/>
        </w:rPr>
        <w:t>应急通知和与授权人、有关人员、相关方面的通讯系统和程序；</w:t>
      </w:r>
    </w:p>
    <w:p>
      <w:pPr>
        <w:pStyle w:val="246"/>
        <w:numPr>
          <w:ilvl w:val="0"/>
          <w:numId w:val="0"/>
        </w:numPr>
        <w:tabs>
          <w:tab w:val="left" w:pos="853"/>
        </w:tabs>
        <w:kinsoku w:val="0"/>
        <w:overflowPunct w:val="0"/>
        <w:spacing w:before="159" w:beforeLines="0" w:afterLines="0"/>
        <w:ind w:leftChars="200" w:firstLine="240" w:firstLineChars="100"/>
        <w:rPr>
          <w:rFonts w:hint="eastAsia"/>
          <w:color w:val="auto"/>
          <w:sz w:val="24"/>
          <w:u w:val="none"/>
        </w:rPr>
      </w:pPr>
      <w:r>
        <w:rPr>
          <w:rFonts w:hint="eastAsia"/>
          <w:color w:val="auto"/>
          <w:sz w:val="24"/>
          <w:u w:val="none"/>
          <w:lang w:val="en-US" w:eastAsia="zh-CN"/>
        </w:rPr>
        <w:t xml:space="preserve">17  </w:t>
      </w:r>
      <w:r>
        <w:rPr>
          <w:rFonts w:hint="eastAsia"/>
          <w:color w:val="auto"/>
          <w:sz w:val="24"/>
          <w:u w:val="none"/>
        </w:rPr>
        <w:t>应急环境监测和事故环境影响评价；</w:t>
      </w:r>
    </w:p>
    <w:p>
      <w:pPr>
        <w:pStyle w:val="246"/>
        <w:numPr>
          <w:ilvl w:val="0"/>
          <w:numId w:val="0"/>
        </w:numPr>
        <w:tabs>
          <w:tab w:val="left" w:pos="853"/>
        </w:tabs>
        <w:kinsoku w:val="0"/>
        <w:overflowPunct w:val="0"/>
        <w:spacing w:before="160" w:beforeLines="0" w:afterLines="0"/>
        <w:ind w:leftChars="200" w:firstLine="240" w:firstLineChars="100"/>
        <w:rPr>
          <w:rFonts w:hint="eastAsia"/>
          <w:color w:val="auto"/>
          <w:sz w:val="24"/>
          <w:u w:val="none"/>
        </w:rPr>
      </w:pPr>
      <w:r>
        <w:rPr>
          <w:rFonts w:hint="eastAsia"/>
          <w:color w:val="auto"/>
          <w:sz w:val="24"/>
          <w:u w:val="none"/>
          <w:lang w:val="en-US" w:eastAsia="zh-CN"/>
        </w:rPr>
        <w:t xml:space="preserve">18  </w:t>
      </w:r>
      <w:r>
        <w:rPr>
          <w:rFonts w:hint="eastAsia"/>
          <w:color w:val="auto"/>
          <w:sz w:val="24"/>
          <w:u w:val="none"/>
        </w:rPr>
        <w:t>应急防护措施，清除泄漏物的措施、方法和使用器材；</w:t>
      </w:r>
    </w:p>
    <w:p>
      <w:pPr>
        <w:pStyle w:val="246"/>
        <w:numPr>
          <w:ilvl w:val="0"/>
          <w:numId w:val="0"/>
        </w:numPr>
        <w:tabs>
          <w:tab w:val="left" w:pos="853"/>
        </w:tabs>
        <w:kinsoku w:val="0"/>
        <w:overflowPunct w:val="0"/>
        <w:spacing w:before="158" w:beforeLines="0" w:afterLines="0"/>
        <w:ind w:leftChars="200" w:firstLine="240" w:firstLineChars="100"/>
        <w:rPr>
          <w:rFonts w:hint="eastAsia"/>
          <w:color w:val="auto"/>
          <w:sz w:val="24"/>
          <w:u w:val="none"/>
        </w:rPr>
      </w:pPr>
      <w:r>
        <w:rPr>
          <w:rFonts w:hint="eastAsia"/>
          <w:color w:val="auto"/>
          <w:sz w:val="24"/>
          <w:u w:val="none"/>
          <w:lang w:val="en-US" w:eastAsia="zh-CN"/>
        </w:rPr>
        <w:t xml:space="preserve">19  </w:t>
      </w:r>
      <w:r>
        <w:rPr>
          <w:rFonts w:hint="eastAsia"/>
          <w:color w:val="auto"/>
          <w:sz w:val="24"/>
          <w:u w:val="none"/>
        </w:rPr>
        <w:t>应急人员接触计量控制、人员撤离、医疗救助与公众健康保证的系统和程序；</w:t>
      </w:r>
    </w:p>
    <w:p>
      <w:pPr>
        <w:pStyle w:val="246"/>
        <w:numPr>
          <w:ilvl w:val="0"/>
          <w:numId w:val="0"/>
        </w:numPr>
        <w:tabs>
          <w:tab w:val="left" w:pos="853"/>
        </w:tabs>
        <w:kinsoku w:val="0"/>
        <w:overflowPunct w:val="0"/>
        <w:spacing w:before="161" w:beforeLines="0" w:afterLines="0"/>
        <w:ind w:leftChars="200" w:firstLine="240" w:firstLineChars="100"/>
        <w:rPr>
          <w:rFonts w:hint="eastAsia"/>
          <w:color w:val="auto"/>
          <w:sz w:val="24"/>
          <w:u w:val="none"/>
        </w:rPr>
      </w:pPr>
      <w:r>
        <w:rPr>
          <w:rFonts w:hint="eastAsia"/>
          <w:color w:val="auto"/>
          <w:sz w:val="24"/>
          <w:u w:val="none"/>
          <w:lang w:val="en-US" w:eastAsia="zh-CN"/>
        </w:rPr>
        <w:t xml:space="preserve">20  </w:t>
      </w:r>
      <w:r>
        <w:rPr>
          <w:rFonts w:hint="eastAsia"/>
          <w:color w:val="auto"/>
          <w:sz w:val="24"/>
          <w:u w:val="none"/>
        </w:rPr>
        <w:t>应急状态终止与事故影响的恢复措施；</w:t>
      </w:r>
    </w:p>
    <w:p>
      <w:pPr>
        <w:pStyle w:val="246"/>
        <w:numPr>
          <w:ilvl w:val="0"/>
          <w:numId w:val="0"/>
        </w:numPr>
        <w:tabs>
          <w:tab w:val="left" w:pos="853"/>
        </w:tabs>
        <w:kinsoku w:val="0"/>
        <w:overflowPunct w:val="0"/>
        <w:spacing w:before="158" w:beforeLines="0" w:afterLines="0"/>
        <w:ind w:leftChars="200" w:firstLine="240" w:firstLineChars="100"/>
        <w:rPr>
          <w:rFonts w:hint="eastAsia"/>
          <w:color w:val="auto"/>
          <w:sz w:val="24"/>
          <w:u w:val="none"/>
        </w:rPr>
      </w:pPr>
      <w:r>
        <w:rPr>
          <w:rFonts w:hint="eastAsia"/>
          <w:color w:val="auto"/>
          <w:sz w:val="24"/>
          <w:u w:val="none"/>
          <w:lang w:val="en-US" w:eastAsia="zh-CN"/>
        </w:rPr>
        <w:t xml:space="preserve">21  </w:t>
      </w:r>
      <w:r>
        <w:rPr>
          <w:rFonts w:hint="eastAsia"/>
          <w:color w:val="auto"/>
          <w:sz w:val="24"/>
          <w:u w:val="none"/>
        </w:rPr>
        <w:t>应急人员培训、演练和试验应急系统的程序；</w:t>
      </w:r>
    </w:p>
    <w:p>
      <w:pPr>
        <w:pStyle w:val="246"/>
        <w:numPr>
          <w:ilvl w:val="0"/>
          <w:numId w:val="0"/>
        </w:numPr>
        <w:tabs>
          <w:tab w:val="left" w:pos="853"/>
        </w:tabs>
        <w:kinsoku w:val="0"/>
        <w:overflowPunct w:val="0"/>
        <w:spacing w:before="160" w:beforeLines="0" w:afterLines="0"/>
        <w:ind w:leftChars="200" w:firstLine="240" w:firstLineChars="100"/>
        <w:rPr>
          <w:rFonts w:hint="eastAsia"/>
          <w:color w:val="auto"/>
          <w:sz w:val="24"/>
          <w:u w:val="none"/>
        </w:rPr>
      </w:pPr>
      <w:r>
        <w:rPr>
          <w:rFonts w:hint="eastAsia"/>
          <w:color w:val="auto"/>
          <w:sz w:val="24"/>
          <w:u w:val="none"/>
          <w:lang w:val="en-US" w:eastAsia="zh-CN"/>
        </w:rPr>
        <w:t xml:space="preserve">22  </w:t>
      </w:r>
      <w:r>
        <w:rPr>
          <w:rFonts w:hint="eastAsia"/>
          <w:color w:val="auto"/>
          <w:sz w:val="24"/>
          <w:u w:val="none"/>
        </w:rPr>
        <w:t>应急事故的公众教育以及事故信息公布程序；</w:t>
      </w:r>
    </w:p>
    <w:p>
      <w:pPr>
        <w:pStyle w:val="246"/>
        <w:numPr>
          <w:ilvl w:val="0"/>
          <w:numId w:val="0"/>
        </w:numPr>
        <w:tabs>
          <w:tab w:val="left" w:pos="853"/>
        </w:tabs>
        <w:kinsoku w:val="0"/>
        <w:overflowPunct w:val="0"/>
        <w:spacing w:before="158" w:beforeLines="0" w:afterLines="0"/>
        <w:ind w:leftChars="200" w:firstLine="240" w:firstLineChars="100"/>
        <w:rPr>
          <w:rFonts w:hint="eastAsia"/>
          <w:color w:val="auto"/>
          <w:sz w:val="24"/>
          <w:u w:val="none"/>
        </w:rPr>
      </w:pPr>
      <w:r>
        <w:rPr>
          <w:rFonts w:hint="eastAsia"/>
          <w:color w:val="auto"/>
          <w:sz w:val="24"/>
          <w:u w:val="none"/>
          <w:lang w:val="en-US" w:eastAsia="zh-CN"/>
        </w:rPr>
        <w:t xml:space="preserve">23  </w:t>
      </w:r>
      <w:r>
        <w:rPr>
          <w:rFonts w:hint="eastAsia"/>
          <w:color w:val="auto"/>
          <w:sz w:val="24"/>
          <w:u w:val="none"/>
        </w:rPr>
        <w:t>调动第三方资源进行应急支持的安排和程序；</w:t>
      </w:r>
    </w:p>
    <w:p>
      <w:pPr>
        <w:pStyle w:val="246"/>
        <w:numPr>
          <w:ilvl w:val="0"/>
          <w:numId w:val="0"/>
        </w:numPr>
        <w:tabs>
          <w:tab w:val="left" w:pos="853"/>
        </w:tabs>
        <w:kinsoku w:val="0"/>
        <w:overflowPunct w:val="0"/>
        <w:spacing w:before="161" w:beforeLines="0" w:afterLines="0"/>
        <w:ind w:leftChars="200" w:firstLine="240" w:firstLineChars="100"/>
        <w:rPr>
          <w:rFonts w:hint="eastAsia"/>
          <w:color w:val="auto"/>
          <w:sz w:val="24"/>
          <w:u w:val="none"/>
        </w:rPr>
      </w:pPr>
      <w:r>
        <w:rPr>
          <w:rFonts w:hint="eastAsia"/>
          <w:color w:val="auto"/>
          <w:sz w:val="24"/>
          <w:u w:val="none"/>
          <w:lang w:val="en-US" w:eastAsia="zh-CN"/>
        </w:rPr>
        <w:t xml:space="preserve">24  </w:t>
      </w:r>
      <w:r>
        <w:rPr>
          <w:rFonts w:hint="eastAsia"/>
          <w:color w:val="auto"/>
          <w:sz w:val="24"/>
          <w:u w:val="none"/>
        </w:rPr>
        <w:t>事故的记录和报告程序；</w:t>
      </w:r>
    </w:p>
    <w:p>
      <w:pPr>
        <w:pStyle w:val="246"/>
        <w:numPr>
          <w:ilvl w:val="0"/>
          <w:numId w:val="9"/>
        </w:numPr>
        <w:tabs>
          <w:tab w:val="left" w:pos="853"/>
        </w:tabs>
        <w:kinsoku w:val="0"/>
        <w:overflowPunct w:val="0"/>
        <w:spacing w:before="161" w:beforeLines="0" w:afterLines="0"/>
        <w:ind w:left="852" w:hanging="146"/>
        <w:rPr>
          <w:rFonts w:hint="eastAsia"/>
          <w:color w:val="auto"/>
          <w:sz w:val="24"/>
          <w:u w:val="none"/>
        </w:rPr>
        <w:sectPr>
          <w:pgSz w:w="11910" w:h="16840"/>
          <w:pgMar w:top="1620" w:right="1100" w:bottom="1160" w:left="1180" w:header="897" w:footer="975" w:gutter="0"/>
          <w:lnNumType w:countBy="0" w:distance="360"/>
          <w:pgNumType w:fmt="decimal"/>
          <w:cols w:space="720" w:num="1"/>
        </w:sectPr>
      </w:pPr>
    </w:p>
    <w:p>
      <w:pPr>
        <w:pStyle w:val="22"/>
        <w:kinsoku w:val="0"/>
        <w:overflowPunct w:val="0"/>
        <w:spacing w:before="80" w:beforeLines="0" w:afterLines="0"/>
        <w:ind w:firstLine="480" w:firstLineChars="200"/>
        <w:rPr>
          <w:rFonts w:hint="eastAsia"/>
          <w:color w:val="auto"/>
          <w:sz w:val="24"/>
          <w:u w:val="none"/>
        </w:rPr>
      </w:pPr>
      <w:r>
        <w:rPr>
          <w:rFonts w:hint="eastAsia"/>
          <w:color w:val="auto"/>
          <w:sz w:val="24"/>
          <w:u w:val="none"/>
        </w:rPr>
        <w:t>（</w:t>
      </w:r>
      <w:r>
        <w:rPr>
          <w:rFonts w:hint="default" w:ascii="Times New Roman" w:hAnsi="Times New Roman" w:eastAsia="Times New Roman"/>
          <w:color w:val="auto"/>
          <w:sz w:val="24"/>
          <w:u w:val="none"/>
        </w:rPr>
        <w:t>4</w:t>
      </w:r>
      <w:r>
        <w:rPr>
          <w:rFonts w:hint="eastAsia"/>
          <w:color w:val="auto"/>
          <w:sz w:val="24"/>
          <w:u w:val="none"/>
        </w:rPr>
        <w:t>）一旦发生风险事故</w:t>
      </w:r>
    </w:p>
    <w:p>
      <w:pPr>
        <w:pStyle w:val="22"/>
        <w:kinsoku w:val="0"/>
        <w:overflowPunct w:val="0"/>
        <w:spacing w:before="158" w:beforeLines="0" w:afterLines="0" w:line="364" w:lineRule="auto"/>
        <w:ind w:right="269" w:firstLine="480"/>
        <w:jc w:val="both"/>
        <w:rPr>
          <w:rFonts w:hint="eastAsia"/>
          <w:color w:val="auto"/>
          <w:sz w:val="24"/>
          <w:u w:val="none"/>
        </w:rPr>
      </w:pPr>
      <w:r>
        <w:rPr>
          <w:rFonts w:hint="eastAsia"/>
          <w:color w:val="auto"/>
          <w:sz w:val="24"/>
          <w:u w:val="none"/>
        </w:rPr>
        <w:t>建立、完善应急通信系统，在应急工作中确保应急通信畅通，一旦发生风险事故，</w:t>
      </w:r>
      <w:r>
        <w:rPr>
          <w:rFonts w:hint="eastAsia"/>
          <w:color w:val="auto"/>
          <w:spacing w:val="-240"/>
          <w:sz w:val="24"/>
          <w:u w:val="none"/>
        </w:rPr>
        <w:t>在</w:t>
      </w:r>
      <w:r>
        <w:rPr>
          <w:rFonts w:hint="eastAsia"/>
          <w:color w:val="auto"/>
          <w:spacing w:val="-2"/>
          <w:sz w:val="24"/>
          <w:u w:val="none"/>
        </w:rPr>
        <w:t>最短的时间内与厂内应急部门取得联系并启动应急系统，根据事故情况确定疏散下风向</w:t>
      </w:r>
      <w:r>
        <w:rPr>
          <w:rFonts w:hint="eastAsia"/>
          <w:color w:val="auto"/>
          <w:spacing w:val="-7"/>
          <w:sz w:val="24"/>
          <w:u w:val="none"/>
        </w:rPr>
        <w:t>的人群。一旦发生泄漏应及时堵漏并切断一切热源及火种，避免因泄漏带来燃烧爆炸等</w:t>
      </w:r>
      <w:r>
        <w:rPr>
          <w:rFonts w:hint="eastAsia"/>
          <w:color w:val="auto"/>
          <w:spacing w:val="-9"/>
          <w:sz w:val="24"/>
          <w:u w:val="none"/>
        </w:rPr>
        <w:t>安全风险，由于项目周边均为炼油装置，一旦发生燃烧爆炸，冲击波可能导致连环燃烧爆炸等安全事故，燃烧爆炸激发会带来燃烧产物污染环境等环境事故。</w:t>
      </w:r>
    </w:p>
    <w:p>
      <w:pPr>
        <w:pStyle w:val="22"/>
        <w:kinsoku w:val="0"/>
        <w:overflowPunct w:val="0"/>
        <w:spacing w:beforeLines="0" w:afterLines="0" w:line="306" w:lineRule="exact"/>
        <w:ind w:left="716"/>
        <w:rPr>
          <w:rFonts w:hint="eastAsia"/>
          <w:color w:val="auto"/>
          <w:sz w:val="24"/>
          <w:u w:val="none"/>
        </w:rPr>
      </w:pPr>
      <w:r>
        <w:rPr>
          <w:rFonts w:hint="eastAsia"/>
          <w:color w:val="auto"/>
          <w:sz w:val="24"/>
          <w:u w:val="none"/>
        </w:rPr>
        <w:t>本项目风险预案已纳入全厂风险应急预案中。</w:t>
      </w:r>
    </w:p>
    <w:p>
      <w:pPr>
        <w:pStyle w:val="6"/>
        <w:numPr>
          <w:ilvl w:val="1"/>
          <w:numId w:val="0"/>
        </w:numPr>
        <w:spacing w:before="120" w:beforeLines="0" w:after="120" w:afterLines="0"/>
        <w:ind w:leftChars="0"/>
        <w:rPr>
          <w:color w:val="auto"/>
        </w:rPr>
      </w:pPr>
      <w:bookmarkStart w:id="390" w:name="_Toc28557"/>
      <w:r>
        <w:rPr>
          <w:rFonts w:hint="eastAsia"/>
          <w:color w:val="auto"/>
          <w:lang w:val="en-US" w:eastAsia="zh-CN"/>
        </w:rPr>
        <w:t xml:space="preserve">7.10 </w:t>
      </w:r>
      <w:r>
        <w:rPr>
          <w:color w:val="auto"/>
        </w:rPr>
        <w:t>风险评价结论</w:t>
      </w:r>
      <w:bookmarkEnd w:id="390"/>
    </w:p>
    <w:p>
      <w:pPr>
        <w:pStyle w:val="5"/>
        <w:ind w:firstLine="480"/>
        <w:rPr>
          <w:color w:val="auto"/>
        </w:rPr>
      </w:pPr>
      <w:r>
        <w:rPr>
          <w:color w:val="auto"/>
        </w:rPr>
        <w:t>根据以上分析，拟建项目主要的风险事故类型为物料泄漏、火灾、爆炸和消防废水的事故排放。通过建立完善的企业事故防范和应急体系，做好企业联防联动，本项目发生风险事故的几率很小，其影响危害可控制在厂区内，不会区域环境造成</w:t>
      </w:r>
      <w:r>
        <w:rPr>
          <w:rFonts w:hint="eastAsia"/>
          <w:color w:val="auto"/>
        </w:rPr>
        <w:t>无法接受的</w:t>
      </w:r>
      <w:r>
        <w:rPr>
          <w:color w:val="auto"/>
        </w:rPr>
        <w:t>不良的影响，其环境风险水平在可接受水平</w:t>
      </w:r>
      <w:r>
        <w:rPr>
          <w:rFonts w:hint="eastAsia"/>
          <w:color w:val="auto"/>
        </w:rPr>
        <w:t>范围</w:t>
      </w:r>
      <w:r>
        <w:rPr>
          <w:color w:val="auto"/>
        </w:rPr>
        <w:t xml:space="preserve">内。 </w:t>
      </w:r>
    </w:p>
    <w:bookmarkEnd w:id="295"/>
    <w:bookmarkEnd w:id="296"/>
    <w:bookmarkEnd w:id="297"/>
    <w:bookmarkEnd w:id="298"/>
    <w:bookmarkEnd w:id="299"/>
    <w:bookmarkEnd w:id="300"/>
    <w:p>
      <w:pPr>
        <w:spacing w:line="440" w:lineRule="exact"/>
        <w:rPr>
          <w:rFonts w:ascii="Times New Roman" w:hAnsi="Times New Roman" w:cs="Times New Roman"/>
          <w:color w:val="auto"/>
        </w:rPr>
        <w:sectPr>
          <w:headerReference r:id="rId27" w:type="default"/>
          <w:pgSz w:w="11907" w:h="16840"/>
          <w:pgMar w:top="1474" w:right="1531" w:bottom="1418" w:left="1474" w:header="964" w:footer="992" w:gutter="0"/>
          <w:pgNumType w:fmt="decimal"/>
          <w:cols w:space="720" w:num="1"/>
          <w:docGrid w:linePitch="312" w:charSpace="0"/>
        </w:sectPr>
      </w:pPr>
      <w:bookmarkStart w:id="391" w:name="_Toc280188872"/>
    </w:p>
    <w:bookmarkEnd w:id="391"/>
    <w:p>
      <w:pPr>
        <w:pStyle w:val="4"/>
        <w:numPr>
          <w:ilvl w:val="0"/>
          <w:numId w:val="0"/>
        </w:numPr>
        <w:tabs>
          <w:tab w:val="left" w:pos="4212"/>
          <w:tab w:val="clear" w:pos="0"/>
          <w:tab w:val="clear" w:pos="420"/>
          <w:tab w:val="clear" w:pos="3332"/>
        </w:tabs>
        <w:jc w:val="both"/>
        <w:rPr>
          <w:color w:val="auto"/>
        </w:rPr>
      </w:pPr>
      <w:bookmarkStart w:id="392" w:name="_Toc32315"/>
      <w:bookmarkStart w:id="393" w:name="_Toc27447"/>
      <w:bookmarkStart w:id="394" w:name="_Toc182638516"/>
      <w:bookmarkStart w:id="395" w:name="_Toc13590"/>
      <w:bookmarkStart w:id="396" w:name="_Toc181686482"/>
      <w:bookmarkStart w:id="397" w:name="_Toc180808318"/>
      <w:bookmarkStart w:id="398" w:name="_Toc181015500"/>
      <w:bookmarkStart w:id="399" w:name="_Toc213667816"/>
      <w:bookmarkStart w:id="400" w:name="_Toc351971033"/>
      <w:bookmarkStart w:id="401" w:name="_Toc5614"/>
      <w:bookmarkStart w:id="402" w:name="_Toc403223316"/>
      <w:r>
        <w:rPr>
          <w:rFonts w:hint="eastAsia"/>
          <w:color w:val="auto"/>
          <w:lang w:val="en-US" w:eastAsia="zh-CN"/>
        </w:rPr>
        <w:t xml:space="preserve">8. </w:t>
      </w:r>
      <w:r>
        <w:rPr>
          <w:color w:val="auto"/>
        </w:rPr>
        <w:t>环境经济损益分析</w:t>
      </w:r>
      <w:bookmarkEnd w:id="392"/>
    </w:p>
    <w:p>
      <w:pPr>
        <w:pStyle w:val="6"/>
        <w:numPr>
          <w:ilvl w:val="1"/>
          <w:numId w:val="0"/>
        </w:numPr>
        <w:spacing w:before="120" w:after="120"/>
        <w:ind w:leftChars="0"/>
        <w:rPr>
          <w:color w:val="auto"/>
        </w:rPr>
      </w:pPr>
      <w:bookmarkStart w:id="403" w:name="_Toc8383"/>
      <w:r>
        <w:rPr>
          <w:rFonts w:hint="eastAsia"/>
          <w:color w:val="auto"/>
          <w:lang w:val="en-US" w:eastAsia="zh-CN"/>
        </w:rPr>
        <w:t xml:space="preserve">8.1 </w:t>
      </w:r>
      <w:r>
        <w:rPr>
          <w:color w:val="auto"/>
        </w:rPr>
        <w:t>环境影响经济损益分析</w:t>
      </w:r>
      <w:bookmarkEnd w:id="393"/>
      <w:bookmarkEnd w:id="394"/>
      <w:bookmarkEnd w:id="395"/>
      <w:bookmarkEnd w:id="396"/>
      <w:bookmarkEnd w:id="397"/>
      <w:bookmarkEnd w:id="398"/>
      <w:bookmarkEnd w:id="399"/>
      <w:bookmarkEnd w:id="400"/>
      <w:bookmarkEnd w:id="401"/>
      <w:bookmarkEnd w:id="402"/>
      <w:bookmarkEnd w:id="403"/>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0"/>
          <w:lang w:val="zh-CN"/>
        </w:rPr>
        <w:t>环境经济损益分析是项目环境影响评价的一个重要组成部分。其主要任务是衡量建设项目需要投入的环保投资及所能收到的环境保护效果。因此，在环境损益分析中除需要计算用于控制污染所需投资和运行费用外，还要同时核算可能收到的环境与经济实效，甚至还包括项目的社会经济效益，以求对项目环保投资取得的环境保护效果有全面和明确的评价。</w:t>
      </w:r>
    </w:p>
    <w:p>
      <w:pPr>
        <w:pStyle w:val="6"/>
        <w:numPr>
          <w:ilvl w:val="1"/>
          <w:numId w:val="0"/>
        </w:numPr>
        <w:spacing w:before="120" w:after="120"/>
        <w:ind w:leftChars="0"/>
        <w:rPr>
          <w:rFonts w:hint="eastAsia"/>
          <w:color w:val="auto"/>
          <w:lang w:val="zh-CN" w:eastAsia="zh-CN"/>
        </w:rPr>
      </w:pPr>
      <w:bookmarkStart w:id="404" w:name="7.1环保投资估算"/>
      <w:bookmarkEnd w:id="404"/>
      <w:bookmarkStart w:id="405" w:name="_bookmark47"/>
      <w:bookmarkEnd w:id="405"/>
      <w:bookmarkStart w:id="406" w:name="_Toc27513"/>
      <w:r>
        <w:rPr>
          <w:rFonts w:hint="eastAsia"/>
          <w:color w:val="auto"/>
          <w:lang w:val="en-US" w:eastAsia="zh-CN"/>
        </w:rPr>
        <w:t xml:space="preserve">8.2 </w:t>
      </w:r>
      <w:r>
        <w:rPr>
          <w:rFonts w:hint="eastAsia"/>
          <w:color w:val="auto"/>
          <w:lang w:val="zh-CN" w:eastAsia="zh-CN"/>
        </w:rPr>
        <w:t>环保投资估算</w:t>
      </w:r>
      <w:bookmarkEnd w:id="406"/>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4"/>
          <w:lang w:val="zh-CN"/>
        </w:rPr>
        <w:t>本项目用于环境保护方面的投资约</w:t>
      </w:r>
      <w:r>
        <w:rPr>
          <w:rFonts w:hint="eastAsia" w:ascii="Times New Roman" w:hAnsi="Times New Roman"/>
          <w:color w:val="auto"/>
          <w:sz w:val="24"/>
          <w:szCs w:val="24"/>
        </w:rPr>
        <w:t>237.66</w:t>
      </w:r>
      <w:r>
        <w:rPr>
          <w:rFonts w:ascii="Times New Roman" w:hAnsi="Times New Roman" w:cs="Times New Roman"/>
          <w:color w:val="auto"/>
          <w:sz w:val="24"/>
          <w:szCs w:val="24"/>
          <w:lang w:val="zh-CN"/>
        </w:rPr>
        <w:t>万元，占项目总投资的</w:t>
      </w:r>
      <w:r>
        <w:rPr>
          <w:rFonts w:hint="eastAsia" w:ascii="Times New Roman" w:hAnsi="Times New Roman" w:cs="Times New Roman"/>
          <w:color w:val="auto"/>
          <w:sz w:val="24"/>
          <w:szCs w:val="24"/>
          <w:lang w:val="en-US" w:eastAsia="zh-CN"/>
        </w:rPr>
        <w:t>1.5</w:t>
      </w:r>
      <w:r>
        <w:rPr>
          <w:rFonts w:ascii="Times New Roman" w:hAnsi="Times New Roman" w:cs="Times New Roman"/>
          <w:color w:val="auto"/>
          <w:sz w:val="24"/>
          <w:szCs w:val="24"/>
          <w:lang w:val="zh-CN"/>
        </w:rPr>
        <w:t>%，项目环保投资详见下表。</w:t>
      </w:r>
    </w:p>
    <w:p>
      <w:pPr>
        <w:spacing w:line="360" w:lineRule="auto"/>
        <w:ind w:firstLine="480"/>
        <w:jc w:val="center"/>
        <w:rPr>
          <w:rFonts w:ascii="Times New Roman" w:hAnsi="Times New Roman" w:cs="Times New Roman"/>
          <w:color w:val="auto"/>
          <w:sz w:val="24"/>
          <w:szCs w:val="24"/>
          <w:lang w:val="zh-CN"/>
        </w:rPr>
      </w:pPr>
      <w:r>
        <w:rPr>
          <w:rFonts w:ascii="Times New Roman" w:hAnsi="Times New Roman" w:cs="Times New Roman"/>
          <w:b/>
          <w:bCs/>
          <w:color w:val="auto"/>
          <w:sz w:val="24"/>
          <w:szCs w:val="32"/>
          <w:lang w:val="zh-CN"/>
        </w:rPr>
        <w:t xml:space="preserve">表 </w:t>
      </w:r>
      <w:r>
        <w:rPr>
          <w:rFonts w:hint="eastAsia" w:ascii="Times New Roman" w:hAnsi="Times New Roman" w:cs="Times New Roman"/>
          <w:b/>
          <w:bCs/>
          <w:color w:val="auto"/>
          <w:sz w:val="24"/>
          <w:szCs w:val="32"/>
          <w:lang w:val="en-US" w:eastAsia="zh-CN"/>
        </w:rPr>
        <w:t>8</w:t>
      </w:r>
      <w:r>
        <w:rPr>
          <w:rFonts w:ascii="Times New Roman" w:hAnsi="Times New Roman" w:cs="Times New Roman"/>
          <w:b/>
          <w:bCs/>
          <w:color w:val="auto"/>
          <w:sz w:val="24"/>
          <w:szCs w:val="32"/>
          <w:lang w:val="zh-CN"/>
        </w:rPr>
        <w:t>.1-1</w:t>
      </w:r>
      <w:r>
        <w:rPr>
          <w:rFonts w:ascii="Times New Roman" w:hAnsi="Times New Roman" w:cs="Times New Roman"/>
          <w:b/>
          <w:bCs/>
          <w:color w:val="auto"/>
          <w:sz w:val="24"/>
          <w:szCs w:val="32"/>
          <w:lang w:val="zh-CN"/>
        </w:rPr>
        <w:tab/>
      </w:r>
      <w:r>
        <w:rPr>
          <w:rFonts w:ascii="Times New Roman" w:hAnsi="Times New Roman" w:cs="Times New Roman"/>
          <w:b/>
          <w:bCs/>
          <w:color w:val="auto"/>
          <w:sz w:val="24"/>
          <w:szCs w:val="32"/>
          <w:lang w:val="zh-CN"/>
        </w:rPr>
        <w:t>本项目环境保护投资</w:t>
      </w:r>
    </w:p>
    <w:tbl>
      <w:tblPr>
        <w:tblStyle w:val="45"/>
        <w:tblW w:w="9024" w:type="dxa"/>
        <w:tblInd w:w="246"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762"/>
        <w:gridCol w:w="1590"/>
        <w:gridCol w:w="4369"/>
        <w:gridCol w:w="911"/>
        <w:gridCol w:w="1392"/>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90" w:hRule="atLeast"/>
        </w:trPr>
        <w:tc>
          <w:tcPr>
            <w:tcW w:w="762" w:type="dxa"/>
            <w:tcBorders>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类别</w:t>
            </w:r>
          </w:p>
        </w:tc>
        <w:tc>
          <w:tcPr>
            <w:tcW w:w="1590" w:type="dxa"/>
            <w:tcBorders>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污染源</w:t>
            </w:r>
          </w:p>
        </w:tc>
        <w:tc>
          <w:tcPr>
            <w:tcW w:w="4369" w:type="dxa"/>
            <w:tcBorders>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治理措施</w:t>
            </w:r>
          </w:p>
        </w:tc>
        <w:tc>
          <w:tcPr>
            <w:tcW w:w="911" w:type="dxa"/>
            <w:tcBorders>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投资</w:t>
            </w:r>
          </w:p>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（万元）</w:t>
            </w:r>
          </w:p>
        </w:tc>
        <w:tc>
          <w:tcPr>
            <w:tcW w:w="1392" w:type="dxa"/>
            <w:tcBorders>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备注</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762" w:type="dxa"/>
            <w:tcBorders>
              <w:top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p>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废气</w:t>
            </w:r>
          </w:p>
        </w:tc>
        <w:tc>
          <w:tcPr>
            <w:tcW w:w="1590"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无组织废气</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加强设备管道间连接件密闭性能；</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sz w:val="24"/>
                <w:szCs w:val="24"/>
                <w:u w:val="single"/>
                <w:lang w:val="zh-CN" w:eastAsia="zh-CN"/>
              </w:rPr>
            </w:pPr>
            <w:r>
              <w:rPr>
                <w:rFonts w:hint="eastAsia" w:ascii="Times New Roman" w:hAnsi="Times New Roman" w:cs="Times New Roman"/>
                <w:color w:val="auto"/>
                <w:sz w:val="24"/>
                <w:szCs w:val="24"/>
                <w:u w:val="single"/>
                <w:lang w:val="en-US" w:eastAsia="zh-CN"/>
              </w:rPr>
              <w:t>2</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6" w:hRule="atLeast"/>
        </w:trPr>
        <w:tc>
          <w:tcPr>
            <w:tcW w:w="762" w:type="dxa"/>
            <w:vMerge w:val="restart"/>
            <w:tcBorders>
              <w:top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p>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废水</w:t>
            </w:r>
          </w:p>
        </w:tc>
        <w:tc>
          <w:tcPr>
            <w:tcW w:w="1590"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rFonts w:hint="eastAsia" w:eastAsia="宋体"/>
                <w:color w:val="auto"/>
                <w:sz w:val="24"/>
                <w:szCs w:val="24"/>
                <w:u w:val="single"/>
                <w:lang w:val="zh-CN" w:eastAsia="zh-CN"/>
              </w:rPr>
            </w:pPr>
            <w:r>
              <w:rPr>
                <w:rFonts w:hint="eastAsia"/>
                <w:color w:val="auto"/>
                <w:u w:val="single"/>
              </w:rPr>
              <w:t>地面清洗水</w:t>
            </w:r>
            <w:r>
              <w:rPr>
                <w:rFonts w:hint="eastAsia" w:eastAsia="宋体"/>
                <w:color w:val="auto"/>
                <w:u w:val="single"/>
                <w:lang w:eastAsia="zh-CN"/>
              </w:rPr>
              <w:t>及初期雨水</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清污分流；废水排入厂区污水管网，依托现有污水处理场处理</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p>
          <w:p>
            <w:pPr>
              <w:jc w:val="center"/>
              <w:rPr>
                <w:rFonts w:hint="eastAsia" w:ascii="Times New Roman" w:hAnsi="Times New Roman" w:eastAsia="宋体" w:cs="Times New Roman"/>
                <w:color w:val="auto"/>
                <w:sz w:val="24"/>
                <w:szCs w:val="24"/>
                <w:u w:val="single"/>
                <w:lang w:val="zh-CN" w:eastAsia="zh-CN"/>
              </w:rPr>
            </w:pPr>
            <w:r>
              <w:rPr>
                <w:rFonts w:hint="eastAsia" w:ascii="Times New Roman" w:hAnsi="Times New Roman" w:cs="Times New Roman"/>
                <w:color w:val="auto"/>
                <w:sz w:val="24"/>
                <w:szCs w:val="24"/>
                <w:u w:val="single"/>
                <w:lang w:val="en-US" w:eastAsia="zh-CN"/>
              </w:rPr>
              <w:t>2</w:t>
            </w:r>
          </w:p>
        </w:tc>
        <w:tc>
          <w:tcPr>
            <w:tcW w:w="1392" w:type="dxa"/>
            <w:vMerge w:val="restart"/>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p>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污水管网</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762" w:type="dxa"/>
            <w:vMerge w:val="continue"/>
            <w:tcBorders>
              <w:top w:val="nil"/>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p>
        </w:tc>
        <w:tc>
          <w:tcPr>
            <w:tcW w:w="1590" w:type="dxa"/>
            <w:tcBorders>
              <w:top w:val="single" w:color="000000" w:sz="4" w:space="0"/>
              <w:left w:val="single" w:color="000000" w:sz="4" w:space="0"/>
              <w:bottom w:val="single" w:color="000000" w:sz="4" w:space="0"/>
              <w:right w:val="single" w:color="000000" w:sz="4" w:space="0"/>
            </w:tcBorders>
            <w:vAlign w:val="center"/>
          </w:tcPr>
          <w:p>
            <w:pPr>
              <w:pStyle w:val="247"/>
              <w:spacing w:before="66"/>
              <w:ind w:left="140" w:right="114"/>
              <w:rPr>
                <w:color w:val="auto"/>
                <w:sz w:val="24"/>
                <w:szCs w:val="24"/>
                <w:u w:val="single"/>
                <w:lang w:val="zh-CN"/>
              </w:rPr>
            </w:pPr>
            <w:r>
              <w:rPr>
                <w:rFonts w:hint="eastAsia"/>
                <w:color w:val="auto"/>
                <w:u w:val="single"/>
              </w:rPr>
              <w:t>液化气站吸收罐含氨废水</w:t>
            </w:r>
          </w:p>
        </w:tc>
        <w:tc>
          <w:tcPr>
            <w:tcW w:w="4369" w:type="dxa"/>
            <w:tcBorders>
              <w:top w:val="nil"/>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hint="eastAsia" w:ascii="Times New Roman" w:hAnsi="Times New Roman" w:cs="Times New Roman"/>
                <w:color w:val="auto"/>
                <w:sz w:val="24"/>
                <w:szCs w:val="24"/>
                <w:u w:val="single"/>
                <w:lang w:val="zh-CN"/>
              </w:rPr>
              <w:t>送至公司炼油二部非加氢污水汽提装置处理</w:t>
            </w:r>
          </w:p>
        </w:tc>
        <w:tc>
          <w:tcPr>
            <w:tcW w:w="911" w:type="dxa"/>
            <w:tcBorders>
              <w:top w:val="nil"/>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color w:val="auto"/>
                <w:sz w:val="24"/>
                <w:szCs w:val="24"/>
                <w:u w:val="single"/>
                <w:lang w:val="en-US" w:eastAsia="zh-CN"/>
              </w:rPr>
            </w:pPr>
            <w:r>
              <w:rPr>
                <w:rFonts w:hint="eastAsia" w:ascii="Times New Roman" w:hAnsi="Times New Roman" w:cs="Times New Roman"/>
                <w:color w:val="auto"/>
                <w:sz w:val="24"/>
                <w:szCs w:val="24"/>
                <w:u w:val="single"/>
                <w:lang w:val="en-US" w:eastAsia="zh-CN"/>
              </w:rPr>
              <w:t>20</w:t>
            </w:r>
          </w:p>
        </w:tc>
        <w:tc>
          <w:tcPr>
            <w:tcW w:w="1392" w:type="dxa"/>
            <w:vMerge w:val="continue"/>
            <w:tcBorders>
              <w:top w:val="nil"/>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545" w:hRule="atLeast"/>
        </w:trPr>
        <w:tc>
          <w:tcPr>
            <w:tcW w:w="762" w:type="dxa"/>
            <w:tcBorders>
              <w:top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p>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固体废物</w:t>
            </w:r>
          </w:p>
        </w:tc>
        <w:tc>
          <w:tcPr>
            <w:tcW w:w="1590"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危险固废</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暂存后外委有资质单位处理，依托现有危废</w:t>
            </w:r>
            <w:r>
              <w:rPr>
                <w:rFonts w:hint="eastAsia" w:ascii="Times New Roman" w:hAnsi="Times New Roman" w:cs="Times New Roman"/>
                <w:color w:val="auto"/>
                <w:sz w:val="24"/>
                <w:szCs w:val="24"/>
                <w:u w:val="single"/>
                <w:lang w:val="zh-CN"/>
              </w:rPr>
              <w:t>暂存库</w:t>
            </w:r>
            <w:r>
              <w:rPr>
                <w:rFonts w:ascii="Times New Roman" w:hAnsi="Times New Roman" w:cs="Times New Roman"/>
                <w:color w:val="auto"/>
                <w:sz w:val="24"/>
                <w:szCs w:val="24"/>
                <w:u w:val="single"/>
                <w:lang w:val="zh-CN"/>
              </w:rPr>
              <w:t>暂存</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sz w:val="24"/>
                <w:szCs w:val="24"/>
                <w:u w:val="single"/>
                <w:lang w:val="zh-CN" w:eastAsia="zh-CN"/>
              </w:rPr>
            </w:pPr>
            <w:r>
              <w:rPr>
                <w:rFonts w:hint="eastAsia" w:ascii="Times New Roman" w:hAnsi="Times New Roman" w:cs="Times New Roman"/>
                <w:color w:val="auto"/>
                <w:sz w:val="24"/>
                <w:szCs w:val="24"/>
                <w:u w:val="single"/>
                <w:lang w:val="en-US" w:eastAsia="zh-CN"/>
              </w:rPr>
              <w:t>2</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762" w:type="dxa"/>
            <w:tcBorders>
              <w:top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噪声</w:t>
            </w:r>
          </w:p>
        </w:tc>
        <w:tc>
          <w:tcPr>
            <w:tcW w:w="1590"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噪声</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隔声、减振、消声</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2</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6" w:hRule="atLeast"/>
        </w:trPr>
        <w:tc>
          <w:tcPr>
            <w:tcW w:w="2352" w:type="dxa"/>
            <w:gridSpan w:val="2"/>
            <w:tcBorders>
              <w:top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地下水</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hint="eastAsia" w:ascii="Times New Roman" w:hAnsi="Times New Roman" w:cs="Times New Roman"/>
                <w:color w:val="auto"/>
                <w:sz w:val="24"/>
                <w:szCs w:val="24"/>
                <w:u w:val="single"/>
                <w:lang w:val="zh-CN"/>
              </w:rPr>
              <w:t>泵</w:t>
            </w:r>
            <w:r>
              <w:rPr>
                <w:rFonts w:ascii="Times New Roman" w:hAnsi="Times New Roman" w:cs="Times New Roman"/>
                <w:color w:val="auto"/>
                <w:sz w:val="24"/>
                <w:szCs w:val="24"/>
                <w:u w:val="single"/>
                <w:lang w:val="zh-CN"/>
              </w:rPr>
              <w:t>区</w:t>
            </w:r>
            <w:r>
              <w:rPr>
                <w:rFonts w:hint="eastAsia" w:ascii="Times New Roman" w:hAnsi="Times New Roman" w:cs="Times New Roman"/>
                <w:color w:val="auto"/>
                <w:sz w:val="24"/>
                <w:szCs w:val="24"/>
                <w:u w:val="single"/>
                <w:lang w:val="zh-CN"/>
              </w:rPr>
              <w:t>及管墩</w:t>
            </w:r>
            <w:r>
              <w:rPr>
                <w:rFonts w:ascii="Times New Roman" w:hAnsi="Times New Roman" w:cs="Times New Roman"/>
                <w:color w:val="auto"/>
                <w:sz w:val="24"/>
                <w:szCs w:val="24"/>
                <w:u w:val="single"/>
                <w:lang w:val="zh-CN"/>
              </w:rPr>
              <w:t>地面进行防渗处理</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sz w:val="24"/>
                <w:szCs w:val="24"/>
                <w:u w:val="single"/>
                <w:lang w:val="zh-CN" w:eastAsia="zh-CN"/>
              </w:rPr>
            </w:pPr>
            <w:r>
              <w:rPr>
                <w:rFonts w:hint="eastAsia" w:ascii="Times New Roman" w:hAnsi="Times New Roman" w:cs="Times New Roman"/>
                <w:color w:val="auto"/>
                <w:sz w:val="24"/>
                <w:szCs w:val="24"/>
                <w:u w:val="single"/>
                <w:lang w:val="en-US" w:eastAsia="zh-CN"/>
              </w:rPr>
              <w:t>2</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817" w:hRule="atLeast"/>
        </w:trPr>
        <w:tc>
          <w:tcPr>
            <w:tcW w:w="2352" w:type="dxa"/>
            <w:gridSpan w:val="2"/>
            <w:tcBorders>
              <w:top w:val="single" w:color="000000" w:sz="4" w:space="0"/>
              <w:bottom w:val="single" w:color="000000" w:sz="4" w:space="0"/>
              <w:right w:val="single" w:color="000000" w:sz="4" w:space="0"/>
            </w:tcBorders>
            <w:vAlign w:val="center"/>
          </w:tcPr>
          <w:p>
            <w:pPr>
              <w:ind w:firstLine="480"/>
              <w:jc w:val="center"/>
              <w:rPr>
                <w:rFonts w:ascii="Times New Roman" w:hAnsi="Times New Roman" w:cs="Times New Roman"/>
                <w:color w:val="auto"/>
                <w:sz w:val="24"/>
                <w:szCs w:val="24"/>
                <w:u w:val="single"/>
                <w:lang w:val="zh-CN"/>
              </w:rPr>
            </w:pPr>
          </w:p>
          <w:p>
            <w:pPr>
              <w:ind w:firstLine="480"/>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风险</w:t>
            </w:r>
          </w:p>
        </w:tc>
        <w:tc>
          <w:tcPr>
            <w:tcW w:w="4369"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hint="eastAsia" w:ascii="Times New Roman" w:hAnsi="Times New Roman" w:cs="Times New Roman"/>
                <w:color w:val="auto"/>
                <w:sz w:val="24"/>
                <w:szCs w:val="24"/>
                <w:u w:val="single"/>
                <w:lang w:val="zh-CN"/>
              </w:rPr>
              <w:t>泵区及管墩</w:t>
            </w:r>
            <w:r>
              <w:rPr>
                <w:rFonts w:ascii="Times New Roman" w:hAnsi="Times New Roman" w:cs="Times New Roman"/>
                <w:color w:val="auto"/>
                <w:sz w:val="24"/>
                <w:szCs w:val="24"/>
                <w:u w:val="single"/>
                <w:lang w:val="zh-CN"/>
              </w:rPr>
              <w:t>设导流沟等确保发生事故时泄漏物料可进入公司事故池，项目风险管理等纳入全厂风险应急管理系统</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3</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2352" w:type="dxa"/>
            <w:gridSpan w:val="2"/>
            <w:tcBorders>
              <w:top w:val="single" w:color="000000" w:sz="4" w:space="0"/>
              <w:bottom w:val="single" w:color="000000" w:sz="4" w:space="0"/>
              <w:right w:val="single" w:color="000000" w:sz="4" w:space="0"/>
            </w:tcBorders>
            <w:vAlign w:val="center"/>
          </w:tcPr>
          <w:p>
            <w:pPr>
              <w:ind w:firstLine="480"/>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环境管理及监测</w:t>
            </w:r>
          </w:p>
        </w:tc>
        <w:tc>
          <w:tcPr>
            <w:tcW w:w="4369" w:type="dxa"/>
            <w:tcBorders>
              <w:top w:val="single" w:color="000000" w:sz="4" w:space="0"/>
              <w:left w:val="single" w:color="000000" w:sz="4" w:space="0"/>
              <w:bottom w:val="single" w:color="000000" w:sz="4" w:space="0"/>
              <w:right w:val="single" w:color="000000" w:sz="4" w:space="0"/>
            </w:tcBorders>
            <w:vAlign w:val="center"/>
          </w:tcPr>
          <w:p>
            <w:pPr>
              <w:ind w:firstLine="480"/>
              <w:jc w:val="center"/>
              <w:rPr>
                <w:rFonts w:ascii="Times New Roman" w:hAnsi="Times New Roman" w:cs="Times New Roman"/>
                <w:color w:val="auto"/>
                <w:sz w:val="24"/>
                <w:szCs w:val="24"/>
                <w:u w:val="single"/>
                <w:lang w:val="zh-CN"/>
              </w:rPr>
            </w:pPr>
            <w:r>
              <w:rPr>
                <w:rFonts w:hint="eastAsia" w:ascii="Times New Roman" w:hAnsi="Times New Roman" w:cs="Times New Roman"/>
                <w:color w:val="auto"/>
                <w:sz w:val="24"/>
                <w:szCs w:val="24"/>
                <w:u w:val="single"/>
                <w:lang w:val="zh-CN"/>
              </w:rPr>
              <w:t>大气、</w:t>
            </w:r>
            <w:r>
              <w:rPr>
                <w:rFonts w:ascii="Times New Roman" w:hAnsi="Times New Roman" w:cs="Times New Roman"/>
                <w:color w:val="auto"/>
                <w:sz w:val="24"/>
                <w:szCs w:val="24"/>
                <w:u w:val="single"/>
                <w:lang w:val="zh-CN"/>
              </w:rPr>
              <w:t>废水等各项污染物的监测</w:t>
            </w:r>
          </w:p>
        </w:tc>
        <w:tc>
          <w:tcPr>
            <w:tcW w:w="91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sz w:val="24"/>
                <w:szCs w:val="24"/>
                <w:u w:val="single"/>
                <w:lang w:val="zh-CN" w:eastAsia="zh-CN"/>
              </w:rPr>
            </w:pPr>
            <w:r>
              <w:rPr>
                <w:rFonts w:hint="eastAsia" w:ascii="Times New Roman" w:hAnsi="Times New Roman" w:cs="Times New Roman"/>
                <w:color w:val="auto"/>
                <w:sz w:val="24"/>
                <w:szCs w:val="24"/>
                <w:u w:val="single"/>
                <w:lang w:val="en-US" w:eastAsia="zh-CN"/>
              </w:rPr>
              <w:t>2</w:t>
            </w:r>
          </w:p>
        </w:tc>
        <w:tc>
          <w:tcPr>
            <w:tcW w:w="1392" w:type="dxa"/>
            <w:tcBorders>
              <w:top w:val="single" w:color="000000" w:sz="4" w:space="0"/>
              <w:left w:val="single" w:color="000000" w:sz="4" w:space="0"/>
              <w:bottom w:val="single" w:color="000000" w:sz="4" w:space="0"/>
            </w:tcBorders>
            <w:vAlign w:val="center"/>
          </w:tcPr>
          <w:p>
            <w:pPr>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6" w:hRule="atLeast"/>
        </w:trPr>
        <w:tc>
          <w:tcPr>
            <w:tcW w:w="6721" w:type="dxa"/>
            <w:gridSpan w:val="3"/>
            <w:tcBorders>
              <w:top w:val="single" w:color="000000" w:sz="4" w:space="0"/>
              <w:right w:val="single" w:color="000000" w:sz="4" w:space="0"/>
            </w:tcBorders>
            <w:vAlign w:val="center"/>
          </w:tcPr>
          <w:p>
            <w:pPr>
              <w:ind w:firstLine="480"/>
              <w:jc w:val="center"/>
              <w:rPr>
                <w:rFonts w:ascii="Times New Roman" w:hAnsi="Times New Roman" w:cs="Times New Roman"/>
                <w:color w:val="auto"/>
                <w:sz w:val="24"/>
                <w:szCs w:val="24"/>
                <w:u w:val="single"/>
                <w:lang w:val="zh-CN"/>
              </w:rPr>
            </w:pPr>
            <w:r>
              <w:rPr>
                <w:rFonts w:ascii="Times New Roman" w:hAnsi="Times New Roman" w:cs="Times New Roman"/>
                <w:color w:val="auto"/>
                <w:sz w:val="24"/>
                <w:szCs w:val="24"/>
                <w:u w:val="single"/>
                <w:lang w:val="zh-CN"/>
              </w:rPr>
              <w:t>合计</w:t>
            </w:r>
          </w:p>
        </w:tc>
        <w:tc>
          <w:tcPr>
            <w:tcW w:w="911" w:type="dxa"/>
            <w:tcBorders>
              <w:top w:val="single" w:color="000000" w:sz="4" w:space="0"/>
              <w:left w:val="single" w:color="000000" w:sz="4" w:space="0"/>
              <w:right w:val="single" w:color="000000" w:sz="4" w:space="0"/>
            </w:tcBorders>
            <w:vAlign w:val="center"/>
          </w:tcPr>
          <w:p>
            <w:pPr>
              <w:jc w:val="center"/>
              <w:rPr>
                <w:rFonts w:ascii="Times New Roman" w:hAnsi="Times New Roman" w:cs="Times New Roman"/>
                <w:color w:val="auto"/>
                <w:sz w:val="24"/>
                <w:szCs w:val="24"/>
                <w:u w:val="single"/>
                <w:lang w:val="zh-CN"/>
              </w:rPr>
            </w:pPr>
            <w:r>
              <w:rPr>
                <w:rFonts w:hint="eastAsia" w:ascii="Times New Roman" w:hAnsi="Times New Roman" w:cs="Times New Roman"/>
                <w:color w:val="auto"/>
                <w:sz w:val="24"/>
                <w:szCs w:val="24"/>
                <w:u w:val="single"/>
                <w:lang w:val="en-US" w:eastAsia="zh-CN"/>
              </w:rPr>
              <w:t>3</w:t>
            </w:r>
            <w:r>
              <w:rPr>
                <w:rFonts w:ascii="Times New Roman" w:hAnsi="Times New Roman" w:cs="Times New Roman"/>
                <w:color w:val="auto"/>
                <w:sz w:val="24"/>
                <w:szCs w:val="24"/>
                <w:u w:val="single"/>
                <w:lang w:val="zh-CN"/>
              </w:rPr>
              <w:t>5</w:t>
            </w:r>
          </w:p>
        </w:tc>
        <w:tc>
          <w:tcPr>
            <w:tcW w:w="1392" w:type="dxa"/>
            <w:tcBorders>
              <w:top w:val="single" w:color="000000" w:sz="4" w:space="0"/>
              <w:left w:val="single" w:color="000000" w:sz="4" w:space="0"/>
            </w:tcBorders>
            <w:vAlign w:val="center"/>
          </w:tcPr>
          <w:p>
            <w:pPr>
              <w:ind w:firstLine="480"/>
              <w:jc w:val="center"/>
              <w:rPr>
                <w:rFonts w:ascii="Times New Roman" w:hAnsi="Times New Roman" w:cs="Times New Roman"/>
                <w:color w:val="auto"/>
                <w:sz w:val="24"/>
                <w:szCs w:val="24"/>
                <w:u w:val="single"/>
                <w:lang w:val="zh-CN"/>
              </w:rPr>
            </w:pPr>
          </w:p>
        </w:tc>
      </w:tr>
    </w:tbl>
    <w:p>
      <w:pPr>
        <w:pStyle w:val="6"/>
        <w:numPr>
          <w:ilvl w:val="1"/>
          <w:numId w:val="0"/>
        </w:numPr>
        <w:spacing w:before="120" w:after="120"/>
        <w:ind w:leftChars="0"/>
        <w:rPr>
          <w:rFonts w:hint="eastAsia"/>
          <w:color w:val="auto"/>
          <w:lang w:val="zh-CN" w:eastAsia="zh-CN"/>
        </w:rPr>
      </w:pPr>
      <w:bookmarkStart w:id="407" w:name="7.2环境保护效益分析"/>
      <w:bookmarkEnd w:id="407"/>
      <w:bookmarkStart w:id="408" w:name="_bookmark48"/>
      <w:bookmarkEnd w:id="408"/>
      <w:bookmarkStart w:id="409" w:name="_Toc23215"/>
      <w:r>
        <w:rPr>
          <w:rFonts w:hint="eastAsia"/>
          <w:color w:val="auto"/>
          <w:lang w:val="en-US" w:eastAsia="zh-CN"/>
        </w:rPr>
        <w:t>8.3</w:t>
      </w:r>
      <w:r>
        <w:rPr>
          <w:rFonts w:hint="eastAsia"/>
          <w:color w:val="auto"/>
          <w:lang w:val="zh-CN" w:eastAsia="zh-CN"/>
        </w:rPr>
        <w:t>环境保护效益分析</w:t>
      </w:r>
      <w:bookmarkEnd w:id="409"/>
    </w:p>
    <w:p>
      <w:pPr>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lang w:val="zh-CN"/>
        </w:rPr>
        <w:t>拟建项目采用一系列环保措施后，各项废</w:t>
      </w:r>
      <w:r>
        <w:rPr>
          <w:rFonts w:hint="eastAsia" w:ascii="Times New Roman" w:hAnsi="Times New Roman" w:cs="Times New Roman"/>
          <w:color w:val="auto"/>
          <w:sz w:val="24"/>
          <w:szCs w:val="24"/>
        </w:rPr>
        <w:t>水</w:t>
      </w:r>
      <w:r>
        <w:rPr>
          <w:rFonts w:ascii="Times New Roman" w:hAnsi="Times New Roman" w:cs="Times New Roman"/>
          <w:color w:val="auto"/>
          <w:sz w:val="24"/>
          <w:szCs w:val="24"/>
          <w:lang w:val="zh-CN"/>
        </w:rPr>
        <w:t>经处理后排放，削减了污染物的排放，有效减轻了因拟建项目建设而带来的大气污染负荷。废水和噪声经治理后实现达标排</w:t>
      </w:r>
      <w:r>
        <w:rPr>
          <w:rFonts w:hint="eastAsia" w:ascii="Times New Roman" w:hAnsi="Times New Roman" w:cs="Times New Roman"/>
          <w:color w:val="auto"/>
          <w:sz w:val="24"/>
          <w:szCs w:val="24"/>
        </w:rPr>
        <w:t>放，</w:t>
      </w:r>
      <w:r>
        <w:rPr>
          <w:rFonts w:ascii="Times New Roman" w:hAnsi="Times New Roman" w:cs="Times New Roman"/>
          <w:color w:val="auto"/>
          <w:sz w:val="24"/>
          <w:szCs w:val="24"/>
          <w:lang w:val="zh-CN"/>
        </w:rPr>
        <w:t>危险废</w:t>
      </w:r>
      <w:r>
        <w:rPr>
          <w:rFonts w:hint="eastAsia" w:ascii="Times New Roman" w:hAnsi="Times New Roman" w:cs="Times New Roman"/>
          <w:color w:val="auto"/>
          <w:sz w:val="24"/>
          <w:szCs w:val="24"/>
        </w:rPr>
        <w:t>物全部转运有危废处置资质的单位，得以妥善处理，维持了厂区周围的现有环境质量，避免了因项目建设带来的环境破坏。</w:t>
      </w:r>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4"/>
          <w:lang w:val="zh-CN"/>
        </w:rPr>
        <w:t>本项目采用成熟稳定、实用可靠的工艺流程和设备。本项目仅有无组织废气产生，主要可能在装置管道和法兰等处发生泄漏，会有极少量的氨排放到大气中，通过采用泄漏及检测措施，及时发现和整改，确保无组织排放氨气达标；废水经厂区污水处理厂处理后达标排放；所有产生噪声的设备均采用隔声、消声及减振措施，减少噪声对职工和外环境的影响，危险固废送有资质单位处理。通过对工程污染控制措施的技术分析，说明工程所采用的环保措施是可行的，运行可靠，可减少本项目污染物的排放。</w:t>
      </w:r>
    </w:p>
    <w:p>
      <w:pPr>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lang w:val="zh-CN"/>
        </w:rPr>
        <w:t>本项目作为</w:t>
      </w:r>
      <w:r>
        <w:rPr>
          <w:rFonts w:hint="eastAsia" w:ascii="Times New Roman" w:hAnsi="Times New Roman" w:cs="Times New Roman"/>
          <w:color w:val="auto"/>
          <w:sz w:val="24"/>
          <w:szCs w:val="24"/>
          <w:lang w:val="zh-CN"/>
        </w:rPr>
        <w:t>安全隐患</w:t>
      </w:r>
      <w:r>
        <w:rPr>
          <w:rFonts w:hint="eastAsia" w:ascii="Times New Roman" w:hAnsi="Times New Roman" w:cs="Times New Roman"/>
          <w:color w:val="auto"/>
          <w:sz w:val="24"/>
          <w:szCs w:val="24"/>
        </w:rPr>
        <w:t>整治</w:t>
      </w:r>
      <w:r>
        <w:rPr>
          <w:rFonts w:ascii="Times New Roman" w:hAnsi="Times New Roman" w:cs="Times New Roman"/>
          <w:color w:val="auto"/>
          <w:sz w:val="24"/>
          <w:szCs w:val="24"/>
          <w:lang w:val="zh-CN"/>
        </w:rPr>
        <w:t>型项目</w:t>
      </w:r>
      <w:r>
        <w:rPr>
          <w:rFonts w:hint="eastAsia" w:ascii="Times New Roman" w:hAnsi="Times New Roman" w:cs="Times New Roman"/>
          <w:color w:val="auto"/>
          <w:sz w:val="24"/>
          <w:szCs w:val="24"/>
          <w:lang w:val="zh-CN"/>
        </w:rPr>
        <w:t>，主要实现的是安全效益</w:t>
      </w:r>
      <w:r>
        <w:rPr>
          <w:rFonts w:ascii="Times New Roman" w:hAnsi="Times New Roman" w:cs="Times New Roman"/>
          <w:color w:val="auto"/>
          <w:sz w:val="24"/>
          <w:szCs w:val="24"/>
          <w:lang w:val="zh-CN"/>
        </w:rPr>
        <w:t>。</w:t>
      </w:r>
    </w:p>
    <w:p>
      <w:pPr>
        <w:pStyle w:val="6"/>
        <w:numPr>
          <w:ilvl w:val="1"/>
          <w:numId w:val="0"/>
        </w:numPr>
        <w:spacing w:before="120" w:after="120"/>
        <w:ind w:leftChars="0"/>
        <w:rPr>
          <w:rFonts w:hint="eastAsia"/>
          <w:color w:val="auto"/>
          <w:lang w:val="zh-CN" w:eastAsia="zh-CN"/>
        </w:rPr>
      </w:pPr>
      <w:bookmarkStart w:id="410" w:name="_Toc11341"/>
      <w:r>
        <w:rPr>
          <w:rFonts w:hint="eastAsia"/>
          <w:color w:val="auto"/>
          <w:lang w:val="en-US" w:eastAsia="zh-CN"/>
        </w:rPr>
        <w:t>8.4</w:t>
      </w:r>
      <w:r>
        <w:rPr>
          <w:rFonts w:hint="eastAsia"/>
          <w:color w:val="auto"/>
          <w:lang w:val="zh-CN" w:eastAsia="zh-CN"/>
        </w:rPr>
        <w:t>工程经济效益与社会效益分析</w:t>
      </w:r>
      <w:bookmarkEnd w:id="410"/>
    </w:p>
    <w:p>
      <w:pPr>
        <w:spacing w:line="360" w:lineRule="auto"/>
        <w:ind w:firstLine="480"/>
        <w:rPr>
          <w:color w:val="auto"/>
          <w:sz w:val="24"/>
          <w:lang w:val="zh-CN"/>
        </w:rPr>
      </w:pPr>
      <w:r>
        <w:rPr>
          <w:color w:val="auto"/>
          <w:sz w:val="24"/>
          <w:lang w:val="zh-CN"/>
        </w:rPr>
        <w:t>本项目的实施将产生良好的社会效益，分析如下：</w:t>
      </w:r>
    </w:p>
    <w:p>
      <w:pPr>
        <w:spacing w:line="360" w:lineRule="auto"/>
        <w:ind w:firstLine="480"/>
        <w:rPr>
          <w:color w:val="auto"/>
          <w:sz w:val="24"/>
          <w:lang w:val="zh-CN"/>
        </w:rPr>
      </w:pPr>
      <w:r>
        <w:rPr>
          <w:color w:val="auto"/>
          <w:sz w:val="24"/>
          <w:lang w:val="zh-CN"/>
        </w:rPr>
        <w:t>（1）促进地方经济的发展；</w:t>
      </w:r>
    </w:p>
    <w:p>
      <w:pPr>
        <w:spacing w:line="360" w:lineRule="auto"/>
        <w:ind w:firstLine="480"/>
        <w:rPr>
          <w:color w:val="auto"/>
          <w:sz w:val="24"/>
          <w:lang w:val="zh-CN"/>
        </w:rPr>
      </w:pPr>
      <w:r>
        <w:rPr>
          <w:color w:val="auto"/>
          <w:sz w:val="24"/>
          <w:lang w:val="zh-CN"/>
        </w:rPr>
        <w:t>（2）完善产业配套，实现</w:t>
      </w:r>
      <w:r>
        <w:rPr>
          <w:rFonts w:hint="eastAsia"/>
          <w:color w:val="auto"/>
          <w:sz w:val="24"/>
        </w:rPr>
        <w:t>安全生产，</w:t>
      </w:r>
      <w:r>
        <w:rPr>
          <w:color w:val="auto"/>
          <w:sz w:val="24"/>
          <w:lang w:val="zh-CN"/>
        </w:rPr>
        <w:t>提高企业的经济效益；</w:t>
      </w:r>
    </w:p>
    <w:p>
      <w:pPr>
        <w:spacing w:line="360" w:lineRule="auto"/>
        <w:ind w:firstLine="480"/>
        <w:rPr>
          <w:color w:val="auto"/>
          <w:sz w:val="24"/>
          <w:lang w:val="zh-CN"/>
        </w:rPr>
      </w:pPr>
      <w:r>
        <w:rPr>
          <w:color w:val="auto"/>
          <w:sz w:val="24"/>
          <w:lang w:val="zh-CN"/>
        </w:rPr>
        <w:t>（3）合理利用周边现有资源</w:t>
      </w:r>
      <w:r>
        <w:rPr>
          <w:rFonts w:hint="eastAsia"/>
          <w:color w:val="auto"/>
          <w:sz w:val="24"/>
          <w:lang w:val="zh-CN"/>
        </w:rPr>
        <w:t>。</w:t>
      </w:r>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4"/>
          <w:lang w:val="zh-CN"/>
        </w:rPr>
        <w:t>综上所述，本项目具有良好的社会效益和</w:t>
      </w:r>
      <w:r>
        <w:rPr>
          <w:rFonts w:hint="eastAsia" w:ascii="Times New Roman" w:hAnsi="Times New Roman" w:cs="Times New Roman"/>
          <w:color w:val="auto"/>
          <w:sz w:val="24"/>
          <w:szCs w:val="24"/>
          <w:lang w:val="zh-CN"/>
        </w:rPr>
        <w:t>安全环境</w:t>
      </w:r>
      <w:r>
        <w:rPr>
          <w:rFonts w:ascii="Times New Roman" w:hAnsi="Times New Roman" w:cs="Times New Roman"/>
          <w:color w:val="auto"/>
          <w:sz w:val="24"/>
          <w:szCs w:val="24"/>
          <w:lang w:val="zh-CN"/>
        </w:rPr>
        <w:t>效益，促进社会、经济和</w:t>
      </w:r>
      <w:r>
        <w:rPr>
          <w:rFonts w:hint="eastAsia" w:ascii="Times New Roman" w:hAnsi="Times New Roman" w:cs="Times New Roman"/>
          <w:color w:val="auto"/>
          <w:sz w:val="24"/>
          <w:szCs w:val="24"/>
          <w:lang w:val="zh-CN"/>
        </w:rPr>
        <w:t>安全</w:t>
      </w:r>
      <w:r>
        <w:rPr>
          <w:rFonts w:ascii="Times New Roman" w:hAnsi="Times New Roman" w:cs="Times New Roman"/>
          <w:color w:val="auto"/>
          <w:sz w:val="24"/>
          <w:szCs w:val="24"/>
          <w:lang w:val="zh-CN"/>
        </w:rPr>
        <w:t>环境的协</w:t>
      </w:r>
      <w:r>
        <w:rPr>
          <w:rFonts w:hint="eastAsia" w:ascii="Times New Roman" w:hAnsi="Times New Roman" w:cs="Times New Roman"/>
          <w:color w:val="auto"/>
          <w:sz w:val="24"/>
          <w:szCs w:val="24"/>
          <w:lang w:val="zh-CN"/>
        </w:rPr>
        <w:t>调</w:t>
      </w:r>
      <w:r>
        <w:rPr>
          <w:rFonts w:ascii="Times New Roman" w:hAnsi="Times New Roman" w:cs="Times New Roman"/>
          <w:color w:val="auto"/>
          <w:sz w:val="24"/>
          <w:szCs w:val="24"/>
          <w:lang w:val="zh-CN"/>
        </w:rPr>
        <w:t>发展。</w:t>
      </w:r>
    </w:p>
    <w:p>
      <w:pPr>
        <w:pStyle w:val="6"/>
        <w:numPr>
          <w:ilvl w:val="1"/>
          <w:numId w:val="0"/>
        </w:numPr>
        <w:spacing w:before="120" w:after="120"/>
        <w:ind w:leftChars="0"/>
        <w:rPr>
          <w:rFonts w:hint="eastAsia"/>
          <w:color w:val="auto"/>
          <w:lang w:val="zh-CN" w:eastAsia="zh-CN"/>
        </w:rPr>
      </w:pPr>
      <w:bookmarkStart w:id="411" w:name="_Toc29021"/>
      <w:r>
        <w:rPr>
          <w:rFonts w:hint="eastAsia"/>
          <w:color w:val="auto"/>
          <w:lang w:val="en-US" w:eastAsia="zh-CN"/>
        </w:rPr>
        <w:t>8.5</w:t>
      </w:r>
      <w:r>
        <w:rPr>
          <w:rFonts w:hint="eastAsia"/>
          <w:color w:val="auto"/>
          <w:lang w:val="zh-CN" w:eastAsia="zh-CN"/>
        </w:rPr>
        <w:t>环境经济损益分析小结</w:t>
      </w:r>
      <w:bookmarkEnd w:id="411"/>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4"/>
          <w:lang w:val="zh-CN"/>
        </w:rPr>
        <w:t>拟建项目施工期及建成投入使用后，将产生</w:t>
      </w:r>
      <w:r>
        <w:rPr>
          <w:rFonts w:hint="eastAsia" w:ascii="Times New Roman" w:hAnsi="Times New Roman" w:cs="Times New Roman"/>
          <w:color w:val="auto"/>
          <w:sz w:val="24"/>
          <w:szCs w:val="24"/>
        </w:rPr>
        <w:t>少量无组织</w:t>
      </w:r>
      <w:r>
        <w:rPr>
          <w:rFonts w:ascii="Times New Roman" w:hAnsi="Times New Roman" w:cs="Times New Roman"/>
          <w:color w:val="auto"/>
          <w:sz w:val="24"/>
          <w:szCs w:val="24"/>
          <w:lang w:val="zh-CN"/>
        </w:rPr>
        <w:t>大气污染物、水污染物、噪声和固体废物等环境影响因素，在保证前述环保投资的前提下，严格采取各种废气、废水、噪声、固体废物污染防治措施，确保各种污染物均能达标排放。</w:t>
      </w:r>
    </w:p>
    <w:p>
      <w:pPr>
        <w:spacing w:line="360" w:lineRule="auto"/>
        <w:ind w:firstLine="480"/>
        <w:rPr>
          <w:rFonts w:ascii="Times New Roman" w:hAnsi="Times New Roman" w:cs="Times New Roman"/>
          <w:color w:val="auto"/>
          <w:sz w:val="24"/>
          <w:szCs w:val="24"/>
          <w:lang w:val="zh-CN"/>
        </w:rPr>
      </w:pPr>
      <w:r>
        <w:rPr>
          <w:rFonts w:ascii="Times New Roman" w:hAnsi="Times New Roman" w:cs="Times New Roman"/>
          <w:color w:val="auto"/>
          <w:sz w:val="24"/>
          <w:szCs w:val="24"/>
          <w:lang w:val="zh-CN"/>
        </w:rPr>
        <w:t>尽管本工程采取了各项环保措施，但仍然会排放一定的污染物，因此，建设单位在建设完善污染防治措施的基础上，加强生产管理和日常环境监测工作，保证各项环保设施安全有效运行，使生产对环境产生的不良影响降到最低程度。</w:t>
      </w:r>
    </w:p>
    <w:p>
      <w:pPr>
        <w:spacing w:line="360" w:lineRule="auto"/>
        <w:ind w:firstLine="480"/>
        <w:rPr>
          <w:rFonts w:ascii="Times New Roman" w:hAnsi="Times New Roman" w:cs="Times New Roman"/>
          <w:color w:val="auto"/>
          <w:sz w:val="24"/>
          <w:szCs w:val="24"/>
          <w:lang w:val="zh-CN"/>
        </w:rPr>
        <w:sectPr>
          <w:pgSz w:w="11910" w:h="16840"/>
          <w:pgMar w:top="1620" w:right="1100" w:bottom="1260" w:left="1180" w:header="897" w:footer="975" w:gutter="0"/>
          <w:pgNumType w:fmt="decimal"/>
          <w:cols w:space="720" w:num="1"/>
        </w:sectPr>
      </w:pPr>
      <w:r>
        <w:rPr>
          <w:rFonts w:ascii="Times New Roman" w:hAnsi="Times New Roman" w:cs="Times New Roman"/>
          <w:color w:val="auto"/>
          <w:sz w:val="24"/>
          <w:szCs w:val="24"/>
          <w:lang w:val="zh-CN"/>
        </w:rPr>
        <w:t>总体来说，本工程环境影响导致的环境损失远小于项目带来的经济和社会效益，</w:t>
      </w:r>
      <w:r>
        <w:rPr>
          <w:rFonts w:hint="eastAsia" w:ascii="Times New Roman" w:hAnsi="Times New Roman" w:cs="Times New Roman"/>
          <w:color w:val="auto"/>
          <w:sz w:val="24"/>
          <w:szCs w:val="24"/>
          <w:lang w:val="zh-CN"/>
        </w:rPr>
        <w:t>本</w:t>
      </w:r>
      <w:r>
        <w:rPr>
          <w:rFonts w:ascii="Times New Roman" w:hAnsi="Times New Roman" w:cs="Times New Roman"/>
          <w:color w:val="auto"/>
          <w:sz w:val="24"/>
          <w:szCs w:val="24"/>
          <w:lang w:val="zh-CN"/>
        </w:rPr>
        <w:t>项目的建设将带来</w:t>
      </w:r>
      <w:r>
        <w:rPr>
          <w:rFonts w:hint="eastAsia" w:ascii="Times New Roman" w:hAnsi="Times New Roman" w:cs="Times New Roman"/>
          <w:color w:val="auto"/>
          <w:sz w:val="24"/>
          <w:szCs w:val="24"/>
          <w:lang w:val="zh-CN"/>
        </w:rPr>
        <w:t>较好</w:t>
      </w:r>
      <w:r>
        <w:rPr>
          <w:rFonts w:ascii="Times New Roman" w:hAnsi="Times New Roman" w:cs="Times New Roman"/>
          <w:color w:val="auto"/>
          <w:sz w:val="24"/>
          <w:szCs w:val="24"/>
          <w:lang w:val="zh-CN"/>
        </w:rPr>
        <w:t>的社会效益，在环境保护方面也是可以接受的</w:t>
      </w:r>
      <w:bookmarkStart w:id="412" w:name="_bookmark49"/>
      <w:bookmarkEnd w:id="412"/>
      <w:bookmarkStart w:id="413" w:name="_bookmark50"/>
      <w:bookmarkEnd w:id="413"/>
      <w:bookmarkStart w:id="414" w:name="7.3工程经济效益与社会效益分析"/>
      <w:bookmarkEnd w:id="414"/>
      <w:bookmarkStart w:id="415" w:name="7.4环境经济损益分析小结"/>
      <w:bookmarkEnd w:id="415"/>
    </w:p>
    <w:p>
      <w:pPr>
        <w:pStyle w:val="4"/>
        <w:numPr>
          <w:ilvl w:val="0"/>
          <w:numId w:val="0"/>
        </w:numPr>
        <w:tabs>
          <w:tab w:val="clear" w:pos="0"/>
        </w:tabs>
        <w:ind w:leftChars="0"/>
        <w:jc w:val="both"/>
        <w:rPr>
          <w:color w:val="auto"/>
        </w:rPr>
      </w:pPr>
      <w:bookmarkStart w:id="416" w:name="第八章__环境管理与监测计划"/>
      <w:bookmarkEnd w:id="416"/>
      <w:bookmarkStart w:id="417" w:name="_Toc28002"/>
      <w:bookmarkStart w:id="418" w:name="_Toc213667821"/>
      <w:bookmarkStart w:id="419" w:name="_Toc182638521"/>
      <w:bookmarkStart w:id="420" w:name="_Toc403223321"/>
      <w:bookmarkStart w:id="421" w:name="_Toc181015506"/>
      <w:bookmarkStart w:id="422" w:name="_Toc351971038"/>
      <w:bookmarkStart w:id="423" w:name="_Toc180808320"/>
      <w:bookmarkStart w:id="424" w:name="_Toc181686488"/>
      <w:bookmarkStart w:id="425" w:name="_Toc280188892"/>
      <w:r>
        <w:rPr>
          <w:rFonts w:hint="eastAsia"/>
          <w:color w:val="auto"/>
        </w:rPr>
        <w:t>9</w:t>
      </w:r>
      <w:r>
        <w:rPr>
          <w:rFonts w:hint="eastAsia"/>
          <w:color w:val="auto"/>
          <w:lang w:val="en-US" w:eastAsia="zh-CN"/>
        </w:rPr>
        <w:t>.</w:t>
      </w:r>
      <w:bookmarkStart w:id="426" w:name="_Toc27332"/>
      <w:bookmarkStart w:id="427" w:name="_Toc3681"/>
      <w:bookmarkStart w:id="428" w:name="_Toc30451"/>
      <w:r>
        <w:rPr>
          <w:rFonts w:hint="eastAsia"/>
          <w:color w:val="auto"/>
          <w:lang w:val="en-US" w:eastAsia="zh-CN"/>
        </w:rPr>
        <w:t xml:space="preserve"> </w:t>
      </w:r>
      <w:r>
        <w:rPr>
          <w:color w:val="auto"/>
        </w:rPr>
        <w:t>环境管理与监测计划</w:t>
      </w:r>
      <w:bookmarkEnd w:id="417"/>
      <w:bookmarkEnd w:id="418"/>
      <w:bookmarkEnd w:id="419"/>
      <w:bookmarkEnd w:id="420"/>
      <w:bookmarkEnd w:id="421"/>
      <w:bookmarkEnd w:id="422"/>
      <w:bookmarkEnd w:id="423"/>
      <w:bookmarkEnd w:id="424"/>
      <w:bookmarkEnd w:id="426"/>
      <w:bookmarkEnd w:id="427"/>
      <w:bookmarkEnd w:id="428"/>
    </w:p>
    <w:p>
      <w:pPr>
        <w:spacing w:line="360" w:lineRule="auto"/>
        <w:ind w:firstLine="480" w:firstLineChars="200"/>
        <w:rPr>
          <w:rFonts w:ascii="Times New Roman" w:hAnsi="Times New Roman" w:cs="Times New Roman"/>
          <w:color w:val="auto"/>
          <w:kern w:val="0"/>
          <w:sz w:val="24"/>
          <w:szCs w:val="24"/>
        </w:rPr>
      </w:pPr>
      <w:r>
        <w:rPr>
          <w:rFonts w:ascii="Times New Roman" w:hAnsi="Times New Roman" w:cs="Times New Roman"/>
          <w:color w:val="auto"/>
          <w:kern w:val="0"/>
          <w:sz w:val="24"/>
          <w:szCs w:val="24"/>
        </w:rPr>
        <w:t>为贯彻执行国家环境保护有关规定，处理好发展生产与环境保护的关系，实现建设项目的经济效益，社会效益和环境效益的统一，更好地监控工程环保设施的运行，及时掌握和了解污染治理和控制措施的效果和厂址周围地区环境质量的变化情况，制定环境管理与监测实施计划。</w:t>
      </w:r>
    </w:p>
    <w:p>
      <w:pPr>
        <w:pStyle w:val="6"/>
        <w:numPr>
          <w:ilvl w:val="1"/>
          <w:numId w:val="0"/>
        </w:numPr>
        <w:spacing w:before="120" w:beforeLines="0" w:after="120" w:afterLines="0"/>
        <w:ind w:leftChars="0"/>
        <w:rPr>
          <w:color w:val="auto"/>
        </w:rPr>
      </w:pPr>
      <w:bookmarkStart w:id="429" w:name="_Toc180808321"/>
      <w:bookmarkStart w:id="430" w:name="_Toc8531"/>
      <w:bookmarkStart w:id="431" w:name="_Toc160145978"/>
      <w:bookmarkStart w:id="432" w:name="_Toc162858938"/>
      <w:bookmarkStart w:id="433" w:name="_Toc162859024"/>
      <w:bookmarkStart w:id="434" w:name="_Toc162858756"/>
      <w:bookmarkStart w:id="435" w:name="_Toc2144"/>
      <w:bookmarkStart w:id="436" w:name="_Toc181015507"/>
      <w:bookmarkStart w:id="437" w:name="_Toc160508035"/>
      <w:bookmarkStart w:id="438" w:name="_Toc162857337"/>
      <w:bookmarkStart w:id="439" w:name="_Toc213667822"/>
      <w:bookmarkStart w:id="440" w:name="_Toc162864545"/>
      <w:bookmarkStart w:id="441" w:name="_Toc403223322"/>
      <w:bookmarkStart w:id="442" w:name="_Toc1899"/>
      <w:bookmarkStart w:id="443" w:name="_Toc182638522"/>
      <w:bookmarkStart w:id="444" w:name="_Toc161056745"/>
      <w:bookmarkStart w:id="445" w:name="_Toc164000636"/>
      <w:bookmarkStart w:id="446" w:name="_Toc181686489"/>
      <w:bookmarkStart w:id="447" w:name="_Toc351971039"/>
      <w:bookmarkStart w:id="448" w:name="_Toc27878"/>
      <w:bookmarkStart w:id="449" w:name="_Toc160615899"/>
      <w:r>
        <w:rPr>
          <w:rFonts w:hint="eastAsia"/>
          <w:color w:val="auto"/>
          <w:lang w:val="en-US" w:eastAsia="zh-CN"/>
        </w:rPr>
        <w:t xml:space="preserve">9.1 </w:t>
      </w:r>
      <w:r>
        <w:rPr>
          <w:color w:val="auto"/>
        </w:rPr>
        <w:t>环境保护管理</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pPr>
        <w:spacing w:line="360" w:lineRule="auto"/>
        <w:ind w:firstLine="482"/>
        <w:rPr>
          <w:rFonts w:ascii="Times New Roman" w:hAnsi="Times New Roman" w:cs="Times New Roman"/>
          <w:color w:val="auto"/>
          <w:kern w:val="0"/>
          <w:sz w:val="24"/>
          <w:szCs w:val="24"/>
        </w:rPr>
      </w:pPr>
      <w:r>
        <w:rPr>
          <w:rFonts w:ascii="Times New Roman" w:hAnsi="Times New Roman" w:cs="Times New Roman"/>
          <w:color w:val="auto"/>
          <w:kern w:val="0"/>
          <w:sz w:val="24"/>
          <w:szCs w:val="24"/>
        </w:rPr>
        <w:t>企业环境管理的基本任务是以保护环境为目标，清洁生产为手段，发展生产与经济效益为目的，可以促进企业的生产管理、物资管理和技术管理，使资源、能源得到充分利用，降低企业能耗、物耗，减少污染物排放总量，起到保护环境，改善企业与周围群众的关系，同时也使企业达到提高经济效益的目的。</w:t>
      </w:r>
    </w:p>
    <w:p>
      <w:pPr>
        <w:pStyle w:val="7"/>
        <w:numPr>
          <w:ilvl w:val="2"/>
          <w:numId w:val="0"/>
        </w:numPr>
        <w:spacing w:before="120" w:beforeLines="0" w:after="120" w:afterLines="0"/>
        <w:rPr>
          <w:color w:val="auto"/>
        </w:rPr>
      </w:pPr>
      <w:bookmarkStart w:id="450" w:name="_Toc5735"/>
      <w:bookmarkStart w:id="451" w:name="_Toc867"/>
      <w:bookmarkStart w:id="452" w:name="_Toc21514"/>
      <w:r>
        <w:rPr>
          <w:rFonts w:hint="eastAsia"/>
          <w:color w:val="auto"/>
          <w:lang w:val="en-US" w:eastAsia="zh-CN"/>
        </w:rPr>
        <w:t xml:space="preserve">9.1.1 </w:t>
      </w:r>
      <w:r>
        <w:rPr>
          <w:color w:val="auto"/>
        </w:rPr>
        <w:t>环保管理机构的设置</w:t>
      </w:r>
      <w:bookmarkEnd w:id="450"/>
      <w:bookmarkEnd w:id="451"/>
      <w:bookmarkEnd w:id="452"/>
    </w:p>
    <w:p>
      <w:pPr>
        <w:pStyle w:val="22"/>
        <w:spacing w:before="185"/>
        <w:ind w:firstLine="480" w:firstLineChars="200"/>
        <w:rPr>
          <w:color w:val="auto"/>
          <w:kern w:val="0"/>
          <w:sz w:val="24"/>
          <w:szCs w:val="24"/>
        </w:rPr>
      </w:pPr>
      <w:bookmarkStart w:id="453" w:name="_Toc428"/>
      <w:bookmarkStart w:id="454" w:name="_Toc16745"/>
      <w:r>
        <w:rPr>
          <w:color w:val="auto"/>
          <w:kern w:val="0"/>
          <w:sz w:val="24"/>
          <w:szCs w:val="24"/>
        </w:rPr>
        <w:t>长岭分公司的环境管理体制实行公司领导下环境保护责任制，具体管理体系如下：</w:t>
      </w:r>
    </w:p>
    <w:p>
      <w:pPr>
        <w:pStyle w:val="22"/>
        <w:spacing w:before="4"/>
        <w:rPr>
          <w:color w:val="auto"/>
          <w:sz w:val="18"/>
        </w:rPr>
      </w:pPr>
      <w:r>
        <w:rPr>
          <w:color w:val="auto"/>
        </w:rPr>
        <mc:AlternateContent>
          <mc:Choice Requires="wpg">
            <w:drawing>
              <wp:anchor distT="0" distB="0" distL="114300" distR="114300" simplePos="0" relativeHeight="251646976" behindDoc="0" locked="0" layoutInCell="1" allowOverlap="1">
                <wp:simplePos x="0" y="0"/>
                <wp:positionH relativeFrom="page">
                  <wp:posOffset>2245360</wp:posOffset>
                </wp:positionH>
                <wp:positionV relativeFrom="paragraph">
                  <wp:posOffset>173990</wp:posOffset>
                </wp:positionV>
                <wp:extent cx="3413125" cy="2244090"/>
                <wp:effectExtent l="0" t="0" r="15875" b="3810"/>
                <wp:wrapTopAndBottom/>
                <wp:docPr id="112" name="组合 112"/>
                <wp:cNvGraphicFramePr/>
                <a:graphic xmlns:a="http://schemas.openxmlformats.org/drawingml/2006/main">
                  <a:graphicData uri="http://schemas.microsoft.com/office/word/2010/wordprocessingGroup">
                    <wpg:wgp>
                      <wpg:cNvGrpSpPr/>
                      <wpg:grpSpPr>
                        <a:xfrm>
                          <a:off x="0" y="0"/>
                          <a:ext cx="3413125" cy="2244090"/>
                          <a:chOff x="3536" y="274"/>
                          <a:chExt cx="5375" cy="3534"/>
                        </a:xfrm>
                      </wpg:grpSpPr>
                      <wps:wsp>
                        <wps:cNvPr id="11" name="任意多边形 11"/>
                        <wps:cNvSpPr/>
                        <wps:spPr>
                          <a:xfrm>
                            <a:off x="3869" y="1274"/>
                            <a:ext cx="1920" cy="488"/>
                          </a:xfrm>
                          <a:custGeom>
                            <a:avLst/>
                            <a:gdLst/>
                            <a:ahLst/>
                            <a:cxnLst/>
                            <a:rect l="0" t="0" r="0" b="0"/>
                            <a:pathLst>
                              <a:path w="1920" h="488">
                                <a:moveTo>
                                  <a:pt x="1920" y="488"/>
                                </a:moveTo>
                                <a:lnTo>
                                  <a:pt x="0" y="488"/>
                                </a:lnTo>
                                <a:lnTo>
                                  <a:pt x="0" y="0"/>
                                </a:lnTo>
                                <a:lnTo>
                                  <a:pt x="1920" y="0"/>
                                </a:lnTo>
                                <a:lnTo>
                                  <a:pt x="1920" y="8"/>
                                </a:lnTo>
                                <a:lnTo>
                                  <a:pt x="15" y="8"/>
                                </a:lnTo>
                                <a:lnTo>
                                  <a:pt x="8" y="15"/>
                                </a:lnTo>
                                <a:lnTo>
                                  <a:pt x="15" y="15"/>
                                </a:lnTo>
                                <a:lnTo>
                                  <a:pt x="15" y="473"/>
                                </a:lnTo>
                                <a:lnTo>
                                  <a:pt x="8" y="473"/>
                                </a:lnTo>
                                <a:lnTo>
                                  <a:pt x="15" y="481"/>
                                </a:lnTo>
                                <a:lnTo>
                                  <a:pt x="1920" y="481"/>
                                </a:lnTo>
                                <a:lnTo>
                                  <a:pt x="1920" y="488"/>
                                </a:lnTo>
                                <a:close/>
                                <a:moveTo>
                                  <a:pt x="15" y="15"/>
                                </a:moveTo>
                                <a:lnTo>
                                  <a:pt x="8" y="15"/>
                                </a:lnTo>
                                <a:lnTo>
                                  <a:pt x="15" y="8"/>
                                </a:lnTo>
                                <a:lnTo>
                                  <a:pt x="15" y="15"/>
                                </a:lnTo>
                                <a:close/>
                                <a:moveTo>
                                  <a:pt x="1905" y="15"/>
                                </a:moveTo>
                                <a:lnTo>
                                  <a:pt x="15" y="15"/>
                                </a:lnTo>
                                <a:lnTo>
                                  <a:pt x="15" y="8"/>
                                </a:lnTo>
                                <a:lnTo>
                                  <a:pt x="1905" y="8"/>
                                </a:lnTo>
                                <a:lnTo>
                                  <a:pt x="1905" y="15"/>
                                </a:lnTo>
                                <a:close/>
                                <a:moveTo>
                                  <a:pt x="1905" y="481"/>
                                </a:moveTo>
                                <a:lnTo>
                                  <a:pt x="1905" y="8"/>
                                </a:lnTo>
                                <a:lnTo>
                                  <a:pt x="1913" y="15"/>
                                </a:lnTo>
                                <a:lnTo>
                                  <a:pt x="1920" y="15"/>
                                </a:lnTo>
                                <a:lnTo>
                                  <a:pt x="1920" y="473"/>
                                </a:lnTo>
                                <a:lnTo>
                                  <a:pt x="1913" y="473"/>
                                </a:lnTo>
                                <a:lnTo>
                                  <a:pt x="1905" y="481"/>
                                </a:lnTo>
                                <a:close/>
                                <a:moveTo>
                                  <a:pt x="1920" y="15"/>
                                </a:moveTo>
                                <a:lnTo>
                                  <a:pt x="1913" y="15"/>
                                </a:lnTo>
                                <a:lnTo>
                                  <a:pt x="1905" y="8"/>
                                </a:lnTo>
                                <a:lnTo>
                                  <a:pt x="1920" y="8"/>
                                </a:lnTo>
                                <a:lnTo>
                                  <a:pt x="1920" y="15"/>
                                </a:lnTo>
                                <a:close/>
                                <a:moveTo>
                                  <a:pt x="15" y="481"/>
                                </a:moveTo>
                                <a:lnTo>
                                  <a:pt x="8" y="473"/>
                                </a:lnTo>
                                <a:lnTo>
                                  <a:pt x="15" y="473"/>
                                </a:lnTo>
                                <a:lnTo>
                                  <a:pt x="15" y="481"/>
                                </a:lnTo>
                                <a:close/>
                                <a:moveTo>
                                  <a:pt x="1905" y="481"/>
                                </a:moveTo>
                                <a:lnTo>
                                  <a:pt x="15" y="481"/>
                                </a:lnTo>
                                <a:lnTo>
                                  <a:pt x="15" y="473"/>
                                </a:lnTo>
                                <a:lnTo>
                                  <a:pt x="1905" y="473"/>
                                </a:lnTo>
                                <a:lnTo>
                                  <a:pt x="1905" y="481"/>
                                </a:lnTo>
                                <a:close/>
                                <a:moveTo>
                                  <a:pt x="1920" y="481"/>
                                </a:moveTo>
                                <a:lnTo>
                                  <a:pt x="1905" y="481"/>
                                </a:lnTo>
                                <a:lnTo>
                                  <a:pt x="1913" y="473"/>
                                </a:lnTo>
                                <a:lnTo>
                                  <a:pt x="1920" y="473"/>
                                </a:lnTo>
                                <a:lnTo>
                                  <a:pt x="1920" y="481"/>
                                </a:lnTo>
                                <a:close/>
                              </a:path>
                            </a:pathLst>
                          </a:custGeom>
                          <a:solidFill>
                            <a:srgbClr val="000000"/>
                          </a:solidFill>
                          <a:ln>
                            <a:noFill/>
                          </a:ln>
                        </wps:spPr>
                        <wps:bodyPr upright="1"/>
                      </wps:wsp>
                      <wps:wsp>
                        <wps:cNvPr id="12" name="任意多边形 12"/>
                        <wps:cNvSpPr/>
                        <wps:spPr>
                          <a:xfrm>
                            <a:off x="3848" y="274"/>
                            <a:ext cx="1948" cy="526"/>
                          </a:xfrm>
                          <a:custGeom>
                            <a:avLst/>
                            <a:gdLst/>
                            <a:ahLst/>
                            <a:cxnLst/>
                            <a:rect l="0" t="0" r="0" b="0"/>
                            <a:pathLst>
                              <a:path w="1948" h="526">
                                <a:moveTo>
                                  <a:pt x="1948" y="526"/>
                                </a:moveTo>
                                <a:lnTo>
                                  <a:pt x="0" y="526"/>
                                </a:lnTo>
                                <a:lnTo>
                                  <a:pt x="0" y="0"/>
                                </a:lnTo>
                                <a:lnTo>
                                  <a:pt x="1948" y="0"/>
                                </a:lnTo>
                                <a:lnTo>
                                  <a:pt x="1948" y="8"/>
                                </a:lnTo>
                                <a:lnTo>
                                  <a:pt x="15" y="8"/>
                                </a:lnTo>
                                <a:lnTo>
                                  <a:pt x="8" y="15"/>
                                </a:lnTo>
                                <a:lnTo>
                                  <a:pt x="15" y="15"/>
                                </a:lnTo>
                                <a:lnTo>
                                  <a:pt x="15" y="511"/>
                                </a:lnTo>
                                <a:lnTo>
                                  <a:pt x="8" y="511"/>
                                </a:lnTo>
                                <a:lnTo>
                                  <a:pt x="15" y="519"/>
                                </a:lnTo>
                                <a:lnTo>
                                  <a:pt x="1948" y="519"/>
                                </a:lnTo>
                                <a:lnTo>
                                  <a:pt x="1948" y="526"/>
                                </a:lnTo>
                                <a:close/>
                                <a:moveTo>
                                  <a:pt x="15" y="15"/>
                                </a:moveTo>
                                <a:lnTo>
                                  <a:pt x="8" y="15"/>
                                </a:lnTo>
                                <a:lnTo>
                                  <a:pt x="15" y="8"/>
                                </a:lnTo>
                                <a:lnTo>
                                  <a:pt x="15" y="15"/>
                                </a:lnTo>
                                <a:close/>
                                <a:moveTo>
                                  <a:pt x="1933" y="15"/>
                                </a:moveTo>
                                <a:lnTo>
                                  <a:pt x="15" y="15"/>
                                </a:lnTo>
                                <a:lnTo>
                                  <a:pt x="15" y="8"/>
                                </a:lnTo>
                                <a:lnTo>
                                  <a:pt x="1933" y="8"/>
                                </a:lnTo>
                                <a:lnTo>
                                  <a:pt x="1933" y="15"/>
                                </a:lnTo>
                                <a:close/>
                                <a:moveTo>
                                  <a:pt x="1933" y="519"/>
                                </a:moveTo>
                                <a:lnTo>
                                  <a:pt x="1933" y="8"/>
                                </a:lnTo>
                                <a:lnTo>
                                  <a:pt x="1941" y="15"/>
                                </a:lnTo>
                                <a:lnTo>
                                  <a:pt x="1948" y="15"/>
                                </a:lnTo>
                                <a:lnTo>
                                  <a:pt x="1948" y="511"/>
                                </a:lnTo>
                                <a:lnTo>
                                  <a:pt x="1941" y="511"/>
                                </a:lnTo>
                                <a:lnTo>
                                  <a:pt x="1933" y="519"/>
                                </a:lnTo>
                                <a:close/>
                                <a:moveTo>
                                  <a:pt x="1948" y="15"/>
                                </a:moveTo>
                                <a:lnTo>
                                  <a:pt x="1941" y="15"/>
                                </a:lnTo>
                                <a:lnTo>
                                  <a:pt x="1933" y="8"/>
                                </a:lnTo>
                                <a:lnTo>
                                  <a:pt x="1948" y="8"/>
                                </a:lnTo>
                                <a:lnTo>
                                  <a:pt x="1948" y="15"/>
                                </a:lnTo>
                                <a:close/>
                                <a:moveTo>
                                  <a:pt x="15" y="519"/>
                                </a:moveTo>
                                <a:lnTo>
                                  <a:pt x="8" y="511"/>
                                </a:lnTo>
                                <a:lnTo>
                                  <a:pt x="15" y="511"/>
                                </a:lnTo>
                                <a:lnTo>
                                  <a:pt x="15" y="519"/>
                                </a:lnTo>
                                <a:close/>
                                <a:moveTo>
                                  <a:pt x="1933" y="519"/>
                                </a:moveTo>
                                <a:lnTo>
                                  <a:pt x="15" y="519"/>
                                </a:lnTo>
                                <a:lnTo>
                                  <a:pt x="15" y="511"/>
                                </a:lnTo>
                                <a:lnTo>
                                  <a:pt x="1933" y="511"/>
                                </a:lnTo>
                                <a:lnTo>
                                  <a:pt x="1933" y="519"/>
                                </a:lnTo>
                                <a:close/>
                                <a:moveTo>
                                  <a:pt x="1948" y="519"/>
                                </a:moveTo>
                                <a:lnTo>
                                  <a:pt x="1933" y="519"/>
                                </a:lnTo>
                                <a:lnTo>
                                  <a:pt x="1941" y="511"/>
                                </a:lnTo>
                                <a:lnTo>
                                  <a:pt x="1948" y="511"/>
                                </a:lnTo>
                                <a:lnTo>
                                  <a:pt x="1948" y="519"/>
                                </a:lnTo>
                                <a:close/>
                              </a:path>
                            </a:pathLst>
                          </a:custGeom>
                          <a:solidFill>
                            <a:srgbClr val="000000"/>
                          </a:solidFill>
                          <a:ln>
                            <a:noFill/>
                          </a:ln>
                        </wps:spPr>
                        <wps:bodyPr upright="1"/>
                      </wps:wsp>
                      <wps:wsp>
                        <wps:cNvPr id="13" name="任意多边形 13"/>
                        <wps:cNvSpPr/>
                        <wps:spPr>
                          <a:xfrm>
                            <a:off x="4764" y="780"/>
                            <a:ext cx="120" cy="469"/>
                          </a:xfrm>
                          <a:custGeom>
                            <a:avLst/>
                            <a:gdLst/>
                            <a:ahLst/>
                            <a:cxnLst/>
                            <a:rect l="0" t="0" r="0" b="0"/>
                            <a:pathLst>
                              <a:path w="120" h="469">
                                <a:moveTo>
                                  <a:pt x="52" y="348"/>
                                </a:moveTo>
                                <a:lnTo>
                                  <a:pt x="51" y="0"/>
                                </a:lnTo>
                                <a:lnTo>
                                  <a:pt x="66" y="0"/>
                                </a:lnTo>
                                <a:lnTo>
                                  <a:pt x="67" y="348"/>
                                </a:lnTo>
                                <a:lnTo>
                                  <a:pt x="52" y="348"/>
                                </a:lnTo>
                                <a:close/>
                                <a:moveTo>
                                  <a:pt x="105" y="378"/>
                                </a:moveTo>
                                <a:lnTo>
                                  <a:pt x="52" y="378"/>
                                </a:lnTo>
                                <a:lnTo>
                                  <a:pt x="67" y="378"/>
                                </a:lnTo>
                                <a:lnTo>
                                  <a:pt x="67" y="348"/>
                                </a:lnTo>
                                <a:lnTo>
                                  <a:pt x="120" y="348"/>
                                </a:lnTo>
                                <a:lnTo>
                                  <a:pt x="105" y="378"/>
                                </a:lnTo>
                                <a:close/>
                                <a:moveTo>
                                  <a:pt x="52" y="378"/>
                                </a:moveTo>
                                <a:lnTo>
                                  <a:pt x="52" y="348"/>
                                </a:lnTo>
                                <a:lnTo>
                                  <a:pt x="67" y="348"/>
                                </a:lnTo>
                                <a:lnTo>
                                  <a:pt x="67" y="378"/>
                                </a:lnTo>
                                <a:lnTo>
                                  <a:pt x="52" y="378"/>
                                </a:lnTo>
                                <a:close/>
                                <a:moveTo>
                                  <a:pt x="60" y="468"/>
                                </a:moveTo>
                                <a:lnTo>
                                  <a:pt x="0" y="348"/>
                                </a:lnTo>
                                <a:lnTo>
                                  <a:pt x="52" y="348"/>
                                </a:lnTo>
                                <a:lnTo>
                                  <a:pt x="52" y="378"/>
                                </a:lnTo>
                                <a:lnTo>
                                  <a:pt x="105" y="378"/>
                                </a:lnTo>
                                <a:lnTo>
                                  <a:pt x="60" y="468"/>
                                </a:lnTo>
                                <a:close/>
                              </a:path>
                            </a:pathLst>
                          </a:custGeom>
                          <a:solidFill>
                            <a:srgbClr val="000000"/>
                          </a:solidFill>
                          <a:ln>
                            <a:noFill/>
                          </a:ln>
                        </wps:spPr>
                        <wps:bodyPr upright="1"/>
                      </wps:wsp>
                      <wps:wsp>
                        <wps:cNvPr id="14" name="任意多边形 14"/>
                        <wps:cNvSpPr/>
                        <wps:spPr>
                          <a:xfrm>
                            <a:off x="4768" y="1750"/>
                            <a:ext cx="120" cy="591"/>
                          </a:xfrm>
                          <a:custGeom>
                            <a:avLst/>
                            <a:gdLst/>
                            <a:ahLst/>
                            <a:cxnLst/>
                            <a:rect l="0" t="0" r="0" b="0"/>
                            <a:pathLst>
                              <a:path w="120" h="591">
                                <a:moveTo>
                                  <a:pt x="52" y="470"/>
                                </a:moveTo>
                                <a:lnTo>
                                  <a:pt x="51" y="0"/>
                                </a:lnTo>
                                <a:lnTo>
                                  <a:pt x="66" y="0"/>
                                </a:lnTo>
                                <a:lnTo>
                                  <a:pt x="67" y="470"/>
                                </a:lnTo>
                                <a:lnTo>
                                  <a:pt x="52" y="470"/>
                                </a:lnTo>
                                <a:close/>
                                <a:moveTo>
                                  <a:pt x="105" y="500"/>
                                </a:moveTo>
                                <a:lnTo>
                                  <a:pt x="52" y="500"/>
                                </a:lnTo>
                                <a:lnTo>
                                  <a:pt x="67" y="500"/>
                                </a:lnTo>
                                <a:lnTo>
                                  <a:pt x="67" y="470"/>
                                </a:lnTo>
                                <a:lnTo>
                                  <a:pt x="120" y="470"/>
                                </a:lnTo>
                                <a:lnTo>
                                  <a:pt x="105" y="500"/>
                                </a:lnTo>
                                <a:close/>
                                <a:moveTo>
                                  <a:pt x="52" y="500"/>
                                </a:moveTo>
                                <a:lnTo>
                                  <a:pt x="52" y="470"/>
                                </a:lnTo>
                                <a:lnTo>
                                  <a:pt x="67" y="470"/>
                                </a:lnTo>
                                <a:lnTo>
                                  <a:pt x="67" y="500"/>
                                </a:lnTo>
                                <a:lnTo>
                                  <a:pt x="52" y="500"/>
                                </a:lnTo>
                                <a:close/>
                                <a:moveTo>
                                  <a:pt x="60" y="590"/>
                                </a:moveTo>
                                <a:lnTo>
                                  <a:pt x="0" y="470"/>
                                </a:lnTo>
                                <a:lnTo>
                                  <a:pt x="52" y="470"/>
                                </a:lnTo>
                                <a:lnTo>
                                  <a:pt x="52" y="500"/>
                                </a:lnTo>
                                <a:lnTo>
                                  <a:pt x="105" y="500"/>
                                </a:lnTo>
                                <a:lnTo>
                                  <a:pt x="60" y="590"/>
                                </a:lnTo>
                                <a:close/>
                              </a:path>
                            </a:pathLst>
                          </a:custGeom>
                          <a:solidFill>
                            <a:srgbClr val="000000"/>
                          </a:solidFill>
                          <a:ln>
                            <a:noFill/>
                          </a:ln>
                        </wps:spPr>
                        <wps:bodyPr upright="1"/>
                      </wps:wsp>
                      <wps:wsp>
                        <wps:cNvPr id="15" name="任意多边形 15"/>
                        <wps:cNvSpPr/>
                        <wps:spPr>
                          <a:xfrm>
                            <a:off x="6569" y="2316"/>
                            <a:ext cx="2342" cy="483"/>
                          </a:xfrm>
                          <a:custGeom>
                            <a:avLst/>
                            <a:gdLst/>
                            <a:ahLst/>
                            <a:cxnLst/>
                            <a:rect l="0" t="0" r="0" b="0"/>
                            <a:pathLst>
                              <a:path w="2342" h="483">
                                <a:moveTo>
                                  <a:pt x="2342" y="483"/>
                                </a:moveTo>
                                <a:lnTo>
                                  <a:pt x="0" y="483"/>
                                </a:lnTo>
                                <a:lnTo>
                                  <a:pt x="0" y="0"/>
                                </a:lnTo>
                                <a:lnTo>
                                  <a:pt x="2342" y="0"/>
                                </a:lnTo>
                                <a:lnTo>
                                  <a:pt x="2342" y="8"/>
                                </a:lnTo>
                                <a:lnTo>
                                  <a:pt x="15" y="8"/>
                                </a:lnTo>
                                <a:lnTo>
                                  <a:pt x="8" y="15"/>
                                </a:lnTo>
                                <a:lnTo>
                                  <a:pt x="15" y="15"/>
                                </a:lnTo>
                                <a:lnTo>
                                  <a:pt x="15" y="468"/>
                                </a:lnTo>
                                <a:lnTo>
                                  <a:pt x="8" y="468"/>
                                </a:lnTo>
                                <a:lnTo>
                                  <a:pt x="15" y="476"/>
                                </a:lnTo>
                                <a:lnTo>
                                  <a:pt x="2342" y="476"/>
                                </a:lnTo>
                                <a:lnTo>
                                  <a:pt x="2342" y="483"/>
                                </a:lnTo>
                                <a:close/>
                                <a:moveTo>
                                  <a:pt x="15" y="15"/>
                                </a:moveTo>
                                <a:lnTo>
                                  <a:pt x="8" y="15"/>
                                </a:lnTo>
                                <a:lnTo>
                                  <a:pt x="15" y="8"/>
                                </a:lnTo>
                                <a:lnTo>
                                  <a:pt x="15" y="15"/>
                                </a:lnTo>
                                <a:close/>
                                <a:moveTo>
                                  <a:pt x="2327" y="15"/>
                                </a:moveTo>
                                <a:lnTo>
                                  <a:pt x="15" y="15"/>
                                </a:lnTo>
                                <a:lnTo>
                                  <a:pt x="15" y="8"/>
                                </a:lnTo>
                                <a:lnTo>
                                  <a:pt x="2327" y="8"/>
                                </a:lnTo>
                                <a:lnTo>
                                  <a:pt x="2327" y="15"/>
                                </a:lnTo>
                                <a:close/>
                                <a:moveTo>
                                  <a:pt x="2327" y="476"/>
                                </a:moveTo>
                                <a:lnTo>
                                  <a:pt x="2327" y="8"/>
                                </a:lnTo>
                                <a:lnTo>
                                  <a:pt x="2335" y="15"/>
                                </a:lnTo>
                                <a:lnTo>
                                  <a:pt x="2342" y="15"/>
                                </a:lnTo>
                                <a:lnTo>
                                  <a:pt x="2342" y="468"/>
                                </a:lnTo>
                                <a:lnTo>
                                  <a:pt x="2335" y="468"/>
                                </a:lnTo>
                                <a:lnTo>
                                  <a:pt x="2327" y="476"/>
                                </a:lnTo>
                                <a:close/>
                                <a:moveTo>
                                  <a:pt x="2342" y="15"/>
                                </a:moveTo>
                                <a:lnTo>
                                  <a:pt x="2335" y="15"/>
                                </a:lnTo>
                                <a:lnTo>
                                  <a:pt x="2327" y="8"/>
                                </a:lnTo>
                                <a:lnTo>
                                  <a:pt x="2342" y="8"/>
                                </a:lnTo>
                                <a:lnTo>
                                  <a:pt x="2342" y="15"/>
                                </a:lnTo>
                                <a:close/>
                                <a:moveTo>
                                  <a:pt x="15" y="476"/>
                                </a:moveTo>
                                <a:lnTo>
                                  <a:pt x="8" y="468"/>
                                </a:lnTo>
                                <a:lnTo>
                                  <a:pt x="15" y="468"/>
                                </a:lnTo>
                                <a:lnTo>
                                  <a:pt x="15" y="476"/>
                                </a:lnTo>
                                <a:close/>
                                <a:moveTo>
                                  <a:pt x="2327" y="476"/>
                                </a:moveTo>
                                <a:lnTo>
                                  <a:pt x="15" y="476"/>
                                </a:lnTo>
                                <a:lnTo>
                                  <a:pt x="15" y="468"/>
                                </a:lnTo>
                                <a:lnTo>
                                  <a:pt x="2327" y="468"/>
                                </a:lnTo>
                                <a:lnTo>
                                  <a:pt x="2327" y="476"/>
                                </a:lnTo>
                                <a:close/>
                                <a:moveTo>
                                  <a:pt x="2342" y="476"/>
                                </a:moveTo>
                                <a:lnTo>
                                  <a:pt x="2327" y="476"/>
                                </a:lnTo>
                                <a:lnTo>
                                  <a:pt x="2335" y="468"/>
                                </a:lnTo>
                                <a:lnTo>
                                  <a:pt x="2342" y="468"/>
                                </a:lnTo>
                                <a:lnTo>
                                  <a:pt x="2342" y="476"/>
                                </a:lnTo>
                                <a:close/>
                              </a:path>
                            </a:pathLst>
                          </a:custGeom>
                          <a:solidFill>
                            <a:srgbClr val="000000"/>
                          </a:solidFill>
                          <a:ln>
                            <a:noFill/>
                          </a:ln>
                        </wps:spPr>
                        <wps:bodyPr upright="1"/>
                      </wps:wsp>
                      <wps:wsp>
                        <wps:cNvPr id="16" name="任意多边形 16"/>
                        <wps:cNvSpPr/>
                        <wps:spPr>
                          <a:xfrm>
                            <a:off x="5806" y="2522"/>
                            <a:ext cx="721" cy="120"/>
                          </a:xfrm>
                          <a:custGeom>
                            <a:avLst/>
                            <a:gdLst/>
                            <a:ahLst/>
                            <a:cxnLst/>
                            <a:rect l="0" t="0" r="0" b="0"/>
                            <a:pathLst>
                              <a:path w="721" h="120">
                                <a:moveTo>
                                  <a:pt x="120" y="120"/>
                                </a:moveTo>
                                <a:lnTo>
                                  <a:pt x="0" y="60"/>
                                </a:lnTo>
                                <a:lnTo>
                                  <a:pt x="120" y="0"/>
                                </a:lnTo>
                                <a:lnTo>
                                  <a:pt x="120" y="52"/>
                                </a:lnTo>
                                <a:lnTo>
                                  <a:pt x="90" y="52"/>
                                </a:lnTo>
                                <a:lnTo>
                                  <a:pt x="90" y="67"/>
                                </a:lnTo>
                                <a:lnTo>
                                  <a:pt x="120" y="67"/>
                                </a:lnTo>
                                <a:lnTo>
                                  <a:pt x="120" y="120"/>
                                </a:lnTo>
                                <a:close/>
                                <a:moveTo>
                                  <a:pt x="120" y="67"/>
                                </a:moveTo>
                                <a:lnTo>
                                  <a:pt x="120" y="52"/>
                                </a:lnTo>
                                <a:lnTo>
                                  <a:pt x="720" y="51"/>
                                </a:lnTo>
                                <a:lnTo>
                                  <a:pt x="720" y="66"/>
                                </a:lnTo>
                                <a:lnTo>
                                  <a:pt x="120" y="67"/>
                                </a:lnTo>
                                <a:close/>
                                <a:moveTo>
                                  <a:pt x="90" y="67"/>
                                </a:moveTo>
                                <a:lnTo>
                                  <a:pt x="90" y="52"/>
                                </a:lnTo>
                                <a:lnTo>
                                  <a:pt x="120" y="52"/>
                                </a:lnTo>
                                <a:lnTo>
                                  <a:pt x="120" y="67"/>
                                </a:lnTo>
                                <a:lnTo>
                                  <a:pt x="90" y="67"/>
                                </a:lnTo>
                                <a:close/>
                                <a:moveTo>
                                  <a:pt x="120" y="67"/>
                                </a:moveTo>
                                <a:lnTo>
                                  <a:pt x="90" y="67"/>
                                </a:lnTo>
                                <a:lnTo>
                                  <a:pt x="120" y="67"/>
                                </a:lnTo>
                                <a:lnTo>
                                  <a:pt x="120" y="67"/>
                                </a:lnTo>
                                <a:close/>
                              </a:path>
                            </a:pathLst>
                          </a:custGeom>
                          <a:solidFill>
                            <a:srgbClr val="000000"/>
                          </a:solidFill>
                          <a:ln>
                            <a:noFill/>
                          </a:ln>
                        </wps:spPr>
                        <wps:bodyPr upright="1"/>
                      </wps:wsp>
                      <wps:wsp>
                        <wps:cNvPr id="19" name="任意多边形 19"/>
                        <wps:cNvSpPr/>
                        <wps:spPr>
                          <a:xfrm>
                            <a:off x="4778" y="2845"/>
                            <a:ext cx="120" cy="469"/>
                          </a:xfrm>
                          <a:custGeom>
                            <a:avLst/>
                            <a:gdLst/>
                            <a:ahLst/>
                            <a:cxnLst/>
                            <a:rect l="0" t="0" r="0" b="0"/>
                            <a:pathLst>
                              <a:path w="120" h="469">
                                <a:moveTo>
                                  <a:pt x="52" y="348"/>
                                </a:moveTo>
                                <a:lnTo>
                                  <a:pt x="51" y="0"/>
                                </a:lnTo>
                                <a:lnTo>
                                  <a:pt x="66" y="0"/>
                                </a:lnTo>
                                <a:lnTo>
                                  <a:pt x="67" y="348"/>
                                </a:lnTo>
                                <a:lnTo>
                                  <a:pt x="52" y="348"/>
                                </a:lnTo>
                                <a:close/>
                                <a:moveTo>
                                  <a:pt x="105" y="378"/>
                                </a:moveTo>
                                <a:lnTo>
                                  <a:pt x="52" y="378"/>
                                </a:lnTo>
                                <a:lnTo>
                                  <a:pt x="67" y="378"/>
                                </a:lnTo>
                                <a:lnTo>
                                  <a:pt x="67" y="348"/>
                                </a:lnTo>
                                <a:lnTo>
                                  <a:pt x="120" y="348"/>
                                </a:lnTo>
                                <a:lnTo>
                                  <a:pt x="105" y="378"/>
                                </a:lnTo>
                                <a:close/>
                                <a:moveTo>
                                  <a:pt x="52" y="378"/>
                                </a:moveTo>
                                <a:lnTo>
                                  <a:pt x="52" y="348"/>
                                </a:lnTo>
                                <a:lnTo>
                                  <a:pt x="67" y="348"/>
                                </a:lnTo>
                                <a:lnTo>
                                  <a:pt x="67" y="378"/>
                                </a:lnTo>
                                <a:lnTo>
                                  <a:pt x="52" y="378"/>
                                </a:lnTo>
                                <a:close/>
                                <a:moveTo>
                                  <a:pt x="60" y="468"/>
                                </a:moveTo>
                                <a:lnTo>
                                  <a:pt x="0" y="348"/>
                                </a:lnTo>
                                <a:lnTo>
                                  <a:pt x="52" y="348"/>
                                </a:lnTo>
                                <a:lnTo>
                                  <a:pt x="52" y="378"/>
                                </a:lnTo>
                                <a:lnTo>
                                  <a:pt x="105" y="378"/>
                                </a:lnTo>
                                <a:lnTo>
                                  <a:pt x="60" y="468"/>
                                </a:lnTo>
                                <a:close/>
                              </a:path>
                            </a:pathLst>
                          </a:custGeom>
                          <a:solidFill>
                            <a:srgbClr val="000000"/>
                          </a:solidFill>
                          <a:ln>
                            <a:noFill/>
                          </a:ln>
                        </wps:spPr>
                        <wps:bodyPr upright="1"/>
                      </wps:wsp>
                      <wps:wsp>
                        <wps:cNvPr id="42" name="任意多边形 42"/>
                        <wps:cNvSpPr/>
                        <wps:spPr>
                          <a:xfrm>
                            <a:off x="3869" y="2333"/>
                            <a:ext cx="1920" cy="488"/>
                          </a:xfrm>
                          <a:custGeom>
                            <a:avLst/>
                            <a:gdLst/>
                            <a:ahLst/>
                            <a:cxnLst/>
                            <a:rect l="0" t="0" r="0" b="0"/>
                            <a:pathLst>
                              <a:path w="1920" h="488">
                                <a:moveTo>
                                  <a:pt x="1920" y="488"/>
                                </a:moveTo>
                                <a:lnTo>
                                  <a:pt x="0" y="488"/>
                                </a:lnTo>
                                <a:lnTo>
                                  <a:pt x="0" y="0"/>
                                </a:lnTo>
                                <a:lnTo>
                                  <a:pt x="1920" y="0"/>
                                </a:lnTo>
                                <a:lnTo>
                                  <a:pt x="1920" y="8"/>
                                </a:lnTo>
                                <a:lnTo>
                                  <a:pt x="15" y="8"/>
                                </a:lnTo>
                                <a:lnTo>
                                  <a:pt x="8" y="15"/>
                                </a:lnTo>
                                <a:lnTo>
                                  <a:pt x="15" y="15"/>
                                </a:lnTo>
                                <a:lnTo>
                                  <a:pt x="15" y="473"/>
                                </a:lnTo>
                                <a:lnTo>
                                  <a:pt x="8" y="473"/>
                                </a:lnTo>
                                <a:lnTo>
                                  <a:pt x="15" y="481"/>
                                </a:lnTo>
                                <a:lnTo>
                                  <a:pt x="1920" y="481"/>
                                </a:lnTo>
                                <a:lnTo>
                                  <a:pt x="1920" y="488"/>
                                </a:lnTo>
                                <a:close/>
                                <a:moveTo>
                                  <a:pt x="15" y="15"/>
                                </a:moveTo>
                                <a:lnTo>
                                  <a:pt x="8" y="15"/>
                                </a:lnTo>
                                <a:lnTo>
                                  <a:pt x="15" y="8"/>
                                </a:lnTo>
                                <a:lnTo>
                                  <a:pt x="15" y="15"/>
                                </a:lnTo>
                                <a:close/>
                                <a:moveTo>
                                  <a:pt x="1905" y="15"/>
                                </a:moveTo>
                                <a:lnTo>
                                  <a:pt x="15" y="15"/>
                                </a:lnTo>
                                <a:lnTo>
                                  <a:pt x="15" y="8"/>
                                </a:lnTo>
                                <a:lnTo>
                                  <a:pt x="1905" y="8"/>
                                </a:lnTo>
                                <a:lnTo>
                                  <a:pt x="1905" y="15"/>
                                </a:lnTo>
                                <a:close/>
                                <a:moveTo>
                                  <a:pt x="1905" y="481"/>
                                </a:moveTo>
                                <a:lnTo>
                                  <a:pt x="1905" y="8"/>
                                </a:lnTo>
                                <a:lnTo>
                                  <a:pt x="1913" y="15"/>
                                </a:lnTo>
                                <a:lnTo>
                                  <a:pt x="1920" y="15"/>
                                </a:lnTo>
                                <a:lnTo>
                                  <a:pt x="1920" y="473"/>
                                </a:lnTo>
                                <a:lnTo>
                                  <a:pt x="1913" y="473"/>
                                </a:lnTo>
                                <a:lnTo>
                                  <a:pt x="1905" y="481"/>
                                </a:lnTo>
                                <a:close/>
                                <a:moveTo>
                                  <a:pt x="1920" y="15"/>
                                </a:moveTo>
                                <a:lnTo>
                                  <a:pt x="1913" y="15"/>
                                </a:lnTo>
                                <a:lnTo>
                                  <a:pt x="1905" y="8"/>
                                </a:lnTo>
                                <a:lnTo>
                                  <a:pt x="1920" y="8"/>
                                </a:lnTo>
                                <a:lnTo>
                                  <a:pt x="1920" y="15"/>
                                </a:lnTo>
                                <a:close/>
                                <a:moveTo>
                                  <a:pt x="15" y="481"/>
                                </a:moveTo>
                                <a:lnTo>
                                  <a:pt x="8" y="473"/>
                                </a:lnTo>
                                <a:lnTo>
                                  <a:pt x="15" y="473"/>
                                </a:lnTo>
                                <a:lnTo>
                                  <a:pt x="15" y="481"/>
                                </a:lnTo>
                                <a:close/>
                                <a:moveTo>
                                  <a:pt x="1905" y="481"/>
                                </a:moveTo>
                                <a:lnTo>
                                  <a:pt x="15" y="481"/>
                                </a:lnTo>
                                <a:lnTo>
                                  <a:pt x="15" y="473"/>
                                </a:lnTo>
                                <a:lnTo>
                                  <a:pt x="1905" y="473"/>
                                </a:lnTo>
                                <a:lnTo>
                                  <a:pt x="1905" y="481"/>
                                </a:lnTo>
                                <a:close/>
                                <a:moveTo>
                                  <a:pt x="1920" y="481"/>
                                </a:moveTo>
                                <a:lnTo>
                                  <a:pt x="1905" y="481"/>
                                </a:lnTo>
                                <a:lnTo>
                                  <a:pt x="1913" y="473"/>
                                </a:lnTo>
                                <a:lnTo>
                                  <a:pt x="1920" y="473"/>
                                </a:lnTo>
                                <a:lnTo>
                                  <a:pt x="1920" y="481"/>
                                </a:lnTo>
                                <a:close/>
                              </a:path>
                            </a:pathLst>
                          </a:custGeom>
                          <a:solidFill>
                            <a:srgbClr val="000000"/>
                          </a:solidFill>
                          <a:ln>
                            <a:noFill/>
                          </a:ln>
                        </wps:spPr>
                        <wps:bodyPr upright="1"/>
                      </wps:wsp>
                      <wps:wsp>
                        <wps:cNvPr id="44" name="任意多边形 44"/>
                        <wps:cNvSpPr/>
                        <wps:spPr>
                          <a:xfrm>
                            <a:off x="3536" y="3320"/>
                            <a:ext cx="2637" cy="488"/>
                          </a:xfrm>
                          <a:custGeom>
                            <a:avLst/>
                            <a:gdLst/>
                            <a:ahLst/>
                            <a:cxnLst/>
                            <a:rect l="0" t="0" r="0" b="0"/>
                            <a:pathLst>
                              <a:path w="2637" h="488">
                                <a:moveTo>
                                  <a:pt x="2637" y="488"/>
                                </a:moveTo>
                                <a:lnTo>
                                  <a:pt x="0" y="488"/>
                                </a:lnTo>
                                <a:lnTo>
                                  <a:pt x="0" y="0"/>
                                </a:lnTo>
                                <a:lnTo>
                                  <a:pt x="2637" y="0"/>
                                </a:lnTo>
                                <a:lnTo>
                                  <a:pt x="2637" y="8"/>
                                </a:lnTo>
                                <a:lnTo>
                                  <a:pt x="15" y="8"/>
                                </a:lnTo>
                                <a:lnTo>
                                  <a:pt x="8" y="15"/>
                                </a:lnTo>
                                <a:lnTo>
                                  <a:pt x="15" y="15"/>
                                </a:lnTo>
                                <a:lnTo>
                                  <a:pt x="15" y="473"/>
                                </a:lnTo>
                                <a:lnTo>
                                  <a:pt x="8" y="473"/>
                                </a:lnTo>
                                <a:lnTo>
                                  <a:pt x="15" y="481"/>
                                </a:lnTo>
                                <a:lnTo>
                                  <a:pt x="2637" y="481"/>
                                </a:lnTo>
                                <a:lnTo>
                                  <a:pt x="2637" y="488"/>
                                </a:lnTo>
                                <a:close/>
                                <a:moveTo>
                                  <a:pt x="15" y="15"/>
                                </a:moveTo>
                                <a:lnTo>
                                  <a:pt x="8" y="15"/>
                                </a:lnTo>
                                <a:lnTo>
                                  <a:pt x="15" y="8"/>
                                </a:lnTo>
                                <a:lnTo>
                                  <a:pt x="15" y="15"/>
                                </a:lnTo>
                                <a:close/>
                                <a:moveTo>
                                  <a:pt x="2622" y="15"/>
                                </a:moveTo>
                                <a:lnTo>
                                  <a:pt x="15" y="15"/>
                                </a:lnTo>
                                <a:lnTo>
                                  <a:pt x="15" y="8"/>
                                </a:lnTo>
                                <a:lnTo>
                                  <a:pt x="2622" y="8"/>
                                </a:lnTo>
                                <a:lnTo>
                                  <a:pt x="2622" y="15"/>
                                </a:lnTo>
                                <a:close/>
                                <a:moveTo>
                                  <a:pt x="2622" y="481"/>
                                </a:moveTo>
                                <a:lnTo>
                                  <a:pt x="2622" y="8"/>
                                </a:lnTo>
                                <a:lnTo>
                                  <a:pt x="2630" y="15"/>
                                </a:lnTo>
                                <a:lnTo>
                                  <a:pt x="2637" y="15"/>
                                </a:lnTo>
                                <a:lnTo>
                                  <a:pt x="2637" y="473"/>
                                </a:lnTo>
                                <a:lnTo>
                                  <a:pt x="2630" y="473"/>
                                </a:lnTo>
                                <a:lnTo>
                                  <a:pt x="2622" y="481"/>
                                </a:lnTo>
                                <a:close/>
                                <a:moveTo>
                                  <a:pt x="2637" y="15"/>
                                </a:moveTo>
                                <a:lnTo>
                                  <a:pt x="2630" y="15"/>
                                </a:lnTo>
                                <a:lnTo>
                                  <a:pt x="2622" y="8"/>
                                </a:lnTo>
                                <a:lnTo>
                                  <a:pt x="2637" y="8"/>
                                </a:lnTo>
                                <a:lnTo>
                                  <a:pt x="2637" y="15"/>
                                </a:lnTo>
                                <a:close/>
                                <a:moveTo>
                                  <a:pt x="15" y="481"/>
                                </a:moveTo>
                                <a:lnTo>
                                  <a:pt x="8" y="473"/>
                                </a:lnTo>
                                <a:lnTo>
                                  <a:pt x="15" y="473"/>
                                </a:lnTo>
                                <a:lnTo>
                                  <a:pt x="15" y="481"/>
                                </a:lnTo>
                                <a:close/>
                                <a:moveTo>
                                  <a:pt x="2622" y="481"/>
                                </a:moveTo>
                                <a:lnTo>
                                  <a:pt x="15" y="481"/>
                                </a:lnTo>
                                <a:lnTo>
                                  <a:pt x="15" y="473"/>
                                </a:lnTo>
                                <a:lnTo>
                                  <a:pt x="2622" y="473"/>
                                </a:lnTo>
                                <a:lnTo>
                                  <a:pt x="2622" y="481"/>
                                </a:lnTo>
                                <a:close/>
                                <a:moveTo>
                                  <a:pt x="2637" y="481"/>
                                </a:moveTo>
                                <a:lnTo>
                                  <a:pt x="2622" y="481"/>
                                </a:lnTo>
                                <a:lnTo>
                                  <a:pt x="2630" y="473"/>
                                </a:lnTo>
                                <a:lnTo>
                                  <a:pt x="2637" y="473"/>
                                </a:lnTo>
                                <a:lnTo>
                                  <a:pt x="2637" y="481"/>
                                </a:lnTo>
                                <a:close/>
                              </a:path>
                            </a:pathLst>
                          </a:custGeom>
                          <a:solidFill>
                            <a:srgbClr val="000000"/>
                          </a:solidFill>
                          <a:ln>
                            <a:noFill/>
                          </a:ln>
                        </wps:spPr>
                        <wps:bodyPr upright="1"/>
                      </wps:wsp>
                      <wps:wsp>
                        <wps:cNvPr id="45" name="文本框 45"/>
                        <wps:cNvSpPr txBox="1"/>
                        <wps:spPr>
                          <a:xfrm>
                            <a:off x="4461" y="398"/>
                            <a:ext cx="740" cy="240"/>
                          </a:xfrm>
                          <a:prstGeom prst="rect">
                            <a:avLst/>
                          </a:prstGeom>
                          <a:noFill/>
                          <a:ln>
                            <a:noFill/>
                          </a:ln>
                        </wps:spPr>
                        <wps:txbx>
                          <w:txbxContent>
                            <w:p>
                              <w:pPr>
                                <w:spacing w:line="240" w:lineRule="exact"/>
                                <w:jc w:val="left"/>
                                <w:rPr>
                                  <w:sz w:val="24"/>
                                </w:rPr>
                              </w:pPr>
                              <w:r>
                                <w:rPr>
                                  <w:sz w:val="24"/>
                                </w:rPr>
                                <w:t>总经理</w:t>
                              </w:r>
                            </w:p>
                          </w:txbxContent>
                        </wps:txbx>
                        <wps:bodyPr lIns="0" tIns="0" rIns="0" bIns="0" upright="1"/>
                      </wps:wsp>
                      <wps:wsp>
                        <wps:cNvPr id="46" name="文本框 46"/>
                        <wps:cNvSpPr txBox="1"/>
                        <wps:spPr>
                          <a:xfrm>
                            <a:off x="4348" y="1397"/>
                            <a:ext cx="980" cy="240"/>
                          </a:xfrm>
                          <a:prstGeom prst="rect">
                            <a:avLst/>
                          </a:prstGeom>
                          <a:noFill/>
                          <a:ln>
                            <a:noFill/>
                          </a:ln>
                        </wps:spPr>
                        <wps:txbx>
                          <w:txbxContent>
                            <w:p>
                              <w:pPr>
                                <w:spacing w:line="240" w:lineRule="exact"/>
                                <w:jc w:val="left"/>
                                <w:rPr>
                                  <w:sz w:val="24"/>
                                </w:rPr>
                              </w:pPr>
                              <w:r>
                                <w:rPr>
                                  <w:sz w:val="24"/>
                                </w:rPr>
                                <w:t>副总经理</w:t>
                              </w:r>
                            </w:p>
                          </w:txbxContent>
                        </wps:txbx>
                        <wps:bodyPr lIns="0" tIns="0" rIns="0" bIns="0" upright="1"/>
                      </wps:wsp>
                      <wps:wsp>
                        <wps:cNvPr id="99" name="文本框 99"/>
                        <wps:cNvSpPr txBox="1"/>
                        <wps:spPr>
                          <a:xfrm>
                            <a:off x="4269" y="2455"/>
                            <a:ext cx="1220" cy="240"/>
                          </a:xfrm>
                          <a:prstGeom prst="rect">
                            <a:avLst/>
                          </a:prstGeom>
                          <a:noFill/>
                          <a:ln>
                            <a:noFill/>
                          </a:ln>
                        </wps:spPr>
                        <wps:txbx>
                          <w:txbxContent>
                            <w:p>
                              <w:pPr>
                                <w:spacing w:line="240" w:lineRule="exact"/>
                                <w:jc w:val="left"/>
                                <w:rPr>
                                  <w:sz w:val="24"/>
                                </w:rPr>
                              </w:pPr>
                              <w:r>
                                <w:rPr>
                                  <w:sz w:val="24"/>
                                </w:rPr>
                                <w:t>安全环保处</w:t>
                              </w:r>
                            </w:p>
                          </w:txbxContent>
                        </wps:txbx>
                        <wps:bodyPr lIns="0" tIns="0" rIns="0" bIns="0" upright="1"/>
                      </wps:wsp>
                      <wps:wsp>
                        <wps:cNvPr id="102" name="文本框 102"/>
                        <wps:cNvSpPr txBox="1"/>
                        <wps:spPr>
                          <a:xfrm>
                            <a:off x="7020" y="2438"/>
                            <a:ext cx="1460" cy="240"/>
                          </a:xfrm>
                          <a:prstGeom prst="rect">
                            <a:avLst/>
                          </a:prstGeom>
                          <a:noFill/>
                          <a:ln>
                            <a:noFill/>
                          </a:ln>
                        </wps:spPr>
                        <wps:txbx>
                          <w:txbxContent>
                            <w:p>
                              <w:pPr>
                                <w:spacing w:line="240" w:lineRule="exact"/>
                                <w:jc w:val="left"/>
                                <w:rPr>
                                  <w:sz w:val="24"/>
                                </w:rPr>
                              </w:pPr>
                              <w:r>
                                <w:rPr>
                                  <w:sz w:val="24"/>
                                </w:rPr>
                                <w:t>岳阳市环保局</w:t>
                              </w:r>
                            </w:p>
                          </w:txbxContent>
                        </wps:txbx>
                        <wps:bodyPr lIns="0" tIns="0" rIns="0" bIns="0" upright="1"/>
                      </wps:wsp>
                      <wps:wsp>
                        <wps:cNvPr id="109" name="文本框 109"/>
                        <wps:cNvSpPr txBox="1"/>
                        <wps:spPr>
                          <a:xfrm>
                            <a:off x="3936" y="3444"/>
                            <a:ext cx="1940" cy="240"/>
                          </a:xfrm>
                          <a:prstGeom prst="rect">
                            <a:avLst/>
                          </a:prstGeom>
                          <a:noFill/>
                          <a:ln>
                            <a:noFill/>
                          </a:ln>
                        </wps:spPr>
                        <wps:txbx>
                          <w:txbxContent>
                            <w:p>
                              <w:pPr>
                                <w:spacing w:line="240" w:lineRule="exact"/>
                                <w:jc w:val="left"/>
                                <w:rPr>
                                  <w:sz w:val="24"/>
                                </w:rPr>
                              </w:pPr>
                              <w:r>
                                <w:rPr>
                                  <w:sz w:val="24"/>
                                </w:rPr>
                                <w:t>车间专职环保人员</w:t>
                              </w:r>
                            </w:p>
                          </w:txbxContent>
                        </wps:txbx>
                        <wps:bodyPr lIns="0" tIns="0" rIns="0" bIns="0" upright="1"/>
                      </wps:wsp>
                    </wpg:wgp>
                  </a:graphicData>
                </a:graphic>
              </wp:anchor>
            </w:drawing>
          </mc:Choice>
          <mc:Fallback>
            <w:pict>
              <v:group id="_x0000_s1026" o:spid="_x0000_s1026" o:spt="203" style="position:absolute;left:0pt;margin-left:176.8pt;margin-top:13.7pt;height:176.7pt;width:268.75pt;mso-position-horizontal-relative:page;mso-wrap-distance-bottom:0pt;mso-wrap-distance-top:0pt;z-index:251646976;mso-width-relative:page;mso-height-relative:page;" coordorigin="3536,274" coordsize="5375,3534" o:gfxdata="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">
                <o:lock v:ext="edit" aspectratio="f"/>
                <v:shape id="_x0000_s1026" o:spid="_x0000_s1026" o:spt="100" style="position:absolute;left:3869;top:1274;height:488;width:1920;" fillcolor="#000000" filled="t" stroked="f" coordsize="1920,488" o:gfxdata="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iJvb4A&#10;AADbAAAADwAAAAAAAAABACAAAAAiAAAAZHJzL2Rvd25yZXYueG1sUEsBAhQAFAAAAAgAh07iQDMv&#10;BZ47AAAAOQAAABAAAAAAAAAAAQAgAAAADQEAAGRycy9zaGFwZXhtbC54bWxQSwUGAAAAAAYABgBb&#10;AQAAtwMAAAAA&#10;" path="m1920,488l0,488,0,0,1920,0,1920,8,15,8,8,15,15,15,15,473,8,473,15,481,1920,481,1920,488xm15,15l8,15,15,8,15,15xm1905,15l15,15,15,8,1905,8,1905,15xm1905,481l1905,8,1913,15,1920,15,1920,473,1913,473,1905,481xm1920,15l1913,15,1905,8,1920,8,1920,15xm15,481l8,473,15,473,15,481xm1905,481l15,481,15,473,1905,473,1905,481xm1920,481l1905,481,1913,473,1920,473,1920,481xe">
                  <v:fill on="t" focussize="0,0"/>
                  <v:stroke on="f"/>
                  <v:imagedata o:title=""/>
                  <o:lock v:ext="edit" aspectratio="f"/>
                </v:shape>
                <v:shape id="_x0000_s1026" o:spid="_x0000_s1026" o:spt="100" style="position:absolute;left:3848;top:274;height:526;width:1948;" fillcolor="#000000" filled="t" stroked="f" coordsize="1948,526" o:gfxdata="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aUpbvQAA&#10;ANsAAAAPAAAAAAAAAAEAIAAAACIAAABkcnMvZG93bnJldi54bWxQSwECFAAUAAAACACHTuJAMy8F&#10;njsAAAA5AAAAEAAAAAAAAAABACAAAAAMAQAAZHJzL3NoYXBleG1sLnhtbFBLBQYAAAAABgAGAFsB&#10;AAC2AwAAAAA=&#10;" path="m1948,526l0,526,0,0,1948,0,1948,8,15,8,8,15,15,15,15,511,8,511,15,519,1948,519,1948,526xm15,15l8,15,15,8,15,15xm1933,15l15,15,15,8,1933,8,1933,15xm1933,519l1933,8,1941,15,1948,15,1948,511,1941,511,1933,519xm1948,15l1941,15,1933,8,1948,8,1948,15xm15,519l8,511,15,511,15,519xm1933,519l15,519,15,511,1933,511,1933,519xm1948,519l1933,519,1941,511,1948,511,1948,519xe">
                  <v:fill on="t" focussize="0,0"/>
                  <v:stroke on="f"/>
                  <v:imagedata o:title=""/>
                  <o:lock v:ext="edit" aspectratio="f"/>
                </v:shape>
                <v:shape id="_x0000_s1026" o:spid="_x0000_s1026" o:spt="100" style="position:absolute;left:4764;top:780;height:469;width:120;" fillcolor="#000000" filled="t" stroked="f" coordsize="120,469" o:gfxdata="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3AFr4A&#10;AADbAAAADwAAAAAAAAABACAAAAAiAAAAZHJzL2Rvd25yZXYueG1sUEsBAhQAFAAAAAgAh07iQDMv&#10;BZ47AAAAOQAAABAAAAAAAAAAAQAgAAAADQEAAGRycy9zaGFwZXhtbC54bWxQSwUGAAAAAAYABgBb&#10;AQAAtwMAAAAA&#10;" path="m52,348l51,0,66,0,67,348,52,348xm105,378l52,378,67,378,67,348,120,348,105,378xm52,378l52,348,67,348,67,378,52,378xm60,468l0,348,52,348,52,378,105,378,60,468xe">
                  <v:fill on="t" focussize="0,0"/>
                  <v:stroke on="f"/>
                  <v:imagedata o:title=""/>
                  <o:lock v:ext="edit" aspectratio="f"/>
                </v:shape>
                <v:shape id="_x0000_s1026" o:spid="_x0000_s1026" o:spt="100" style="position:absolute;left:4768;top:1750;height:591;width:120;" fillcolor="#000000" filled="t" stroked="f" coordsize="120,591" o:gfxdata="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fqB68AAAA&#10;2wAAAA8AAAAAAAAAAQAgAAAAIgAAAGRycy9kb3ducmV2LnhtbFBLAQIUABQAAAAIAIdO4kAzLwWe&#10;OwAAADkAAAAQAAAAAAAAAAEAIAAAAAsBAABkcnMvc2hhcGV4bWwueG1sUEsFBgAAAAAGAAYAWwEA&#10;ALUDAAAAAA==&#10;" path="m52,470l51,0,66,0,67,470,52,470xm105,500l52,500,67,500,67,470,120,470,105,500xm52,500l52,470,67,470,67,500,52,500xm60,590l0,470,52,470,52,500,105,500,60,590xe">
                  <v:fill on="t" focussize="0,0"/>
                  <v:stroke on="f"/>
                  <v:imagedata o:title=""/>
                  <o:lock v:ext="edit" aspectratio="f"/>
                </v:shape>
                <v:shape id="_x0000_s1026" o:spid="_x0000_s1026" o:spt="100" style="position:absolute;left:6569;top:2316;height:483;width:2342;" fillcolor="#000000" filled="t" stroked="f" coordsize="2342,483" o:gfxdata="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TId0u5AAAA2wAA&#10;AA8AAAAAAAAAAQAgAAAAIgAAAGRycy9kb3ducmV2LnhtbFBLAQIUABQAAAAIAIdO4kAzLwWeOwAA&#10;ADkAAAAQAAAAAAAAAAEAIAAAAAgBAABkcnMvc2hhcGV4bWwueG1sUEsFBgAAAAAGAAYAWwEAALID&#10;AAAAAA==&#10;" path="m2342,483l0,483,0,0,2342,0,2342,8,15,8,8,15,15,15,15,468,8,468,15,476,2342,476,2342,483xm15,15l8,15,15,8,15,15xm2327,15l15,15,15,8,2327,8,2327,15xm2327,476l2327,8,2335,15,2342,15,2342,468,2335,468,2327,476xm2342,15l2335,15,2327,8,2342,8,2342,15xm15,476l8,468,15,468,15,476xm2327,476l15,476,15,468,2327,468,2327,476xm2342,476l2327,476,2335,468,2342,468,2342,476xe">
                  <v:fill on="t" focussize="0,0"/>
                  <v:stroke on="f"/>
                  <v:imagedata o:title=""/>
                  <o:lock v:ext="edit" aspectratio="f"/>
                </v:shape>
                <v:shape id="_x0000_s1026" o:spid="_x0000_s1026" o:spt="100" style="position:absolute;left:5806;top:2522;height:120;width:721;" fillcolor="#000000" filled="t" stroked="f" coordsize="721,120" o:gfxdata="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YF/6bgAAADbAAAA&#10;DwAAAAAAAAABACAAAAAiAAAAZHJzL2Rvd25yZXYueG1sUEsBAhQAFAAAAAgAh07iQDMvBZ47AAAA&#10;OQAAABAAAAAAAAAAAQAgAAAABwEAAGRycy9zaGFwZXhtbC54bWxQSwUGAAAAAAYABgBbAQAAsQMA&#10;AAAA&#10;" path="m120,120l0,60,120,0,120,52,90,52,90,67,120,67,120,120xm120,67l120,52,720,51,720,66,120,67xm90,67l90,52,120,52,120,67,90,67xm120,67l90,67,120,67,120,67xe">
                  <v:fill on="t" focussize="0,0"/>
                  <v:stroke on="f"/>
                  <v:imagedata o:title=""/>
                  <o:lock v:ext="edit" aspectratio="f"/>
                </v:shape>
                <v:shape id="_x0000_s1026" o:spid="_x0000_s1026" o:spt="100" style="position:absolute;left:4778;top:2845;height:469;width:120;" fillcolor="#000000" filled="t" stroked="f" coordsize="120,469" o:gfxdata="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4X3/L4A&#10;AADbAAAADwAAAAAAAAABACAAAAAiAAAAZHJzL2Rvd25yZXYueG1sUEsBAhQAFAAAAAgAh07iQDMv&#10;BZ47AAAAOQAAABAAAAAAAAAAAQAgAAAADQEAAGRycy9zaGFwZXhtbC54bWxQSwUGAAAAAAYABgBb&#10;AQAAtwMAAAAA&#10;" path="m52,348l51,0,66,0,67,348,52,348xm105,378l52,378,67,378,67,348,120,348,105,378xm52,378l52,348,67,348,67,378,52,378xm60,468l0,348,52,348,52,378,105,378,60,468xe">
                  <v:fill on="t" focussize="0,0"/>
                  <v:stroke on="f"/>
                  <v:imagedata o:title=""/>
                  <o:lock v:ext="edit" aspectratio="f"/>
                </v:shape>
                <v:shape id="_x0000_s1026" o:spid="_x0000_s1026" o:spt="100" style="position:absolute;left:3869;top:2333;height:488;width:1920;" fillcolor="#000000" filled="t" stroked="f" coordsize="1920,488" o:gfxdata="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6TjXvQAA&#10;ANsAAAAPAAAAAAAAAAEAIAAAACIAAABkcnMvZG93bnJldi54bWxQSwECFAAUAAAACACHTuJAMy8F&#10;njsAAAA5AAAAEAAAAAAAAAABACAAAAAMAQAAZHJzL3NoYXBleG1sLnhtbFBLBQYAAAAABgAGAFsB&#10;AAC2AwAAAAA=&#10;" path="m1920,488l0,488,0,0,1920,0,1920,8,15,8,8,15,15,15,15,473,8,473,15,481,1920,481,1920,488xm15,15l8,15,15,8,15,15xm1905,15l15,15,15,8,1905,8,1905,15xm1905,481l1905,8,1913,15,1920,15,1920,473,1913,473,1905,481xm1920,15l1913,15,1905,8,1920,8,1920,15xm15,481l8,473,15,473,15,481xm1905,481l15,481,15,473,1905,473,1905,481xm1920,481l1905,481,1913,473,1920,473,1920,481xe">
                  <v:fill on="t" focussize="0,0"/>
                  <v:stroke on="f"/>
                  <v:imagedata o:title=""/>
                  <o:lock v:ext="edit" aspectratio="f"/>
                </v:shape>
                <v:shape id="_x0000_s1026" o:spid="_x0000_s1026" o:spt="100" style="position:absolute;left:3536;top:3320;height:488;width:2637;" fillcolor="#000000" filled="t" stroked="f" coordsize="2637,488" o:gfxdata="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u2fda8AAAA&#10;2wAAAA8AAAAAAAAAAQAgAAAAIgAAAGRycy9kb3ducmV2LnhtbFBLAQIUABQAAAAIAIdO4kAzLwWe&#10;OwAAADkAAAAQAAAAAAAAAAEAIAAAAAsBAABkcnMvc2hhcGV4bWwueG1sUEsFBgAAAAAGAAYAWwEA&#10;ALUDAAAAAA==&#10;" path="m2637,488l0,488,0,0,2637,0,2637,8,15,8,8,15,15,15,15,473,8,473,15,481,2637,481,2637,488xm15,15l8,15,15,8,15,15xm2622,15l15,15,15,8,2622,8,2622,15xm2622,481l2622,8,2630,15,2637,15,2637,473,2630,473,2622,481xm2637,15l2630,15,2622,8,2637,8,2637,15xm15,481l8,473,15,473,15,481xm2622,481l15,481,15,473,2622,473,2622,481xm2637,481l2622,481,2630,473,2637,473,2637,481xe">
                  <v:fill on="t" focussize="0,0"/>
                  <v:stroke on="f"/>
                  <v:imagedata o:title=""/>
                  <o:lock v:ext="edit" aspectratio="f"/>
                </v:shape>
                <v:shape id="_x0000_s1026" o:spid="_x0000_s1026" o:spt="202" type="#_x0000_t202" style="position:absolute;left:4461;top:398;height:240;width:740;" filled="f" stroked="f" coordsize="21600,21600" o:gfxdata="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59P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sz w:val="24"/>
                          </w:rPr>
                        </w:pPr>
                        <w:r>
                          <w:rPr>
                            <w:sz w:val="24"/>
                          </w:rPr>
                          <w:t>总经理</w:t>
                        </w:r>
                      </w:p>
                    </w:txbxContent>
                  </v:textbox>
                </v:shape>
                <v:shape id="_x0000_s1026" o:spid="_x0000_s1026" o:spt="202" type="#_x0000_t202" style="position:absolute;left:4348;top:1397;height:240;width:980;" filled="f" stroked="f" coordsize="21600,21600" o:gfxdata="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HONK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line="240" w:lineRule="exact"/>
                          <w:jc w:val="left"/>
                          <w:rPr>
                            <w:sz w:val="24"/>
                          </w:rPr>
                        </w:pPr>
                        <w:r>
                          <w:rPr>
                            <w:sz w:val="24"/>
                          </w:rPr>
                          <w:t>副总经理</w:t>
                        </w:r>
                      </w:p>
                    </w:txbxContent>
                  </v:textbox>
                </v:shape>
                <v:shape id="_x0000_s1026" o:spid="_x0000_s1026" o:spt="202" type="#_x0000_t202" style="position:absolute;left:4269;top:2455;height:240;width:1220;" filled="f" stroked="f" coordsize="21600,21600" o:gfxdata="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Nbf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40" w:lineRule="exact"/>
                          <w:jc w:val="left"/>
                          <w:rPr>
                            <w:sz w:val="24"/>
                          </w:rPr>
                        </w:pPr>
                        <w:r>
                          <w:rPr>
                            <w:sz w:val="24"/>
                          </w:rPr>
                          <w:t>安全环保处</w:t>
                        </w:r>
                      </w:p>
                    </w:txbxContent>
                  </v:textbox>
                </v:shape>
                <v:shape id="_x0000_s1026" o:spid="_x0000_s1026" o:spt="202" type="#_x0000_t202" style="position:absolute;left:7020;top:2438;height:240;width:1460;" filled="f" stroked="f" coordsize="21600,21600" o:gfxdata="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ebY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exact"/>
                          <w:jc w:val="left"/>
                          <w:rPr>
                            <w:sz w:val="24"/>
                          </w:rPr>
                        </w:pPr>
                        <w:r>
                          <w:rPr>
                            <w:sz w:val="24"/>
                          </w:rPr>
                          <w:t>岳阳市环保局</w:t>
                        </w:r>
                      </w:p>
                    </w:txbxContent>
                  </v:textbox>
                </v:shape>
                <v:shape id="_x0000_s1026" o:spid="_x0000_s1026" o:spt="202" type="#_x0000_t202" style="position:absolute;left:3936;top:3444;height:240;width:1940;" filled="f" stroked="f" coordsize="21600,21600" o:gfxdata="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r//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240" w:lineRule="exact"/>
                          <w:jc w:val="left"/>
                          <w:rPr>
                            <w:sz w:val="24"/>
                          </w:rPr>
                        </w:pPr>
                        <w:r>
                          <w:rPr>
                            <w:sz w:val="24"/>
                          </w:rPr>
                          <w:t>车间专职环保人员</w:t>
                        </w:r>
                      </w:p>
                    </w:txbxContent>
                  </v:textbox>
                </v:shape>
                <w10:wrap type="topAndBottom"/>
              </v:group>
            </w:pict>
          </mc:Fallback>
        </mc:AlternateContent>
      </w:r>
    </w:p>
    <w:p>
      <w:pPr>
        <w:pStyle w:val="22"/>
        <w:spacing w:before="11"/>
        <w:rPr>
          <w:color w:val="auto"/>
          <w:sz w:val="22"/>
        </w:rPr>
      </w:pPr>
    </w:p>
    <w:p>
      <w:pPr>
        <w:pStyle w:val="22"/>
        <w:ind w:left="2480"/>
        <w:rPr>
          <w:b/>
          <w:bCs/>
          <w:color w:val="auto"/>
          <w:sz w:val="24"/>
          <w:szCs w:val="32"/>
          <w:lang w:val="zh-CN"/>
        </w:rPr>
      </w:pPr>
    </w:p>
    <w:p>
      <w:pPr>
        <w:pStyle w:val="22"/>
        <w:ind w:left="2480"/>
        <w:rPr>
          <w:rFonts w:ascii="黑体"/>
          <w:color w:val="auto"/>
        </w:rPr>
      </w:pPr>
      <w:r>
        <w:rPr>
          <w:rFonts w:hint="eastAsia"/>
          <w:b/>
          <w:bCs/>
          <w:color w:val="auto"/>
          <w:sz w:val="24"/>
          <w:szCs w:val="32"/>
          <w:lang w:val="zh-CN"/>
        </w:rPr>
        <w:t xml:space="preserve">图 </w:t>
      </w:r>
      <w:r>
        <w:rPr>
          <w:rFonts w:hint="eastAsia"/>
          <w:b/>
          <w:bCs/>
          <w:color w:val="auto"/>
          <w:sz w:val="24"/>
          <w:szCs w:val="32"/>
          <w:lang w:val="en-US" w:eastAsia="zh-CN"/>
        </w:rPr>
        <w:t>9</w:t>
      </w:r>
      <w:r>
        <w:rPr>
          <w:b/>
          <w:bCs/>
          <w:color w:val="auto"/>
          <w:sz w:val="24"/>
          <w:szCs w:val="32"/>
          <w:lang w:val="zh-CN"/>
        </w:rPr>
        <w:t xml:space="preserve">-1  </w:t>
      </w:r>
      <w:r>
        <w:rPr>
          <w:rFonts w:hint="eastAsia"/>
          <w:b/>
          <w:bCs/>
          <w:color w:val="auto"/>
          <w:sz w:val="24"/>
          <w:szCs w:val="32"/>
          <w:lang w:val="zh-CN"/>
        </w:rPr>
        <w:t>长岭分公司环境保护机构</w:t>
      </w:r>
    </w:p>
    <w:p>
      <w:pPr>
        <w:pStyle w:val="22"/>
        <w:spacing w:before="185" w:line="360" w:lineRule="auto"/>
        <w:ind w:firstLine="480" w:firstLineChars="200"/>
        <w:jc w:val="left"/>
        <w:rPr>
          <w:color w:val="auto"/>
          <w:kern w:val="0"/>
          <w:sz w:val="24"/>
          <w:szCs w:val="24"/>
        </w:rPr>
      </w:pPr>
      <w:r>
        <w:rPr>
          <w:color w:val="auto"/>
          <w:kern w:val="0"/>
          <w:sz w:val="24"/>
          <w:szCs w:val="24"/>
        </w:rPr>
        <w:t>第一级是公司总经理，负责环保总体工作；第二级是主管副总经理，主管全公司的环境保护工作；第三级是公司安全环保处，执行公司环境保护的职能；第四级是作业部级安全环保组，执行作业部级环境保护的职能。公司级安全环保部和作业部级安全环保组均设立专职的环保管理人员，负责公司环境保护管理具体工作。</w:t>
      </w:r>
    </w:p>
    <w:p>
      <w:pPr>
        <w:pStyle w:val="22"/>
        <w:spacing w:before="80" w:line="360" w:lineRule="auto"/>
        <w:jc w:val="left"/>
        <w:rPr>
          <w:color w:val="auto"/>
          <w:kern w:val="0"/>
          <w:sz w:val="24"/>
          <w:szCs w:val="24"/>
        </w:rPr>
      </w:pPr>
      <w:r>
        <w:rPr>
          <w:color w:val="auto"/>
          <w:kern w:val="0"/>
          <w:sz w:val="24"/>
          <w:szCs w:val="24"/>
        </w:rPr>
        <w:t>结合项目的特点，在项目设立专职、兼职的环保员，负责了解和协调各装置运行过程中有关的环保问题，同时在管理手段上采用计算机网络管理等先进技术。</w:t>
      </w:r>
    </w:p>
    <w:p>
      <w:pPr>
        <w:pStyle w:val="7"/>
        <w:numPr>
          <w:ilvl w:val="2"/>
          <w:numId w:val="0"/>
        </w:numPr>
        <w:spacing w:before="120" w:beforeLines="0" w:after="120" w:afterLines="0"/>
        <w:ind w:left="142" w:leftChars="0"/>
        <w:rPr>
          <w:color w:val="auto"/>
        </w:rPr>
      </w:pPr>
      <w:bookmarkStart w:id="455" w:name="_Toc27711"/>
      <w:r>
        <w:rPr>
          <w:rFonts w:hint="eastAsia"/>
          <w:color w:val="auto"/>
          <w:lang w:val="en-US" w:eastAsia="zh-CN"/>
        </w:rPr>
        <w:t xml:space="preserve">9.1.2 </w:t>
      </w:r>
      <w:r>
        <w:rPr>
          <w:color w:val="auto"/>
        </w:rPr>
        <w:t>环保管理机构职责</w:t>
      </w:r>
      <w:bookmarkEnd w:id="453"/>
      <w:bookmarkEnd w:id="454"/>
      <w:bookmarkEnd w:id="455"/>
    </w:p>
    <w:p>
      <w:pPr>
        <w:spacing w:line="360" w:lineRule="auto"/>
        <w:ind w:firstLine="480" w:firstLineChars="200"/>
        <w:rPr>
          <w:rFonts w:ascii="Times New Roman" w:hAnsi="Times New Roman" w:cs="Times New Roman"/>
          <w:color w:val="auto"/>
          <w:sz w:val="24"/>
          <w:szCs w:val="24"/>
        </w:rPr>
      </w:pPr>
      <w:bookmarkStart w:id="456" w:name="_Toc22588"/>
      <w:bookmarkStart w:id="457" w:name="_Toc14953"/>
      <w:r>
        <w:rPr>
          <w:rFonts w:ascii="Times New Roman" w:hAnsi="Times New Roman" w:cs="Times New Roman"/>
          <w:color w:val="auto"/>
          <w:sz w:val="24"/>
          <w:szCs w:val="24"/>
        </w:rPr>
        <w:t>环境管理机构主要职能是：</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①贯彻执行环境保护法规和标准；</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②制定并组织实施本企业的环境保护规划和计划；</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③建立健全本企业的环境管理规章制度；</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④监督检查环境保护设施的运行情况；</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⑤组织实施企业员工的环境保护教育和培训；</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⑥组织和领导全厂环境监测工作；</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⑦参与调查处理污染事故和纠纷；</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⑧做好环境保护的基础工作和统计工作。</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为加强环境管理，项目实施后，应根据国家、地方政府以及企业上级部门颁布的各项环境保护方针、政策和法规，结合本企业的实际情况制定相应环境管理的规章制度。</w:t>
      </w:r>
    </w:p>
    <w:p>
      <w:pPr>
        <w:pStyle w:val="6"/>
        <w:numPr>
          <w:ilvl w:val="1"/>
          <w:numId w:val="0"/>
        </w:numPr>
        <w:spacing w:before="120" w:beforeLines="0" w:after="120" w:afterLines="0"/>
        <w:ind w:leftChars="0"/>
        <w:rPr>
          <w:rFonts w:hint="eastAsia"/>
          <w:color w:val="auto"/>
          <w:lang w:val="en-US" w:eastAsia="zh-CN"/>
        </w:rPr>
      </w:pPr>
      <w:bookmarkStart w:id="458" w:name="_Toc32434"/>
      <w:r>
        <w:rPr>
          <w:rFonts w:hint="eastAsia"/>
          <w:color w:val="auto"/>
          <w:lang w:val="en-US" w:eastAsia="zh-CN"/>
        </w:rPr>
        <w:t>9.2 施工期的环境管理</w:t>
      </w:r>
      <w:bookmarkEnd w:id="456"/>
      <w:bookmarkEnd w:id="457"/>
      <w:bookmarkEnd w:id="458"/>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为加强施工现场管理，防止施工扬尘污染和施工噪声扰民，本评价对项目施工期环境管理提出如下要求：</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（1）项目应配备1名具有环保专业知识的技术人员，专职或兼职负责施工期的环境保护工作，其主要职责如下：</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①根据国家及地方政策有关施工管理条例和施工操作规范，结合本工程的特点，制定施工环境管理条例，为施工单位的施工活动提出具体要求；</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②监督、检查施工单位对条例的执行情况；</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③受理附近居民对施工过程中的环境保护意见，并及时与施工方协商解决；</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④参与有关环境纠纷和污染事故的调查处理工作。</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（2）施工单位设置一名专职或兼职环境保护人员，其主要职责为：</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①按建设单位和环境影响评价要求制定文明施工计划，向当地环保行政部分提交施工阶段环境保护报告。内容应包括：工程进度、主要施工内容及方法、造成的环境影响评述以及减缓环境影响措施的落实情况；</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②与业主单位环保人员一同制定本工程施工环境管理条例；</w:t>
      </w:r>
    </w:p>
    <w:p>
      <w:pPr>
        <w:spacing w:line="360" w:lineRule="auto"/>
        <w:ind w:firstLine="480" w:firstLineChars="200"/>
        <w:rPr>
          <w:rFonts w:ascii="Times New Roman" w:hAnsi="Times New Roman" w:cs="Times New Roman"/>
          <w:color w:val="auto"/>
          <w:spacing w:val="8"/>
          <w:sz w:val="24"/>
          <w:szCs w:val="24"/>
        </w:rPr>
      </w:pPr>
      <w:r>
        <w:rPr>
          <w:rFonts w:ascii="Times New Roman" w:hAnsi="Times New Roman" w:cs="Times New Roman"/>
          <w:color w:val="auto"/>
          <w:sz w:val="24"/>
          <w:szCs w:val="24"/>
        </w:rPr>
        <w:t>③</w:t>
      </w:r>
      <w:r>
        <w:rPr>
          <w:rFonts w:ascii="Times New Roman" w:hAnsi="Times New Roman" w:cs="Times New Roman"/>
          <w:color w:val="auto"/>
          <w:spacing w:val="8"/>
          <w:sz w:val="24"/>
          <w:szCs w:val="24"/>
        </w:rPr>
        <w:t>定期检查施工环境管理条例实施情况，并督促有关人员进行整改；</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④定期听取环保部门、建设单位和周围居民对施工污染影响的意见，以便进一步加强文明施工。</w:t>
      </w:r>
    </w:p>
    <w:p>
      <w:pPr>
        <w:pStyle w:val="6"/>
        <w:numPr>
          <w:ilvl w:val="1"/>
          <w:numId w:val="0"/>
        </w:numPr>
        <w:spacing w:before="120" w:beforeLines="0" w:after="120" w:afterLines="0"/>
        <w:ind w:leftChars="0"/>
        <w:rPr>
          <w:rFonts w:hint="eastAsia"/>
          <w:color w:val="auto"/>
          <w:lang w:val="en-US" w:eastAsia="zh-CN"/>
        </w:rPr>
      </w:pPr>
      <w:bookmarkStart w:id="459" w:name="_Toc16931"/>
      <w:bookmarkStart w:id="460" w:name="_Toc22302"/>
      <w:bookmarkStart w:id="461" w:name="_Toc10842"/>
      <w:r>
        <w:rPr>
          <w:rFonts w:hint="eastAsia"/>
          <w:color w:val="auto"/>
          <w:lang w:val="en-US" w:eastAsia="zh-CN"/>
        </w:rPr>
        <w:t>9.3 施工期的环境监理</w:t>
      </w:r>
      <w:bookmarkEnd w:id="459"/>
      <w:bookmarkEnd w:id="460"/>
      <w:bookmarkEnd w:id="461"/>
    </w:p>
    <w:p>
      <w:pPr>
        <w:pStyle w:val="7"/>
        <w:numPr>
          <w:ilvl w:val="2"/>
          <w:numId w:val="0"/>
        </w:numPr>
        <w:ind w:left="142" w:leftChars="0"/>
        <w:rPr>
          <w:color w:val="auto"/>
        </w:rPr>
      </w:pPr>
      <w:bookmarkStart w:id="462" w:name="_Toc25035"/>
      <w:r>
        <w:rPr>
          <w:rFonts w:hint="eastAsia"/>
          <w:color w:val="auto"/>
          <w:lang w:val="en-US" w:eastAsia="zh-CN"/>
        </w:rPr>
        <w:t>9.3</w:t>
      </w:r>
      <w:r>
        <w:rPr>
          <w:rFonts w:hint="eastAsia"/>
          <w:color w:val="auto"/>
        </w:rPr>
        <w:t>.1</w:t>
      </w:r>
      <w:r>
        <w:rPr>
          <w:color w:val="auto"/>
        </w:rPr>
        <w:t xml:space="preserve"> 环境监理目标</w:t>
      </w:r>
      <w:bookmarkEnd w:id="462"/>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环境监理工作目标主要体现在：</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（1）确保工程环保设计和相关监理文件中提出的环保工作得到合理的实施，使环境影响报告书中的环保要求得到落实；</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（2）结合工程实际情况，协助业主进行环境管理，宣传环保知识，增强环保意识；</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（3）监督施工单位采取有效的措施将施工活动对环境的不利影响控制在可接受的范围内，提高环保工作水平；</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（4）形成丰富完整的监理工作资料，真实反映工作过程，为工程的环保验收提供依据。</w:t>
      </w:r>
    </w:p>
    <w:p>
      <w:pPr>
        <w:pStyle w:val="7"/>
        <w:numPr>
          <w:ilvl w:val="2"/>
          <w:numId w:val="0"/>
        </w:numPr>
        <w:ind w:left="142" w:leftChars="0"/>
        <w:rPr>
          <w:rFonts w:hint="eastAsia"/>
          <w:color w:val="auto"/>
          <w:lang w:val="en-US" w:eastAsia="zh-CN"/>
        </w:rPr>
      </w:pPr>
      <w:bookmarkStart w:id="463" w:name="_Toc8684"/>
      <w:r>
        <w:rPr>
          <w:rFonts w:hint="eastAsia"/>
          <w:color w:val="auto"/>
          <w:lang w:val="en-US" w:eastAsia="zh-CN"/>
        </w:rPr>
        <w:t>9.3.2 环境监理内容</w:t>
      </w:r>
      <w:bookmarkEnd w:id="463"/>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（1）建设项目初步设计和施工设计中是否全面落实了环境影响报告书及其批复文件的要求；建设项目的施工过程是否落实环境影响报告书及其批复文件</w:t>
      </w:r>
      <w:r>
        <w:rPr>
          <w:rFonts w:hint="eastAsia" w:ascii="Times New Roman" w:hAnsi="Times New Roman" w:cs="Times New Roman"/>
          <w:color w:val="auto"/>
          <w:spacing w:val="8"/>
          <w:sz w:val="24"/>
          <w:szCs w:val="24"/>
        </w:rPr>
        <w:t>的</w:t>
      </w:r>
      <w:r>
        <w:rPr>
          <w:rFonts w:ascii="Times New Roman" w:hAnsi="Times New Roman" w:cs="Times New Roman"/>
          <w:color w:val="auto"/>
          <w:spacing w:val="8"/>
          <w:sz w:val="24"/>
          <w:szCs w:val="24"/>
        </w:rPr>
        <w:t>要求；建设项目施工期间的污染防治设施、措施及生态保护工作的实施与进度；施工期间是否制定和落实相应的环保制度；环境保护投资是否落实到位；</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（2）审核招标文件、工程合同有关环境保护条款；施工承包单位必须遵循</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的环境保护有关要求应以专项条款的方式在施工承包合同中体现，并在施工过程中据此加强监督管理、检查、监测，减少施工期对环境的污染影响，同时应对施工单位的文明施工素质及施工环境管理水平进行审核；</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（3）对照环境影响报告书的相关要求，在施工过程中采取保护生态、水、气、声环境，减小环境影响的工程措施，对环境保护工程施工质量进行监理，并按照标准进行阶段验收和签字；</w:t>
      </w:r>
    </w:p>
    <w:p>
      <w:pPr>
        <w:spacing w:line="360" w:lineRule="auto"/>
        <w:ind w:firstLine="512" w:firstLineChars="200"/>
        <w:rPr>
          <w:rFonts w:ascii="Times New Roman" w:hAnsi="Times New Roman" w:cs="Times New Roman"/>
          <w:color w:val="auto"/>
          <w:spacing w:val="8"/>
          <w:sz w:val="24"/>
          <w:szCs w:val="24"/>
        </w:rPr>
      </w:pPr>
      <w:r>
        <w:rPr>
          <w:rFonts w:ascii="Times New Roman" w:hAnsi="Times New Roman" w:cs="Times New Roman"/>
          <w:color w:val="auto"/>
          <w:spacing w:val="8"/>
          <w:sz w:val="24"/>
          <w:szCs w:val="24"/>
        </w:rPr>
        <w:t>（4）系统记录工程施工环境影响，环境保护措施效果，环境保护工程施工质量；</w:t>
      </w:r>
    </w:p>
    <w:p>
      <w:pPr>
        <w:spacing w:line="360" w:lineRule="auto"/>
        <w:ind w:firstLine="512" w:firstLineChars="200"/>
        <w:rPr>
          <w:rFonts w:ascii="Times New Roman" w:hAnsi="Times New Roman" w:cs="Times New Roman"/>
          <w:b/>
          <w:bCs/>
          <w:color w:val="auto"/>
          <w:sz w:val="24"/>
          <w:szCs w:val="32"/>
        </w:rPr>
      </w:pPr>
      <w:r>
        <w:rPr>
          <w:rFonts w:ascii="Times New Roman" w:hAnsi="Times New Roman" w:cs="Times New Roman"/>
          <w:color w:val="auto"/>
          <w:spacing w:val="8"/>
          <w:sz w:val="24"/>
          <w:szCs w:val="24"/>
        </w:rPr>
        <w:t>（5）负责起草工程环境监理工作计划和总结。</w:t>
      </w:r>
    </w:p>
    <w:p>
      <w:pPr>
        <w:pStyle w:val="7"/>
        <w:numPr>
          <w:ilvl w:val="2"/>
          <w:numId w:val="0"/>
        </w:numPr>
        <w:ind w:left="142" w:leftChars="0"/>
        <w:rPr>
          <w:rFonts w:hint="eastAsia"/>
          <w:color w:val="auto"/>
          <w:lang w:val="en-US" w:eastAsia="zh-CN"/>
        </w:rPr>
      </w:pPr>
      <w:bookmarkStart w:id="464" w:name="_Toc27631"/>
      <w:r>
        <w:rPr>
          <w:rFonts w:hint="eastAsia"/>
          <w:color w:val="auto"/>
          <w:lang w:val="en-US" w:eastAsia="zh-CN"/>
        </w:rPr>
        <w:t>9.3.3 环境监理的实施</w:t>
      </w:r>
      <w:bookmarkEnd w:id="464"/>
    </w:p>
    <w:p>
      <w:pPr>
        <w:spacing w:line="360" w:lineRule="auto"/>
        <w:ind w:firstLine="512" w:firstLineChars="200"/>
        <w:rPr>
          <w:rFonts w:ascii="Times New Roman" w:hAnsi="Times New Roman" w:cs="Times New Roman"/>
          <w:color w:val="auto"/>
          <w:sz w:val="24"/>
          <w:szCs w:val="24"/>
        </w:rPr>
      </w:pPr>
      <w:r>
        <w:rPr>
          <w:rFonts w:ascii="Times New Roman" w:hAnsi="Times New Roman" w:cs="Times New Roman"/>
          <w:color w:val="auto"/>
          <w:spacing w:val="8"/>
          <w:sz w:val="24"/>
          <w:szCs w:val="24"/>
        </w:rPr>
        <w:t>建设单位应当在收到环境影响评价批复文件之后，通过公开招标的方式，或直接委托具备环境监理条件的机构实施环境工程监理。环境监理机构须向建设项目施工现场派驻项目监理机构或监理人员，具体负责监理合同的实施。环境监理人员组成应满足各专业工作的需要，项目监理机构的设置、组织形式和人员组成，应根据环境监理工程的规模、内容、服务期限及工程类别、技术复杂程度、工程环境等因素确定，每个施工标段或场地不少于</w:t>
      </w:r>
      <w:r>
        <w:rPr>
          <w:rFonts w:hint="eastAsia" w:ascii="Times New Roman" w:hAnsi="Times New Roman" w:cs="Times New Roman"/>
          <w:color w:val="auto"/>
          <w:spacing w:val="8"/>
          <w:sz w:val="24"/>
          <w:szCs w:val="24"/>
        </w:rPr>
        <w:t>1</w:t>
      </w:r>
      <w:r>
        <w:rPr>
          <w:rFonts w:ascii="Times New Roman" w:hAnsi="Times New Roman" w:cs="Times New Roman"/>
          <w:color w:val="auto"/>
          <w:spacing w:val="8"/>
          <w:sz w:val="24"/>
          <w:szCs w:val="24"/>
        </w:rPr>
        <w:t>人。</w:t>
      </w:r>
    </w:p>
    <w:p>
      <w:pPr>
        <w:pStyle w:val="6"/>
        <w:numPr>
          <w:ilvl w:val="1"/>
          <w:numId w:val="0"/>
        </w:numPr>
        <w:spacing w:before="120" w:beforeLines="0" w:after="120" w:afterLines="0"/>
        <w:ind w:leftChars="0"/>
        <w:rPr>
          <w:color w:val="auto"/>
        </w:rPr>
      </w:pPr>
      <w:bookmarkStart w:id="465" w:name="_Toc1041"/>
      <w:bookmarkStart w:id="466" w:name="_Toc18193"/>
      <w:bookmarkStart w:id="467" w:name="_Toc1202"/>
      <w:bookmarkStart w:id="468" w:name="_Toc22426"/>
      <w:r>
        <w:rPr>
          <w:rFonts w:hint="eastAsia"/>
          <w:color w:val="auto"/>
          <w:lang w:val="en-US" w:eastAsia="zh-CN"/>
        </w:rPr>
        <w:t xml:space="preserve">9.4 </w:t>
      </w:r>
      <w:r>
        <w:rPr>
          <w:color w:val="auto"/>
        </w:rPr>
        <w:t>污染物排放管理要求</w:t>
      </w:r>
      <w:bookmarkEnd w:id="465"/>
      <w:bookmarkEnd w:id="466"/>
      <w:bookmarkEnd w:id="467"/>
      <w:bookmarkEnd w:id="468"/>
    </w:p>
    <w:p>
      <w:pPr>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根据《建设项目环境影响评价技术导则 总纲》（HJ2.1-2016）要求，汇总本项目污染物排放管理要求如下：</w:t>
      </w:r>
    </w:p>
    <w:p>
      <w:pPr>
        <w:pStyle w:val="7"/>
        <w:numPr>
          <w:ilvl w:val="2"/>
          <w:numId w:val="0"/>
        </w:numPr>
        <w:spacing w:before="120" w:beforeLines="0" w:after="120" w:afterLines="0"/>
        <w:rPr>
          <w:color w:val="auto"/>
        </w:rPr>
      </w:pPr>
      <w:bookmarkStart w:id="469" w:name="_Toc19834"/>
      <w:bookmarkStart w:id="470" w:name="_Toc6026"/>
      <w:bookmarkStart w:id="471" w:name="_Toc2525"/>
      <w:r>
        <w:rPr>
          <w:rFonts w:hint="eastAsia"/>
          <w:color w:val="auto"/>
          <w:lang w:val="en-US" w:eastAsia="zh-CN"/>
        </w:rPr>
        <w:t xml:space="preserve">9.4.1 </w:t>
      </w:r>
      <w:r>
        <w:rPr>
          <w:color w:val="auto"/>
        </w:rPr>
        <w:t>环保措施要求</w:t>
      </w:r>
      <w:bookmarkEnd w:id="469"/>
      <w:bookmarkEnd w:id="470"/>
      <w:bookmarkEnd w:id="471"/>
    </w:p>
    <w:p>
      <w:pPr>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本项目污染物产生情况及拟采取的治理措施汇总见表9</w:t>
      </w:r>
      <w:r>
        <w:rPr>
          <w:rFonts w:hint="eastAsia" w:ascii="Times New Roman" w:hAnsi="Times New Roman" w:cs="Times New Roman"/>
          <w:color w:val="auto"/>
          <w:sz w:val="24"/>
          <w:szCs w:val="24"/>
          <w:lang w:val="en-US" w:eastAsia="zh-CN"/>
        </w:rPr>
        <w:t>.4-1</w:t>
      </w:r>
      <w:r>
        <w:rPr>
          <w:rFonts w:ascii="Times New Roman" w:hAnsi="Times New Roman" w:cs="Times New Roman"/>
          <w:color w:val="auto"/>
          <w:sz w:val="24"/>
          <w:szCs w:val="24"/>
        </w:rPr>
        <w:t>。</w:t>
      </w:r>
    </w:p>
    <w:p>
      <w:pPr>
        <w:pStyle w:val="18"/>
        <w:spacing w:before="120" w:beforeLines="50"/>
        <w:rPr>
          <w:color w:val="auto"/>
        </w:rPr>
      </w:pPr>
      <w:r>
        <w:rPr>
          <w:color w:val="auto"/>
        </w:rPr>
        <w:t xml:space="preserve">表 </w:t>
      </w:r>
      <w:r>
        <w:rPr>
          <w:color w:val="auto"/>
        </w:rPr>
        <w:fldChar w:fldCharType="begin"/>
      </w:r>
      <w:r>
        <w:rPr>
          <w:color w:val="auto"/>
        </w:rPr>
        <w:instrText xml:space="preserve"> STYLEREF 1 \s </w:instrText>
      </w:r>
      <w:r>
        <w:rPr>
          <w:color w:val="auto"/>
        </w:rPr>
        <w:fldChar w:fldCharType="separate"/>
      </w:r>
      <w:r>
        <w:rPr>
          <w:color w:val="auto"/>
        </w:rPr>
        <w:t>9</w:t>
      </w:r>
      <w:r>
        <w:rPr>
          <w:color w:val="auto"/>
        </w:rPr>
        <w:fldChar w:fldCharType="end"/>
      </w:r>
      <w:r>
        <w:rPr>
          <w:rFonts w:hint="eastAsia"/>
          <w:color w:val="auto"/>
          <w:lang w:val="en-US" w:eastAsia="zh-CN"/>
        </w:rPr>
        <w:t>.4-1</w:t>
      </w:r>
      <w:r>
        <w:rPr>
          <w:bCs/>
          <w:color w:val="auto"/>
        </w:rPr>
        <w:t xml:space="preserve">    本项目污染物及拟采取的治理措施汇总</w:t>
      </w:r>
    </w:p>
    <w:tbl>
      <w:tblPr>
        <w:tblStyle w:val="45"/>
        <w:tblW w:w="89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06"/>
        <w:gridCol w:w="2087"/>
        <w:gridCol w:w="3067"/>
        <w:gridCol w:w="1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675" w:type="dxa"/>
            <w:vAlign w:val="center"/>
          </w:tcPr>
          <w:p>
            <w:pPr>
              <w:snapToGrid w:val="0"/>
              <w:jc w:val="center"/>
              <w:rPr>
                <w:rFonts w:ascii="Times New Roman" w:hAnsi="Times New Roman" w:cs="Times New Roman"/>
                <w:b/>
                <w:bCs/>
                <w:color w:val="auto"/>
              </w:rPr>
            </w:pPr>
            <w:r>
              <w:rPr>
                <w:rFonts w:ascii="Times New Roman" w:hAnsi="Times New Roman" w:cs="Times New Roman"/>
                <w:b/>
                <w:bCs/>
                <w:color w:val="auto"/>
              </w:rPr>
              <w:t>项目</w:t>
            </w:r>
          </w:p>
        </w:tc>
        <w:tc>
          <w:tcPr>
            <w:tcW w:w="1506" w:type="dxa"/>
            <w:vAlign w:val="center"/>
          </w:tcPr>
          <w:p>
            <w:pPr>
              <w:snapToGrid w:val="0"/>
              <w:jc w:val="center"/>
              <w:rPr>
                <w:rFonts w:ascii="Times New Roman" w:hAnsi="Times New Roman" w:cs="Times New Roman"/>
                <w:b/>
                <w:bCs/>
                <w:color w:val="auto"/>
              </w:rPr>
            </w:pPr>
            <w:r>
              <w:rPr>
                <w:rFonts w:ascii="Times New Roman" w:hAnsi="Times New Roman" w:cs="Times New Roman"/>
                <w:b/>
                <w:bCs/>
                <w:color w:val="auto"/>
              </w:rPr>
              <w:t>排放源</w:t>
            </w:r>
          </w:p>
        </w:tc>
        <w:tc>
          <w:tcPr>
            <w:tcW w:w="2087" w:type="dxa"/>
            <w:vAlign w:val="center"/>
          </w:tcPr>
          <w:p>
            <w:pPr>
              <w:snapToGrid w:val="0"/>
              <w:jc w:val="center"/>
              <w:rPr>
                <w:rFonts w:ascii="Times New Roman" w:hAnsi="Times New Roman" w:cs="Times New Roman"/>
                <w:b/>
                <w:bCs/>
                <w:color w:val="auto"/>
              </w:rPr>
            </w:pPr>
            <w:r>
              <w:rPr>
                <w:rFonts w:ascii="Times New Roman" w:hAnsi="Times New Roman" w:cs="Times New Roman"/>
                <w:b/>
                <w:bCs/>
                <w:color w:val="auto"/>
              </w:rPr>
              <w:t>主要污染物名称</w:t>
            </w:r>
          </w:p>
        </w:tc>
        <w:tc>
          <w:tcPr>
            <w:tcW w:w="3067" w:type="dxa"/>
            <w:vAlign w:val="center"/>
          </w:tcPr>
          <w:p>
            <w:pPr>
              <w:snapToGrid w:val="0"/>
              <w:jc w:val="center"/>
              <w:rPr>
                <w:rFonts w:ascii="Times New Roman" w:hAnsi="Times New Roman" w:cs="Times New Roman"/>
                <w:b/>
                <w:bCs/>
                <w:color w:val="auto"/>
              </w:rPr>
            </w:pPr>
            <w:r>
              <w:rPr>
                <w:rFonts w:ascii="Times New Roman" w:hAnsi="Times New Roman" w:cs="Times New Roman"/>
                <w:b/>
                <w:bCs/>
                <w:color w:val="auto"/>
              </w:rPr>
              <w:t>治理措施</w:t>
            </w:r>
          </w:p>
        </w:tc>
        <w:tc>
          <w:tcPr>
            <w:tcW w:w="1624" w:type="dxa"/>
            <w:vAlign w:val="center"/>
          </w:tcPr>
          <w:p>
            <w:pPr>
              <w:snapToGrid w:val="0"/>
              <w:jc w:val="center"/>
              <w:rPr>
                <w:rFonts w:ascii="Times New Roman" w:hAnsi="Times New Roman" w:cs="Times New Roman"/>
                <w:b/>
                <w:bCs/>
                <w:color w:val="auto"/>
              </w:rPr>
            </w:pPr>
            <w:r>
              <w:rPr>
                <w:rFonts w:ascii="Times New Roman" w:hAnsi="Times New Roman" w:cs="Times New Roman"/>
                <w:b/>
                <w:bCs/>
                <w:color w:val="auto"/>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675"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废气</w:t>
            </w:r>
          </w:p>
        </w:tc>
        <w:tc>
          <w:tcPr>
            <w:tcW w:w="1506" w:type="dxa"/>
            <w:vAlign w:val="center"/>
          </w:tcPr>
          <w:p>
            <w:pPr>
              <w:snapToGrid w:val="0"/>
              <w:jc w:val="center"/>
              <w:rPr>
                <w:rFonts w:ascii="Times New Roman" w:hAnsi="Times New Roman" w:cs="Times New Roman"/>
                <w:color w:val="auto"/>
              </w:rPr>
            </w:pPr>
            <w:r>
              <w:rPr>
                <w:rFonts w:hint="eastAsia"/>
                <w:color w:val="auto"/>
              </w:rPr>
              <w:t>阀门法兰处发生泄漏</w:t>
            </w:r>
          </w:p>
        </w:tc>
        <w:tc>
          <w:tcPr>
            <w:tcW w:w="2087" w:type="dxa"/>
            <w:vAlign w:val="center"/>
          </w:tcPr>
          <w:p>
            <w:pPr>
              <w:snapToGrid w:val="0"/>
              <w:jc w:val="center"/>
              <w:rPr>
                <w:rFonts w:ascii="Times New Roman" w:hAnsi="Times New Roman" w:cs="Times New Roman"/>
                <w:color w:val="auto"/>
              </w:rPr>
            </w:pPr>
            <w:r>
              <w:rPr>
                <w:rFonts w:hint="eastAsia"/>
                <w:color w:val="auto"/>
              </w:rPr>
              <w:t>无组织氨</w:t>
            </w:r>
          </w:p>
        </w:tc>
        <w:tc>
          <w:tcPr>
            <w:tcW w:w="3067" w:type="dxa"/>
            <w:vAlign w:val="center"/>
          </w:tcPr>
          <w:p>
            <w:pPr>
              <w:snapToGrid w:val="0"/>
              <w:jc w:val="center"/>
              <w:rPr>
                <w:rFonts w:ascii="Times New Roman" w:hAnsi="Times New Roman" w:cs="Times New Roman"/>
                <w:color w:val="auto"/>
              </w:rPr>
            </w:pPr>
            <w:r>
              <w:rPr>
                <w:rFonts w:hint="eastAsia"/>
                <w:color w:val="auto"/>
              </w:rPr>
              <w:t>定期采取泄漏检测等措施进行检测，发理泄漏量超过正常值时，及时进行修复与治理</w:t>
            </w:r>
          </w:p>
        </w:tc>
        <w:tc>
          <w:tcPr>
            <w:tcW w:w="1624"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大气</w:t>
            </w:r>
            <w:r>
              <w:rPr>
                <w:rFonts w:hint="eastAsia"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9" w:hRule="atLeast"/>
          <w:tblHeader/>
          <w:jc w:val="center"/>
        </w:trPr>
        <w:tc>
          <w:tcPr>
            <w:tcW w:w="675"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废水</w:t>
            </w:r>
          </w:p>
        </w:tc>
        <w:tc>
          <w:tcPr>
            <w:tcW w:w="1506" w:type="dxa"/>
            <w:vAlign w:val="center"/>
          </w:tcPr>
          <w:p>
            <w:pPr>
              <w:snapToGrid w:val="0"/>
              <w:jc w:val="center"/>
              <w:rPr>
                <w:rFonts w:ascii="Times New Roman" w:hAnsi="Times New Roman" w:cs="Times New Roman"/>
                <w:color w:val="auto"/>
              </w:rPr>
            </w:pPr>
            <w:r>
              <w:rPr>
                <w:rFonts w:hint="eastAsia"/>
                <w:color w:val="auto"/>
                <w:szCs w:val="24"/>
              </w:rPr>
              <w:t>地面清洗冲洗废水，以及泵区初期雨水</w:t>
            </w:r>
          </w:p>
        </w:tc>
        <w:tc>
          <w:tcPr>
            <w:tcW w:w="2087" w:type="dxa"/>
            <w:vAlign w:val="center"/>
          </w:tcPr>
          <w:p>
            <w:pPr>
              <w:spacing w:line="240" w:lineRule="exact"/>
              <w:jc w:val="center"/>
              <w:rPr>
                <w:rFonts w:ascii="Times New Roman" w:hAnsi="Times New Roman" w:cs="Times New Roman"/>
                <w:color w:val="auto"/>
              </w:rPr>
            </w:pPr>
            <w:r>
              <w:rPr>
                <w:rFonts w:ascii="Times New Roman" w:hAnsi="Times New Roman" w:cs="Times New Roman"/>
                <w:color w:val="auto"/>
                <w:szCs w:val="21"/>
              </w:rPr>
              <w:t>pH 、COD、SS、氨氮、石油类</w:t>
            </w:r>
          </w:p>
        </w:tc>
        <w:tc>
          <w:tcPr>
            <w:tcW w:w="3067" w:type="dxa"/>
            <w:vAlign w:val="center"/>
          </w:tcPr>
          <w:p>
            <w:pPr>
              <w:snapToGrid w:val="0"/>
              <w:jc w:val="center"/>
              <w:rPr>
                <w:rFonts w:ascii="Times New Roman" w:hAnsi="Times New Roman" w:cs="Times New Roman"/>
                <w:color w:val="auto"/>
              </w:rPr>
            </w:pPr>
            <w:r>
              <w:rPr>
                <w:rFonts w:hint="eastAsia"/>
                <w:color w:val="auto"/>
                <w:szCs w:val="24"/>
              </w:rPr>
              <w:t>采取“雨污分流、污污分流、分质处理”原则进行排水设施的建设。通过污水管网进入公司现有污水处理场处理。</w:t>
            </w:r>
          </w:p>
        </w:tc>
        <w:tc>
          <w:tcPr>
            <w:tcW w:w="1624" w:type="dxa"/>
            <w:vAlign w:val="center"/>
          </w:tcPr>
          <w:p>
            <w:pPr>
              <w:snapToGrid w:val="0"/>
              <w:jc w:val="center"/>
              <w:rPr>
                <w:rFonts w:ascii="Times New Roman" w:hAnsi="Times New Roman" w:cs="Times New Roman"/>
                <w:color w:val="auto"/>
              </w:rPr>
            </w:pPr>
            <w:r>
              <w:rPr>
                <w:rFonts w:hint="eastAsia"/>
                <w:color w:val="auto"/>
                <w:szCs w:val="24"/>
              </w:rPr>
              <w:t>长江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blHeader/>
          <w:jc w:val="center"/>
        </w:trPr>
        <w:tc>
          <w:tcPr>
            <w:tcW w:w="675"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噪声</w:t>
            </w:r>
          </w:p>
        </w:tc>
        <w:tc>
          <w:tcPr>
            <w:tcW w:w="1506" w:type="dxa"/>
            <w:vAlign w:val="center"/>
          </w:tcPr>
          <w:p>
            <w:pPr>
              <w:snapToGrid w:val="0"/>
              <w:jc w:val="center"/>
              <w:rPr>
                <w:rFonts w:ascii="Times New Roman" w:hAnsi="Times New Roman" w:cs="Times New Roman"/>
                <w:color w:val="auto"/>
              </w:rPr>
            </w:pPr>
            <w:r>
              <w:rPr>
                <w:rFonts w:hint="eastAsia"/>
                <w:color w:val="auto"/>
              </w:rPr>
              <w:t>机泵噪声</w:t>
            </w:r>
          </w:p>
        </w:tc>
        <w:tc>
          <w:tcPr>
            <w:tcW w:w="2087"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昼夜等效连续A声级</w:t>
            </w:r>
          </w:p>
        </w:tc>
        <w:tc>
          <w:tcPr>
            <w:tcW w:w="3067"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隔声、减震、消声</w:t>
            </w:r>
          </w:p>
        </w:tc>
        <w:tc>
          <w:tcPr>
            <w:tcW w:w="1624" w:type="dxa"/>
            <w:vAlign w:val="center"/>
          </w:tcPr>
          <w:p>
            <w:pPr>
              <w:snapToGrid w:val="0"/>
              <w:jc w:val="center"/>
              <w:rPr>
                <w:rFonts w:ascii="Times New Roman" w:hAnsi="Times New Roman" w:cs="Times New Roman"/>
                <w:color w:val="auto"/>
              </w:rPr>
            </w:pPr>
            <w:r>
              <w:rPr>
                <w:rFonts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tblHeader/>
          <w:jc w:val="center"/>
        </w:trPr>
        <w:tc>
          <w:tcPr>
            <w:tcW w:w="675" w:type="dxa"/>
            <w:vAlign w:val="center"/>
          </w:tcPr>
          <w:p>
            <w:pPr>
              <w:jc w:val="center"/>
              <w:rPr>
                <w:rFonts w:ascii="Times New Roman" w:hAnsi="Times New Roman" w:cs="Times New Roman"/>
                <w:color w:val="auto"/>
              </w:rPr>
            </w:pPr>
            <w:r>
              <w:rPr>
                <w:rFonts w:ascii="Times New Roman" w:hAnsi="Times New Roman" w:cs="Times New Roman"/>
                <w:color w:val="auto"/>
              </w:rPr>
              <w:t>固体废物</w:t>
            </w:r>
          </w:p>
        </w:tc>
        <w:tc>
          <w:tcPr>
            <w:tcW w:w="1506" w:type="dxa"/>
            <w:vAlign w:val="center"/>
          </w:tcPr>
          <w:p>
            <w:pPr>
              <w:pStyle w:val="2"/>
              <w:ind w:left="0" w:leftChars="0" w:firstLine="0" w:firstLineChars="0"/>
              <w:jc w:val="center"/>
              <w:rPr>
                <w:color w:val="auto"/>
              </w:rPr>
            </w:pPr>
            <w:r>
              <w:rPr>
                <w:rFonts w:hint="eastAsia"/>
                <w:color w:val="auto"/>
              </w:rPr>
              <w:t>废润滑油</w:t>
            </w:r>
          </w:p>
        </w:tc>
        <w:tc>
          <w:tcPr>
            <w:tcW w:w="2087" w:type="dxa"/>
            <w:vAlign w:val="center"/>
          </w:tcPr>
          <w:p>
            <w:pPr>
              <w:pStyle w:val="2"/>
              <w:ind w:left="0" w:leftChars="0" w:firstLine="420"/>
              <w:rPr>
                <w:color w:val="auto"/>
              </w:rPr>
            </w:pPr>
            <w:r>
              <w:rPr>
                <w:rFonts w:hint="eastAsia"/>
                <w:color w:val="auto"/>
              </w:rPr>
              <w:t>危险废物</w:t>
            </w:r>
          </w:p>
        </w:tc>
        <w:tc>
          <w:tcPr>
            <w:tcW w:w="3067" w:type="dxa"/>
            <w:vAlign w:val="center"/>
          </w:tcPr>
          <w:p>
            <w:pPr>
              <w:snapToGrid w:val="0"/>
              <w:jc w:val="center"/>
              <w:rPr>
                <w:rFonts w:ascii="Times New Roman" w:hAnsi="Times New Roman" w:cs="Times New Roman"/>
                <w:color w:val="auto"/>
              </w:rPr>
            </w:pPr>
            <w:r>
              <w:rPr>
                <w:rFonts w:hint="eastAsia"/>
                <w:color w:val="auto"/>
              </w:rPr>
              <w:t>采取用容器收集，然后暂存于公司现有危险废物暂存库，再委托专业</w:t>
            </w:r>
          </w:p>
        </w:tc>
        <w:tc>
          <w:tcPr>
            <w:tcW w:w="1624" w:type="dxa"/>
            <w:vAlign w:val="center"/>
          </w:tcPr>
          <w:p>
            <w:pPr>
              <w:jc w:val="center"/>
              <w:rPr>
                <w:rFonts w:ascii="Times New Roman" w:hAnsi="Times New Roman" w:cs="Times New Roman"/>
                <w:color w:val="auto"/>
              </w:rPr>
            </w:pPr>
            <w:r>
              <w:rPr>
                <w:rFonts w:hint="eastAsia"/>
                <w:color w:val="auto"/>
              </w:rPr>
              <w:t>交由有资质的单位运输和处置</w:t>
            </w:r>
          </w:p>
        </w:tc>
      </w:tr>
    </w:tbl>
    <w:p>
      <w:pPr>
        <w:pStyle w:val="7"/>
        <w:numPr>
          <w:ilvl w:val="2"/>
          <w:numId w:val="0"/>
        </w:numPr>
        <w:spacing w:before="120" w:beforeLines="0" w:after="120" w:afterLines="0"/>
        <w:ind w:left="142" w:leftChars="0"/>
        <w:rPr>
          <w:color w:val="auto"/>
        </w:rPr>
      </w:pPr>
      <w:bookmarkStart w:id="472" w:name="_Toc5771"/>
      <w:bookmarkStart w:id="473" w:name="_Toc32297"/>
      <w:bookmarkStart w:id="474" w:name="_Toc29067"/>
      <w:r>
        <w:rPr>
          <w:rFonts w:hint="eastAsia"/>
          <w:color w:val="auto"/>
          <w:lang w:val="en-US" w:eastAsia="zh-CN"/>
        </w:rPr>
        <w:t>9.4.2</w:t>
      </w:r>
      <w:r>
        <w:rPr>
          <w:color w:val="auto"/>
        </w:rPr>
        <w:t>污染物总量控制指标分析</w:t>
      </w:r>
      <w:bookmarkEnd w:id="472"/>
      <w:bookmarkEnd w:id="473"/>
      <w:bookmarkEnd w:id="474"/>
    </w:p>
    <w:p>
      <w:pPr>
        <w:pStyle w:val="158"/>
        <w:spacing w:line="360" w:lineRule="auto"/>
        <w:ind w:firstLine="480"/>
        <w:rPr>
          <w:rFonts w:hint="eastAsia" w:ascii="Times New Roman" w:hAnsi="Times New Roman" w:eastAsia="宋体" w:cs="Times New Roman"/>
          <w:color w:val="auto"/>
          <w:sz w:val="24"/>
          <w:lang w:eastAsia="zh-CN"/>
        </w:rPr>
      </w:pPr>
      <w:r>
        <w:rPr>
          <w:color w:val="auto"/>
          <w:szCs w:val="24"/>
        </w:rPr>
        <w:t>按照《“十三五”期间全国主要污染物排放总量控制规划》，全国实行排放量控制的主要污染物有COD、氨氮、SO</w:t>
      </w:r>
      <w:r>
        <w:rPr>
          <w:color w:val="auto"/>
          <w:szCs w:val="24"/>
          <w:vertAlign w:val="subscript"/>
        </w:rPr>
        <w:t>2</w:t>
      </w:r>
      <w:r>
        <w:rPr>
          <w:color w:val="auto"/>
          <w:szCs w:val="24"/>
        </w:rPr>
        <w:t>、NO</w:t>
      </w:r>
      <w:r>
        <w:rPr>
          <w:color w:val="auto"/>
          <w:szCs w:val="24"/>
          <w:vertAlign w:val="subscript"/>
        </w:rPr>
        <w:t>X</w:t>
      </w:r>
      <w:r>
        <w:rPr>
          <w:color w:val="auto"/>
          <w:szCs w:val="24"/>
        </w:rPr>
        <w:t>、挥发性有机污染物。结合本项目的污染物特征，确定污染物排放总量控制因子为：</w:t>
      </w:r>
      <w:r>
        <w:rPr>
          <w:rFonts w:ascii="Times New Roman" w:hAnsi="Times New Roman" w:cs="Times New Roman"/>
          <w:color w:val="auto"/>
          <w:sz w:val="24"/>
        </w:rPr>
        <w:t>废水总量控制因子COD、氨氮</w:t>
      </w:r>
      <w:r>
        <w:rPr>
          <w:rFonts w:hint="eastAsia" w:cs="Times New Roman"/>
          <w:color w:val="auto"/>
          <w:sz w:val="24"/>
          <w:lang w:eastAsia="zh-CN"/>
        </w:rPr>
        <w:t>，本项目仅更新了两台机泵，所排放冷却水量及浓度基本没有变化，故不新增废水污染物总量。</w:t>
      </w:r>
    </w:p>
    <w:p>
      <w:pPr>
        <w:pStyle w:val="6"/>
        <w:numPr>
          <w:ilvl w:val="1"/>
          <w:numId w:val="0"/>
        </w:numPr>
        <w:spacing w:before="120" w:beforeLines="0" w:after="120" w:afterLines="0"/>
        <w:ind w:leftChars="0"/>
        <w:rPr>
          <w:rFonts w:hint="eastAsia"/>
          <w:color w:val="auto"/>
          <w:lang w:val="en-US" w:eastAsia="zh-CN"/>
        </w:rPr>
      </w:pPr>
      <w:bookmarkStart w:id="475" w:name="_Toc499217421"/>
      <w:bookmarkStart w:id="476" w:name="_Toc28184"/>
      <w:bookmarkStart w:id="477" w:name="_Toc3149"/>
      <w:bookmarkStart w:id="478" w:name="_Toc21451"/>
      <w:r>
        <w:rPr>
          <w:rFonts w:hint="eastAsia"/>
          <w:color w:val="auto"/>
          <w:lang w:val="en-US" w:eastAsia="zh-CN"/>
        </w:rPr>
        <w:t>9.5 排污许可证制度</w:t>
      </w:r>
      <w:bookmarkEnd w:id="475"/>
      <w:bookmarkEnd w:id="476"/>
      <w:bookmarkEnd w:id="477"/>
      <w:bookmarkEnd w:id="478"/>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目前我国正在推进排污许可制度改革工作。国务院办公厅2016年11月10日颁发《国务院办公厅关于印发控制污染物排放许可制实施方案的通知》（国办发﹝2016﹞81号），指出到2020年，完成覆盖所有固定污染源的排污许可证核发工作，并建立健全企事业单位污染物排放总量控制制度，逐步实现由行政区域污染物排放总量控制向企事业单位污染物排放总量控制转变，控制的范围逐渐统一到固定污染源。</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环境保护部于2016年7月15日发布《关于印发&lt;“十三五”环境影响评价改革实施方案&gt;的通知》（环环评﹝2016﹞95号）中提出：“项目环评重在落实环境质量目标管理要求，优化环保措施，强化环境风险防控，做好与排污许可的衔接。”</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环境保护部办公厅于2017年11月24日印发《关于做好环境影响评价制度与排污许可证衔接相关工作的通知》（环办环评﹝2017﹞84号）中提出：“排污许可制是企事业单位生产运营期排污的法律依据，是确保环境影响评价提出的污染防治设施和措施落实落地的重要保障。”</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综上，项目必须在发生实际排污行为之前申领排污许可证，环境影响评价文件及批复中与污染物排放相关的主要内容应当纳入排污许可证，其排污许可证执行情况应作为环境影响后评价的重要依据。</w:t>
      </w:r>
    </w:p>
    <w:p>
      <w:pPr>
        <w:pStyle w:val="6"/>
        <w:numPr>
          <w:ilvl w:val="1"/>
          <w:numId w:val="0"/>
        </w:numPr>
        <w:spacing w:before="120" w:beforeLines="0" w:after="120" w:afterLines="0"/>
        <w:ind w:leftChars="0"/>
        <w:rPr>
          <w:rFonts w:hint="eastAsia"/>
          <w:color w:val="auto"/>
          <w:lang w:val="en-US" w:eastAsia="zh-CN"/>
        </w:rPr>
      </w:pPr>
      <w:bookmarkStart w:id="479" w:name="_Toc21042"/>
      <w:bookmarkStart w:id="480" w:name="_Toc18722"/>
      <w:bookmarkStart w:id="481" w:name="_Toc32123"/>
      <w:r>
        <w:rPr>
          <w:rFonts w:hint="eastAsia"/>
          <w:color w:val="auto"/>
          <w:lang w:val="en-US" w:eastAsia="zh-CN"/>
        </w:rPr>
        <w:t>9.6 排污口规范化管理</w:t>
      </w:r>
      <w:bookmarkEnd w:id="479"/>
      <w:bookmarkEnd w:id="480"/>
      <w:bookmarkEnd w:id="481"/>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根据国家标准《环境保护图形标志—排放口（源）》和国家环保总局《排污口规范化整治要求（试行）》的技术要求，排污口的规范化要符合环境监管部门的有关要求。</w:t>
      </w:r>
    </w:p>
    <w:p>
      <w:pPr>
        <w:pStyle w:val="7"/>
        <w:numPr>
          <w:ilvl w:val="2"/>
          <w:numId w:val="0"/>
        </w:numPr>
        <w:spacing w:before="120" w:beforeLines="0" w:after="120" w:afterLines="0"/>
        <w:rPr>
          <w:rFonts w:hint="eastAsia"/>
          <w:color w:val="auto"/>
          <w:lang w:val="en-US" w:eastAsia="zh-CN"/>
        </w:rPr>
      </w:pPr>
      <w:bookmarkStart w:id="482" w:name="_Toc27730"/>
      <w:r>
        <w:rPr>
          <w:rFonts w:hint="eastAsia"/>
          <w:color w:val="auto"/>
          <w:lang w:val="en-US" w:eastAsia="zh-CN"/>
        </w:rPr>
        <w:t>9.6.1 排污口规范化管理的基本原则</w:t>
      </w:r>
      <w:bookmarkEnd w:id="482"/>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（1）向环境排放污染物的排污口必须规范化；</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（2）根据工程的特点，考虑列入总量控制指标的污染物，排放废气、废水排污口为管理的重点；</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（3）排污口应便于采样与计量检测，便于日常现场监督检查。</w:t>
      </w:r>
    </w:p>
    <w:p>
      <w:pPr>
        <w:pStyle w:val="7"/>
        <w:numPr>
          <w:ilvl w:val="2"/>
          <w:numId w:val="0"/>
        </w:numPr>
        <w:spacing w:before="120" w:beforeLines="0" w:after="120" w:afterLines="0"/>
        <w:rPr>
          <w:rFonts w:hint="eastAsia"/>
          <w:color w:val="auto"/>
          <w:lang w:val="en-US" w:eastAsia="zh-CN"/>
        </w:rPr>
      </w:pPr>
      <w:bookmarkStart w:id="483" w:name="_Toc3995"/>
      <w:r>
        <w:rPr>
          <w:rFonts w:hint="eastAsia"/>
          <w:color w:val="auto"/>
          <w:lang w:val="en-US" w:eastAsia="zh-CN"/>
        </w:rPr>
        <w:t>9.6.2 排污口的技术要求</w:t>
      </w:r>
      <w:bookmarkEnd w:id="483"/>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（1）排污口的设置必须合理确定，按照环监（96）470号文件要求，进行规范化管理，本项目1个排气筒排污口均应按照规范设置。</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（2）污水排放的采样点设置应按《污染源监测技术规范》要求，主要设置在企业总排口、污水处理设施的进水和出水口等处。</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（3）设置规范的、便于测量流量、流速的测速段。</w:t>
      </w:r>
    </w:p>
    <w:p>
      <w:pPr>
        <w:pStyle w:val="7"/>
        <w:numPr>
          <w:ilvl w:val="2"/>
          <w:numId w:val="0"/>
        </w:numPr>
        <w:spacing w:before="120" w:beforeLines="0" w:after="120" w:afterLines="0"/>
        <w:rPr>
          <w:rFonts w:hint="eastAsia"/>
          <w:color w:val="auto"/>
          <w:lang w:val="en-US" w:eastAsia="zh-CN"/>
        </w:rPr>
      </w:pPr>
      <w:bookmarkStart w:id="484" w:name="_Toc16880"/>
      <w:r>
        <w:rPr>
          <w:rFonts w:hint="eastAsia"/>
          <w:color w:val="auto"/>
          <w:lang w:val="en-US" w:eastAsia="zh-CN"/>
        </w:rPr>
        <w:t>9.6.3 排污口立标管理</w:t>
      </w:r>
      <w:bookmarkEnd w:id="484"/>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污染物排放口，应按国家《环境保护图形标志》（15562.1-1995）与GB15562.2-1995的规定，设置国家环保总局统一制作的环境保护图形标志牌；本项目各废气排放口和废水处理设施均应设置相应标志，并进行专人管理。</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（2）污染物排放口的环境保护图形标志牌应设置在靠近采样点的醒目处，标志牌设置高度为其上缘距地面约2m，排污口附近1m范围内有建筑物的，设平面式标志牌，无建筑物的设立式标志牌。</w:t>
      </w:r>
    </w:p>
    <w:p>
      <w:pPr>
        <w:pStyle w:val="7"/>
        <w:numPr>
          <w:ilvl w:val="2"/>
          <w:numId w:val="0"/>
        </w:numPr>
        <w:spacing w:before="120" w:beforeLines="0" w:after="120" w:afterLines="0"/>
        <w:rPr>
          <w:rFonts w:hint="eastAsia"/>
          <w:color w:val="auto"/>
          <w:lang w:val="en-US" w:eastAsia="zh-CN"/>
        </w:rPr>
      </w:pPr>
      <w:bookmarkStart w:id="485" w:name="_Toc17105"/>
      <w:r>
        <w:rPr>
          <w:rFonts w:hint="eastAsia"/>
          <w:color w:val="auto"/>
          <w:lang w:val="en-US" w:eastAsia="zh-CN"/>
        </w:rPr>
        <w:t>9.6.4 污口建档管理</w:t>
      </w:r>
      <w:bookmarkEnd w:id="485"/>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（1）要求使用国家环保局统一印制的《中华人民共和国规范化排污口标志牌登记证》，并按要求填写有关内容；</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（2）根据排污口管理档案内容要求，项目建成投产后，应将主要污染物种类、数量、浓度、排放去向、达标情况及设施运行情况记录于档案。</w:t>
      </w:r>
    </w:p>
    <w:p>
      <w:pPr>
        <w:pStyle w:val="6"/>
        <w:numPr>
          <w:ilvl w:val="1"/>
          <w:numId w:val="0"/>
        </w:numPr>
        <w:tabs>
          <w:tab w:val="left" w:pos="656"/>
        </w:tabs>
        <w:spacing w:before="120" w:after="120" w:line="240" w:lineRule="auto"/>
        <w:rPr>
          <w:color w:val="auto"/>
        </w:rPr>
      </w:pPr>
      <w:bookmarkStart w:id="486" w:name="_Toc29506"/>
      <w:r>
        <w:rPr>
          <w:rFonts w:hint="eastAsia"/>
          <w:color w:val="auto"/>
          <w:lang w:val="en-US" w:eastAsia="zh-CN"/>
        </w:rPr>
        <w:t xml:space="preserve">9.7 </w:t>
      </w:r>
      <w:r>
        <w:rPr>
          <w:color w:val="auto"/>
        </w:rPr>
        <w:t>环境监控机构设置</w:t>
      </w:r>
      <w:bookmarkEnd w:id="486"/>
    </w:p>
    <w:p>
      <w:pPr>
        <w:pStyle w:val="22"/>
        <w:spacing w:before="185" w:line="364" w:lineRule="auto"/>
        <w:ind w:right="330" w:firstLine="465"/>
        <w:rPr>
          <w:color w:val="auto"/>
          <w:sz w:val="24"/>
          <w:szCs w:val="24"/>
        </w:rPr>
      </w:pPr>
      <w:bookmarkStart w:id="487" w:name="_Toc181015509"/>
      <w:bookmarkStart w:id="488" w:name="_Toc162857339"/>
      <w:bookmarkStart w:id="489" w:name="_Toc162859026"/>
      <w:bookmarkStart w:id="490" w:name="_Toc162858758"/>
      <w:bookmarkStart w:id="491" w:name="_Toc20738"/>
      <w:bookmarkStart w:id="492" w:name="_Toc5541"/>
      <w:bookmarkStart w:id="493" w:name="_Toc160145980"/>
      <w:bookmarkStart w:id="494" w:name="_Toc161056747"/>
      <w:bookmarkStart w:id="495" w:name="_Toc182638524"/>
      <w:bookmarkStart w:id="496" w:name="_Toc213667825"/>
      <w:bookmarkStart w:id="497" w:name="_Toc180808323"/>
      <w:bookmarkStart w:id="498" w:name="_Toc160615901"/>
      <w:bookmarkStart w:id="499" w:name="_Toc403223326"/>
      <w:bookmarkStart w:id="500" w:name="_Toc162858940"/>
      <w:bookmarkStart w:id="501" w:name="_Toc11975"/>
      <w:bookmarkStart w:id="502" w:name="_Toc164000638"/>
      <w:bookmarkStart w:id="503" w:name="_Toc160508037"/>
      <w:bookmarkStart w:id="504" w:name="_Toc181686491"/>
      <w:bookmarkStart w:id="505" w:name="_Toc162864547"/>
      <w:bookmarkStart w:id="506" w:name="_Toc351971042"/>
      <w:r>
        <w:rPr>
          <w:color w:val="auto"/>
          <w:sz w:val="24"/>
          <w:szCs w:val="24"/>
        </w:rPr>
        <w:t>长岭分公司原下设环境监测站，负责厂区的环境监测工作，其工作用房面积、定员、仪器已符合《石油化工企业环境保护监测工作规定》三级站要求。目前，该监测站独立于长岭分公司，对公司日常监测负责。</w:t>
      </w:r>
    </w:p>
    <w:p>
      <w:pPr>
        <w:pStyle w:val="22"/>
        <w:spacing w:line="364" w:lineRule="auto"/>
        <w:ind w:right="191" w:firstLine="465"/>
        <w:rPr>
          <w:color w:val="auto"/>
          <w:sz w:val="24"/>
          <w:szCs w:val="24"/>
        </w:rPr>
      </w:pPr>
      <w:r>
        <w:rPr>
          <w:color w:val="auto"/>
          <w:sz w:val="24"/>
          <w:szCs w:val="24"/>
        </w:rPr>
        <w:t>该环境监测站主要职责和任务是：对装置生产活动中排污状况（污染源和主要污染物）、环保设施运行情况及所辖区域的主要环境要素等进行监测分析，并为环境保护管理部门及时提供有关情况和数据资料。</w:t>
      </w:r>
    </w:p>
    <w:p>
      <w:pPr>
        <w:pStyle w:val="22"/>
        <w:spacing w:line="307" w:lineRule="exact"/>
        <w:ind w:firstLine="480" w:firstLineChars="200"/>
        <w:jc w:val="both"/>
        <w:rPr>
          <w:color w:val="auto"/>
          <w:sz w:val="24"/>
          <w:szCs w:val="24"/>
        </w:rPr>
      </w:pPr>
      <w:r>
        <w:rPr>
          <w:color w:val="auto"/>
          <w:sz w:val="24"/>
          <w:szCs w:val="24"/>
        </w:rPr>
        <w:t>此外，公司还设置有大气常规监测点，位于长岭分公司职工生活区，具体位置如表</w:t>
      </w:r>
      <w:r>
        <w:rPr>
          <w:rFonts w:hint="eastAsia"/>
          <w:color w:val="auto"/>
          <w:sz w:val="24"/>
          <w:szCs w:val="24"/>
          <w:lang w:val="en-US" w:eastAsia="zh-CN"/>
        </w:rPr>
        <w:t>9.7</w:t>
      </w:r>
      <w:r>
        <w:rPr>
          <w:color w:val="auto"/>
          <w:sz w:val="24"/>
          <w:szCs w:val="24"/>
        </w:rPr>
        <w:t>-1，主要监测 SO</w:t>
      </w:r>
      <w:r>
        <w:rPr>
          <w:color w:val="auto"/>
          <w:sz w:val="24"/>
          <w:szCs w:val="24"/>
          <w:vertAlign w:val="subscript"/>
        </w:rPr>
        <w:t>2</w:t>
      </w:r>
      <w:r>
        <w:rPr>
          <w:color w:val="auto"/>
          <w:sz w:val="24"/>
          <w:szCs w:val="24"/>
        </w:rPr>
        <w:t>、PM</w:t>
      </w:r>
      <w:r>
        <w:rPr>
          <w:color w:val="auto"/>
          <w:sz w:val="24"/>
          <w:szCs w:val="24"/>
          <w:vertAlign w:val="subscript"/>
        </w:rPr>
        <w:t xml:space="preserve">10 </w:t>
      </w:r>
      <w:r>
        <w:rPr>
          <w:color w:val="auto"/>
          <w:sz w:val="24"/>
          <w:szCs w:val="24"/>
        </w:rPr>
        <w:t>、NO</w:t>
      </w:r>
      <w:r>
        <w:rPr>
          <w:color w:val="auto"/>
          <w:sz w:val="24"/>
          <w:szCs w:val="24"/>
          <w:vertAlign w:val="subscript"/>
        </w:rPr>
        <w:t>2</w:t>
      </w:r>
      <w:r>
        <w:rPr>
          <w:color w:val="auto"/>
          <w:sz w:val="24"/>
          <w:szCs w:val="24"/>
        </w:rPr>
        <w:t xml:space="preserve"> 等因子日均值。</w:t>
      </w:r>
    </w:p>
    <w:p>
      <w:pPr>
        <w:tabs>
          <w:tab w:val="left" w:pos="1247"/>
        </w:tabs>
        <w:spacing w:before="158" w:after="3"/>
        <w:ind w:left="232"/>
        <w:jc w:val="center"/>
        <w:rPr>
          <w:rFonts w:hint="eastAsia" w:ascii="黑体" w:eastAsia="黑体"/>
          <w:color w:val="auto"/>
        </w:rPr>
      </w:pPr>
    </w:p>
    <w:p>
      <w:pPr>
        <w:tabs>
          <w:tab w:val="left" w:pos="1250"/>
        </w:tabs>
        <w:spacing w:before="160" w:after="3"/>
        <w:ind w:left="234"/>
        <w:jc w:val="center"/>
        <w:rPr>
          <w:rFonts w:hint="eastAsia" w:ascii="Times New Roman" w:hAnsi="Times New Roman" w:cs="Times New Roman"/>
          <w:b/>
          <w:bCs/>
          <w:color w:val="auto"/>
          <w:sz w:val="24"/>
          <w:szCs w:val="24"/>
        </w:rPr>
      </w:pPr>
      <w:r>
        <w:rPr>
          <w:rFonts w:hint="eastAsia"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9.7</w:t>
      </w:r>
      <w:r>
        <w:rPr>
          <w:rFonts w:hint="eastAsia" w:ascii="Times New Roman" w:hAnsi="Times New Roman" w:cs="Times New Roman"/>
          <w:b/>
          <w:bCs/>
          <w:color w:val="auto"/>
          <w:sz w:val="24"/>
          <w:szCs w:val="24"/>
        </w:rPr>
        <w:t>-1</w:t>
      </w:r>
      <w:r>
        <w:rPr>
          <w:rFonts w:hint="eastAsia" w:ascii="Times New Roman" w:hAnsi="Times New Roman" w:cs="Times New Roman"/>
          <w:b/>
          <w:bCs/>
          <w:color w:val="auto"/>
          <w:sz w:val="24"/>
          <w:szCs w:val="24"/>
        </w:rPr>
        <w:tab/>
      </w:r>
      <w:r>
        <w:rPr>
          <w:rFonts w:hint="eastAsia" w:ascii="Times New Roman" w:hAnsi="Times New Roman" w:cs="Times New Roman"/>
          <w:b/>
          <w:bCs/>
          <w:color w:val="auto"/>
          <w:sz w:val="24"/>
          <w:szCs w:val="24"/>
        </w:rPr>
        <w:t>厂区大气常规监测点位分布情况</w:t>
      </w:r>
    </w:p>
    <w:tbl>
      <w:tblPr>
        <w:tblStyle w:val="45"/>
        <w:tblW w:w="8946" w:type="dxa"/>
        <w:tblInd w:w="285"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1131"/>
        <w:gridCol w:w="2434"/>
        <w:gridCol w:w="4322"/>
        <w:gridCol w:w="1059"/>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288" w:hRule="atLeast"/>
        </w:trPr>
        <w:tc>
          <w:tcPr>
            <w:tcW w:w="1131" w:type="dxa"/>
            <w:tcBorders>
              <w:bottom w:val="single" w:color="000000" w:sz="4" w:space="0"/>
              <w:right w:val="single" w:color="000000" w:sz="4" w:space="0"/>
            </w:tcBorders>
          </w:tcPr>
          <w:p>
            <w:pPr>
              <w:pStyle w:val="247"/>
              <w:spacing w:before="6" w:line="262" w:lineRule="exact"/>
              <w:ind w:left="349" w:right="317"/>
              <w:rPr>
                <w:rFonts w:ascii="宋体" w:eastAsia="宋体"/>
                <w:color w:val="auto"/>
              </w:rPr>
            </w:pPr>
            <w:r>
              <w:rPr>
                <w:rFonts w:hint="eastAsia" w:ascii="宋体" w:eastAsia="宋体"/>
                <w:color w:val="auto"/>
              </w:rPr>
              <w:t>序号</w:t>
            </w:r>
          </w:p>
        </w:tc>
        <w:tc>
          <w:tcPr>
            <w:tcW w:w="2434" w:type="dxa"/>
            <w:tcBorders>
              <w:left w:val="single" w:color="000000" w:sz="4" w:space="0"/>
              <w:bottom w:val="single" w:color="000000" w:sz="4" w:space="0"/>
              <w:right w:val="single" w:color="000000" w:sz="4" w:space="0"/>
            </w:tcBorders>
          </w:tcPr>
          <w:p>
            <w:pPr>
              <w:pStyle w:val="247"/>
              <w:spacing w:before="6" w:line="262" w:lineRule="exact"/>
              <w:ind w:left="365" w:right="337"/>
              <w:rPr>
                <w:rFonts w:ascii="宋体" w:eastAsia="宋体"/>
                <w:color w:val="auto"/>
              </w:rPr>
            </w:pPr>
            <w:r>
              <w:rPr>
                <w:rFonts w:hint="eastAsia" w:ascii="宋体" w:eastAsia="宋体"/>
                <w:color w:val="auto"/>
              </w:rPr>
              <w:t>监测点</w:t>
            </w:r>
          </w:p>
        </w:tc>
        <w:tc>
          <w:tcPr>
            <w:tcW w:w="4322" w:type="dxa"/>
            <w:tcBorders>
              <w:left w:val="single" w:color="000000" w:sz="4" w:space="0"/>
              <w:bottom w:val="single" w:color="000000" w:sz="4" w:space="0"/>
              <w:right w:val="single" w:color="000000" w:sz="4" w:space="0"/>
            </w:tcBorders>
          </w:tcPr>
          <w:p>
            <w:pPr>
              <w:pStyle w:val="247"/>
              <w:spacing w:before="6" w:line="262" w:lineRule="exact"/>
              <w:ind w:left="1728" w:right="1704"/>
              <w:rPr>
                <w:rFonts w:ascii="宋体" w:eastAsia="宋体"/>
                <w:color w:val="auto"/>
              </w:rPr>
            </w:pPr>
            <w:r>
              <w:rPr>
                <w:rFonts w:hint="eastAsia" w:ascii="宋体" w:eastAsia="宋体"/>
                <w:color w:val="auto"/>
              </w:rPr>
              <w:t>监测项目</w:t>
            </w:r>
          </w:p>
        </w:tc>
        <w:tc>
          <w:tcPr>
            <w:tcW w:w="1059" w:type="dxa"/>
            <w:tcBorders>
              <w:left w:val="single" w:color="000000" w:sz="4" w:space="0"/>
              <w:bottom w:val="single" w:color="000000" w:sz="4" w:space="0"/>
            </w:tcBorders>
          </w:tcPr>
          <w:p>
            <w:pPr>
              <w:pStyle w:val="247"/>
              <w:spacing w:before="6" w:line="262" w:lineRule="exact"/>
              <w:ind w:left="117"/>
              <w:jc w:val="left"/>
              <w:rPr>
                <w:rFonts w:ascii="宋体" w:eastAsia="宋体"/>
                <w:color w:val="auto"/>
              </w:rPr>
            </w:pPr>
            <w:r>
              <w:rPr>
                <w:rFonts w:hint="eastAsia" w:ascii="宋体" w:eastAsia="宋体"/>
                <w:color w:val="auto"/>
              </w:rPr>
              <w:t>监测频次</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277" w:hRule="atLeast"/>
        </w:trPr>
        <w:tc>
          <w:tcPr>
            <w:tcW w:w="1131" w:type="dxa"/>
            <w:tcBorders>
              <w:top w:val="single" w:color="000000" w:sz="4" w:space="0"/>
              <w:bottom w:val="single" w:color="000000" w:sz="4" w:space="0"/>
              <w:right w:val="single" w:color="000000" w:sz="4" w:space="0"/>
            </w:tcBorders>
          </w:tcPr>
          <w:p>
            <w:pPr>
              <w:pStyle w:val="247"/>
              <w:spacing w:before="19" w:line="239" w:lineRule="exact"/>
              <w:ind w:left="31"/>
              <w:rPr>
                <w:color w:val="auto"/>
              </w:rPr>
            </w:pPr>
            <w:r>
              <w:rPr>
                <w:color w:val="auto"/>
                <w:w w:val="99"/>
              </w:rPr>
              <w:t>1</w:t>
            </w:r>
          </w:p>
        </w:tc>
        <w:tc>
          <w:tcPr>
            <w:tcW w:w="2434" w:type="dxa"/>
            <w:tcBorders>
              <w:top w:val="single" w:color="000000" w:sz="4" w:space="0"/>
              <w:left w:val="single" w:color="000000" w:sz="4" w:space="0"/>
              <w:bottom w:val="single" w:color="000000" w:sz="4" w:space="0"/>
              <w:right w:val="single" w:color="000000" w:sz="4" w:space="0"/>
            </w:tcBorders>
          </w:tcPr>
          <w:p>
            <w:pPr>
              <w:pStyle w:val="247"/>
              <w:spacing w:before="5" w:line="253" w:lineRule="exact"/>
              <w:ind w:left="365" w:right="339"/>
              <w:rPr>
                <w:rFonts w:ascii="宋体" w:eastAsia="宋体"/>
                <w:color w:val="auto"/>
              </w:rPr>
            </w:pPr>
            <w:r>
              <w:rPr>
                <w:rFonts w:hint="eastAsia" w:ascii="宋体" w:eastAsia="宋体"/>
                <w:color w:val="auto"/>
              </w:rPr>
              <w:t>长岭分公司生活区</w:t>
            </w:r>
          </w:p>
        </w:tc>
        <w:tc>
          <w:tcPr>
            <w:tcW w:w="4322" w:type="dxa"/>
            <w:vMerge w:val="restart"/>
            <w:tcBorders>
              <w:top w:val="single" w:color="000000" w:sz="4" w:space="0"/>
              <w:left w:val="single" w:color="000000" w:sz="4" w:space="0"/>
              <w:right w:val="single" w:color="000000" w:sz="4" w:space="0"/>
            </w:tcBorders>
          </w:tcPr>
          <w:p>
            <w:pPr>
              <w:pStyle w:val="247"/>
              <w:spacing w:before="1"/>
              <w:jc w:val="left"/>
              <w:rPr>
                <w:rFonts w:ascii="黑体"/>
                <w:color w:val="auto"/>
                <w:sz w:val="28"/>
              </w:rPr>
            </w:pPr>
          </w:p>
          <w:p>
            <w:pPr>
              <w:pStyle w:val="247"/>
              <w:spacing w:line="208" w:lineRule="auto"/>
              <w:ind w:left="1646" w:right="88" w:hanging="1520"/>
              <w:jc w:val="left"/>
              <w:rPr>
                <w:rFonts w:ascii="宋体" w:eastAsia="宋体"/>
                <w:color w:val="auto"/>
              </w:rPr>
            </w:pPr>
            <w:r>
              <w:rPr>
                <w:color w:val="auto"/>
                <w:position w:val="2"/>
              </w:rPr>
              <w:t>SO</w:t>
            </w:r>
            <w:r>
              <w:rPr>
                <w:color w:val="auto"/>
                <w:position w:val="2"/>
                <w:vertAlign w:val="subscript"/>
              </w:rPr>
              <w:t>2</w:t>
            </w:r>
            <w:r>
              <w:rPr>
                <w:rFonts w:hint="eastAsia" w:ascii="宋体" w:eastAsia="宋体"/>
                <w:color w:val="auto"/>
                <w:position w:val="2"/>
              </w:rPr>
              <w:t>、</w:t>
            </w:r>
            <w:r>
              <w:rPr>
                <w:color w:val="auto"/>
                <w:position w:val="2"/>
              </w:rPr>
              <w:t>NO</w:t>
            </w:r>
            <w:r>
              <w:rPr>
                <w:color w:val="auto"/>
                <w:position w:val="2"/>
                <w:vertAlign w:val="subscript"/>
              </w:rPr>
              <w:t>2</w:t>
            </w:r>
            <w:r>
              <w:rPr>
                <w:rFonts w:hint="eastAsia" w:ascii="宋体" w:eastAsia="宋体"/>
                <w:color w:val="auto"/>
                <w:position w:val="2"/>
              </w:rPr>
              <w:t>、</w:t>
            </w:r>
            <w:r>
              <w:rPr>
                <w:color w:val="auto"/>
                <w:position w:val="2"/>
              </w:rPr>
              <w:t>PM</w:t>
            </w:r>
            <w:r>
              <w:rPr>
                <w:color w:val="auto"/>
                <w:position w:val="2"/>
                <w:vertAlign w:val="subscript"/>
              </w:rPr>
              <w:t>10</w:t>
            </w:r>
            <w:r>
              <w:rPr>
                <w:rFonts w:hint="eastAsia" w:ascii="宋体" w:eastAsia="宋体"/>
                <w:color w:val="auto"/>
                <w:position w:val="2"/>
              </w:rPr>
              <w:t>、</w:t>
            </w:r>
            <w:r>
              <w:rPr>
                <w:color w:val="auto"/>
                <w:position w:val="2"/>
              </w:rPr>
              <w:t>H</w:t>
            </w:r>
            <w:r>
              <w:rPr>
                <w:color w:val="auto"/>
                <w:position w:val="2"/>
                <w:vertAlign w:val="subscript"/>
              </w:rPr>
              <w:t>2</w:t>
            </w:r>
            <w:r>
              <w:rPr>
                <w:color w:val="auto"/>
                <w:position w:val="2"/>
              </w:rPr>
              <w:t>S</w:t>
            </w:r>
            <w:r>
              <w:rPr>
                <w:rFonts w:hint="eastAsia" w:ascii="宋体" w:eastAsia="宋体"/>
                <w:color w:val="auto"/>
                <w:position w:val="2"/>
              </w:rPr>
              <w:t>、苯酚、</w:t>
            </w:r>
            <w:r>
              <w:rPr>
                <w:color w:val="auto"/>
                <w:position w:val="2"/>
              </w:rPr>
              <w:t>NH</w:t>
            </w:r>
            <w:r>
              <w:rPr>
                <w:color w:val="auto"/>
                <w:position w:val="2"/>
                <w:vertAlign w:val="subscript"/>
              </w:rPr>
              <w:t>3</w:t>
            </w:r>
            <w:r>
              <w:rPr>
                <w:rFonts w:hint="eastAsia" w:ascii="宋体" w:eastAsia="宋体"/>
                <w:color w:val="auto"/>
                <w:position w:val="2"/>
              </w:rPr>
              <w:t>、</w:t>
            </w:r>
            <w:r>
              <w:rPr>
                <w:color w:val="auto"/>
                <w:position w:val="2"/>
              </w:rPr>
              <w:t>HCl</w:t>
            </w:r>
            <w:r>
              <w:rPr>
                <w:rFonts w:hint="eastAsia" w:ascii="宋体" w:eastAsia="宋体"/>
                <w:color w:val="auto"/>
                <w:position w:val="2"/>
              </w:rPr>
              <w:t>、</w:t>
            </w:r>
            <w:r>
              <w:rPr>
                <w:rFonts w:hint="eastAsia" w:ascii="宋体" w:eastAsia="宋体"/>
                <w:color w:val="auto"/>
              </w:rPr>
              <w:t>非甲烷总烃</w:t>
            </w:r>
          </w:p>
        </w:tc>
        <w:tc>
          <w:tcPr>
            <w:tcW w:w="1059" w:type="dxa"/>
            <w:vMerge w:val="restart"/>
            <w:tcBorders>
              <w:top w:val="single" w:color="000000" w:sz="4" w:space="0"/>
              <w:left w:val="single" w:color="000000" w:sz="4" w:space="0"/>
            </w:tcBorders>
          </w:tcPr>
          <w:p>
            <w:pPr>
              <w:pStyle w:val="247"/>
              <w:jc w:val="left"/>
              <w:rPr>
                <w:rFonts w:ascii="黑体"/>
                <w:color w:val="auto"/>
                <w:sz w:val="22"/>
              </w:rPr>
            </w:pPr>
          </w:p>
          <w:p>
            <w:pPr>
              <w:pStyle w:val="247"/>
              <w:spacing w:before="172"/>
              <w:ind w:left="117"/>
              <w:jc w:val="left"/>
              <w:rPr>
                <w:rFonts w:ascii="宋体" w:eastAsia="宋体"/>
                <w:color w:val="auto"/>
              </w:rPr>
            </w:pPr>
            <w:r>
              <w:rPr>
                <w:color w:val="auto"/>
              </w:rPr>
              <w:t xml:space="preserve">1 </w:t>
            </w:r>
            <w:r>
              <w:rPr>
                <w:rFonts w:hint="eastAsia" w:ascii="宋体" w:eastAsia="宋体"/>
                <w:color w:val="auto"/>
              </w:rPr>
              <w:t>次</w:t>
            </w:r>
            <w:r>
              <w:rPr>
                <w:color w:val="auto"/>
              </w:rPr>
              <w:t>/</w:t>
            </w:r>
            <w:r>
              <w:rPr>
                <w:rFonts w:hint="eastAsia" w:ascii="宋体" w:eastAsia="宋体"/>
                <w:color w:val="auto"/>
              </w:rPr>
              <w:t>季度</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267" w:hRule="atLeast"/>
        </w:trPr>
        <w:tc>
          <w:tcPr>
            <w:tcW w:w="1131" w:type="dxa"/>
            <w:tcBorders>
              <w:top w:val="single" w:color="000000" w:sz="4" w:space="0"/>
              <w:bottom w:val="single" w:color="000000" w:sz="4" w:space="0"/>
              <w:right w:val="single" w:color="000000" w:sz="4" w:space="0"/>
            </w:tcBorders>
          </w:tcPr>
          <w:p>
            <w:pPr>
              <w:pStyle w:val="247"/>
              <w:spacing w:before="11" w:line="237" w:lineRule="exact"/>
              <w:ind w:left="31"/>
              <w:rPr>
                <w:color w:val="auto"/>
              </w:rPr>
            </w:pPr>
            <w:r>
              <w:rPr>
                <w:color w:val="auto"/>
                <w:w w:val="99"/>
              </w:rPr>
              <w:t>2</w:t>
            </w:r>
          </w:p>
        </w:tc>
        <w:tc>
          <w:tcPr>
            <w:tcW w:w="2434" w:type="dxa"/>
            <w:tcBorders>
              <w:top w:val="single" w:color="000000" w:sz="4" w:space="0"/>
              <w:left w:val="single" w:color="000000" w:sz="4" w:space="0"/>
              <w:bottom w:val="single" w:color="000000" w:sz="4" w:space="0"/>
              <w:right w:val="single" w:color="000000" w:sz="4" w:space="0"/>
            </w:tcBorders>
          </w:tcPr>
          <w:p>
            <w:pPr>
              <w:pStyle w:val="247"/>
              <w:spacing w:line="248" w:lineRule="exact"/>
              <w:ind w:left="363" w:right="339"/>
              <w:rPr>
                <w:rFonts w:ascii="宋体" w:eastAsia="宋体"/>
                <w:color w:val="auto"/>
              </w:rPr>
            </w:pPr>
            <w:r>
              <w:rPr>
                <w:rFonts w:hint="eastAsia" w:ascii="宋体" w:eastAsia="宋体"/>
                <w:color w:val="auto"/>
              </w:rPr>
              <w:t>五包山幼儿园</w:t>
            </w:r>
          </w:p>
        </w:tc>
        <w:tc>
          <w:tcPr>
            <w:tcW w:w="4322" w:type="dxa"/>
            <w:vMerge w:val="continue"/>
            <w:tcBorders>
              <w:top w:val="nil"/>
              <w:left w:val="single" w:color="000000" w:sz="4" w:space="0"/>
              <w:right w:val="single" w:color="000000" w:sz="4" w:space="0"/>
            </w:tcBorders>
          </w:tcPr>
          <w:p>
            <w:pPr>
              <w:rPr>
                <w:color w:val="auto"/>
                <w:sz w:val="2"/>
                <w:szCs w:val="2"/>
              </w:rPr>
            </w:pPr>
          </w:p>
        </w:tc>
        <w:tc>
          <w:tcPr>
            <w:tcW w:w="1059" w:type="dxa"/>
            <w:vMerge w:val="continue"/>
            <w:tcBorders>
              <w:top w:val="nil"/>
              <w:left w:val="single" w:color="000000" w:sz="4" w:space="0"/>
            </w:tcBorders>
          </w:tcPr>
          <w:p>
            <w:pPr>
              <w:rPr>
                <w:color w:val="auto"/>
                <w:sz w:val="2"/>
                <w:szCs w:val="2"/>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267" w:hRule="atLeast"/>
        </w:trPr>
        <w:tc>
          <w:tcPr>
            <w:tcW w:w="1131" w:type="dxa"/>
            <w:tcBorders>
              <w:top w:val="single" w:color="000000" w:sz="4" w:space="0"/>
              <w:bottom w:val="single" w:color="000000" w:sz="4" w:space="0"/>
              <w:right w:val="single" w:color="000000" w:sz="4" w:space="0"/>
            </w:tcBorders>
          </w:tcPr>
          <w:p>
            <w:pPr>
              <w:pStyle w:val="247"/>
              <w:spacing w:before="10" w:line="237" w:lineRule="exact"/>
              <w:ind w:left="31"/>
              <w:rPr>
                <w:color w:val="auto"/>
              </w:rPr>
            </w:pPr>
            <w:r>
              <w:rPr>
                <w:color w:val="auto"/>
                <w:w w:val="99"/>
              </w:rPr>
              <w:t>3</w:t>
            </w:r>
          </w:p>
        </w:tc>
        <w:tc>
          <w:tcPr>
            <w:tcW w:w="2434" w:type="dxa"/>
            <w:tcBorders>
              <w:top w:val="single" w:color="000000" w:sz="4" w:space="0"/>
              <w:left w:val="single" w:color="000000" w:sz="4" w:space="0"/>
              <w:bottom w:val="single" w:color="000000" w:sz="4" w:space="0"/>
              <w:right w:val="single" w:color="000000" w:sz="4" w:space="0"/>
            </w:tcBorders>
          </w:tcPr>
          <w:p>
            <w:pPr>
              <w:pStyle w:val="247"/>
              <w:spacing w:line="248" w:lineRule="exact"/>
              <w:ind w:left="365" w:right="339"/>
              <w:rPr>
                <w:rFonts w:ascii="宋体" w:eastAsia="宋体"/>
                <w:color w:val="auto"/>
              </w:rPr>
            </w:pPr>
            <w:r>
              <w:rPr>
                <w:rFonts w:hint="eastAsia" w:ascii="宋体" w:eastAsia="宋体"/>
                <w:color w:val="auto"/>
              </w:rPr>
              <w:t>长炼医院</w:t>
            </w:r>
          </w:p>
        </w:tc>
        <w:tc>
          <w:tcPr>
            <w:tcW w:w="4322" w:type="dxa"/>
            <w:vMerge w:val="continue"/>
            <w:tcBorders>
              <w:top w:val="nil"/>
              <w:left w:val="single" w:color="000000" w:sz="4" w:space="0"/>
              <w:right w:val="single" w:color="000000" w:sz="4" w:space="0"/>
            </w:tcBorders>
          </w:tcPr>
          <w:p>
            <w:pPr>
              <w:rPr>
                <w:color w:val="auto"/>
                <w:sz w:val="2"/>
                <w:szCs w:val="2"/>
              </w:rPr>
            </w:pPr>
          </w:p>
        </w:tc>
        <w:tc>
          <w:tcPr>
            <w:tcW w:w="1059" w:type="dxa"/>
            <w:vMerge w:val="continue"/>
            <w:tcBorders>
              <w:top w:val="nil"/>
              <w:left w:val="single" w:color="000000" w:sz="4" w:space="0"/>
            </w:tcBorders>
          </w:tcPr>
          <w:p>
            <w:pPr>
              <w:rPr>
                <w:color w:val="auto"/>
                <w:sz w:val="2"/>
                <w:szCs w:val="2"/>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277" w:hRule="atLeast"/>
        </w:trPr>
        <w:tc>
          <w:tcPr>
            <w:tcW w:w="1131" w:type="dxa"/>
            <w:tcBorders>
              <w:top w:val="single" w:color="000000" w:sz="4" w:space="0"/>
              <w:right w:val="single" w:color="000000" w:sz="4" w:space="0"/>
            </w:tcBorders>
          </w:tcPr>
          <w:p>
            <w:pPr>
              <w:pStyle w:val="247"/>
              <w:spacing w:before="10"/>
              <w:ind w:left="31"/>
              <w:rPr>
                <w:color w:val="auto"/>
              </w:rPr>
            </w:pPr>
            <w:r>
              <w:rPr>
                <w:color w:val="auto"/>
                <w:w w:val="99"/>
              </w:rPr>
              <w:t>4</w:t>
            </w:r>
          </w:p>
        </w:tc>
        <w:tc>
          <w:tcPr>
            <w:tcW w:w="2434" w:type="dxa"/>
            <w:tcBorders>
              <w:top w:val="single" w:color="000000" w:sz="4" w:space="0"/>
              <w:left w:val="single" w:color="000000" w:sz="4" w:space="0"/>
              <w:right w:val="single" w:color="000000" w:sz="4" w:space="0"/>
            </w:tcBorders>
          </w:tcPr>
          <w:p>
            <w:pPr>
              <w:pStyle w:val="247"/>
              <w:spacing w:line="258" w:lineRule="exact"/>
              <w:ind w:left="365" w:right="337"/>
              <w:rPr>
                <w:rFonts w:ascii="宋体" w:eastAsia="宋体"/>
                <w:color w:val="auto"/>
              </w:rPr>
            </w:pPr>
            <w:r>
              <w:rPr>
                <w:rFonts w:hint="eastAsia" w:ascii="宋体" w:eastAsia="宋体"/>
                <w:color w:val="auto"/>
              </w:rPr>
              <w:t>南山村</w:t>
            </w:r>
          </w:p>
        </w:tc>
        <w:tc>
          <w:tcPr>
            <w:tcW w:w="4322" w:type="dxa"/>
            <w:vMerge w:val="continue"/>
            <w:tcBorders>
              <w:top w:val="nil"/>
              <w:left w:val="single" w:color="000000" w:sz="4" w:space="0"/>
              <w:right w:val="single" w:color="000000" w:sz="4" w:space="0"/>
            </w:tcBorders>
          </w:tcPr>
          <w:p>
            <w:pPr>
              <w:rPr>
                <w:color w:val="auto"/>
                <w:sz w:val="2"/>
                <w:szCs w:val="2"/>
              </w:rPr>
            </w:pPr>
          </w:p>
        </w:tc>
        <w:tc>
          <w:tcPr>
            <w:tcW w:w="1059" w:type="dxa"/>
            <w:vMerge w:val="continue"/>
            <w:tcBorders>
              <w:top w:val="nil"/>
              <w:left w:val="single" w:color="000000" w:sz="4" w:space="0"/>
            </w:tcBorders>
          </w:tcPr>
          <w:p>
            <w:pPr>
              <w:rPr>
                <w:color w:val="auto"/>
                <w:sz w:val="2"/>
                <w:szCs w:val="2"/>
              </w:rPr>
            </w:pPr>
          </w:p>
        </w:tc>
      </w:tr>
    </w:tbl>
    <w:p>
      <w:pPr>
        <w:rPr>
          <w:color w:val="auto"/>
          <w:sz w:val="2"/>
          <w:szCs w:val="2"/>
        </w:rPr>
      </w:pPr>
    </w:p>
    <w:p>
      <w:pPr>
        <w:pStyle w:val="7"/>
        <w:numPr>
          <w:ilvl w:val="2"/>
          <w:numId w:val="0"/>
        </w:numPr>
        <w:tabs>
          <w:tab w:val="left" w:pos="776"/>
          <w:tab w:val="clear" w:pos="-142"/>
        </w:tabs>
        <w:spacing w:before="120" w:after="120" w:line="240" w:lineRule="auto"/>
        <w:ind w:left="236" w:leftChars="0"/>
        <w:rPr>
          <w:color w:val="auto"/>
        </w:rPr>
      </w:pPr>
      <w:bookmarkStart w:id="507" w:name="_Toc6310"/>
      <w:r>
        <w:rPr>
          <w:rFonts w:hint="eastAsia"/>
          <w:color w:val="auto"/>
          <w:lang w:val="en-US" w:eastAsia="zh-CN"/>
        </w:rPr>
        <w:t xml:space="preserve">9.7.1 </w:t>
      </w:r>
      <w:r>
        <w:rPr>
          <w:color w:val="auto"/>
        </w:rPr>
        <w:t>监测计划</w:t>
      </w:r>
      <w:bookmarkEnd w:id="507"/>
    </w:p>
    <w:p>
      <w:pPr>
        <w:pStyle w:val="22"/>
        <w:spacing w:before="185" w:line="364" w:lineRule="auto"/>
        <w:ind w:right="330" w:firstLine="465"/>
        <w:rPr>
          <w:color w:val="auto"/>
          <w:sz w:val="24"/>
          <w:szCs w:val="24"/>
        </w:rPr>
      </w:pPr>
      <w:r>
        <w:rPr>
          <w:color w:val="auto"/>
          <w:sz w:val="24"/>
          <w:szCs w:val="24"/>
        </w:rPr>
        <w:t xml:space="preserve">本次工程建成运行后的污染源日常监测可由公司原监测站实施，必要时委托岳阳市环境监测站。为了加强环境管理，较为准确客观地掌握其污染物的排放情况， 为了加强环境管理，较为准确客观地掌握其污染物的排放情况，本评价特提出环境监测计划如表 </w:t>
      </w:r>
      <w:r>
        <w:rPr>
          <w:rFonts w:hint="eastAsia"/>
          <w:color w:val="auto"/>
          <w:sz w:val="24"/>
          <w:szCs w:val="24"/>
          <w:lang w:val="en-US" w:eastAsia="zh-CN"/>
        </w:rPr>
        <w:t>9.7</w:t>
      </w:r>
      <w:r>
        <w:rPr>
          <w:color w:val="auto"/>
          <w:sz w:val="24"/>
          <w:szCs w:val="24"/>
        </w:rPr>
        <w:t>-2。在事故或非正常工况下要增加监测频次。</w:t>
      </w:r>
    </w:p>
    <w:p>
      <w:pPr>
        <w:tabs>
          <w:tab w:val="left" w:pos="1250"/>
        </w:tabs>
        <w:spacing w:after="3" w:line="268" w:lineRule="exact"/>
        <w:ind w:left="234"/>
        <w:jc w:val="center"/>
        <w:rPr>
          <w:rFonts w:hint="eastAsia" w:ascii="黑体" w:eastAsia="黑体"/>
          <w:color w:val="auto"/>
        </w:rPr>
      </w:pPr>
    </w:p>
    <w:p>
      <w:pPr>
        <w:tabs>
          <w:tab w:val="left" w:pos="1250"/>
        </w:tabs>
        <w:spacing w:before="160" w:after="3"/>
        <w:ind w:left="234"/>
        <w:jc w:val="center"/>
        <w:rPr>
          <w:rFonts w:hint="eastAsia" w:ascii="Times New Roman" w:hAnsi="Times New Roman" w:cs="Times New Roman"/>
          <w:b/>
          <w:bCs/>
          <w:color w:val="auto"/>
          <w:sz w:val="24"/>
          <w:szCs w:val="24"/>
        </w:rPr>
      </w:pPr>
      <w:r>
        <w:rPr>
          <w:rFonts w:hint="eastAsia" w:ascii="Times New Roman" w:hAnsi="Times New Roman" w:cs="Times New Roman"/>
          <w:b/>
          <w:bCs/>
          <w:color w:val="auto"/>
          <w:sz w:val="24"/>
          <w:szCs w:val="24"/>
        </w:rPr>
        <w:t xml:space="preserve">表 </w:t>
      </w:r>
      <w:r>
        <w:rPr>
          <w:rFonts w:hint="eastAsia" w:ascii="Times New Roman" w:hAnsi="Times New Roman" w:cs="Times New Roman"/>
          <w:b/>
          <w:bCs/>
          <w:color w:val="auto"/>
          <w:sz w:val="24"/>
          <w:szCs w:val="24"/>
          <w:lang w:val="en-US" w:eastAsia="zh-CN"/>
        </w:rPr>
        <w:t>9.7</w:t>
      </w:r>
      <w:r>
        <w:rPr>
          <w:rFonts w:hint="eastAsia" w:ascii="Times New Roman" w:hAnsi="Times New Roman" w:cs="Times New Roman"/>
          <w:b/>
          <w:bCs/>
          <w:color w:val="auto"/>
          <w:sz w:val="24"/>
          <w:szCs w:val="24"/>
        </w:rPr>
        <w:t>-2</w:t>
      </w:r>
      <w:r>
        <w:rPr>
          <w:rFonts w:hint="eastAsia" w:ascii="Times New Roman" w:hAnsi="Times New Roman" w:cs="Times New Roman"/>
          <w:b/>
          <w:bCs/>
          <w:color w:val="auto"/>
          <w:sz w:val="24"/>
          <w:szCs w:val="24"/>
        </w:rPr>
        <w:tab/>
      </w:r>
      <w:r>
        <w:rPr>
          <w:rFonts w:hint="eastAsia" w:ascii="Times New Roman" w:hAnsi="Times New Roman" w:cs="Times New Roman"/>
          <w:b/>
          <w:bCs/>
          <w:color w:val="auto"/>
          <w:sz w:val="24"/>
          <w:szCs w:val="24"/>
        </w:rPr>
        <w:t>本项目污染源监测计划一览表</w:t>
      </w:r>
    </w:p>
    <w:tbl>
      <w:tblPr>
        <w:tblStyle w:val="45"/>
        <w:tblW w:w="8946" w:type="dxa"/>
        <w:tblInd w:w="285"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1525"/>
        <w:gridCol w:w="2127"/>
        <w:gridCol w:w="2977"/>
        <w:gridCol w:w="1417"/>
        <w:gridCol w:w="900"/>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1525" w:type="dxa"/>
            <w:tcBorders>
              <w:bottom w:val="single" w:color="000000" w:sz="6" w:space="0"/>
              <w:right w:val="single" w:color="000000" w:sz="6" w:space="0"/>
            </w:tcBorders>
          </w:tcPr>
          <w:p>
            <w:pPr>
              <w:pStyle w:val="247"/>
              <w:spacing w:before="59"/>
              <w:ind w:left="229" w:right="192"/>
              <w:rPr>
                <w:rFonts w:ascii="宋体" w:eastAsia="宋体"/>
                <w:b/>
                <w:color w:val="auto"/>
              </w:rPr>
            </w:pPr>
            <w:r>
              <w:rPr>
                <w:rFonts w:hint="eastAsia" w:ascii="宋体" w:eastAsia="宋体"/>
                <w:b/>
                <w:color w:val="auto"/>
              </w:rPr>
              <w:t>内容</w:t>
            </w:r>
          </w:p>
        </w:tc>
        <w:tc>
          <w:tcPr>
            <w:tcW w:w="2127" w:type="dxa"/>
            <w:tcBorders>
              <w:left w:val="single" w:color="000000" w:sz="6" w:space="0"/>
              <w:bottom w:val="single" w:color="000000" w:sz="6" w:space="0"/>
              <w:right w:val="single" w:color="000000" w:sz="6" w:space="0"/>
            </w:tcBorders>
          </w:tcPr>
          <w:p>
            <w:pPr>
              <w:pStyle w:val="247"/>
              <w:spacing w:before="59"/>
              <w:ind w:left="208" w:right="178"/>
              <w:rPr>
                <w:rFonts w:ascii="宋体" w:eastAsia="宋体"/>
                <w:b/>
                <w:color w:val="auto"/>
              </w:rPr>
            </w:pPr>
            <w:r>
              <w:rPr>
                <w:rFonts w:hint="eastAsia" w:ascii="宋体" w:eastAsia="宋体"/>
                <w:b/>
                <w:color w:val="auto"/>
              </w:rPr>
              <w:t>监测点</w:t>
            </w:r>
          </w:p>
        </w:tc>
        <w:tc>
          <w:tcPr>
            <w:tcW w:w="2977" w:type="dxa"/>
            <w:tcBorders>
              <w:left w:val="single" w:color="000000" w:sz="6" w:space="0"/>
              <w:bottom w:val="single" w:color="000000" w:sz="6" w:space="0"/>
              <w:right w:val="single" w:color="000000" w:sz="6" w:space="0"/>
            </w:tcBorders>
          </w:tcPr>
          <w:p>
            <w:pPr>
              <w:pStyle w:val="247"/>
              <w:spacing w:before="59"/>
              <w:ind w:left="319" w:right="291"/>
              <w:rPr>
                <w:rFonts w:ascii="宋体" w:eastAsia="宋体"/>
                <w:b/>
                <w:color w:val="auto"/>
              </w:rPr>
            </w:pPr>
            <w:r>
              <w:rPr>
                <w:rFonts w:hint="eastAsia" w:ascii="宋体" w:eastAsia="宋体"/>
                <w:b/>
                <w:color w:val="auto"/>
              </w:rPr>
              <w:t>监测项目</w:t>
            </w:r>
          </w:p>
        </w:tc>
        <w:tc>
          <w:tcPr>
            <w:tcW w:w="1417" w:type="dxa"/>
            <w:tcBorders>
              <w:left w:val="single" w:color="000000" w:sz="6" w:space="0"/>
              <w:bottom w:val="single" w:color="000000" w:sz="6" w:space="0"/>
              <w:right w:val="single" w:color="000000" w:sz="6" w:space="0"/>
            </w:tcBorders>
          </w:tcPr>
          <w:p>
            <w:pPr>
              <w:pStyle w:val="247"/>
              <w:spacing w:before="59"/>
              <w:ind w:left="271" w:right="240"/>
              <w:rPr>
                <w:rFonts w:ascii="宋体" w:eastAsia="宋体"/>
                <w:b/>
                <w:color w:val="auto"/>
              </w:rPr>
            </w:pPr>
            <w:r>
              <w:rPr>
                <w:rFonts w:hint="eastAsia" w:ascii="宋体" w:eastAsia="宋体"/>
                <w:b/>
                <w:color w:val="auto"/>
              </w:rPr>
              <w:t>监测频次</w:t>
            </w:r>
          </w:p>
        </w:tc>
        <w:tc>
          <w:tcPr>
            <w:tcW w:w="900" w:type="dxa"/>
            <w:tcBorders>
              <w:left w:val="single" w:color="000000" w:sz="6" w:space="0"/>
              <w:bottom w:val="single" w:color="000000" w:sz="6" w:space="0"/>
            </w:tcBorders>
          </w:tcPr>
          <w:p>
            <w:pPr>
              <w:pStyle w:val="247"/>
              <w:spacing w:before="59"/>
              <w:ind w:left="246"/>
              <w:jc w:val="left"/>
              <w:rPr>
                <w:rFonts w:ascii="宋体" w:eastAsia="宋体"/>
                <w:b/>
                <w:color w:val="auto"/>
              </w:rPr>
            </w:pPr>
            <w:r>
              <w:rPr>
                <w:rFonts w:hint="eastAsia" w:ascii="宋体" w:eastAsia="宋体"/>
                <w:b/>
                <w:color w:val="auto"/>
              </w:rPr>
              <w:t>备注</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89" w:hRule="atLeast"/>
        </w:trPr>
        <w:tc>
          <w:tcPr>
            <w:tcW w:w="1525" w:type="dxa"/>
            <w:tcBorders>
              <w:top w:val="single" w:color="000000" w:sz="6" w:space="0"/>
              <w:bottom w:val="single" w:color="000000" w:sz="6" w:space="0"/>
              <w:right w:val="single" w:color="000000" w:sz="6" w:space="0"/>
            </w:tcBorders>
          </w:tcPr>
          <w:p>
            <w:pPr>
              <w:pStyle w:val="247"/>
              <w:spacing w:before="59"/>
              <w:ind w:left="229" w:right="197"/>
              <w:rPr>
                <w:rFonts w:ascii="宋体" w:eastAsia="宋体"/>
                <w:color w:val="auto"/>
              </w:rPr>
            </w:pPr>
            <w:r>
              <w:rPr>
                <w:rFonts w:hint="eastAsia" w:ascii="宋体" w:eastAsia="宋体"/>
                <w:color w:val="auto"/>
              </w:rPr>
              <w:t>无组织废气</w:t>
            </w:r>
          </w:p>
        </w:tc>
        <w:tc>
          <w:tcPr>
            <w:tcW w:w="2127" w:type="dxa"/>
            <w:tcBorders>
              <w:top w:val="single" w:color="000000" w:sz="6" w:space="0"/>
              <w:left w:val="single" w:color="000000" w:sz="6" w:space="0"/>
              <w:bottom w:val="single" w:color="000000" w:sz="6" w:space="0"/>
              <w:right w:val="single" w:color="000000" w:sz="6" w:space="0"/>
            </w:tcBorders>
          </w:tcPr>
          <w:p>
            <w:pPr>
              <w:pStyle w:val="247"/>
              <w:spacing w:before="59"/>
              <w:ind w:left="206" w:right="183"/>
              <w:rPr>
                <w:rFonts w:ascii="宋体" w:eastAsia="宋体"/>
                <w:color w:val="auto"/>
              </w:rPr>
            </w:pPr>
            <w:r>
              <w:rPr>
                <w:rFonts w:hint="eastAsia" w:ascii="宋体" w:eastAsia="宋体"/>
                <w:color w:val="auto"/>
              </w:rPr>
              <w:t>厂界</w:t>
            </w:r>
          </w:p>
        </w:tc>
        <w:tc>
          <w:tcPr>
            <w:tcW w:w="2977" w:type="dxa"/>
            <w:tcBorders>
              <w:top w:val="single" w:color="000000" w:sz="6" w:space="0"/>
              <w:left w:val="single" w:color="000000" w:sz="6" w:space="0"/>
              <w:bottom w:val="single" w:color="000000" w:sz="6" w:space="0"/>
              <w:right w:val="single" w:color="000000" w:sz="6" w:space="0"/>
            </w:tcBorders>
          </w:tcPr>
          <w:p>
            <w:pPr>
              <w:pStyle w:val="247"/>
              <w:spacing w:before="59"/>
              <w:ind w:left="319" w:right="293"/>
              <w:rPr>
                <w:rFonts w:ascii="宋体" w:eastAsia="宋体"/>
                <w:color w:val="auto"/>
              </w:rPr>
            </w:pPr>
            <w:r>
              <w:rPr>
                <w:rFonts w:hint="eastAsia" w:ascii="宋体" w:eastAsia="宋体"/>
                <w:color w:val="auto"/>
              </w:rPr>
              <w:t>氨、硫化氢</w:t>
            </w:r>
          </w:p>
        </w:tc>
        <w:tc>
          <w:tcPr>
            <w:tcW w:w="1417" w:type="dxa"/>
            <w:tcBorders>
              <w:top w:val="single" w:color="000000" w:sz="6" w:space="0"/>
              <w:left w:val="single" w:color="000000" w:sz="6" w:space="0"/>
              <w:bottom w:val="single" w:color="000000" w:sz="6" w:space="0"/>
              <w:right w:val="single" w:color="000000" w:sz="6" w:space="0"/>
            </w:tcBorders>
          </w:tcPr>
          <w:p>
            <w:pPr>
              <w:pStyle w:val="247"/>
              <w:spacing w:before="59"/>
              <w:ind w:left="269" w:right="243"/>
              <w:rPr>
                <w:rFonts w:ascii="宋体" w:eastAsia="宋体"/>
                <w:color w:val="auto"/>
              </w:rPr>
            </w:pPr>
            <w:r>
              <w:rPr>
                <w:color w:val="auto"/>
              </w:rPr>
              <w:t xml:space="preserve">1 </w:t>
            </w:r>
            <w:r>
              <w:rPr>
                <w:rFonts w:hint="eastAsia" w:ascii="宋体" w:eastAsia="宋体"/>
                <w:color w:val="auto"/>
              </w:rPr>
              <w:t>次</w:t>
            </w:r>
            <w:r>
              <w:rPr>
                <w:color w:val="auto"/>
              </w:rPr>
              <w:t>/</w:t>
            </w:r>
            <w:r>
              <w:rPr>
                <w:rFonts w:hint="eastAsia" w:ascii="宋体" w:eastAsia="宋体"/>
                <w:color w:val="auto"/>
              </w:rPr>
              <w:t>季度</w:t>
            </w:r>
          </w:p>
        </w:tc>
        <w:tc>
          <w:tcPr>
            <w:tcW w:w="900" w:type="dxa"/>
            <w:vMerge w:val="restart"/>
            <w:tcBorders>
              <w:top w:val="single" w:color="000000" w:sz="6" w:space="0"/>
              <w:left w:val="single" w:color="000000" w:sz="6" w:space="0"/>
            </w:tcBorders>
          </w:tcPr>
          <w:p>
            <w:pPr>
              <w:pStyle w:val="247"/>
              <w:jc w:val="left"/>
              <w:rPr>
                <w:rFonts w:ascii="黑体"/>
                <w:color w:val="auto"/>
                <w:sz w:val="20"/>
              </w:rPr>
            </w:pPr>
          </w:p>
          <w:p>
            <w:pPr>
              <w:pStyle w:val="247"/>
              <w:spacing w:before="10"/>
              <w:jc w:val="left"/>
              <w:rPr>
                <w:rFonts w:ascii="黑体"/>
                <w:color w:val="auto"/>
                <w:sz w:val="16"/>
              </w:rPr>
            </w:pPr>
          </w:p>
          <w:p>
            <w:pPr>
              <w:pStyle w:val="247"/>
              <w:spacing w:line="213" w:lineRule="auto"/>
              <w:ind w:left="140" w:right="120"/>
              <w:jc w:val="both"/>
              <w:rPr>
                <w:rFonts w:ascii="宋体" w:eastAsia="宋体"/>
                <w:color w:val="auto"/>
              </w:rPr>
            </w:pPr>
            <w:r>
              <w:rPr>
                <w:rFonts w:hint="eastAsia" w:ascii="宋体" w:eastAsia="宋体"/>
                <w:color w:val="auto"/>
              </w:rPr>
              <w:t>纳入公司污染源监测计划</w:t>
            </w:r>
          </w:p>
          <w:p>
            <w:pPr>
              <w:pStyle w:val="247"/>
              <w:spacing w:line="213" w:lineRule="auto"/>
              <w:ind w:left="140" w:right="120"/>
              <w:jc w:val="both"/>
              <w:rPr>
                <w:rFonts w:ascii="宋体" w:eastAsia="宋体"/>
                <w:color w:val="auto"/>
              </w:rPr>
            </w:pPr>
            <w:r>
              <w:rPr>
                <w:rFonts w:hint="eastAsia" w:ascii="宋体" w:eastAsia="宋体"/>
                <w:color w:val="auto"/>
              </w:rPr>
              <w:t>中</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513" w:hRule="atLeast"/>
        </w:trPr>
        <w:tc>
          <w:tcPr>
            <w:tcW w:w="1525" w:type="dxa"/>
            <w:tcBorders>
              <w:top w:val="single" w:color="000000" w:sz="6" w:space="0"/>
              <w:bottom w:val="single" w:color="000000" w:sz="6" w:space="0"/>
              <w:right w:val="single" w:color="000000" w:sz="6" w:space="0"/>
            </w:tcBorders>
          </w:tcPr>
          <w:p>
            <w:pPr>
              <w:pStyle w:val="247"/>
              <w:spacing w:before="118"/>
              <w:ind w:left="229" w:right="195"/>
              <w:rPr>
                <w:rFonts w:ascii="宋体" w:eastAsia="宋体"/>
                <w:color w:val="auto"/>
              </w:rPr>
            </w:pPr>
            <w:r>
              <w:rPr>
                <w:rFonts w:hint="eastAsia" w:ascii="宋体" w:eastAsia="宋体"/>
                <w:color w:val="auto"/>
              </w:rPr>
              <w:t>地下水</w:t>
            </w:r>
          </w:p>
        </w:tc>
        <w:tc>
          <w:tcPr>
            <w:tcW w:w="2127" w:type="dxa"/>
            <w:tcBorders>
              <w:top w:val="single" w:color="000000" w:sz="6" w:space="0"/>
              <w:left w:val="single" w:color="000000" w:sz="6" w:space="0"/>
              <w:bottom w:val="single" w:color="000000" w:sz="6" w:space="0"/>
              <w:right w:val="single" w:color="000000" w:sz="6" w:space="0"/>
            </w:tcBorders>
          </w:tcPr>
          <w:p>
            <w:pPr>
              <w:pStyle w:val="247"/>
              <w:spacing w:before="118"/>
              <w:ind w:left="208" w:right="181"/>
              <w:rPr>
                <w:rFonts w:ascii="宋体" w:eastAsia="宋体"/>
                <w:color w:val="auto"/>
              </w:rPr>
            </w:pPr>
            <w:r>
              <w:rPr>
                <w:rFonts w:hint="eastAsia" w:ascii="宋体" w:eastAsia="宋体"/>
                <w:color w:val="auto"/>
              </w:rPr>
              <w:t>厂区上游及下游</w:t>
            </w:r>
          </w:p>
        </w:tc>
        <w:tc>
          <w:tcPr>
            <w:tcW w:w="2977" w:type="dxa"/>
            <w:tcBorders>
              <w:top w:val="single" w:color="000000" w:sz="6" w:space="0"/>
              <w:left w:val="single" w:color="000000" w:sz="6" w:space="0"/>
              <w:bottom w:val="single" w:color="000000" w:sz="6" w:space="0"/>
              <w:right w:val="single" w:color="000000" w:sz="6" w:space="0"/>
            </w:tcBorders>
          </w:tcPr>
          <w:p>
            <w:pPr>
              <w:pStyle w:val="247"/>
              <w:spacing w:before="16" w:line="240" w:lineRule="exact"/>
              <w:ind w:left="1179" w:right="-29" w:hanging="1061"/>
              <w:jc w:val="left"/>
              <w:rPr>
                <w:rFonts w:ascii="宋体" w:eastAsia="宋体"/>
                <w:color w:val="auto"/>
              </w:rPr>
            </w:pPr>
            <w:r>
              <w:rPr>
                <w:color w:val="auto"/>
                <w:w w:val="95"/>
              </w:rPr>
              <w:t>pH</w:t>
            </w:r>
            <w:r>
              <w:rPr>
                <w:rFonts w:hint="eastAsia" w:ascii="宋体" w:eastAsia="宋体"/>
                <w:color w:val="auto"/>
                <w:spacing w:val="-15"/>
                <w:w w:val="95"/>
              </w:rPr>
              <w:t>、石油类、氨氮、</w:t>
            </w:r>
            <w:r>
              <w:rPr>
                <w:color w:val="auto"/>
                <w:w w:val="95"/>
              </w:rPr>
              <w:t>COD</w:t>
            </w:r>
            <w:r>
              <w:rPr>
                <w:rFonts w:hint="eastAsia" w:ascii="宋体" w:eastAsia="宋体"/>
                <w:color w:val="auto"/>
                <w:spacing w:val="-13"/>
                <w:w w:val="95"/>
              </w:rPr>
              <w:t>、苯、</w:t>
            </w:r>
            <w:r>
              <w:rPr>
                <w:rFonts w:hint="eastAsia" w:ascii="宋体" w:eastAsia="宋体"/>
                <w:color w:val="auto"/>
                <w:spacing w:val="-13"/>
              </w:rPr>
              <w:t>挥发酚</w:t>
            </w:r>
          </w:p>
        </w:tc>
        <w:tc>
          <w:tcPr>
            <w:tcW w:w="1417" w:type="dxa"/>
            <w:tcBorders>
              <w:top w:val="single" w:color="000000" w:sz="6" w:space="0"/>
              <w:left w:val="single" w:color="000000" w:sz="6" w:space="0"/>
              <w:bottom w:val="single" w:color="000000" w:sz="6" w:space="0"/>
              <w:right w:val="single" w:color="000000" w:sz="6" w:space="0"/>
            </w:tcBorders>
          </w:tcPr>
          <w:p>
            <w:pPr>
              <w:pStyle w:val="247"/>
              <w:spacing w:before="118"/>
              <w:ind w:left="269" w:right="243"/>
              <w:rPr>
                <w:rFonts w:ascii="宋体" w:eastAsia="宋体"/>
                <w:color w:val="auto"/>
              </w:rPr>
            </w:pPr>
            <w:r>
              <w:rPr>
                <w:color w:val="auto"/>
              </w:rPr>
              <w:t xml:space="preserve">1 </w:t>
            </w:r>
            <w:r>
              <w:rPr>
                <w:rFonts w:hint="eastAsia" w:ascii="宋体" w:eastAsia="宋体"/>
                <w:color w:val="auto"/>
              </w:rPr>
              <w:t>次</w:t>
            </w:r>
            <w:r>
              <w:rPr>
                <w:color w:val="auto"/>
              </w:rPr>
              <w:t>/</w:t>
            </w:r>
            <w:r>
              <w:rPr>
                <w:rFonts w:hint="eastAsia" w:ascii="宋体" w:eastAsia="宋体"/>
                <w:color w:val="auto"/>
              </w:rPr>
              <w:t>季度</w:t>
            </w:r>
          </w:p>
        </w:tc>
        <w:tc>
          <w:tcPr>
            <w:tcW w:w="900" w:type="dxa"/>
            <w:vMerge w:val="continue"/>
            <w:tcBorders>
              <w:top w:val="nil"/>
              <w:left w:val="single" w:color="000000" w:sz="6" w:space="0"/>
            </w:tcBorders>
          </w:tcPr>
          <w:p>
            <w:pPr>
              <w:rPr>
                <w:color w:val="auto"/>
                <w:sz w:val="2"/>
                <w:szCs w:val="2"/>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81" w:hRule="atLeast"/>
        </w:trPr>
        <w:tc>
          <w:tcPr>
            <w:tcW w:w="1525" w:type="dxa"/>
            <w:tcBorders>
              <w:top w:val="single" w:color="000000" w:sz="6" w:space="0"/>
              <w:bottom w:val="single" w:color="000000" w:sz="6" w:space="0"/>
              <w:right w:val="single" w:color="000000" w:sz="6" w:space="0"/>
            </w:tcBorders>
          </w:tcPr>
          <w:p>
            <w:pPr>
              <w:pStyle w:val="247"/>
              <w:spacing w:before="52"/>
              <w:ind w:left="229" w:right="195"/>
              <w:rPr>
                <w:rFonts w:ascii="宋体" w:eastAsia="宋体"/>
                <w:color w:val="auto"/>
              </w:rPr>
            </w:pPr>
            <w:r>
              <w:rPr>
                <w:rFonts w:hint="eastAsia" w:ascii="宋体" w:eastAsia="宋体"/>
                <w:color w:val="auto"/>
              </w:rPr>
              <w:t>噪声</w:t>
            </w:r>
          </w:p>
        </w:tc>
        <w:tc>
          <w:tcPr>
            <w:tcW w:w="2127" w:type="dxa"/>
            <w:tcBorders>
              <w:top w:val="single" w:color="000000" w:sz="6" w:space="0"/>
              <w:left w:val="single" w:color="000000" w:sz="6" w:space="0"/>
              <w:bottom w:val="single" w:color="000000" w:sz="6" w:space="0"/>
              <w:right w:val="single" w:color="000000" w:sz="6" w:space="0"/>
            </w:tcBorders>
          </w:tcPr>
          <w:p>
            <w:pPr>
              <w:pStyle w:val="247"/>
              <w:spacing w:before="52"/>
              <w:ind w:left="206" w:right="183"/>
              <w:rPr>
                <w:rFonts w:ascii="宋体" w:eastAsia="宋体"/>
                <w:color w:val="auto"/>
              </w:rPr>
            </w:pPr>
            <w:r>
              <w:rPr>
                <w:rFonts w:hint="eastAsia" w:ascii="宋体" w:eastAsia="宋体"/>
                <w:color w:val="auto"/>
              </w:rPr>
              <w:t>厂界</w:t>
            </w:r>
          </w:p>
        </w:tc>
        <w:tc>
          <w:tcPr>
            <w:tcW w:w="2977" w:type="dxa"/>
            <w:tcBorders>
              <w:top w:val="single" w:color="000000" w:sz="6" w:space="0"/>
              <w:left w:val="single" w:color="000000" w:sz="6" w:space="0"/>
              <w:bottom w:val="single" w:color="000000" w:sz="6" w:space="0"/>
              <w:right w:val="single" w:color="000000" w:sz="6" w:space="0"/>
            </w:tcBorders>
          </w:tcPr>
          <w:p>
            <w:pPr>
              <w:pStyle w:val="247"/>
              <w:spacing w:before="52"/>
              <w:ind w:left="319" w:right="293"/>
              <w:rPr>
                <w:rFonts w:ascii="宋体" w:eastAsia="宋体"/>
                <w:color w:val="auto"/>
              </w:rPr>
            </w:pPr>
            <w:r>
              <w:rPr>
                <w:rFonts w:hint="eastAsia" w:ascii="宋体" w:eastAsia="宋体"/>
                <w:color w:val="auto"/>
              </w:rPr>
              <w:t>等效连续噪声级</w:t>
            </w:r>
          </w:p>
        </w:tc>
        <w:tc>
          <w:tcPr>
            <w:tcW w:w="1417" w:type="dxa"/>
            <w:tcBorders>
              <w:top w:val="single" w:color="000000" w:sz="6" w:space="0"/>
              <w:left w:val="single" w:color="000000" w:sz="6" w:space="0"/>
              <w:bottom w:val="single" w:color="000000" w:sz="6" w:space="0"/>
              <w:right w:val="single" w:color="000000" w:sz="6" w:space="0"/>
            </w:tcBorders>
          </w:tcPr>
          <w:p>
            <w:pPr>
              <w:pStyle w:val="247"/>
              <w:spacing w:before="52"/>
              <w:ind w:left="271" w:right="242"/>
              <w:rPr>
                <w:rFonts w:ascii="宋体" w:eastAsia="宋体"/>
                <w:color w:val="auto"/>
              </w:rPr>
            </w:pPr>
            <w:r>
              <w:rPr>
                <w:color w:val="auto"/>
              </w:rPr>
              <w:t xml:space="preserve">2 </w:t>
            </w:r>
            <w:r>
              <w:rPr>
                <w:rFonts w:hint="eastAsia" w:ascii="宋体" w:eastAsia="宋体"/>
                <w:color w:val="auto"/>
              </w:rPr>
              <w:t>次</w:t>
            </w:r>
            <w:r>
              <w:rPr>
                <w:color w:val="auto"/>
              </w:rPr>
              <w:t>/</w:t>
            </w:r>
            <w:r>
              <w:rPr>
                <w:rFonts w:hint="eastAsia" w:ascii="宋体" w:eastAsia="宋体"/>
                <w:color w:val="auto"/>
              </w:rPr>
              <w:t>年</w:t>
            </w:r>
          </w:p>
        </w:tc>
        <w:tc>
          <w:tcPr>
            <w:tcW w:w="900" w:type="dxa"/>
            <w:vMerge w:val="continue"/>
            <w:tcBorders>
              <w:top w:val="nil"/>
              <w:left w:val="single" w:color="000000" w:sz="6" w:space="0"/>
            </w:tcBorders>
          </w:tcPr>
          <w:p>
            <w:pPr>
              <w:rPr>
                <w:color w:val="auto"/>
                <w:sz w:val="2"/>
                <w:szCs w:val="2"/>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520" w:hRule="atLeast"/>
        </w:trPr>
        <w:tc>
          <w:tcPr>
            <w:tcW w:w="1525" w:type="dxa"/>
            <w:tcBorders>
              <w:top w:val="single" w:color="000000" w:sz="6" w:space="0"/>
              <w:right w:val="single" w:color="000000" w:sz="6" w:space="0"/>
            </w:tcBorders>
          </w:tcPr>
          <w:p>
            <w:pPr>
              <w:pStyle w:val="247"/>
              <w:spacing w:before="118"/>
              <w:ind w:left="229" w:right="197"/>
              <w:rPr>
                <w:rFonts w:ascii="宋体" w:eastAsia="宋体"/>
                <w:color w:val="auto"/>
              </w:rPr>
            </w:pPr>
            <w:r>
              <w:rPr>
                <w:rFonts w:hint="eastAsia" w:ascii="宋体" w:eastAsia="宋体"/>
                <w:color w:val="auto"/>
              </w:rPr>
              <w:t>含油污水</w:t>
            </w:r>
          </w:p>
        </w:tc>
        <w:tc>
          <w:tcPr>
            <w:tcW w:w="2127" w:type="dxa"/>
            <w:tcBorders>
              <w:top w:val="single" w:color="000000" w:sz="6" w:space="0"/>
              <w:left w:val="single" w:color="000000" w:sz="6" w:space="0"/>
              <w:right w:val="single" w:color="000000" w:sz="6" w:space="0"/>
            </w:tcBorders>
          </w:tcPr>
          <w:p>
            <w:pPr>
              <w:pStyle w:val="247"/>
              <w:spacing w:before="118"/>
              <w:ind w:left="208" w:right="183"/>
              <w:rPr>
                <w:rFonts w:ascii="宋体" w:eastAsia="宋体"/>
                <w:color w:val="auto"/>
              </w:rPr>
            </w:pPr>
            <w:r>
              <w:rPr>
                <w:rFonts w:hint="eastAsia" w:ascii="宋体" w:eastAsia="宋体"/>
                <w:color w:val="auto"/>
              </w:rPr>
              <w:t>装置区进总管网处</w:t>
            </w:r>
          </w:p>
        </w:tc>
        <w:tc>
          <w:tcPr>
            <w:tcW w:w="2977" w:type="dxa"/>
            <w:tcBorders>
              <w:top w:val="single" w:color="000000" w:sz="6" w:space="0"/>
              <w:left w:val="single" w:color="000000" w:sz="6" w:space="0"/>
              <w:right w:val="single" w:color="000000" w:sz="6" w:space="0"/>
            </w:tcBorders>
          </w:tcPr>
          <w:p>
            <w:pPr>
              <w:pStyle w:val="247"/>
              <w:spacing w:before="21" w:line="213" w:lineRule="auto"/>
              <w:ind w:left="970" w:right="85" w:hanging="855"/>
              <w:jc w:val="left"/>
              <w:rPr>
                <w:rFonts w:ascii="宋体" w:eastAsia="宋体"/>
                <w:color w:val="auto"/>
              </w:rPr>
            </w:pPr>
            <w:r>
              <w:rPr>
                <w:rFonts w:hint="eastAsia" w:ascii="宋体" w:eastAsia="宋体"/>
                <w:color w:val="auto"/>
                <w:w w:val="95"/>
              </w:rPr>
              <w:t>水量、</w:t>
            </w:r>
            <w:r>
              <w:rPr>
                <w:color w:val="auto"/>
                <w:w w:val="95"/>
              </w:rPr>
              <w:t>pH</w:t>
            </w:r>
            <w:r>
              <w:rPr>
                <w:rFonts w:hint="eastAsia" w:ascii="宋体" w:eastAsia="宋体"/>
                <w:color w:val="auto"/>
                <w:w w:val="95"/>
              </w:rPr>
              <w:t>、</w:t>
            </w:r>
            <w:r>
              <w:rPr>
                <w:color w:val="auto"/>
                <w:w w:val="95"/>
              </w:rPr>
              <w:t>COD</w:t>
            </w:r>
            <w:r>
              <w:rPr>
                <w:rFonts w:hint="eastAsia" w:ascii="宋体" w:eastAsia="宋体"/>
                <w:color w:val="auto"/>
                <w:w w:val="95"/>
              </w:rPr>
              <w:t>、氨氮、石油</w:t>
            </w:r>
            <w:r>
              <w:rPr>
                <w:rFonts w:hint="eastAsia" w:ascii="宋体" w:eastAsia="宋体"/>
                <w:color w:val="auto"/>
              </w:rPr>
              <w:t>类、硫化物</w:t>
            </w:r>
          </w:p>
        </w:tc>
        <w:tc>
          <w:tcPr>
            <w:tcW w:w="1417" w:type="dxa"/>
            <w:tcBorders>
              <w:top w:val="single" w:color="000000" w:sz="6" w:space="0"/>
              <w:left w:val="single" w:color="000000" w:sz="6" w:space="0"/>
              <w:right w:val="single" w:color="000000" w:sz="6" w:space="0"/>
            </w:tcBorders>
          </w:tcPr>
          <w:p>
            <w:pPr>
              <w:pStyle w:val="247"/>
              <w:spacing w:before="118"/>
              <w:ind w:left="269" w:right="243"/>
              <w:rPr>
                <w:rFonts w:ascii="宋体" w:eastAsia="宋体"/>
                <w:color w:val="auto"/>
              </w:rPr>
            </w:pPr>
            <w:r>
              <w:rPr>
                <w:color w:val="auto"/>
              </w:rPr>
              <w:t xml:space="preserve">1 </w:t>
            </w:r>
            <w:r>
              <w:rPr>
                <w:rFonts w:hint="eastAsia" w:ascii="宋体" w:eastAsia="宋体"/>
                <w:color w:val="auto"/>
              </w:rPr>
              <w:t>次</w:t>
            </w:r>
            <w:r>
              <w:rPr>
                <w:color w:val="auto"/>
              </w:rPr>
              <w:t>/</w:t>
            </w:r>
            <w:r>
              <w:rPr>
                <w:rFonts w:hint="eastAsia" w:ascii="宋体" w:eastAsia="宋体"/>
                <w:color w:val="auto"/>
              </w:rPr>
              <w:t>星期</w:t>
            </w:r>
          </w:p>
        </w:tc>
        <w:tc>
          <w:tcPr>
            <w:tcW w:w="900" w:type="dxa"/>
            <w:vMerge w:val="continue"/>
            <w:tcBorders>
              <w:top w:val="nil"/>
              <w:left w:val="single" w:color="000000" w:sz="6" w:space="0"/>
            </w:tcBorders>
          </w:tcPr>
          <w:p>
            <w:pPr>
              <w:rPr>
                <w:color w:val="auto"/>
                <w:sz w:val="2"/>
                <w:szCs w:val="2"/>
              </w:rPr>
            </w:pPr>
          </w:p>
        </w:tc>
      </w:tr>
    </w:tbl>
    <w:p>
      <w:pPr>
        <w:pStyle w:val="7"/>
        <w:numPr>
          <w:ilvl w:val="2"/>
          <w:numId w:val="0"/>
        </w:numPr>
        <w:tabs>
          <w:tab w:val="left" w:pos="776"/>
          <w:tab w:val="clear" w:pos="-142"/>
        </w:tabs>
        <w:spacing w:before="120" w:after="120" w:line="240" w:lineRule="auto"/>
        <w:ind w:left="236" w:leftChars="0"/>
        <w:rPr>
          <w:color w:val="auto"/>
        </w:rPr>
      </w:pPr>
      <w:bookmarkStart w:id="508" w:name="8.4.2监测数据管理"/>
      <w:bookmarkEnd w:id="508"/>
      <w:bookmarkStart w:id="509" w:name="_Toc21639"/>
      <w:r>
        <w:rPr>
          <w:rFonts w:hint="eastAsia"/>
          <w:color w:val="auto"/>
          <w:lang w:val="en-US" w:eastAsia="zh-CN"/>
        </w:rPr>
        <w:t xml:space="preserve">9.7.2 </w:t>
      </w:r>
      <w:r>
        <w:rPr>
          <w:color w:val="auto"/>
        </w:rPr>
        <w:t>监测数据管理</w:t>
      </w:r>
      <w:bookmarkEnd w:id="509"/>
    </w:p>
    <w:p>
      <w:pPr>
        <w:pStyle w:val="22"/>
        <w:spacing w:before="185" w:line="364" w:lineRule="auto"/>
        <w:ind w:right="330" w:firstLine="465"/>
        <w:rPr>
          <w:color w:val="auto"/>
          <w:sz w:val="32"/>
        </w:rPr>
      </w:pPr>
      <w:r>
        <w:rPr>
          <w:color w:val="auto"/>
          <w:sz w:val="24"/>
          <w:szCs w:val="24"/>
        </w:rPr>
        <w:t>本项目位于公司现有装置区预留地内：监测结果应按项目有关规定及时建立档案，并抄送环境保护行政主管部门，对于常规监测数据应该进行公开，特别是对本项目所在区域的居民进行公开，满足法律中关于知情权的要求。发现污染和水质恶化时，要及时进行处理，开展系统调查，并上报有关部门。</w:t>
      </w:r>
    </w:p>
    <w:p>
      <w:pPr>
        <w:pStyle w:val="6"/>
        <w:numPr>
          <w:ilvl w:val="1"/>
          <w:numId w:val="0"/>
        </w:numPr>
        <w:spacing w:before="120" w:after="120"/>
        <w:ind w:left="235" w:leftChars="0"/>
        <w:rPr>
          <w:color w:val="auto"/>
        </w:rPr>
      </w:pPr>
      <w:bookmarkStart w:id="510" w:name="_bookmark56"/>
      <w:bookmarkEnd w:id="510"/>
      <w:bookmarkStart w:id="511" w:name="8.5环保设施验收监测"/>
      <w:bookmarkEnd w:id="511"/>
      <w:bookmarkStart w:id="512" w:name="_Toc27692"/>
      <w:r>
        <w:rPr>
          <w:rFonts w:hint="eastAsia"/>
          <w:color w:val="auto"/>
          <w:lang w:val="en-US" w:eastAsia="zh-CN"/>
        </w:rPr>
        <w:t xml:space="preserve">9.8 </w:t>
      </w:r>
      <w:r>
        <w:rPr>
          <w:color w:val="auto"/>
        </w:rPr>
        <w:t>环保设施验收监测</w:t>
      </w:r>
      <w:bookmarkEnd w:id="512"/>
    </w:p>
    <w:p>
      <w:pPr>
        <w:pStyle w:val="22"/>
        <w:spacing w:before="183"/>
        <w:ind w:left="701"/>
        <w:rPr>
          <w:color w:val="auto"/>
        </w:rPr>
      </w:pPr>
      <w:r>
        <w:rPr>
          <w:color w:val="auto"/>
        </w:rPr>
        <w:t>根</w:t>
      </w:r>
      <w:r>
        <w:rPr>
          <w:color w:val="auto"/>
          <w:sz w:val="24"/>
          <w:szCs w:val="24"/>
        </w:rPr>
        <w:t xml:space="preserve">据本环评要求，本项目环保设施验收内容详见表 </w:t>
      </w:r>
      <w:r>
        <w:rPr>
          <w:rFonts w:hint="eastAsia"/>
          <w:color w:val="auto"/>
          <w:sz w:val="24"/>
          <w:szCs w:val="24"/>
          <w:lang w:val="en-US" w:eastAsia="zh-CN"/>
        </w:rPr>
        <w:t>9.8</w:t>
      </w:r>
      <w:r>
        <w:rPr>
          <w:color w:val="auto"/>
          <w:sz w:val="24"/>
          <w:szCs w:val="24"/>
        </w:rPr>
        <w:t>-1。</w:t>
      </w:r>
    </w:p>
    <w:p>
      <w:pPr>
        <w:tabs>
          <w:tab w:val="left" w:pos="1250"/>
        </w:tabs>
        <w:spacing w:before="160" w:after="3"/>
        <w:ind w:left="234"/>
        <w:jc w:val="center"/>
        <w:rPr>
          <w:rFonts w:ascii="Times New Roman" w:hAnsi="Times New Roman" w:cs="Times New Roman"/>
          <w:b/>
          <w:bCs/>
          <w:color w:val="auto"/>
          <w:sz w:val="24"/>
          <w:szCs w:val="24"/>
        </w:rPr>
      </w:pPr>
      <w:r>
        <w:rPr>
          <w:rFonts w:hint="eastAsia" w:ascii="Times New Roman" w:hAnsi="Times New Roman" w:cs="Times New Roman"/>
          <w:b/>
          <w:bCs/>
          <w:color w:val="auto"/>
          <w:sz w:val="24"/>
          <w:szCs w:val="24"/>
        </w:rPr>
        <w:t xml:space="preserve">表 </w:t>
      </w:r>
      <w:r>
        <w:rPr>
          <w:rFonts w:hint="eastAsia" w:ascii="Times New Roman" w:hAnsi="Times New Roman" w:cs="Times New Roman"/>
          <w:b/>
          <w:bCs/>
          <w:color w:val="auto"/>
          <w:sz w:val="24"/>
          <w:szCs w:val="24"/>
          <w:lang w:val="en-US" w:eastAsia="zh-CN"/>
        </w:rPr>
        <w:t>9.8</w:t>
      </w:r>
      <w:r>
        <w:rPr>
          <w:rFonts w:ascii="Times New Roman" w:hAnsi="Times New Roman" w:cs="Times New Roman"/>
          <w:b/>
          <w:bCs/>
          <w:color w:val="auto"/>
          <w:sz w:val="24"/>
          <w:szCs w:val="24"/>
        </w:rPr>
        <w:t>-1</w:t>
      </w:r>
      <w:r>
        <w:rPr>
          <w:rFonts w:ascii="Times New Roman" w:hAnsi="Times New Roman" w:cs="Times New Roman"/>
          <w:b/>
          <w:bCs/>
          <w:color w:val="auto"/>
          <w:sz w:val="24"/>
          <w:szCs w:val="24"/>
        </w:rPr>
        <w:tab/>
      </w:r>
      <w:r>
        <w:rPr>
          <w:rFonts w:hint="eastAsia" w:ascii="Times New Roman" w:hAnsi="Times New Roman" w:cs="Times New Roman"/>
          <w:b/>
          <w:bCs/>
          <w:color w:val="auto"/>
          <w:sz w:val="24"/>
          <w:szCs w:val="24"/>
        </w:rPr>
        <w:t>环保设施验收一览表</w:t>
      </w:r>
    </w:p>
    <w:tbl>
      <w:tblPr>
        <w:tblStyle w:val="45"/>
        <w:tblW w:w="9052" w:type="dxa"/>
        <w:tblInd w:w="233" w:type="dxa"/>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
      <w:tblGrid>
        <w:gridCol w:w="717"/>
        <w:gridCol w:w="1566"/>
        <w:gridCol w:w="1317"/>
        <w:gridCol w:w="2351"/>
        <w:gridCol w:w="3101"/>
      </w:tblGrid>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717" w:type="dxa"/>
            <w:tcBorders>
              <w:bottom w:val="single" w:color="000000" w:sz="4" w:space="0"/>
              <w:right w:val="single" w:color="000000" w:sz="4" w:space="0"/>
            </w:tcBorders>
          </w:tcPr>
          <w:p>
            <w:pPr>
              <w:pStyle w:val="247"/>
              <w:spacing w:before="63"/>
              <w:ind w:left="142" w:right="108"/>
              <w:rPr>
                <w:rFonts w:ascii="宋体" w:eastAsia="宋体"/>
                <w:b/>
                <w:color w:val="auto"/>
              </w:rPr>
            </w:pPr>
            <w:r>
              <w:rPr>
                <w:rFonts w:hint="eastAsia" w:ascii="宋体" w:eastAsia="宋体"/>
                <w:b/>
                <w:color w:val="auto"/>
              </w:rPr>
              <w:t>类型</w:t>
            </w:r>
          </w:p>
        </w:tc>
        <w:tc>
          <w:tcPr>
            <w:tcW w:w="1566" w:type="dxa"/>
            <w:tcBorders>
              <w:left w:val="single" w:color="000000" w:sz="4" w:space="0"/>
              <w:bottom w:val="single" w:color="000000" w:sz="4" w:space="0"/>
              <w:right w:val="single" w:color="000000" w:sz="4" w:space="0"/>
            </w:tcBorders>
          </w:tcPr>
          <w:p>
            <w:pPr>
              <w:pStyle w:val="247"/>
              <w:spacing w:before="63"/>
              <w:ind w:left="140" w:right="109"/>
              <w:rPr>
                <w:rFonts w:ascii="宋体" w:eastAsia="宋体"/>
                <w:b/>
                <w:color w:val="auto"/>
              </w:rPr>
            </w:pPr>
            <w:r>
              <w:rPr>
                <w:rFonts w:hint="eastAsia" w:ascii="宋体" w:eastAsia="宋体"/>
                <w:b/>
                <w:color w:val="auto"/>
              </w:rPr>
              <w:t>污染源</w:t>
            </w:r>
          </w:p>
        </w:tc>
        <w:tc>
          <w:tcPr>
            <w:tcW w:w="1317" w:type="dxa"/>
            <w:tcBorders>
              <w:left w:val="single" w:color="000000" w:sz="4" w:space="0"/>
              <w:bottom w:val="single" w:color="000000" w:sz="4" w:space="0"/>
              <w:right w:val="single" w:color="000000" w:sz="4" w:space="0"/>
            </w:tcBorders>
          </w:tcPr>
          <w:p>
            <w:pPr>
              <w:pStyle w:val="247"/>
              <w:spacing w:before="63"/>
              <w:ind w:left="68" w:right="49"/>
              <w:rPr>
                <w:rFonts w:ascii="宋体" w:eastAsia="宋体"/>
                <w:b/>
                <w:color w:val="auto"/>
              </w:rPr>
            </w:pPr>
            <w:r>
              <w:rPr>
                <w:rFonts w:hint="eastAsia" w:ascii="宋体" w:eastAsia="宋体"/>
                <w:b/>
                <w:color w:val="auto"/>
              </w:rPr>
              <w:t>主要污染物</w:t>
            </w:r>
          </w:p>
        </w:tc>
        <w:tc>
          <w:tcPr>
            <w:tcW w:w="2351" w:type="dxa"/>
            <w:tcBorders>
              <w:left w:val="single" w:color="000000" w:sz="4" w:space="0"/>
              <w:bottom w:val="single" w:color="000000" w:sz="4" w:space="0"/>
              <w:right w:val="single" w:color="000000" w:sz="4" w:space="0"/>
            </w:tcBorders>
          </w:tcPr>
          <w:p>
            <w:pPr>
              <w:pStyle w:val="247"/>
              <w:spacing w:before="63"/>
              <w:ind w:left="106" w:right="88"/>
              <w:rPr>
                <w:rFonts w:ascii="宋体" w:eastAsia="宋体"/>
                <w:b/>
                <w:color w:val="auto"/>
              </w:rPr>
            </w:pPr>
            <w:r>
              <w:rPr>
                <w:rFonts w:hint="eastAsia" w:ascii="宋体" w:eastAsia="宋体"/>
                <w:b/>
                <w:color w:val="auto"/>
              </w:rPr>
              <w:t>污染防治措施</w:t>
            </w:r>
          </w:p>
        </w:tc>
        <w:tc>
          <w:tcPr>
            <w:tcW w:w="3101" w:type="dxa"/>
            <w:tcBorders>
              <w:left w:val="single" w:color="000000" w:sz="4" w:space="0"/>
              <w:bottom w:val="single" w:color="000000" w:sz="4" w:space="0"/>
            </w:tcBorders>
          </w:tcPr>
          <w:p>
            <w:pPr>
              <w:pStyle w:val="247"/>
              <w:spacing w:before="63"/>
              <w:ind w:left="116" w:right="93"/>
              <w:rPr>
                <w:rFonts w:ascii="宋体" w:eastAsia="宋体"/>
                <w:b/>
                <w:color w:val="auto"/>
              </w:rPr>
            </w:pPr>
            <w:r>
              <w:rPr>
                <w:rFonts w:hint="eastAsia" w:ascii="宋体" w:eastAsia="宋体"/>
                <w:b/>
                <w:color w:val="auto"/>
              </w:rPr>
              <w:t>验收要求</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90" w:hRule="atLeast"/>
        </w:trPr>
        <w:tc>
          <w:tcPr>
            <w:tcW w:w="717" w:type="dxa"/>
            <w:tcBorders>
              <w:top w:val="single" w:color="000000" w:sz="4" w:space="0"/>
              <w:bottom w:val="single" w:color="000000" w:sz="4" w:space="0"/>
              <w:right w:val="single" w:color="000000" w:sz="4" w:space="0"/>
            </w:tcBorders>
            <w:vAlign w:val="center"/>
          </w:tcPr>
          <w:p>
            <w:pPr>
              <w:pStyle w:val="247"/>
              <w:spacing w:before="58"/>
              <w:ind w:left="140" w:right="114"/>
              <w:rPr>
                <w:color w:val="auto"/>
              </w:rPr>
            </w:pPr>
            <w:r>
              <w:rPr>
                <w:rFonts w:hint="eastAsia"/>
                <w:color w:val="auto"/>
              </w:rPr>
              <w:t>废气</w:t>
            </w:r>
          </w:p>
        </w:tc>
        <w:tc>
          <w:tcPr>
            <w:tcW w:w="1566"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color w:val="auto"/>
              </w:rPr>
            </w:pPr>
            <w:r>
              <w:rPr>
                <w:rFonts w:hint="eastAsia"/>
                <w:color w:val="auto"/>
              </w:rPr>
              <w:t>无组织废气</w:t>
            </w:r>
          </w:p>
        </w:tc>
        <w:tc>
          <w:tcPr>
            <w:tcW w:w="1317" w:type="dxa"/>
            <w:tcBorders>
              <w:top w:val="single" w:color="000000" w:sz="4" w:space="0"/>
              <w:left w:val="single" w:color="000000" w:sz="4" w:space="0"/>
              <w:right w:val="single" w:color="000000" w:sz="4" w:space="0"/>
            </w:tcBorders>
            <w:vAlign w:val="center"/>
          </w:tcPr>
          <w:p>
            <w:pPr>
              <w:pStyle w:val="247"/>
              <w:spacing w:before="58"/>
              <w:ind w:left="140" w:right="114"/>
              <w:rPr>
                <w:rFonts w:hint="default" w:eastAsia="宋体"/>
                <w:color w:val="auto"/>
                <w:lang w:val="en-US" w:eastAsia="zh-CN"/>
              </w:rPr>
            </w:pPr>
            <w:r>
              <w:rPr>
                <w:rFonts w:hint="eastAsia"/>
                <w:color w:val="auto"/>
              </w:rPr>
              <w:t>氨</w:t>
            </w:r>
          </w:p>
        </w:tc>
        <w:tc>
          <w:tcPr>
            <w:tcW w:w="2351"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color w:val="auto"/>
              </w:rPr>
            </w:pPr>
            <w:r>
              <w:rPr>
                <w:rFonts w:hint="eastAsia"/>
                <w:color w:val="auto"/>
              </w:rPr>
              <w:t>加强设备管道间连接件密闭性能</w:t>
            </w:r>
          </w:p>
        </w:tc>
        <w:tc>
          <w:tcPr>
            <w:tcW w:w="3101" w:type="dxa"/>
            <w:tcBorders>
              <w:top w:val="single" w:color="000000" w:sz="4" w:space="0"/>
              <w:left w:val="single" w:color="000000" w:sz="4" w:space="0"/>
              <w:bottom w:val="single" w:color="000000" w:sz="4" w:space="0"/>
            </w:tcBorders>
            <w:vAlign w:val="center"/>
          </w:tcPr>
          <w:p>
            <w:pPr>
              <w:pStyle w:val="247"/>
              <w:spacing w:before="58"/>
              <w:ind w:left="140" w:right="114"/>
              <w:rPr>
                <w:rFonts w:hint="eastAsia" w:eastAsia="宋体"/>
                <w:color w:val="auto"/>
                <w:lang w:eastAsia="zh-CN"/>
              </w:rPr>
            </w:pPr>
            <w:r>
              <w:rPr>
                <w:rFonts w:hint="eastAsia"/>
                <w:color w:val="auto"/>
              </w:rPr>
              <w:t>满足</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恶臭污染物排放标准</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GB14554</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93</w:t>
            </w:r>
            <w:r>
              <w:rPr>
                <w:rFonts w:hint="eastAsia" w:ascii="Calibri" w:hAnsi="Calibri" w:eastAsia="宋体" w:cs="Arial"/>
                <w:b w:val="0"/>
                <w:color w:val="auto"/>
                <w:kern w:val="2"/>
                <w:sz w:val="24"/>
                <w:szCs w:val="22"/>
                <w:u w:val="single"/>
                <w:lang w:val="en-US" w:eastAsia="zh-CN" w:bidi="ar-SA"/>
              </w:rPr>
              <w:t>）</w:t>
            </w:r>
            <w:r>
              <w:rPr>
                <w:rFonts w:hint="eastAsia" w:ascii="Calibri" w:hAnsi="Calibri" w:cs="Arial"/>
                <w:b w:val="0"/>
                <w:color w:val="auto"/>
                <w:kern w:val="2"/>
                <w:sz w:val="24"/>
                <w:szCs w:val="22"/>
                <w:u w:val="single"/>
                <w:lang w:val="en-US" w:eastAsia="zh-CN" w:bidi="ar-SA"/>
              </w:rPr>
              <w:t>表1恶臭污染物厂界标准值（二级新改扩建）</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717" w:type="dxa"/>
            <w:vMerge w:val="restart"/>
            <w:tcBorders>
              <w:top w:val="single" w:color="000000" w:sz="4" w:space="0"/>
              <w:bottom w:val="single" w:color="000000" w:sz="4" w:space="0"/>
              <w:right w:val="single" w:color="000000" w:sz="4" w:space="0"/>
            </w:tcBorders>
            <w:vAlign w:val="center"/>
          </w:tcPr>
          <w:p>
            <w:pPr>
              <w:pStyle w:val="247"/>
              <w:spacing w:before="58"/>
              <w:ind w:left="140" w:right="114"/>
              <w:rPr>
                <w:color w:val="auto"/>
              </w:rPr>
            </w:pPr>
            <w:r>
              <w:rPr>
                <w:rFonts w:hint="eastAsia"/>
                <w:color w:val="auto"/>
              </w:rPr>
              <w:t>废水</w:t>
            </w:r>
          </w:p>
        </w:tc>
        <w:tc>
          <w:tcPr>
            <w:tcW w:w="1566"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color w:val="auto"/>
                <w:u w:val="single"/>
              </w:rPr>
            </w:pPr>
            <w:r>
              <w:rPr>
                <w:rFonts w:hint="eastAsia"/>
                <w:color w:val="auto"/>
                <w:u w:val="single"/>
              </w:rPr>
              <w:t>地面清洗水</w:t>
            </w:r>
          </w:p>
        </w:tc>
        <w:tc>
          <w:tcPr>
            <w:tcW w:w="1317"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rFonts w:hint="eastAsia" w:eastAsia="宋体"/>
                <w:color w:val="auto"/>
                <w:u w:val="single"/>
                <w:lang w:eastAsia="zh-CN"/>
              </w:rPr>
            </w:pPr>
            <w:r>
              <w:rPr>
                <w:rFonts w:hint="eastAsia"/>
                <w:color w:val="auto"/>
                <w:u w:val="single"/>
              </w:rPr>
              <w:t>COD、</w:t>
            </w:r>
          </w:p>
          <w:p>
            <w:pPr>
              <w:pStyle w:val="247"/>
              <w:spacing w:before="58"/>
              <w:ind w:left="140" w:right="114"/>
              <w:rPr>
                <w:color w:val="auto"/>
                <w:u w:val="single"/>
              </w:rPr>
            </w:pPr>
            <w:r>
              <w:rPr>
                <w:rFonts w:hint="eastAsia"/>
                <w:color w:val="auto"/>
                <w:u w:val="single"/>
              </w:rPr>
              <w:t>BOD5、氨氮</w:t>
            </w:r>
          </w:p>
        </w:tc>
        <w:tc>
          <w:tcPr>
            <w:tcW w:w="2351"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color w:val="auto"/>
                <w:u w:val="single"/>
              </w:rPr>
            </w:pPr>
            <w:r>
              <w:rPr>
                <w:rFonts w:hint="eastAsia"/>
                <w:color w:val="auto"/>
                <w:u w:val="single"/>
              </w:rPr>
              <w:t>清污分流、雨污分流； 废水排入厂区污水管网</w:t>
            </w:r>
          </w:p>
        </w:tc>
        <w:tc>
          <w:tcPr>
            <w:tcW w:w="3101" w:type="dxa"/>
            <w:vMerge w:val="restart"/>
            <w:tcBorders>
              <w:top w:val="single" w:color="000000" w:sz="4" w:space="0"/>
              <w:left w:val="single" w:color="000000" w:sz="4" w:space="0"/>
              <w:bottom w:val="single" w:color="000000" w:sz="4" w:space="0"/>
            </w:tcBorders>
            <w:vAlign w:val="center"/>
          </w:tcPr>
          <w:p>
            <w:pPr>
              <w:pStyle w:val="247"/>
              <w:spacing w:before="58"/>
              <w:ind w:left="140" w:right="114"/>
              <w:rPr>
                <w:color w:val="auto"/>
              </w:rPr>
            </w:pPr>
            <w:r>
              <w:rPr>
                <w:rFonts w:hint="eastAsia"/>
                <w:color w:val="auto"/>
              </w:rPr>
              <w:t>长岭公司污水处理厂满足《石油炼制工业污染物排放标准》（GB31570-2015）</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PrEx>
        <w:trPr>
          <w:trHeight w:val="443" w:hRule="atLeast"/>
        </w:trPr>
        <w:tc>
          <w:tcPr>
            <w:tcW w:w="717" w:type="dxa"/>
            <w:vMerge w:val="continue"/>
            <w:tcBorders>
              <w:top w:val="nil"/>
              <w:bottom w:val="single" w:color="000000" w:sz="4" w:space="0"/>
              <w:right w:val="single" w:color="000000" w:sz="4" w:space="0"/>
            </w:tcBorders>
            <w:vAlign w:val="center"/>
          </w:tcPr>
          <w:p>
            <w:pPr>
              <w:jc w:val="center"/>
              <w:rPr>
                <w:rFonts w:ascii="Times New Roman" w:hAnsi="Times New Roman" w:eastAsia="Times New Roman" w:cs="Times New Roman"/>
                <w:color w:val="auto"/>
              </w:rPr>
            </w:pPr>
          </w:p>
        </w:tc>
        <w:tc>
          <w:tcPr>
            <w:tcW w:w="1566" w:type="dxa"/>
            <w:tcBorders>
              <w:top w:val="single" w:color="000000" w:sz="4" w:space="0"/>
              <w:left w:val="single" w:color="000000" w:sz="4" w:space="0"/>
              <w:bottom w:val="single" w:color="000000" w:sz="4" w:space="0"/>
              <w:right w:val="single" w:color="000000" w:sz="4" w:space="0"/>
            </w:tcBorders>
            <w:vAlign w:val="center"/>
          </w:tcPr>
          <w:p>
            <w:pPr>
              <w:pStyle w:val="247"/>
              <w:spacing w:before="66"/>
              <w:ind w:left="140" w:right="114"/>
              <w:rPr>
                <w:color w:val="auto"/>
                <w:u w:val="single"/>
              </w:rPr>
            </w:pPr>
            <w:r>
              <w:rPr>
                <w:rFonts w:hint="eastAsia"/>
                <w:color w:val="auto"/>
                <w:u w:val="single"/>
              </w:rPr>
              <w:t>液化气站吸收罐含氨废水</w:t>
            </w:r>
          </w:p>
        </w:tc>
        <w:tc>
          <w:tcPr>
            <w:tcW w:w="1317" w:type="dxa"/>
            <w:tcBorders>
              <w:top w:val="nil"/>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u w:val="single"/>
                <w:lang w:eastAsia="zh-CN"/>
              </w:rPr>
            </w:pPr>
            <w:r>
              <w:rPr>
                <w:rFonts w:hint="eastAsia" w:ascii="Times New Roman" w:hAnsi="Times New Roman" w:eastAsia="宋体" w:cs="Times New Roman"/>
                <w:color w:val="auto"/>
                <w:u w:val="single"/>
                <w:lang w:eastAsia="zh-CN"/>
              </w:rPr>
              <w:t>氨</w:t>
            </w:r>
          </w:p>
        </w:tc>
        <w:tc>
          <w:tcPr>
            <w:tcW w:w="2351" w:type="dxa"/>
            <w:tcBorders>
              <w:top w:val="nil"/>
              <w:left w:val="single" w:color="000000" w:sz="4" w:space="0"/>
              <w:bottom w:val="single" w:color="000000" w:sz="4" w:space="0"/>
              <w:right w:val="single" w:color="000000" w:sz="4" w:space="0"/>
            </w:tcBorders>
            <w:vAlign w:val="center"/>
          </w:tcPr>
          <w:p>
            <w:pPr>
              <w:jc w:val="center"/>
              <w:rPr>
                <w:rFonts w:hint="eastAsia" w:ascii="Times New Roman" w:hAnsi="Times New Roman" w:eastAsia="宋体" w:cs="Times New Roman"/>
                <w:color w:val="auto"/>
                <w:u w:val="single"/>
                <w:lang w:eastAsia="zh-CN"/>
              </w:rPr>
            </w:pPr>
            <w:r>
              <w:rPr>
                <w:rFonts w:hint="eastAsia" w:ascii="Times New Roman" w:hAnsi="Times New Roman" w:eastAsia="宋体" w:cs="Times New Roman"/>
                <w:color w:val="auto"/>
                <w:u w:val="single"/>
                <w:lang w:eastAsia="zh-CN"/>
              </w:rPr>
              <w:t>送炼油二部污水提汽装置处理，脱硫净化水部分回用后，与剩余部分一起送污水处理场处理</w:t>
            </w:r>
          </w:p>
        </w:tc>
        <w:tc>
          <w:tcPr>
            <w:tcW w:w="3101" w:type="dxa"/>
            <w:vMerge w:val="continue"/>
            <w:tcBorders>
              <w:top w:val="nil"/>
              <w:left w:val="single" w:color="000000" w:sz="4" w:space="0"/>
              <w:bottom w:val="single" w:color="000000" w:sz="4" w:space="0"/>
            </w:tcBorders>
            <w:vAlign w:val="center"/>
          </w:tcPr>
          <w:p>
            <w:pPr>
              <w:jc w:val="center"/>
              <w:rPr>
                <w:rFonts w:ascii="Times New Roman" w:hAnsi="Times New Roman" w:eastAsia="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817" w:hRule="atLeast"/>
        </w:trPr>
        <w:tc>
          <w:tcPr>
            <w:tcW w:w="717" w:type="dxa"/>
            <w:tcBorders>
              <w:top w:val="single" w:color="000000" w:sz="4" w:space="0"/>
              <w:bottom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噪声</w:t>
            </w:r>
          </w:p>
        </w:tc>
        <w:tc>
          <w:tcPr>
            <w:tcW w:w="1566" w:type="dxa"/>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机泵噪声</w:t>
            </w:r>
          </w:p>
        </w:tc>
        <w:tc>
          <w:tcPr>
            <w:tcW w:w="3668" w:type="dxa"/>
            <w:gridSpan w:val="2"/>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选用低噪声设备、减振、消音等措施</w:t>
            </w:r>
          </w:p>
        </w:tc>
        <w:tc>
          <w:tcPr>
            <w:tcW w:w="3101" w:type="dxa"/>
            <w:tcBorders>
              <w:top w:val="single" w:color="000000" w:sz="4" w:space="0"/>
              <w:left w:val="single" w:color="000000" w:sz="4" w:space="0"/>
              <w:bottom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《工业企业厂界环境噪声排放标准》（GB12348- 2008）中 3类标准</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924" w:hRule="atLeast"/>
        </w:trPr>
        <w:tc>
          <w:tcPr>
            <w:tcW w:w="717" w:type="dxa"/>
            <w:tcBorders>
              <w:top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固体</w:t>
            </w:r>
          </w:p>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废物</w:t>
            </w:r>
          </w:p>
        </w:tc>
        <w:tc>
          <w:tcPr>
            <w:tcW w:w="1566" w:type="dxa"/>
            <w:tcBorders>
              <w:top w:val="single" w:color="000000" w:sz="4" w:space="0"/>
              <w:left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废润滑油</w:t>
            </w:r>
          </w:p>
        </w:tc>
        <w:tc>
          <w:tcPr>
            <w:tcW w:w="1317" w:type="dxa"/>
            <w:tcBorders>
              <w:top w:val="single" w:color="000000" w:sz="4" w:space="0"/>
              <w:left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危险固废</w:t>
            </w:r>
          </w:p>
        </w:tc>
        <w:tc>
          <w:tcPr>
            <w:tcW w:w="2351" w:type="dxa"/>
            <w:tcBorders>
              <w:top w:val="single" w:color="000000" w:sz="4" w:space="0"/>
              <w:left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暂存后外委有资质单位处理</w:t>
            </w:r>
          </w:p>
        </w:tc>
        <w:tc>
          <w:tcPr>
            <w:tcW w:w="3101" w:type="dxa"/>
            <w:tcBorders>
              <w:top w:val="single" w:color="000000" w:sz="4" w:space="0"/>
              <w:left w:val="single" w:color="000000" w:sz="4" w:space="0"/>
              <w:bottom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满足《危险废物贮存污染控制标</w:t>
            </w:r>
          </w:p>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准》（GB 18597-2001）及其修</w:t>
            </w:r>
          </w:p>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改单要求</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2283" w:type="dxa"/>
            <w:gridSpan w:val="2"/>
            <w:tcBorders>
              <w:top w:val="single" w:color="000000" w:sz="4" w:space="0"/>
              <w:bottom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地下水</w:t>
            </w:r>
          </w:p>
        </w:tc>
        <w:tc>
          <w:tcPr>
            <w:tcW w:w="3668" w:type="dxa"/>
            <w:gridSpan w:val="2"/>
            <w:tcBorders>
              <w:top w:val="single" w:color="000000" w:sz="4" w:space="0"/>
              <w:left w:val="single" w:color="000000" w:sz="4" w:space="0"/>
              <w:bottom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装置区域防渗处理</w:t>
            </w:r>
          </w:p>
        </w:tc>
        <w:tc>
          <w:tcPr>
            <w:tcW w:w="3101" w:type="dxa"/>
            <w:tcBorders>
              <w:top w:val="single" w:color="000000" w:sz="4" w:space="0"/>
              <w:left w:val="single" w:color="000000" w:sz="4" w:space="0"/>
              <w:bottom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对区域地下水影响小</w:t>
            </w:r>
          </w:p>
        </w:tc>
      </w:tr>
      <w:tr>
        <w:tblPrEx>
          <w:tblBorders>
            <w:top w:val="single" w:color="auto" w:sz="4" w:space="0"/>
            <w:left w:val="single" w:color="auto" w:sz="4" w:space="0"/>
            <w:bottom w:val="single" w:color="auto" w:sz="4" w:space="0"/>
            <w:right w:val="single" w:color="auto" w:sz="4" w:space="0"/>
            <w:insideH w:val="single" w:color="000000" w:sz="12" w:space="0"/>
            <w:insideV w:val="single" w:color="000000" w:sz="12" w:space="0"/>
          </w:tblBorders>
          <w:tblLayout w:type="fixed"/>
          <w:tblCellMar>
            <w:top w:w="0" w:type="dxa"/>
            <w:left w:w="0" w:type="dxa"/>
            <w:bottom w:w="0" w:type="dxa"/>
            <w:right w:w="0" w:type="dxa"/>
          </w:tblCellMar>
        </w:tblPrEx>
        <w:trPr>
          <w:trHeight w:val="816" w:hRule="atLeast"/>
        </w:trPr>
        <w:tc>
          <w:tcPr>
            <w:tcW w:w="2283" w:type="dxa"/>
            <w:gridSpan w:val="2"/>
            <w:tcBorders>
              <w:top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风险防范</w:t>
            </w:r>
          </w:p>
        </w:tc>
        <w:tc>
          <w:tcPr>
            <w:tcW w:w="3668" w:type="dxa"/>
            <w:gridSpan w:val="2"/>
            <w:tcBorders>
              <w:top w:val="single" w:color="000000" w:sz="4" w:space="0"/>
              <w:left w:val="single" w:color="000000" w:sz="4" w:space="0"/>
              <w:righ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装置区设导流沟等确保生产废水进入</w:t>
            </w:r>
          </w:p>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公司事故池，风险管理等纳入全厂风险应急管理系统</w:t>
            </w:r>
          </w:p>
        </w:tc>
        <w:tc>
          <w:tcPr>
            <w:tcW w:w="3101" w:type="dxa"/>
            <w:tcBorders>
              <w:top w:val="single" w:color="000000" w:sz="4" w:space="0"/>
              <w:left w:val="single" w:color="000000" w:sz="4" w:space="0"/>
            </w:tcBorders>
            <w:vAlign w:val="center"/>
          </w:tcPr>
          <w:p>
            <w:pPr>
              <w:pStyle w:val="247"/>
              <w:spacing w:before="58"/>
              <w:ind w:left="140" w:right="114"/>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满足环境风险防治要求，使项目环境风险为环境所接受</w:t>
            </w:r>
          </w:p>
        </w:tc>
      </w:t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tbl>
    <w:p>
      <w:pPr>
        <w:pStyle w:val="4"/>
        <w:numPr>
          <w:ilvl w:val="0"/>
          <w:numId w:val="0"/>
        </w:numPr>
        <w:tabs>
          <w:tab w:val="clear" w:pos="0"/>
          <w:tab w:val="clear" w:pos="3332"/>
        </w:tabs>
        <w:ind w:leftChars="0"/>
        <w:jc w:val="both"/>
        <w:rPr>
          <w:color w:val="auto"/>
        </w:rPr>
      </w:pPr>
      <w:bookmarkStart w:id="513" w:name="第九章___项目可行性分析"/>
      <w:bookmarkEnd w:id="513"/>
      <w:bookmarkStart w:id="514" w:name="8.4.1监测计划"/>
      <w:bookmarkEnd w:id="514"/>
      <w:bookmarkStart w:id="515" w:name="_Toc16837"/>
      <w:bookmarkStart w:id="516" w:name="_Toc16114"/>
      <w:bookmarkStart w:id="517" w:name="_Toc9579"/>
      <w:bookmarkStart w:id="518" w:name="_Toc5393"/>
      <w:bookmarkStart w:id="519" w:name="_Toc304810345"/>
      <w:r>
        <w:rPr>
          <w:rFonts w:hint="eastAsia"/>
          <w:color w:val="auto"/>
          <w:lang w:val="en-US" w:eastAsia="zh-CN"/>
        </w:rPr>
        <w:t xml:space="preserve">10. </w:t>
      </w:r>
      <w:r>
        <w:rPr>
          <w:color w:val="auto"/>
        </w:rPr>
        <w:t>环境影响评价结论</w:t>
      </w:r>
      <w:bookmarkEnd w:id="425"/>
      <w:bookmarkEnd w:id="515"/>
      <w:bookmarkEnd w:id="516"/>
      <w:bookmarkEnd w:id="517"/>
      <w:bookmarkEnd w:id="518"/>
      <w:bookmarkEnd w:id="519"/>
    </w:p>
    <w:p>
      <w:pPr>
        <w:pStyle w:val="6"/>
        <w:numPr>
          <w:ilvl w:val="1"/>
          <w:numId w:val="0"/>
        </w:numPr>
        <w:spacing w:before="120" w:beforeLines="0" w:after="120" w:afterLines="0"/>
        <w:ind w:leftChars="0"/>
        <w:rPr>
          <w:color w:val="auto"/>
        </w:rPr>
      </w:pPr>
      <w:bookmarkStart w:id="520" w:name="_Toc6144"/>
      <w:bookmarkStart w:id="521" w:name="_Toc12743"/>
      <w:bookmarkStart w:id="522" w:name="_Toc28037"/>
      <w:bookmarkStart w:id="523" w:name="_Toc5584"/>
      <w:r>
        <w:rPr>
          <w:rFonts w:hint="eastAsia"/>
          <w:color w:val="auto"/>
          <w:lang w:val="en-US" w:eastAsia="zh-CN"/>
        </w:rPr>
        <w:t xml:space="preserve">10.1 </w:t>
      </w:r>
      <w:r>
        <w:rPr>
          <w:color w:val="auto"/>
        </w:rPr>
        <w:t>项目概况</w:t>
      </w:r>
      <w:bookmarkEnd w:id="520"/>
      <w:bookmarkEnd w:id="521"/>
      <w:bookmarkEnd w:id="522"/>
      <w:bookmarkEnd w:id="523"/>
    </w:p>
    <w:p>
      <w:pPr>
        <w:pStyle w:val="5"/>
        <w:spacing w:line="480" w:lineRule="exact"/>
        <w:ind w:firstLine="480"/>
        <w:rPr>
          <w:color w:val="auto"/>
        </w:rPr>
      </w:pPr>
      <w:r>
        <w:rPr>
          <w:color w:val="auto"/>
        </w:rPr>
        <w:t>中国石油化工股份有限公司长岭分公司液氨装车安全隐患治理项目</w:t>
      </w:r>
      <w:r>
        <w:rPr>
          <w:rFonts w:hint="eastAsia"/>
          <w:color w:val="auto"/>
        </w:rPr>
        <w:t>位于</w:t>
      </w:r>
      <w:r>
        <w:rPr>
          <w:color w:val="auto"/>
        </w:rPr>
        <w:t>中国石油化工股份有限公司长岭分公司厂内，</w:t>
      </w:r>
      <w:r>
        <w:rPr>
          <w:rFonts w:hint="eastAsia"/>
          <w:color w:val="auto"/>
        </w:rPr>
        <w:t>项目</w:t>
      </w:r>
      <w:r>
        <w:rPr>
          <w:color w:val="auto"/>
        </w:rPr>
        <w:t>总投资237.66万元。</w:t>
      </w:r>
      <w:r>
        <w:rPr>
          <w:rFonts w:hint="eastAsia"/>
          <w:color w:val="auto"/>
        </w:rPr>
        <w:t>项目</w:t>
      </w:r>
      <w:r>
        <w:rPr>
          <w:color w:val="auto"/>
        </w:rPr>
        <w:t>主要建设内容及规模：液氨储存设施利旧长岭分公司炼油一部现有液氨罐区储存设施，现有储存设施包括100m</w:t>
      </w:r>
      <w:r>
        <w:rPr>
          <w:color w:val="auto"/>
          <w:vertAlign w:val="superscript"/>
        </w:rPr>
        <w:t>3</w:t>
      </w:r>
      <w:r>
        <w:rPr>
          <w:color w:val="auto"/>
        </w:rPr>
        <w:t>卧式液氨储罐2台，30m</w:t>
      </w:r>
      <w:r>
        <w:rPr>
          <w:color w:val="auto"/>
          <w:vertAlign w:val="superscript"/>
        </w:rPr>
        <w:t>3</w:t>
      </w:r>
      <w:r>
        <w:rPr>
          <w:color w:val="auto"/>
        </w:rPr>
        <w:t>卧式吸收罐1台，将现有液氨罐区泵棚延长，泵棚内新增液氨装车泵2台，新敷至液化气站装车管道及气相返回管道。</w:t>
      </w:r>
    </w:p>
    <w:p>
      <w:pPr>
        <w:pStyle w:val="6"/>
        <w:numPr>
          <w:ilvl w:val="1"/>
          <w:numId w:val="0"/>
        </w:numPr>
        <w:spacing w:before="120" w:beforeLines="0" w:after="120" w:afterLines="0"/>
        <w:ind w:leftChars="0"/>
        <w:rPr>
          <w:rFonts w:hint="eastAsia"/>
          <w:color w:val="auto"/>
          <w:lang w:val="en-US" w:eastAsia="zh-CN"/>
        </w:rPr>
      </w:pPr>
      <w:bookmarkStart w:id="524" w:name="_Toc11167"/>
      <w:bookmarkStart w:id="525" w:name="_Toc20890"/>
      <w:bookmarkStart w:id="526" w:name="_Toc31703"/>
      <w:bookmarkStart w:id="527" w:name="_Toc121"/>
      <w:r>
        <w:rPr>
          <w:rFonts w:hint="eastAsia"/>
          <w:color w:val="auto"/>
          <w:lang w:val="en-US" w:eastAsia="zh-CN"/>
        </w:rPr>
        <w:t>10.2 环境质量现状</w:t>
      </w:r>
      <w:bookmarkEnd w:id="524"/>
      <w:bookmarkEnd w:id="525"/>
      <w:bookmarkEnd w:id="526"/>
      <w:bookmarkEnd w:id="527"/>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（1）环境空气质量现状</w:t>
      </w:r>
    </w:p>
    <w:p>
      <w:pPr>
        <w:pStyle w:val="22"/>
        <w:spacing w:before="157" w:line="362" w:lineRule="auto"/>
        <w:ind w:right="317" w:firstLine="480"/>
        <w:rPr>
          <w:color w:val="auto"/>
          <w:sz w:val="24"/>
          <w:szCs w:val="24"/>
        </w:rPr>
      </w:pPr>
      <w:r>
        <w:rPr>
          <w:color w:val="auto"/>
          <w:sz w:val="24"/>
        </w:rPr>
        <w:t>大气基本常规污染物，根据2017年岳阳市环境质量现状公报，项目所在区域环境空气质量为不达标区；</w:t>
      </w:r>
      <w:r>
        <w:rPr>
          <w:rFonts w:hint="eastAsia"/>
          <w:color w:val="auto"/>
          <w:sz w:val="24"/>
        </w:rPr>
        <w:t>氨</w:t>
      </w:r>
      <w:r>
        <w:rPr>
          <w:color w:val="auto"/>
          <w:sz w:val="24"/>
        </w:rPr>
        <w:t>满足</w:t>
      </w:r>
      <w:r>
        <w:rPr>
          <w:rFonts w:hint="eastAsia" w:ascii="Times New Roman" w:hAnsi="Times New Roman" w:eastAsia="宋体" w:cs="Times New Roman"/>
          <w:color w:val="auto"/>
          <w:spacing w:val="-2"/>
          <w:kern w:val="2"/>
          <w:sz w:val="24"/>
          <w:szCs w:val="24"/>
          <w:lang w:val="en-US" w:eastAsia="zh-CN" w:bidi="ar-SA"/>
        </w:rPr>
        <w:t>《环境影响评价技术导则  大气环境》（HJ2.2-2018）附录D推荐值</w:t>
      </w:r>
      <w:r>
        <w:rPr>
          <w:rFonts w:hint="eastAsia"/>
          <w:color w:val="auto"/>
          <w:sz w:val="24"/>
        </w:rPr>
        <w:t>。</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（2）地表水质量现状</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根据引用监测数据，长江断面水质满足《地表水环境质量标准》（GB3838-2002） 中Ⅲ类水质标准，但是上游断面COD监测值非常接近3类标准，说明上游来水水质一般。</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（3）地下水环境质量现状</w:t>
      </w:r>
    </w:p>
    <w:p>
      <w:pPr>
        <w:spacing w:line="480" w:lineRule="exact"/>
        <w:ind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lang w:eastAsia="zh-CN"/>
        </w:rPr>
        <w:t>引用监测数据，</w:t>
      </w:r>
      <w:r>
        <w:rPr>
          <w:rFonts w:ascii="Times New Roman" w:hAnsi="Times New Roman" w:cs="Times New Roman"/>
          <w:color w:val="auto"/>
          <w:sz w:val="24"/>
          <w:szCs w:val="24"/>
        </w:rPr>
        <w:t>厂区内及厂区外的对照点监测井的pH值，硫酸盐、氯化物、挥发性酚类（以苯酚计）、高锰酸盐指数和氨氮，均符合《地下水质标准》（GB/T14848-93）Ⅲ类标准限值要求。</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（4）声环境质量现状</w:t>
      </w:r>
    </w:p>
    <w:p>
      <w:pPr>
        <w:spacing w:line="480" w:lineRule="exact"/>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地</w:t>
      </w:r>
      <w:r>
        <w:rPr>
          <w:rFonts w:ascii="Times New Roman" w:hAnsi="Times New Roman" w:cs="Times New Roman"/>
          <w:color w:val="auto"/>
          <w:sz w:val="24"/>
          <w:szCs w:val="24"/>
        </w:rPr>
        <w:t>址四周监测点位声环境达到《声环境质量标准》GB3096-2008中3类标准要求。</w:t>
      </w:r>
    </w:p>
    <w:p>
      <w:pPr>
        <w:pStyle w:val="6"/>
        <w:numPr>
          <w:ilvl w:val="1"/>
          <w:numId w:val="0"/>
        </w:numPr>
        <w:spacing w:before="120" w:beforeLines="0" w:after="120" w:afterLines="0"/>
        <w:ind w:leftChars="0"/>
        <w:rPr>
          <w:color w:val="auto"/>
        </w:rPr>
      </w:pPr>
      <w:bookmarkStart w:id="528" w:name="_Toc11137"/>
      <w:bookmarkStart w:id="529" w:name="_Toc8251"/>
      <w:bookmarkStart w:id="530" w:name="_Toc7228"/>
      <w:bookmarkStart w:id="531" w:name="_Toc2834"/>
      <w:r>
        <w:rPr>
          <w:rFonts w:hint="eastAsia"/>
          <w:color w:val="auto"/>
          <w:lang w:val="en-US" w:eastAsia="zh-CN"/>
        </w:rPr>
        <w:t xml:space="preserve">10.3 </w:t>
      </w:r>
      <w:r>
        <w:rPr>
          <w:color w:val="auto"/>
        </w:rPr>
        <w:t>主要环境影响</w:t>
      </w:r>
      <w:bookmarkEnd w:id="528"/>
      <w:bookmarkEnd w:id="529"/>
      <w:bookmarkEnd w:id="530"/>
      <w:bookmarkEnd w:id="531"/>
    </w:p>
    <w:p>
      <w:pPr>
        <w:pStyle w:val="5"/>
        <w:ind w:firstLine="480"/>
        <w:rPr>
          <w:color w:val="auto"/>
        </w:rPr>
      </w:pPr>
      <w:r>
        <w:rPr>
          <w:color w:val="auto"/>
        </w:rPr>
        <w:t>（1）水环境影响</w:t>
      </w:r>
    </w:p>
    <w:p>
      <w:pPr>
        <w:pStyle w:val="5"/>
        <w:ind w:firstLine="480"/>
        <w:rPr>
          <w:color w:val="auto"/>
        </w:rPr>
      </w:pPr>
      <w:r>
        <w:rPr>
          <w:color w:val="auto"/>
        </w:rPr>
        <w:t>根据工艺分析，本项目无新增生活废水产生，其产生的废水主要为地面冲洗水和初期雨水。经管道送公司污水处理场处理达标后外排长江。</w:t>
      </w:r>
    </w:p>
    <w:p>
      <w:pPr>
        <w:pStyle w:val="5"/>
        <w:ind w:firstLine="480"/>
        <w:rPr>
          <w:color w:val="auto"/>
        </w:rPr>
      </w:pPr>
      <w:r>
        <w:rPr>
          <w:color w:val="auto"/>
        </w:rPr>
        <w:t>（2）大气环境影响</w:t>
      </w:r>
    </w:p>
    <w:p>
      <w:pPr>
        <w:spacing w:line="360" w:lineRule="auto"/>
        <w:ind w:firstLine="480" w:firstLineChars="200"/>
        <w:rPr>
          <w:rFonts w:ascii="Times New Roman" w:hAnsi="Times New Roman"/>
          <w:color w:val="auto"/>
          <w:sz w:val="24"/>
          <w:szCs w:val="24"/>
        </w:rPr>
      </w:pPr>
      <w:r>
        <w:rPr>
          <w:rFonts w:ascii="Times New Roman" w:hAnsi="Times New Roman" w:cs="Times New Roman"/>
          <w:color w:val="auto"/>
          <w:sz w:val="24"/>
          <w:szCs w:val="24"/>
        </w:rPr>
        <w:t>项目生产流程为相对密闭的体系，主要可能在装置管道和法兰等处发生泄漏，会有少量的氨排放到外环境，参照非甲烷总烃排放系数，项目</w:t>
      </w:r>
      <w:r>
        <w:rPr>
          <w:rFonts w:hint="eastAsia" w:ascii="Times New Roman" w:hAnsi="Times New Roman"/>
          <w:color w:val="auto"/>
          <w:sz w:val="24"/>
          <w:szCs w:val="24"/>
        </w:rPr>
        <w:t>项目无组织氨产生量按年产生量 0.2‰计，液氨输送管道液氨存量5.98吨，则无组织氨产生量</w:t>
      </w:r>
      <w:r>
        <w:rPr>
          <w:rFonts w:ascii="Times New Roman" w:hAnsi="Times New Roman"/>
          <w:color w:val="auto"/>
          <w:sz w:val="24"/>
          <w:szCs w:val="24"/>
        </w:rPr>
        <w:t>0</w:t>
      </w:r>
      <w:r>
        <w:rPr>
          <w:rFonts w:hint="eastAsia" w:ascii="Times New Roman" w:hAnsi="Times New Roman"/>
          <w:color w:val="auto"/>
          <w:sz w:val="24"/>
          <w:szCs w:val="24"/>
        </w:rPr>
        <w:t>.0012t/a</w:t>
      </w:r>
      <w:r>
        <w:rPr>
          <w:rFonts w:hint="eastAsia" w:ascii="Times New Roman" w:hAnsi="Times New Roman" w:eastAsia="宋体"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对外环境影响较小，不会造成周围大气环境质量明显下降。</w:t>
      </w:r>
    </w:p>
    <w:p>
      <w:pPr>
        <w:pStyle w:val="5"/>
        <w:ind w:firstLine="480"/>
        <w:rPr>
          <w:color w:val="auto"/>
        </w:rPr>
      </w:pPr>
      <w:r>
        <w:rPr>
          <w:color w:val="auto"/>
        </w:rPr>
        <w:t>（3）噪声环境影响</w:t>
      </w:r>
    </w:p>
    <w:p>
      <w:pPr>
        <w:pStyle w:val="22"/>
        <w:spacing w:before="159" w:line="364" w:lineRule="auto"/>
        <w:ind w:right="323" w:firstLine="496"/>
        <w:rPr>
          <w:color w:val="auto"/>
          <w:sz w:val="24"/>
          <w:szCs w:val="24"/>
        </w:rPr>
      </w:pPr>
      <w:r>
        <w:rPr>
          <w:color w:val="auto"/>
          <w:sz w:val="24"/>
          <w:szCs w:val="24"/>
        </w:rPr>
        <w:t>建设项目正常营运时，在采取隔声、减震等措施处理后，噪声贡献值较小，厂界噪声满足《工业企业厂界环境噪声排放标准》（GB12348-2008）3类标准要求。</w:t>
      </w:r>
    </w:p>
    <w:p>
      <w:pPr>
        <w:pStyle w:val="5"/>
        <w:ind w:firstLine="480"/>
        <w:rPr>
          <w:color w:val="auto"/>
        </w:rPr>
      </w:pPr>
      <w:r>
        <w:rPr>
          <w:color w:val="auto"/>
        </w:rPr>
        <w:t>（4）固废环境影响</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本项目运营期间产生的固体废物主要为机泵废润滑油，年产生量0.006t/a。属于危险废物。由于未新增操作人员，故无生活垃圾产生。</w:t>
      </w:r>
      <w:r>
        <w:rPr>
          <w:rFonts w:hint="eastAsia" w:ascii="Times New Roman" w:hAnsi="Times New Roman" w:cs="Times New Roman"/>
          <w:color w:val="auto"/>
          <w:sz w:val="24"/>
          <w:szCs w:val="24"/>
        </w:rPr>
        <w:t>危险废物采取用容器收集，然后暂存于公司现有危险废物暂存库，再委托专业有资质的单位运输和处置</w:t>
      </w:r>
      <w:r>
        <w:rPr>
          <w:rFonts w:ascii="Times New Roman" w:hAnsi="Times New Roman" w:cs="Times New Roman"/>
          <w:color w:val="auto"/>
          <w:sz w:val="24"/>
          <w:szCs w:val="24"/>
        </w:rPr>
        <w:t>，固体废物得到妥善处置，外排量为零。</w:t>
      </w:r>
    </w:p>
    <w:p>
      <w:pPr>
        <w:pStyle w:val="5"/>
        <w:ind w:firstLine="480"/>
        <w:rPr>
          <w:color w:val="auto"/>
        </w:rPr>
      </w:pPr>
      <w:r>
        <w:rPr>
          <w:color w:val="auto"/>
        </w:rPr>
        <w:t>（5）环境风险</w:t>
      </w:r>
    </w:p>
    <w:p>
      <w:pPr>
        <w:pStyle w:val="5"/>
        <w:ind w:firstLine="480"/>
        <w:rPr>
          <w:color w:val="auto"/>
        </w:rPr>
      </w:pPr>
      <w:r>
        <w:rPr>
          <w:color w:val="auto"/>
        </w:rPr>
        <w:t>拟建项目主要的风险事故类型为物料泄漏、火灾、爆炸和消防废水的事故排放。通过建立完善的企业事故防范和应急体系，做好企业联防联动，本项目发生风险事故的几率很小，其影响危害可控制在厂区内，不会区域环境造成无法接受的不良的影响，其环境风险水平在可接受水平范围内。</w:t>
      </w:r>
    </w:p>
    <w:p>
      <w:pPr>
        <w:pStyle w:val="6"/>
        <w:numPr>
          <w:ilvl w:val="1"/>
          <w:numId w:val="0"/>
        </w:numPr>
        <w:spacing w:before="120" w:beforeLines="0" w:after="120" w:afterLines="0"/>
        <w:ind w:leftChars="0"/>
        <w:rPr>
          <w:color w:val="auto"/>
        </w:rPr>
      </w:pPr>
      <w:bookmarkStart w:id="532" w:name="_Toc17677"/>
      <w:bookmarkStart w:id="533" w:name="_Toc3688"/>
      <w:bookmarkStart w:id="534" w:name="_Toc6773"/>
      <w:bookmarkStart w:id="535" w:name="_Toc11398"/>
      <w:r>
        <w:rPr>
          <w:rFonts w:hint="eastAsia"/>
          <w:color w:val="auto"/>
          <w:lang w:val="en-US" w:eastAsia="zh-CN"/>
        </w:rPr>
        <w:t xml:space="preserve">10.4 </w:t>
      </w:r>
      <w:r>
        <w:rPr>
          <w:color w:val="auto"/>
        </w:rPr>
        <w:t>公众参与</w:t>
      </w:r>
      <w:bookmarkEnd w:id="532"/>
      <w:bookmarkEnd w:id="533"/>
      <w:bookmarkEnd w:id="534"/>
      <w:bookmarkEnd w:id="535"/>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建设单位提供的情况，本项目环境影响评价信息公示采用现场公示、网络公示和发放调查问卷相结合的方式进行。结果表明，大多数人均支持本项目的建设，没有表示反对本项目建设的个人和团体。建设单位对于部分个人的建议和意见均完全采纳和接受，并在项目的建设和运行中予落实。本次公众参与过程，遵循了公众参与的合法性、有效性、代表性和真实性的基本原则，其结果基本反映了评价区公众的意愿，符合评价区的客观实际。</w:t>
      </w:r>
      <w:bookmarkStart w:id="536" w:name="_Toc8114"/>
      <w:bookmarkStart w:id="537" w:name="_Toc18560"/>
      <w:bookmarkStart w:id="538" w:name="_Toc12823"/>
    </w:p>
    <w:p>
      <w:pPr>
        <w:pStyle w:val="6"/>
        <w:numPr>
          <w:ilvl w:val="1"/>
          <w:numId w:val="0"/>
        </w:numPr>
        <w:spacing w:before="120" w:beforeLines="0" w:after="120" w:afterLines="0"/>
        <w:ind w:leftChars="0"/>
        <w:rPr>
          <w:rFonts w:hint="eastAsia"/>
          <w:color w:val="auto"/>
          <w:lang w:val="en-US" w:eastAsia="zh-CN"/>
        </w:rPr>
      </w:pPr>
      <w:bookmarkStart w:id="539" w:name="_Toc7543"/>
      <w:r>
        <w:rPr>
          <w:rFonts w:hint="eastAsia"/>
          <w:color w:val="auto"/>
          <w:lang w:val="en-US" w:eastAsia="zh-CN"/>
        </w:rPr>
        <w:t>10.5 环境保护措施</w:t>
      </w:r>
      <w:bookmarkEnd w:id="536"/>
      <w:bookmarkEnd w:id="537"/>
      <w:bookmarkEnd w:id="538"/>
      <w:bookmarkEnd w:id="539"/>
    </w:p>
    <w:p>
      <w:pPr>
        <w:pStyle w:val="5"/>
        <w:ind w:firstLine="480"/>
        <w:rPr>
          <w:color w:val="auto"/>
        </w:rPr>
      </w:pPr>
      <w:r>
        <w:rPr>
          <w:color w:val="auto"/>
        </w:rPr>
        <w:t>（1）废气处理措施</w:t>
      </w:r>
    </w:p>
    <w:p>
      <w:pPr>
        <w:pStyle w:val="5"/>
        <w:ind w:firstLine="480"/>
        <w:rPr>
          <w:color w:val="auto"/>
        </w:rPr>
      </w:pPr>
      <w:r>
        <w:rPr>
          <w:rFonts w:hint="eastAsia"/>
          <w:color w:val="auto"/>
        </w:rPr>
        <w:t>建设单位定期采取泄漏检测等措施进行检测，发</w:t>
      </w:r>
      <w:r>
        <w:rPr>
          <w:rFonts w:hint="eastAsia"/>
          <w:color w:val="auto"/>
          <w:lang w:eastAsia="zh-CN"/>
        </w:rPr>
        <w:t>现</w:t>
      </w:r>
      <w:r>
        <w:rPr>
          <w:rFonts w:hint="eastAsia"/>
          <w:color w:val="auto"/>
        </w:rPr>
        <w:t>泄漏量超过正常值时，及时进行修复与治理，治理后，污染物排放量减少约85%以上，经预测，</w:t>
      </w:r>
      <w:r>
        <w:rPr>
          <w:color w:val="auto"/>
        </w:rPr>
        <w:t>能做到污染物稳定达标排放，其经济上完全可为建设单位接受。</w:t>
      </w:r>
    </w:p>
    <w:p>
      <w:pPr>
        <w:pStyle w:val="5"/>
        <w:ind w:firstLine="480"/>
        <w:rPr>
          <w:color w:val="auto"/>
        </w:rPr>
      </w:pPr>
      <w:r>
        <w:rPr>
          <w:color w:val="auto"/>
        </w:rPr>
        <w:t>（2）废水处理措施</w:t>
      </w:r>
    </w:p>
    <w:p>
      <w:pPr>
        <w:pStyle w:val="5"/>
        <w:ind w:firstLine="480"/>
        <w:rPr>
          <w:color w:val="auto"/>
          <w:szCs w:val="24"/>
        </w:rPr>
      </w:pPr>
      <w:r>
        <w:rPr>
          <w:rFonts w:hint="eastAsia"/>
          <w:color w:val="auto"/>
          <w:szCs w:val="24"/>
        </w:rPr>
        <w:t>拟建工程采取“雨污分流、污污分流、分质处理”原则进行排水设施的建设。后期雨水通过雨水管网排出厂外，后进入</w:t>
      </w:r>
      <w:r>
        <w:rPr>
          <w:rFonts w:hint="eastAsia"/>
          <w:color w:val="auto"/>
          <w:szCs w:val="24"/>
          <w:lang w:eastAsia="zh-CN"/>
        </w:rPr>
        <w:t>长江</w:t>
      </w:r>
      <w:r>
        <w:rPr>
          <w:rFonts w:hint="eastAsia"/>
          <w:color w:val="auto"/>
          <w:szCs w:val="24"/>
        </w:rPr>
        <w:t>水体。其它所有废水（含初期雨水），均通过污水管网进入公司现有污水处理场处理达标后，再从公司总排口排入长江。</w:t>
      </w:r>
    </w:p>
    <w:p>
      <w:pPr>
        <w:pStyle w:val="5"/>
        <w:ind w:firstLine="480"/>
        <w:rPr>
          <w:color w:val="auto"/>
        </w:rPr>
      </w:pPr>
      <w:r>
        <w:rPr>
          <w:color w:val="auto"/>
        </w:rPr>
        <w:t>本项目废水排放量小，水质可达标，不会对</w:t>
      </w:r>
      <w:r>
        <w:rPr>
          <w:rFonts w:hint="eastAsia"/>
          <w:color w:val="auto"/>
        </w:rPr>
        <w:t>公司</w:t>
      </w:r>
      <w:r>
        <w:rPr>
          <w:color w:val="auto"/>
        </w:rPr>
        <w:t>污水处理厂稳定运行产生冲击和不利影响。</w:t>
      </w:r>
    </w:p>
    <w:p>
      <w:pPr>
        <w:pStyle w:val="5"/>
        <w:ind w:firstLine="480"/>
        <w:rPr>
          <w:color w:val="auto"/>
        </w:rPr>
      </w:pPr>
      <w:r>
        <w:rPr>
          <w:color w:val="auto"/>
        </w:rPr>
        <w:t>（3）地下水污染防治措施</w:t>
      </w:r>
    </w:p>
    <w:p>
      <w:pPr>
        <w:pStyle w:val="5"/>
        <w:ind w:firstLine="480"/>
        <w:rPr>
          <w:color w:val="auto"/>
        </w:rPr>
      </w:pPr>
      <w:r>
        <w:rPr>
          <w:color w:val="auto"/>
        </w:rPr>
        <w:t>项目地下水污染防治措施按照“源头控制、分区防治、污染监控、应急响应”相结合的原则，从污染物的产生、入渗、扩散、应急响应进行控制。</w:t>
      </w:r>
    </w:p>
    <w:p>
      <w:pPr>
        <w:pStyle w:val="5"/>
        <w:ind w:firstLine="480"/>
        <w:rPr>
          <w:color w:val="auto"/>
        </w:rPr>
      </w:pPr>
      <w:r>
        <w:rPr>
          <w:color w:val="auto"/>
        </w:rPr>
        <w:t>（4）噪声污染防治措施</w:t>
      </w:r>
    </w:p>
    <w:p>
      <w:pPr>
        <w:pStyle w:val="5"/>
        <w:ind w:firstLine="480"/>
        <w:rPr>
          <w:color w:val="auto"/>
        </w:rPr>
      </w:pPr>
      <w:r>
        <w:rPr>
          <w:color w:val="auto"/>
        </w:rPr>
        <w:t>本项目为减少噪声污染，尽量选用低噪声设备，同时采用以下措施：采用减振底座；泵进出口加装避振喉，基础增加橡胶减振垫。采取以上措施后，厂界噪声可以达标。</w:t>
      </w:r>
    </w:p>
    <w:p>
      <w:pPr>
        <w:pStyle w:val="5"/>
        <w:ind w:firstLine="480"/>
        <w:rPr>
          <w:color w:val="auto"/>
        </w:rPr>
      </w:pPr>
      <w:r>
        <w:rPr>
          <w:color w:val="auto"/>
        </w:rPr>
        <w:t>（5）固废污染防治措施</w:t>
      </w:r>
    </w:p>
    <w:p>
      <w:pPr>
        <w:pStyle w:val="5"/>
        <w:ind w:firstLine="480"/>
        <w:rPr>
          <w:color w:val="auto"/>
        </w:rPr>
      </w:pPr>
      <w:r>
        <w:rPr>
          <w:rFonts w:hint="eastAsia"/>
          <w:color w:val="auto"/>
          <w:szCs w:val="24"/>
        </w:rPr>
        <w:t>本项目运营期间产生的固体废物主要为机泵废润滑油，属于危险废物。由于未新增操作人员，故无生活垃圾产。</w:t>
      </w:r>
      <w:r>
        <w:rPr>
          <w:rFonts w:hint="eastAsia"/>
          <w:color w:val="auto"/>
        </w:rPr>
        <w:t>废润滑同采取用容器收集，然后暂存于公司现有危险废物暂存库，再委托专业有资质的单位运输和处置</w:t>
      </w:r>
      <w:r>
        <w:rPr>
          <w:color w:val="auto"/>
        </w:rPr>
        <w:t>，加强源头控制，强化管理等措施，确保项目产生的危险废物不会对区域环境产生大的影响。</w:t>
      </w:r>
    </w:p>
    <w:p>
      <w:pPr>
        <w:pStyle w:val="6"/>
        <w:numPr>
          <w:ilvl w:val="1"/>
          <w:numId w:val="0"/>
        </w:numPr>
        <w:spacing w:before="120" w:beforeLines="0" w:after="120" w:afterLines="0"/>
        <w:ind w:leftChars="0"/>
        <w:rPr>
          <w:color w:val="auto"/>
        </w:rPr>
      </w:pPr>
      <w:bookmarkStart w:id="540" w:name="_Toc28226"/>
      <w:bookmarkStart w:id="541" w:name="_Toc12471"/>
      <w:bookmarkStart w:id="542" w:name="_Toc15059"/>
      <w:bookmarkStart w:id="543" w:name="_Toc24006"/>
      <w:r>
        <w:rPr>
          <w:rFonts w:hint="eastAsia"/>
          <w:color w:val="auto"/>
          <w:lang w:val="en-US" w:eastAsia="zh-CN"/>
        </w:rPr>
        <w:t xml:space="preserve">10.6 </w:t>
      </w:r>
      <w:r>
        <w:rPr>
          <w:color w:val="auto"/>
        </w:rPr>
        <w:t>环境影响经济损益分析结论</w:t>
      </w:r>
      <w:bookmarkEnd w:id="540"/>
      <w:bookmarkEnd w:id="541"/>
      <w:bookmarkEnd w:id="542"/>
      <w:bookmarkEnd w:id="543"/>
    </w:p>
    <w:p>
      <w:pPr>
        <w:pStyle w:val="5"/>
        <w:ind w:firstLine="480"/>
        <w:rPr>
          <w:color w:val="auto"/>
        </w:rPr>
      </w:pPr>
      <w:bookmarkStart w:id="544" w:name="_Toc155187699"/>
      <w:r>
        <w:rPr>
          <w:color w:val="auto"/>
        </w:rPr>
        <w:t>项目环保设施的正常运行，可明显提高项目资源利用率，减少污染物的排放，产生的经济效益可完全满足项目环保设施的运行费用，并且项目建设还可以带来明显的环境效益和社会效益。从环境经济角度来分析，本项目建设是可行的。</w:t>
      </w:r>
      <w:bookmarkEnd w:id="544"/>
    </w:p>
    <w:p>
      <w:pPr>
        <w:pStyle w:val="6"/>
        <w:numPr>
          <w:ilvl w:val="1"/>
          <w:numId w:val="0"/>
        </w:numPr>
        <w:spacing w:before="120" w:beforeLines="0" w:after="120" w:afterLines="0"/>
        <w:ind w:leftChars="0"/>
        <w:rPr>
          <w:color w:val="auto"/>
        </w:rPr>
      </w:pPr>
      <w:bookmarkStart w:id="545" w:name="_Toc496257514"/>
      <w:bookmarkStart w:id="546" w:name="_Toc26109"/>
      <w:bookmarkStart w:id="547" w:name="_Toc14809"/>
      <w:bookmarkStart w:id="548" w:name="_Toc26373"/>
      <w:bookmarkStart w:id="549" w:name="_Toc29501"/>
      <w:r>
        <w:rPr>
          <w:rFonts w:hint="eastAsia"/>
          <w:color w:val="auto"/>
          <w:lang w:val="en-US" w:eastAsia="zh-CN"/>
        </w:rPr>
        <w:t xml:space="preserve">10.7 </w:t>
      </w:r>
      <w:r>
        <w:rPr>
          <w:color w:val="auto"/>
        </w:rPr>
        <w:t>环境管理与监测计划</w:t>
      </w:r>
      <w:bookmarkEnd w:id="545"/>
      <w:bookmarkEnd w:id="546"/>
      <w:bookmarkEnd w:id="547"/>
      <w:bookmarkEnd w:id="548"/>
      <w:bookmarkEnd w:id="549"/>
    </w:p>
    <w:p>
      <w:pPr>
        <w:pStyle w:val="5"/>
        <w:ind w:firstLine="480"/>
        <w:rPr>
          <w:color w:val="auto"/>
        </w:rPr>
      </w:pPr>
      <w:r>
        <w:rPr>
          <w:color w:val="auto"/>
        </w:rPr>
        <w:t>本项目成立了环境管理机构并配备了专职管理人员，提出了施工期环境监理措施；从废气、废水、噪声等方面制定了环境监测工作计划，为管理部门和企业的环境保护和污染防治工作提供了可行合理的依据。</w:t>
      </w:r>
    </w:p>
    <w:p>
      <w:pPr>
        <w:pStyle w:val="6"/>
        <w:numPr>
          <w:ilvl w:val="1"/>
          <w:numId w:val="0"/>
        </w:numPr>
        <w:spacing w:before="120" w:beforeLines="0" w:after="120" w:afterLines="0"/>
        <w:ind w:leftChars="0"/>
        <w:rPr>
          <w:color w:val="auto"/>
        </w:rPr>
      </w:pPr>
      <w:bookmarkStart w:id="550" w:name="_Toc24143"/>
      <w:bookmarkStart w:id="551" w:name="_Toc11615"/>
      <w:bookmarkStart w:id="552" w:name="_Toc21853"/>
      <w:bookmarkStart w:id="553" w:name="_Toc12228"/>
      <w:r>
        <w:rPr>
          <w:rFonts w:hint="eastAsia"/>
          <w:color w:val="auto"/>
          <w:lang w:val="en-US" w:eastAsia="zh-CN"/>
        </w:rPr>
        <w:t xml:space="preserve">10.8 </w:t>
      </w:r>
      <w:r>
        <w:rPr>
          <w:color w:val="auto"/>
        </w:rPr>
        <w:t>总结论</w:t>
      </w:r>
      <w:bookmarkEnd w:id="550"/>
      <w:bookmarkEnd w:id="551"/>
      <w:bookmarkEnd w:id="552"/>
      <w:bookmarkEnd w:id="553"/>
    </w:p>
    <w:bookmarkEnd w:id="280"/>
    <w:bookmarkEnd w:id="281"/>
    <w:p>
      <w:pPr>
        <w:pStyle w:val="22"/>
        <w:spacing w:before="245" w:line="364" w:lineRule="auto"/>
        <w:ind w:right="311" w:firstLine="480"/>
        <w:rPr>
          <w:color w:val="auto"/>
          <w:sz w:val="24"/>
        </w:rPr>
      </w:pPr>
      <w:r>
        <w:rPr>
          <w:color w:val="auto"/>
          <w:sz w:val="24"/>
        </w:rPr>
        <w:t>中国石油化工股份有限公司长岭分公司</w:t>
      </w:r>
      <w:r>
        <w:rPr>
          <w:rFonts w:hint="eastAsia"/>
          <w:color w:val="auto"/>
          <w:sz w:val="24"/>
        </w:rPr>
        <w:t>液氨装车安全隐患治理项目</w:t>
      </w:r>
      <w:r>
        <w:rPr>
          <w:color w:val="auto"/>
          <w:sz w:val="24"/>
        </w:rPr>
        <w:t>建设符合国家产业政策，选址和总平面布置基本合理；无制约项目建设的重大环境问题；项目建成后对改善长岭公司技术发展具有积极的意义，在采取有效的污染防治措施和风险防范措施后，其不利影响能得到有效控制，外排污染物对环境的影响较小，在可接受的范围内。因此，从环境保护的角度分析，本项目的建设是可行的。</w:t>
      </w:r>
    </w:p>
    <w:p>
      <w:pPr>
        <w:pStyle w:val="6"/>
        <w:numPr>
          <w:ilvl w:val="1"/>
          <w:numId w:val="0"/>
        </w:numPr>
        <w:spacing w:before="120" w:beforeLines="0" w:after="120" w:afterLines="0"/>
        <w:ind w:leftChars="0"/>
        <w:rPr>
          <w:rFonts w:hint="eastAsia"/>
          <w:color w:val="auto"/>
          <w:lang w:val="en-US" w:eastAsia="zh-CN"/>
        </w:rPr>
      </w:pPr>
      <w:bookmarkStart w:id="554" w:name="_Toc22478"/>
      <w:r>
        <w:rPr>
          <w:rFonts w:hint="eastAsia"/>
          <w:color w:val="auto"/>
          <w:lang w:val="en-US" w:eastAsia="zh-CN"/>
        </w:rPr>
        <w:t>10.9 建议</w:t>
      </w:r>
      <w:bookmarkEnd w:id="554"/>
    </w:p>
    <w:p>
      <w:pPr>
        <w:pStyle w:val="22"/>
        <w:keepNext w:val="0"/>
        <w:keepLines w:val="0"/>
        <w:pageBreakBefore w:val="0"/>
        <w:widowControl w:val="0"/>
        <w:kinsoku/>
        <w:wordWrap/>
        <w:overflowPunct/>
        <w:topLinePunct w:val="0"/>
        <w:autoSpaceDE/>
        <w:autoSpaceDN/>
        <w:bidi w:val="0"/>
        <w:adjustRightInd/>
        <w:snapToGrid/>
        <w:spacing w:line="365" w:lineRule="auto"/>
        <w:ind w:right="312" w:firstLine="482"/>
        <w:textAlignment w:val="auto"/>
        <w:rPr>
          <w:color w:val="auto"/>
          <w:sz w:val="24"/>
        </w:rPr>
      </w:pPr>
      <w:r>
        <w:rPr>
          <w:color w:val="auto"/>
          <w:sz w:val="24"/>
        </w:rPr>
        <w:t>（1）建设单位必须严格落实本评价提出的环保措施及风险防范及应急措施，保证各项污染物的达标排放，将事故的风险降到最低。</w:t>
      </w:r>
    </w:p>
    <w:p>
      <w:pPr>
        <w:pStyle w:val="22"/>
        <w:keepNext w:val="0"/>
        <w:keepLines w:val="0"/>
        <w:pageBreakBefore w:val="0"/>
        <w:widowControl w:val="0"/>
        <w:kinsoku/>
        <w:wordWrap/>
        <w:overflowPunct/>
        <w:topLinePunct w:val="0"/>
        <w:autoSpaceDE/>
        <w:autoSpaceDN/>
        <w:bidi w:val="0"/>
        <w:adjustRightInd/>
        <w:snapToGrid/>
        <w:spacing w:line="365" w:lineRule="auto"/>
        <w:ind w:right="312" w:firstLine="482"/>
        <w:textAlignment w:val="auto"/>
        <w:rPr>
          <w:color w:val="auto"/>
          <w:sz w:val="24"/>
        </w:rPr>
      </w:pPr>
      <w:r>
        <w:rPr>
          <w:color w:val="auto"/>
          <w:sz w:val="24"/>
        </w:rPr>
        <w:t>（2）定期对设备、管道、阀门等进行常规检查。</w:t>
      </w:r>
    </w:p>
    <w:p>
      <w:pPr>
        <w:pStyle w:val="22"/>
        <w:keepNext w:val="0"/>
        <w:keepLines w:val="0"/>
        <w:pageBreakBefore w:val="0"/>
        <w:widowControl w:val="0"/>
        <w:kinsoku/>
        <w:wordWrap/>
        <w:overflowPunct/>
        <w:topLinePunct w:val="0"/>
        <w:autoSpaceDE/>
        <w:autoSpaceDN/>
        <w:bidi w:val="0"/>
        <w:adjustRightInd/>
        <w:snapToGrid/>
        <w:spacing w:line="365" w:lineRule="auto"/>
        <w:ind w:right="312" w:firstLine="482"/>
        <w:textAlignment w:val="auto"/>
        <w:rPr>
          <w:color w:val="auto"/>
          <w:sz w:val="24"/>
        </w:rPr>
      </w:pPr>
      <w:r>
        <w:rPr>
          <w:color w:val="auto"/>
          <w:sz w:val="24"/>
        </w:rPr>
        <w:t>（3）应不断完善事故应急救援预案，并定期进行演练、总结，不断提高对突发事件的应对能力。</w:t>
      </w:r>
    </w:p>
    <w:p>
      <w:pPr>
        <w:pStyle w:val="5"/>
        <w:ind w:firstLine="480"/>
        <w:rPr>
          <w:color w:val="auto"/>
        </w:rPr>
        <w:sectPr>
          <w:headerReference r:id="rId28" w:type="default"/>
          <w:footerReference r:id="rId29" w:type="default"/>
          <w:pgSz w:w="11907" w:h="16840"/>
          <w:pgMar w:top="1474" w:right="1531" w:bottom="1417" w:left="1474" w:header="1020" w:footer="992" w:gutter="0"/>
          <w:pgNumType w:fmt="decimal"/>
          <w:cols w:space="0" w:num="1"/>
          <w:rtlGutter w:val="0"/>
          <w:docGrid w:linePitch="312" w:charSpace="0"/>
        </w:sectPr>
      </w:pPr>
    </w:p>
    <w:p>
      <w:pPr>
        <w:pStyle w:val="5"/>
        <w:ind w:firstLine="480"/>
        <w:rPr>
          <w:color w:val="auto"/>
        </w:rPr>
      </w:pPr>
    </w:p>
    <w:p>
      <w:pPr>
        <w:pStyle w:val="5"/>
        <w:ind w:firstLine="480"/>
        <w:rPr>
          <w:color w:val="auto"/>
        </w:rPr>
      </w:pPr>
    </w:p>
    <w:p>
      <w:pPr>
        <w:pStyle w:val="5"/>
        <w:ind w:firstLine="480"/>
        <w:rPr>
          <w:color w:val="auto"/>
        </w:rPr>
      </w:pPr>
    </w:p>
    <w:p>
      <w:pPr>
        <w:pStyle w:val="5"/>
        <w:ind w:firstLine="480"/>
        <w:rPr>
          <w:color w:val="auto"/>
        </w:rPr>
      </w:pPr>
    </w:p>
    <w:p>
      <w:pPr>
        <w:pStyle w:val="5"/>
        <w:ind w:firstLine="480"/>
        <w:rPr>
          <w:color w:val="auto"/>
        </w:rPr>
      </w:pPr>
    </w:p>
    <w:p>
      <w:pPr>
        <w:pStyle w:val="5"/>
        <w:ind w:firstLine="480"/>
        <w:rPr>
          <w:color w:val="auto"/>
        </w:rPr>
      </w:pPr>
      <w:r>
        <w:drawing>
          <wp:anchor distT="0" distB="0" distL="114300" distR="114300" simplePos="0" relativeHeight="2335936512" behindDoc="0" locked="0" layoutInCell="1" allowOverlap="1">
            <wp:simplePos x="0" y="0"/>
            <wp:positionH relativeFrom="column">
              <wp:posOffset>7828915</wp:posOffset>
            </wp:positionH>
            <wp:positionV relativeFrom="paragraph">
              <wp:posOffset>-7270750</wp:posOffset>
            </wp:positionV>
            <wp:extent cx="683895" cy="538480"/>
            <wp:effectExtent l="19050" t="0" r="20955" b="33020"/>
            <wp:wrapNone/>
            <wp:docPr id="53"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p>
    <w:p>
      <w:pPr>
        <w:pStyle w:val="5"/>
        <w:ind w:firstLine="480"/>
        <w:rPr>
          <w:color w:val="auto"/>
        </w:rPr>
      </w:pPr>
    </w:p>
    <w:p>
      <w:pPr>
        <w:pStyle w:val="5"/>
        <w:ind w:firstLine="480"/>
        <w:rPr>
          <w:color w:val="auto"/>
        </w:rPr>
      </w:pPr>
    </w:p>
    <w:p>
      <w:pPr>
        <w:pStyle w:val="5"/>
        <w:ind w:left="0" w:leftChars="0" w:firstLine="0" w:firstLineChars="0"/>
        <w:jc w:val="both"/>
        <w:rPr>
          <w:rFonts w:hint="eastAsia"/>
          <w:b/>
          <w:bCs/>
          <w:color w:val="auto"/>
          <w:lang w:eastAsia="zh-CN"/>
        </w:rPr>
      </w:pPr>
    </w:p>
    <w:p>
      <w:pPr>
        <w:pStyle w:val="5"/>
        <w:ind w:left="0" w:leftChars="0" w:firstLine="0" w:firstLineChars="0"/>
        <w:jc w:val="both"/>
        <w:rPr>
          <w:rFonts w:hint="eastAsia"/>
          <w:b/>
          <w:bCs/>
          <w:color w:val="auto"/>
          <w:lang w:eastAsia="zh-CN"/>
        </w:rPr>
      </w:pPr>
      <w:r>
        <w:drawing>
          <wp:anchor distT="0" distB="0" distL="114300" distR="114300" simplePos="0" relativeHeight="2335931392" behindDoc="0" locked="0" layoutInCell="1" allowOverlap="1">
            <wp:simplePos x="0" y="0"/>
            <wp:positionH relativeFrom="column">
              <wp:posOffset>7676515</wp:posOffset>
            </wp:positionH>
            <wp:positionV relativeFrom="paragraph">
              <wp:posOffset>-8539480</wp:posOffset>
            </wp:positionV>
            <wp:extent cx="683895" cy="538480"/>
            <wp:effectExtent l="19050" t="0" r="20955" b="33020"/>
            <wp:wrapNone/>
            <wp:docPr id="52"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p>
    <w:p>
      <w:pPr>
        <w:pStyle w:val="5"/>
        <w:ind w:left="0" w:leftChars="0" w:firstLine="0" w:firstLineChars="0"/>
        <w:jc w:val="both"/>
        <w:rPr>
          <w:rFonts w:hint="eastAsia"/>
          <w:b/>
          <w:bCs/>
          <w:color w:val="auto"/>
          <w:lang w:eastAsia="zh-CN"/>
        </w:rPr>
      </w:pPr>
    </w:p>
    <w:p>
      <w:pPr>
        <w:pStyle w:val="5"/>
        <w:ind w:left="0" w:leftChars="0" w:firstLine="0" w:firstLineChars="0"/>
        <w:jc w:val="both"/>
        <w:rPr>
          <w:rFonts w:hint="eastAsia"/>
          <w:b/>
          <w:bCs/>
          <w:color w:val="auto"/>
          <w:lang w:eastAsia="zh-CN"/>
        </w:rPr>
      </w:pPr>
      <w:r>
        <w:drawing>
          <wp:anchor distT="0" distB="0" distL="114300" distR="114300" simplePos="0" relativeHeight="2335921152" behindDoc="0" locked="0" layoutInCell="1" allowOverlap="1">
            <wp:simplePos x="0" y="0"/>
            <wp:positionH relativeFrom="column">
              <wp:posOffset>8333740</wp:posOffset>
            </wp:positionH>
            <wp:positionV relativeFrom="paragraph">
              <wp:posOffset>-8163560</wp:posOffset>
            </wp:positionV>
            <wp:extent cx="683895" cy="538480"/>
            <wp:effectExtent l="19050" t="0" r="20955" b="33020"/>
            <wp:wrapNone/>
            <wp:docPr id="50"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p>
    <w:p>
      <w:pPr>
        <w:pStyle w:val="5"/>
        <w:ind w:left="0" w:leftChars="0" w:firstLine="0" w:firstLineChars="0"/>
        <w:jc w:val="both"/>
        <w:rPr>
          <w:rFonts w:hint="eastAsia"/>
          <w:b/>
          <w:bCs/>
          <w:color w:val="auto"/>
          <w:lang w:eastAsia="zh-CN"/>
        </w:rPr>
        <w:sectPr>
          <w:type w:val="continuous"/>
          <w:pgSz w:w="11907" w:h="16840"/>
          <w:pgMar w:top="1474" w:right="1531" w:bottom="1417" w:left="1474" w:header="1020" w:footer="992" w:gutter="0"/>
          <w:pgNumType w:fmt="decimal"/>
          <w:cols w:space="0" w:num="1"/>
          <w:rtlGutter w:val="0"/>
          <w:docGrid w:linePitch="312" w:charSpace="0"/>
        </w:sectPr>
      </w:pPr>
      <w:r>
        <w:drawing>
          <wp:anchor distT="0" distB="0" distL="114300" distR="114300" simplePos="0" relativeHeight="2335916032" behindDoc="0" locked="0" layoutInCell="1" allowOverlap="1">
            <wp:simplePos x="0" y="0"/>
            <wp:positionH relativeFrom="column">
              <wp:posOffset>8181340</wp:posOffset>
            </wp:positionH>
            <wp:positionV relativeFrom="paragraph">
              <wp:posOffset>-8595360</wp:posOffset>
            </wp:positionV>
            <wp:extent cx="683895" cy="538480"/>
            <wp:effectExtent l="19050" t="0" r="20955" b="33020"/>
            <wp:wrapNone/>
            <wp:docPr id="49"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p>
    <w:p>
      <w:pPr>
        <w:pStyle w:val="5"/>
        <w:ind w:left="0" w:leftChars="0" w:firstLine="0" w:firstLineChars="0"/>
        <w:jc w:val="center"/>
        <w:rPr>
          <w:rFonts w:hint="eastAsia"/>
          <w:color w:val="auto"/>
          <w:lang w:eastAsia="zh-CN"/>
        </w:rPr>
      </w:pPr>
      <w:r>
        <w:rPr>
          <w:rFonts w:hint="eastAsia"/>
          <w:b/>
          <w:bCs/>
          <w:color w:val="auto"/>
          <w:lang w:eastAsia="zh-CN"/>
        </w:rPr>
        <w:t>附图</w:t>
      </w:r>
      <w:r>
        <w:rPr>
          <w:rFonts w:hint="eastAsia"/>
          <w:b/>
          <w:bCs/>
          <w:color w:val="auto"/>
          <w:lang w:val="en-US" w:eastAsia="zh-CN"/>
        </w:rPr>
        <w:t xml:space="preserve">1  </w:t>
      </w:r>
      <w:r>
        <w:rPr>
          <w:rFonts w:hint="eastAsia"/>
          <w:b/>
          <w:bCs/>
          <w:color w:val="auto"/>
          <w:lang w:eastAsia="zh-CN"/>
        </w:rPr>
        <w:t>项目地理位置图</w:t>
      </w:r>
    </w:p>
    <w:p>
      <w:pPr>
        <w:pStyle w:val="5"/>
        <w:ind w:left="0" w:leftChars="0" w:firstLine="0" w:firstLineChars="0"/>
        <w:jc w:val="left"/>
        <w:rPr>
          <w:rFonts w:hint="eastAsia"/>
          <w:color w:val="auto"/>
          <w:lang w:eastAsia="zh-CN"/>
        </w:rPr>
        <w:sectPr>
          <w:headerReference r:id="rId30" w:type="default"/>
          <w:footerReference r:id="rId31" w:type="default"/>
          <w:type w:val="continuous"/>
          <w:pgSz w:w="11907" w:h="16840"/>
          <w:pgMar w:top="1474" w:right="1531" w:bottom="1417" w:left="1474" w:header="1020" w:footer="992" w:gutter="0"/>
          <w:pgNumType w:fmt="decimal"/>
          <w:cols w:space="0" w:num="1"/>
          <w:rtlGutter w:val="0"/>
          <w:docGrid w:linePitch="312" w:charSpace="0"/>
        </w:sectPr>
      </w:pPr>
      <w:r>
        <w:drawing>
          <wp:anchor distT="0" distB="0" distL="114300" distR="114300" simplePos="0" relativeHeight="2335941632" behindDoc="0" locked="0" layoutInCell="1" allowOverlap="1">
            <wp:simplePos x="0" y="0"/>
            <wp:positionH relativeFrom="column">
              <wp:posOffset>5405755</wp:posOffset>
            </wp:positionH>
            <wp:positionV relativeFrom="paragraph">
              <wp:posOffset>30480</wp:posOffset>
            </wp:positionV>
            <wp:extent cx="683895" cy="538480"/>
            <wp:effectExtent l="19050" t="0" r="20955" b="33020"/>
            <wp:wrapNone/>
            <wp:docPr id="54"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drawing>
          <wp:anchor distT="0" distB="0" distL="114300" distR="114300" simplePos="0" relativeHeight="2335910912" behindDoc="0" locked="0" layoutInCell="1" allowOverlap="1">
            <wp:simplePos x="0" y="0"/>
            <wp:positionH relativeFrom="column">
              <wp:posOffset>8333740</wp:posOffset>
            </wp:positionH>
            <wp:positionV relativeFrom="paragraph">
              <wp:posOffset>73025</wp:posOffset>
            </wp:positionV>
            <wp:extent cx="683895" cy="538480"/>
            <wp:effectExtent l="19050" t="0" r="20955" b="33020"/>
            <wp:wrapNone/>
            <wp:docPr id="48"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drawing>
          <wp:anchor distT="0" distB="0" distL="114300" distR="114300" simplePos="0" relativeHeight="2335905792" behindDoc="0" locked="0" layoutInCell="1" allowOverlap="1">
            <wp:simplePos x="0" y="0"/>
            <wp:positionH relativeFrom="column">
              <wp:posOffset>8181340</wp:posOffset>
            </wp:positionH>
            <wp:positionV relativeFrom="paragraph">
              <wp:posOffset>-79375</wp:posOffset>
            </wp:positionV>
            <wp:extent cx="683895" cy="538480"/>
            <wp:effectExtent l="19050" t="0" r="20955" b="33020"/>
            <wp:wrapNone/>
            <wp:docPr id="3"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drawing>
          <wp:anchor distT="0" distB="0" distL="114300" distR="114300" simplePos="0" relativeHeight="2335926272" behindDoc="0" locked="0" layoutInCell="1" allowOverlap="1">
            <wp:simplePos x="0" y="0"/>
            <wp:positionH relativeFrom="column">
              <wp:posOffset>8486140</wp:posOffset>
            </wp:positionH>
            <wp:positionV relativeFrom="paragraph">
              <wp:posOffset>225425</wp:posOffset>
            </wp:positionV>
            <wp:extent cx="683895" cy="538480"/>
            <wp:effectExtent l="19050" t="0" r="20955" b="33020"/>
            <wp:wrapNone/>
            <wp:docPr id="51"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rPr>
          <w:rFonts w:hint="eastAsia"/>
          <w:color w:val="auto"/>
          <w:lang w:eastAsia="zh-CN"/>
        </w:rPr>
        <w:drawing>
          <wp:inline distT="0" distB="0" distL="114300" distR="114300">
            <wp:extent cx="6087745" cy="7717790"/>
            <wp:effectExtent l="0" t="0" r="8255" b="16510"/>
            <wp:docPr id="198" name="图片 198" descr="8f45be42208fe9985eca44cce86af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8f45be42208fe9985eca44cce86af2c"/>
                    <pic:cNvPicPr>
                      <a:picLocks noChangeAspect="1"/>
                    </pic:cNvPicPr>
                  </pic:nvPicPr>
                  <pic:blipFill>
                    <a:blip r:embed="rId61"/>
                    <a:srcRect l="2936" t="8863" r="1741" b="297"/>
                    <a:stretch>
                      <a:fillRect/>
                    </a:stretch>
                  </pic:blipFill>
                  <pic:spPr>
                    <a:xfrm rot="10800000">
                      <a:off x="0" y="0"/>
                      <a:ext cx="6087745" cy="7717790"/>
                    </a:xfrm>
                    <a:prstGeom prst="rect">
                      <a:avLst/>
                    </a:prstGeom>
                  </pic:spPr>
                </pic:pic>
              </a:graphicData>
            </a:graphic>
          </wp:inline>
        </w:drawing>
      </w:r>
    </w:p>
    <w:p>
      <w:pPr>
        <w:pStyle w:val="5"/>
        <w:ind w:left="0" w:leftChars="0" w:firstLine="0" w:firstLineChars="0"/>
        <w:jc w:val="center"/>
        <w:rPr>
          <w:rFonts w:hint="default"/>
          <w:color w:val="auto"/>
          <w:lang w:val="en-US" w:eastAsia="zh-CN"/>
        </w:rPr>
      </w:pPr>
      <w:r>
        <w:rPr>
          <w:rFonts w:hint="eastAsia"/>
          <w:color w:val="auto"/>
          <w:lang w:eastAsia="zh-CN"/>
        </w:rPr>
        <w:t>附件</w:t>
      </w:r>
      <w:r>
        <w:rPr>
          <w:rFonts w:hint="eastAsia"/>
          <w:color w:val="auto"/>
          <w:lang w:val="en-US" w:eastAsia="zh-CN"/>
        </w:rPr>
        <w:t xml:space="preserve">2  </w:t>
      </w:r>
      <w:r>
        <w:rPr>
          <w:rFonts w:hint="eastAsia"/>
          <w:color w:val="auto"/>
          <w:lang w:eastAsia="zh-CN"/>
        </w:rPr>
        <w:t>项目四周及现状照片</w:t>
      </w:r>
    </w:p>
    <w:p>
      <w:pPr>
        <w:pStyle w:val="5"/>
        <w:ind w:firstLine="480"/>
        <w:jc w:val="left"/>
        <w:rPr>
          <w:rFonts w:hint="eastAsia"/>
          <w:color w:val="auto"/>
          <w:lang w:eastAsia="zh-CN"/>
        </w:rPr>
      </w:pPr>
      <w:r>
        <w:rPr>
          <w:rFonts w:hint="eastAsia"/>
          <w:color w:val="auto"/>
          <w:lang w:eastAsia="zh-CN"/>
        </w:rPr>
        <w:drawing>
          <wp:inline distT="0" distB="0" distL="114300" distR="114300">
            <wp:extent cx="3435350" cy="2577465"/>
            <wp:effectExtent l="0" t="0" r="12700" b="13335"/>
            <wp:docPr id="178" name="图片 178" descr="b99c1c156dc7436834e9117e233b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b99c1c156dc7436834e9117e233b296"/>
                    <pic:cNvPicPr>
                      <a:picLocks noChangeAspect="1"/>
                    </pic:cNvPicPr>
                  </pic:nvPicPr>
                  <pic:blipFill>
                    <a:blip r:embed="rId62"/>
                    <a:stretch>
                      <a:fillRect/>
                    </a:stretch>
                  </pic:blipFill>
                  <pic:spPr>
                    <a:xfrm>
                      <a:off x="0" y="0"/>
                      <a:ext cx="3435350" cy="2577465"/>
                    </a:xfrm>
                    <a:prstGeom prst="rect">
                      <a:avLst/>
                    </a:prstGeom>
                  </pic:spPr>
                </pic:pic>
              </a:graphicData>
            </a:graphic>
          </wp:inline>
        </w:drawing>
      </w:r>
      <w:r>
        <w:rPr>
          <w:rFonts w:hint="eastAsia"/>
          <w:color w:val="auto"/>
          <w:lang w:eastAsia="zh-CN"/>
        </w:rPr>
        <w:drawing>
          <wp:inline distT="0" distB="0" distL="114300" distR="114300">
            <wp:extent cx="3422650" cy="2574925"/>
            <wp:effectExtent l="0" t="0" r="6350" b="15875"/>
            <wp:docPr id="179" name="图片 179" descr="11ce5b825201c8bb8360e8d294f31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1ce5b825201c8bb8360e8d294f31d2"/>
                    <pic:cNvPicPr>
                      <a:picLocks noChangeAspect="1"/>
                    </pic:cNvPicPr>
                  </pic:nvPicPr>
                  <pic:blipFill>
                    <a:blip r:embed="rId63"/>
                    <a:stretch>
                      <a:fillRect/>
                    </a:stretch>
                  </pic:blipFill>
                  <pic:spPr>
                    <a:xfrm>
                      <a:off x="0" y="0"/>
                      <a:ext cx="3422650" cy="2574925"/>
                    </a:xfrm>
                    <a:prstGeom prst="rect">
                      <a:avLst/>
                    </a:prstGeom>
                  </pic:spPr>
                </pic:pic>
              </a:graphicData>
            </a:graphic>
          </wp:inline>
        </w:drawing>
      </w:r>
    </w:p>
    <w:p>
      <w:pPr>
        <w:pStyle w:val="5"/>
        <w:ind w:firstLine="480"/>
        <w:jc w:val="left"/>
        <w:rPr>
          <w:rFonts w:hint="eastAsia"/>
          <w:color w:val="auto"/>
          <w:lang w:eastAsia="zh-CN"/>
        </w:rPr>
      </w:pPr>
      <w:r>
        <w:rPr>
          <w:rFonts w:hint="eastAsia"/>
          <w:color w:val="auto"/>
          <w:lang w:eastAsia="zh-CN"/>
        </w:rPr>
        <w:drawing>
          <wp:inline distT="0" distB="0" distL="114300" distR="114300">
            <wp:extent cx="3442970" cy="2582545"/>
            <wp:effectExtent l="0" t="0" r="5080" b="8255"/>
            <wp:docPr id="182" name="图片 182" descr="a1188ed61877efd95985f906697e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a1188ed61877efd95985f906697e8f0"/>
                    <pic:cNvPicPr>
                      <a:picLocks noChangeAspect="1"/>
                    </pic:cNvPicPr>
                  </pic:nvPicPr>
                  <pic:blipFill>
                    <a:blip r:embed="rId64"/>
                    <a:stretch>
                      <a:fillRect/>
                    </a:stretch>
                  </pic:blipFill>
                  <pic:spPr>
                    <a:xfrm>
                      <a:off x="0" y="0"/>
                      <a:ext cx="3442970" cy="2582545"/>
                    </a:xfrm>
                    <a:prstGeom prst="rect">
                      <a:avLst/>
                    </a:prstGeom>
                  </pic:spPr>
                </pic:pic>
              </a:graphicData>
            </a:graphic>
          </wp:inline>
        </w:drawing>
      </w:r>
      <w:r>
        <w:rPr>
          <w:rFonts w:hint="eastAsia"/>
          <w:color w:val="auto"/>
          <w:lang w:eastAsia="zh-CN"/>
        </w:rPr>
        <w:drawing>
          <wp:inline distT="0" distB="0" distL="114300" distR="114300">
            <wp:extent cx="3454400" cy="2591435"/>
            <wp:effectExtent l="0" t="0" r="12700" b="18415"/>
            <wp:docPr id="183" name="图片 183" descr="8e691a7ef98c3609e3341b95019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8e691a7ef98c3609e3341b950195994"/>
                    <pic:cNvPicPr>
                      <a:picLocks noChangeAspect="1"/>
                    </pic:cNvPicPr>
                  </pic:nvPicPr>
                  <pic:blipFill>
                    <a:blip r:embed="rId65"/>
                    <a:stretch>
                      <a:fillRect/>
                    </a:stretch>
                  </pic:blipFill>
                  <pic:spPr>
                    <a:xfrm>
                      <a:off x="0" y="0"/>
                      <a:ext cx="3454400" cy="2591435"/>
                    </a:xfrm>
                    <a:prstGeom prst="rect">
                      <a:avLst/>
                    </a:prstGeom>
                  </pic:spPr>
                </pic:pic>
              </a:graphicData>
            </a:graphic>
          </wp:inline>
        </w:drawing>
      </w:r>
    </w:p>
    <w:p>
      <w:pPr>
        <w:pStyle w:val="5"/>
        <w:ind w:left="0" w:leftChars="0" w:firstLine="0" w:firstLineChars="0"/>
        <w:jc w:val="center"/>
        <w:rPr>
          <w:rFonts w:hint="eastAsia"/>
          <w:color w:val="auto"/>
          <w:lang w:eastAsia="zh-CN"/>
        </w:rPr>
      </w:pPr>
      <w:r>
        <w:rPr>
          <w:rFonts w:hint="eastAsia"/>
          <w:color w:val="auto"/>
          <w:lang w:eastAsia="zh-CN"/>
        </w:rPr>
        <w:t>附图</w:t>
      </w:r>
      <w:r>
        <w:rPr>
          <w:rFonts w:hint="eastAsia"/>
          <w:color w:val="auto"/>
          <w:lang w:val="en-US" w:eastAsia="zh-CN"/>
        </w:rPr>
        <w:t xml:space="preserve">3  </w:t>
      </w:r>
      <w:r>
        <w:rPr>
          <w:rFonts w:hint="eastAsia"/>
          <w:color w:val="auto"/>
          <w:lang w:eastAsia="zh-CN"/>
        </w:rPr>
        <w:t>项目噪声监测布点图</w:t>
      </w:r>
    </w:p>
    <w:p>
      <w:pPr>
        <w:pStyle w:val="5"/>
        <w:ind w:left="0" w:leftChars="0" w:firstLine="0" w:firstLineChars="0"/>
        <w:jc w:val="center"/>
        <w:rPr>
          <w:rFonts w:hint="eastAsia"/>
          <w:color w:val="auto"/>
          <w:lang w:eastAsia="zh-CN"/>
        </w:rPr>
      </w:pPr>
    </w:p>
    <w:p>
      <w:pPr>
        <w:pStyle w:val="5"/>
        <w:ind w:left="0" w:leftChars="0" w:firstLine="0" w:firstLineChars="0"/>
        <w:jc w:val="left"/>
        <w:rPr>
          <w:rFonts w:hint="eastAsia"/>
          <w:color w:val="auto"/>
          <w:lang w:eastAsia="zh-CN"/>
        </w:rPr>
      </w:pPr>
      <w:r>
        <w:drawing>
          <wp:anchor distT="0" distB="0" distL="114300" distR="114300" simplePos="0" relativeHeight="125258752" behindDoc="0" locked="0" layoutInCell="1" allowOverlap="1">
            <wp:simplePos x="0" y="0"/>
            <wp:positionH relativeFrom="column">
              <wp:posOffset>8159750</wp:posOffset>
            </wp:positionH>
            <wp:positionV relativeFrom="paragraph">
              <wp:posOffset>5080</wp:posOffset>
            </wp:positionV>
            <wp:extent cx="683895" cy="538480"/>
            <wp:effectExtent l="19050" t="0" r="20955" b="33020"/>
            <wp:wrapNone/>
            <wp:docPr id="55"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rPr>
          <w:color w:val="auto"/>
          <w:sz w:val="24"/>
        </w:rPr>
        <mc:AlternateContent>
          <mc:Choice Requires="wps">
            <w:drawing>
              <wp:anchor distT="0" distB="0" distL="114300" distR="114300" simplePos="0" relativeHeight="3914499072" behindDoc="0" locked="0" layoutInCell="1" allowOverlap="1">
                <wp:simplePos x="0" y="0"/>
                <wp:positionH relativeFrom="column">
                  <wp:posOffset>5864860</wp:posOffset>
                </wp:positionH>
                <wp:positionV relativeFrom="paragraph">
                  <wp:posOffset>2994660</wp:posOffset>
                </wp:positionV>
                <wp:extent cx="75565" cy="75565"/>
                <wp:effectExtent l="12700" t="12700" r="26035" b="26035"/>
                <wp:wrapNone/>
                <wp:docPr id="195" name="流程图: 摘录 195"/>
                <wp:cNvGraphicFramePr/>
                <a:graphic xmlns:a="http://schemas.openxmlformats.org/drawingml/2006/main">
                  <a:graphicData uri="http://schemas.microsoft.com/office/word/2010/wordprocessingShape">
                    <wps:wsp>
                      <wps:cNvSpPr/>
                      <wps:spPr>
                        <a:xfrm>
                          <a:off x="0" y="0"/>
                          <a:ext cx="75565" cy="75565"/>
                        </a:xfrm>
                        <a:prstGeom prst="flowChartExtra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461.8pt;margin-top:235.8pt;height:5.95pt;width:5.95pt;z-index:-380468224;v-text-anchor:middle;mso-width-relative:page;mso-height-relative:page;" fillcolor="#4F81BD [3204]" filled="t" stroked="t" coordsize="21600,21600" o:gfxdata="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tptSg3AAAAAsBAAAPAAAAAAAAAAEAIAAAACIAAABkcnMvZG93bnJldi54bWxQ&#10;SwECFAAUAAAACACHTuJAaEBHvmUCAACnBAAADgAAAAAAAAABACAAAAArAQAAZHJzL2Uyb0RvYy54&#10;bWxQSwUGAAAAAAYABgBZAQAAAgYAAAAA&#1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2967340032" behindDoc="0" locked="0" layoutInCell="1" allowOverlap="1">
                <wp:simplePos x="0" y="0"/>
                <wp:positionH relativeFrom="column">
                  <wp:posOffset>5593715</wp:posOffset>
                </wp:positionH>
                <wp:positionV relativeFrom="paragraph">
                  <wp:posOffset>1331595</wp:posOffset>
                </wp:positionV>
                <wp:extent cx="75565" cy="75565"/>
                <wp:effectExtent l="12700" t="12700" r="26035" b="26035"/>
                <wp:wrapNone/>
                <wp:docPr id="193" name="流程图: 摘录 193"/>
                <wp:cNvGraphicFramePr/>
                <a:graphic xmlns:a="http://schemas.openxmlformats.org/drawingml/2006/main">
                  <a:graphicData uri="http://schemas.microsoft.com/office/word/2010/wordprocessingShape">
                    <wps:wsp>
                      <wps:cNvSpPr/>
                      <wps:spPr>
                        <a:xfrm>
                          <a:off x="0" y="0"/>
                          <a:ext cx="75565" cy="75565"/>
                        </a:xfrm>
                        <a:prstGeom prst="flowChartExtra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440.45pt;margin-top:104.85pt;height:5.95pt;width:5.95pt;z-index:-1327627264;v-text-anchor:middle;mso-width-relative:page;mso-height-relative:page;" fillcolor="#4F81BD [3204]" filled="t" stroked="t" coordsize="21600,21600" o:gfxdata="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7sJ2wAAAAsBAAAPAAAAAAAAAAEAIAAAACIAAABkcnMvZG93bnJldi54bWxQ&#10;SwECFAAUAAAACACHTuJANPbAxmYCAACnBAAADgAAAAAAAAABACAAAAAqAQAAZHJzL2Uyb0RvYy54&#10;bWxQSwUGAAAAAAYABgBZAQAAAgYAAAAA&#1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3598779392" behindDoc="0" locked="0" layoutInCell="1" allowOverlap="1">
                <wp:simplePos x="0" y="0"/>
                <wp:positionH relativeFrom="column">
                  <wp:posOffset>4802505</wp:posOffset>
                </wp:positionH>
                <wp:positionV relativeFrom="paragraph">
                  <wp:posOffset>1727200</wp:posOffset>
                </wp:positionV>
                <wp:extent cx="75565" cy="75565"/>
                <wp:effectExtent l="12700" t="12700" r="26035" b="26035"/>
                <wp:wrapNone/>
                <wp:docPr id="194" name="流程图: 摘录 194"/>
                <wp:cNvGraphicFramePr/>
                <a:graphic xmlns:a="http://schemas.openxmlformats.org/drawingml/2006/main">
                  <a:graphicData uri="http://schemas.microsoft.com/office/word/2010/wordprocessingShape">
                    <wps:wsp>
                      <wps:cNvSpPr/>
                      <wps:spPr>
                        <a:xfrm>
                          <a:off x="0" y="0"/>
                          <a:ext cx="75565" cy="75565"/>
                        </a:xfrm>
                        <a:prstGeom prst="flowChartExtra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78.15pt;margin-top:136pt;height:5.95pt;width:5.95pt;z-index:-696187904;v-text-anchor:middle;mso-width-relative:page;mso-height-relative:page;" fillcolor="#4F81BD [3204]" filled="t" stroked="t" coordsize="21600,21600" o:gfxdata="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z8z1U3AAAAAsBAAAPAAAAAAAAAAEAIAAAACIAAABkcnMvZG93bnJldi54bWxQ&#10;SwECFAAUAAAACACHTuJATQupHGUCAACnBAAADgAAAAAAAAABACAAAAArAQAAZHJzL2Uyb0RvYy54&#10;bWxQSwUGAAAAAAYABgBZAQAAAgYAAAAA&#10;">
                <v:fill on="t" focussize="0,0"/>
                <v:stroke weight="2pt" color="#FF0000 [3204]" joinstyle="round"/>
                <v:imagedata o:title=""/>
                <o:lock v:ext="edit" aspectratio="f"/>
              </v:shape>
            </w:pict>
          </mc:Fallback>
        </mc:AlternateContent>
      </w:r>
      <w:r>
        <w:rPr>
          <w:color w:val="auto"/>
          <w:sz w:val="24"/>
        </w:rPr>
        <mc:AlternateContent>
          <mc:Choice Requires="wps">
            <w:drawing>
              <wp:anchor distT="0" distB="0" distL="114300" distR="114300" simplePos="0" relativeHeight="2651620352" behindDoc="0" locked="0" layoutInCell="1" allowOverlap="1">
                <wp:simplePos x="0" y="0"/>
                <wp:positionH relativeFrom="column">
                  <wp:posOffset>7974965</wp:posOffset>
                </wp:positionH>
                <wp:positionV relativeFrom="paragraph">
                  <wp:posOffset>1711960</wp:posOffset>
                </wp:positionV>
                <wp:extent cx="75565" cy="75565"/>
                <wp:effectExtent l="12700" t="12700" r="26035" b="26035"/>
                <wp:wrapNone/>
                <wp:docPr id="191" name="流程图: 摘录 191"/>
                <wp:cNvGraphicFramePr/>
                <a:graphic xmlns:a="http://schemas.openxmlformats.org/drawingml/2006/main">
                  <a:graphicData uri="http://schemas.microsoft.com/office/word/2010/wordprocessingShape">
                    <wps:wsp>
                      <wps:cNvSpPr/>
                      <wps:spPr>
                        <a:xfrm>
                          <a:off x="8875395" y="2943860"/>
                          <a:ext cx="75565" cy="75565"/>
                        </a:xfrm>
                        <a:prstGeom prst="flowChartExtract">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627.95pt;margin-top:134.8pt;height:5.95pt;width:5.95pt;z-index:-1643346944;v-text-anchor:middle;mso-width-relative:page;mso-height-relative:page;" fillcolor="#4F81BD [3204]" filled="t" stroked="t" coordsize="21600,21600" o:gfxdata="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&#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iN0Zz3QAAAA0BAAAPAAAAAAAAAAEAIAAAACIAAABk&#10;cnMvZG93bnJldi54bWxQSwECFAAUAAAACACHTuJARkPgNnMCAACzBAAADgAAAAAAAAABACAAAAAs&#10;AQAAZHJzL2Uyb0RvYy54bWxQSwUGAAAAAAYABgBZAQAAEQYAAAAA&#10;">
                <v:fill on="t" focussize="0,0"/>
                <v:stroke weight="2pt" color="#FF0000 [3204]" joinstyle="round"/>
                <v:imagedata o:title=""/>
                <o:lock v:ext="edit" aspectratio="f"/>
              </v:shape>
            </w:pict>
          </mc:Fallback>
        </mc:AlternateContent>
      </w:r>
      <w:r>
        <w:rPr>
          <w:rFonts w:hint="eastAsia"/>
          <w:color w:val="auto"/>
          <w:lang w:eastAsia="zh-CN"/>
        </w:rPr>
        <w:drawing>
          <wp:inline distT="0" distB="0" distL="114300" distR="114300">
            <wp:extent cx="8853805" cy="3829685"/>
            <wp:effectExtent l="0" t="0" r="4445" b="18415"/>
            <wp:docPr id="190" name="图片 190" descr="1561785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1561785464(1)"/>
                    <pic:cNvPicPr>
                      <a:picLocks noChangeAspect="1"/>
                    </pic:cNvPicPr>
                  </pic:nvPicPr>
                  <pic:blipFill>
                    <a:blip r:embed="rId66"/>
                    <a:stretch>
                      <a:fillRect/>
                    </a:stretch>
                  </pic:blipFill>
                  <pic:spPr>
                    <a:xfrm>
                      <a:off x="0" y="0"/>
                      <a:ext cx="8853805" cy="3829685"/>
                    </a:xfrm>
                    <a:prstGeom prst="rect">
                      <a:avLst/>
                    </a:prstGeom>
                  </pic:spPr>
                </pic:pic>
              </a:graphicData>
            </a:graphic>
          </wp:inline>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center"/>
        <w:rPr>
          <w:rFonts w:hint="eastAsia"/>
          <w:b/>
          <w:bCs/>
          <w:color w:val="auto"/>
          <w:lang w:eastAsia="zh-CN"/>
        </w:rPr>
      </w:pPr>
      <w:r>
        <w:rPr>
          <w:rFonts w:hint="eastAsia"/>
          <w:b/>
          <w:bCs/>
          <w:color w:val="auto"/>
          <w:lang w:eastAsia="zh-CN"/>
        </w:rPr>
        <w:t>附图</w:t>
      </w:r>
      <w:r>
        <w:rPr>
          <w:rFonts w:hint="eastAsia"/>
          <w:b/>
          <w:bCs/>
          <w:color w:val="auto"/>
          <w:lang w:val="en-US" w:eastAsia="zh-CN"/>
        </w:rPr>
        <w:t xml:space="preserve">4  </w:t>
      </w:r>
      <w:r>
        <w:rPr>
          <w:rFonts w:hint="eastAsia"/>
          <w:b/>
          <w:bCs/>
          <w:color w:val="auto"/>
          <w:lang w:eastAsia="zh-CN"/>
        </w:rPr>
        <w:t>引用监测点位与本项目的距离图</w:t>
      </w:r>
    </w:p>
    <w:p>
      <w:pPr>
        <w:pStyle w:val="5"/>
        <w:ind w:left="0" w:leftChars="0" w:firstLine="0" w:firstLineChars="0"/>
        <w:jc w:val="center"/>
        <w:rPr>
          <w:rFonts w:hint="eastAsia"/>
          <w:b/>
          <w:bCs/>
          <w:color w:val="auto"/>
          <w:lang w:eastAsia="zh-CN"/>
        </w:rPr>
      </w:pPr>
      <w:r>
        <w:rPr>
          <w:color w:val="auto"/>
          <w:sz w:val="24"/>
        </w:rPr>
        <mc:AlternateContent>
          <mc:Choice Requires="wps">
            <w:drawing>
              <wp:anchor distT="0" distB="0" distL="114300" distR="114300" simplePos="0" relativeHeight="2082870272" behindDoc="0" locked="0" layoutInCell="1" allowOverlap="1">
                <wp:simplePos x="0" y="0"/>
                <wp:positionH relativeFrom="column">
                  <wp:posOffset>442595</wp:posOffset>
                </wp:positionH>
                <wp:positionV relativeFrom="paragraph">
                  <wp:posOffset>273050</wp:posOffset>
                </wp:positionV>
                <wp:extent cx="490855" cy="117475"/>
                <wp:effectExtent l="1270" t="4445" r="3175" b="30480"/>
                <wp:wrapNone/>
                <wp:docPr id="210" name="直接箭头连接符 210"/>
                <wp:cNvGraphicFramePr/>
                <a:graphic xmlns:a="http://schemas.openxmlformats.org/drawingml/2006/main">
                  <a:graphicData uri="http://schemas.microsoft.com/office/word/2010/wordprocessingShape">
                    <wps:wsp>
                      <wps:cNvCnPr/>
                      <wps:spPr>
                        <a:xfrm>
                          <a:off x="0" y="0"/>
                          <a:ext cx="490855" cy="117475"/>
                        </a:xfrm>
                        <a:prstGeom prst="straightConnector1">
                          <a:avLst/>
                        </a:prstGeom>
                        <a:ln>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4.85pt;margin-top:21.5pt;height:9.25pt;width:38.65pt;z-index:2082870272;mso-width-relative:page;mso-height-relative:page;" filled="f" stroked="t" coordsize="21600,21600" o:gfxdata="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wRTpXdYAAAAI&#10;AQAADwAAAAAAAAABACAAAAAiAAAAZHJzL2Rvd25yZXYueG1sUEsBAhQAFAAAAAgAh07iQM8Cuffl&#10;AQAAgQMAAA4AAAAAAAAAAQAgAAAAJQEAAGRycy9lMm9Eb2MueG1sUEsFBgAAAAAGAAYAWQEAAHwF&#10;AAAAAA==&#10;">
                <v:fill on="f" focussize="0,0"/>
                <v:stroke color="#FFC000 [3204]" joinstyle="round" endarrow="open"/>
                <v:imagedata o:title=""/>
                <o:lock v:ext="edit" aspectratio="f"/>
              </v:shape>
            </w:pict>
          </mc:Fallback>
        </mc:AlternateContent>
      </w:r>
    </w:p>
    <w:p>
      <w:pPr>
        <w:pStyle w:val="5"/>
        <w:ind w:left="0" w:leftChars="0" w:firstLine="0" w:firstLineChars="0"/>
        <w:jc w:val="left"/>
        <w:rPr>
          <w:rFonts w:hint="eastAsia"/>
          <w:color w:val="auto"/>
          <w:lang w:eastAsia="zh-CN"/>
        </w:rPr>
      </w:pPr>
      <w:r>
        <w:drawing>
          <wp:anchor distT="0" distB="0" distL="114300" distR="114300" simplePos="0" relativeHeight="4293827584" behindDoc="0" locked="0" layoutInCell="1" allowOverlap="1">
            <wp:simplePos x="0" y="0"/>
            <wp:positionH relativeFrom="column">
              <wp:posOffset>8159750</wp:posOffset>
            </wp:positionH>
            <wp:positionV relativeFrom="paragraph">
              <wp:posOffset>12065</wp:posOffset>
            </wp:positionV>
            <wp:extent cx="683895" cy="538480"/>
            <wp:effectExtent l="19050" t="0" r="20955" b="33020"/>
            <wp:wrapNone/>
            <wp:docPr id="56"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r>
        <w:rPr>
          <w:color w:val="auto"/>
          <w:sz w:val="24"/>
        </w:rPr>
        <mc:AlternateContent>
          <mc:Choice Requires="wps">
            <w:drawing>
              <wp:anchor distT="0" distB="0" distL="114300" distR="114300" simplePos="0" relativeHeight="1703329792" behindDoc="0" locked="0" layoutInCell="1" allowOverlap="1">
                <wp:simplePos x="0" y="0"/>
                <wp:positionH relativeFrom="column">
                  <wp:posOffset>6568440</wp:posOffset>
                </wp:positionH>
                <wp:positionV relativeFrom="paragraph">
                  <wp:posOffset>2382520</wp:posOffset>
                </wp:positionV>
                <wp:extent cx="270510" cy="172720"/>
                <wp:effectExtent l="4445" t="4445" r="10795" b="13335"/>
                <wp:wrapNone/>
                <wp:docPr id="218" name="文本框 218"/>
                <wp:cNvGraphicFramePr/>
                <a:graphic xmlns:a="http://schemas.openxmlformats.org/drawingml/2006/main">
                  <a:graphicData uri="http://schemas.microsoft.com/office/word/2010/wordprocessingShape">
                    <wps:wsp>
                      <wps:cNvSpPr txBox="1"/>
                      <wps:spPr>
                        <a:xfrm>
                          <a:off x="0" y="0"/>
                          <a:ext cx="270510" cy="172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0"/>
                                <w:szCs w:val="10"/>
                                <w:lang w:val="en-US" w:eastAsia="zh-CN"/>
                              </w:rPr>
                            </w:pPr>
                            <w:r>
                              <w:rPr>
                                <w:rFonts w:hint="eastAsia"/>
                                <w:sz w:val="10"/>
                                <w:szCs w:val="10"/>
                                <w:lang w:val="en-US" w:eastAsia="zh-CN"/>
                              </w:rPr>
                              <w:t>A5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2pt;margin-top:187.6pt;height:13.6pt;width:21.3pt;z-index:1703329792;mso-width-relative:page;mso-height-relative:page;" fillcolor="#FFFFFF [3201]" filled="t" stroked="t" coordsize="21600,21600" o:gfxdata="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PdJgw2AAAAA0BAAAPAAAAAAAAAAEAIAAAACIAAABk&#10;cnMvZG93bnJldi54bWxQSwECFAAUAAAACACHTuJArPmeLz8CAABsBAAADgAAAAAAAAABACAAAAAn&#10;AQAAZHJzL2Uyb0RvYy54bWxQSwUGAAAAAAYABgBZAQAA2AUAAAAA&#10;">
                <v:fill on="t" focussize="0,0"/>
                <v:stroke weight="0.5pt" color="#000000 [3204]" joinstyle="round"/>
                <v:imagedata o:title=""/>
                <o:lock v:ext="edit" aspectratio="f"/>
                <v:textbox>
                  <w:txbxContent>
                    <w:p>
                      <w:pPr>
                        <w:rPr>
                          <w:rFonts w:hint="default" w:eastAsia="宋体"/>
                          <w:sz w:val="10"/>
                          <w:szCs w:val="10"/>
                          <w:lang w:val="en-US" w:eastAsia="zh-CN"/>
                        </w:rPr>
                      </w:pPr>
                      <w:r>
                        <w:rPr>
                          <w:rFonts w:hint="eastAsia"/>
                          <w:sz w:val="10"/>
                          <w:szCs w:val="10"/>
                          <w:lang w:val="en-US" w:eastAsia="zh-CN"/>
                        </w:rPr>
                        <w:t>A5</w:t>
                      </w:r>
                    </w:p>
                  </w:txbxContent>
                </v:textbox>
              </v:shape>
            </w:pict>
          </mc:Fallback>
        </mc:AlternateContent>
      </w:r>
      <w:r>
        <w:rPr>
          <w:color w:val="auto"/>
          <w:sz w:val="24"/>
        </w:rPr>
        <mc:AlternateContent>
          <mc:Choice Requires="wps">
            <w:drawing>
              <wp:anchor distT="0" distB="0" distL="114300" distR="114300" simplePos="0" relativeHeight="1829843968" behindDoc="0" locked="0" layoutInCell="1" allowOverlap="1">
                <wp:simplePos x="0" y="0"/>
                <wp:positionH relativeFrom="column">
                  <wp:posOffset>6002655</wp:posOffset>
                </wp:positionH>
                <wp:positionV relativeFrom="paragraph">
                  <wp:posOffset>2133600</wp:posOffset>
                </wp:positionV>
                <wp:extent cx="270510" cy="172720"/>
                <wp:effectExtent l="4445" t="4445" r="10795" b="13335"/>
                <wp:wrapNone/>
                <wp:docPr id="214" name="文本框 214"/>
                <wp:cNvGraphicFramePr/>
                <a:graphic xmlns:a="http://schemas.openxmlformats.org/drawingml/2006/main">
                  <a:graphicData uri="http://schemas.microsoft.com/office/word/2010/wordprocessingShape">
                    <wps:wsp>
                      <wps:cNvSpPr txBox="1"/>
                      <wps:spPr>
                        <a:xfrm>
                          <a:off x="0" y="0"/>
                          <a:ext cx="270510" cy="172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0"/>
                                <w:szCs w:val="10"/>
                                <w:lang w:val="en-US" w:eastAsia="zh-CN"/>
                              </w:rPr>
                            </w:pPr>
                            <w:r>
                              <w:rPr>
                                <w:rFonts w:hint="eastAsia"/>
                                <w:sz w:val="10"/>
                                <w:szCs w:val="10"/>
                                <w:lang w:val="en-US" w:eastAsia="zh-CN"/>
                              </w:rPr>
                              <w:t>A4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2.65pt;margin-top:168pt;height:13.6pt;width:21.3pt;z-index:1829843968;mso-width-relative:page;mso-height-relative:page;" fillcolor="#FFFFFF [3201]" filled="t" stroked="t" coordsize="21600,21600" o:gfxdata="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bKcv21wAAAAsBAAAPAAAAAAAAAAEAIAAAACIAAABk&#10;cnMvZG93bnJldi54bWxQSwECFAAUAAAACACHTuJACIYPdEACAABsBAAADgAAAAAAAAABACAAAAAm&#10;AQAAZHJzL2Uyb0RvYy54bWxQSwUGAAAAAAYABgBZAQAA2AUAAAAA&#10;">
                <v:fill on="t" focussize="0,0"/>
                <v:stroke weight="0.5pt" color="#000000 [3204]" joinstyle="round"/>
                <v:imagedata o:title=""/>
                <o:lock v:ext="edit" aspectratio="f"/>
                <v:textbox>
                  <w:txbxContent>
                    <w:p>
                      <w:pPr>
                        <w:rPr>
                          <w:rFonts w:hint="default" w:eastAsia="宋体"/>
                          <w:sz w:val="10"/>
                          <w:szCs w:val="10"/>
                          <w:lang w:val="en-US" w:eastAsia="zh-CN"/>
                        </w:rPr>
                      </w:pPr>
                      <w:r>
                        <w:rPr>
                          <w:rFonts w:hint="eastAsia"/>
                          <w:sz w:val="10"/>
                          <w:szCs w:val="10"/>
                          <w:lang w:val="en-US" w:eastAsia="zh-CN"/>
                        </w:rPr>
                        <w:t>A4</w:t>
                      </w:r>
                    </w:p>
                  </w:txbxContent>
                </v:textbox>
              </v:shape>
            </w:pict>
          </mc:Fallback>
        </mc:AlternateContent>
      </w:r>
      <w:r>
        <w:rPr>
          <w:color w:val="auto"/>
          <w:sz w:val="24"/>
        </w:rPr>
        <mc:AlternateContent>
          <mc:Choice Requires="wps">
            <w:drawing>
              <wp:anchor distT="0" distB="0" distL="114300" distR="114300" simplePos="0" relativeHeight="1703329792" behindDoc="0" locked="0" layoutInCell="1" allowOverlap="1">
                <wp:simplePos x="0" y="0"/>
                <wp:positionH relativeFrom="column">
                  <wp:posOffset>6214745</wp:posOffset>
                </wp:positionH>
                <wp:positionV relativeFrom="paragraph">
                  <wp:posOffset>2134235</wp:posOffset>
                </wp:positionV>
                <wp:extent cx="270510" cy="172720"/>
                <wp:effectExtent l="4445" t="4445" r="10795" b="13335"/>
                <wp:wrapNone/>
                <wp:docPr id="220" name="文本框 220"/>
                <wp:cNvGraphicFramePr/>
                <a:graphic xmlns:a="http://schemas.openxmlformats.org/drawingml/2006/main">
                  <a:graphicData uri="http://schemas.microsoft.com/office/word/2010/wordprocessingShape">
                    <wps:wsp>
                      <wps:cNvSpPr txBox="1"/>
                      <wps:spPr>
                        <a:xfrm>
                          <a:off x="0" y="0"/>
                          <a:ext cx="270510" cy="172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0"/>
                                <w:szCs w:val="10"/>
                                <w:lang w:val="en-US" w:eastAsia="zh-CN"/>
                              </w:rPr>
                            </w:pPr>
                            <w:r>
                              <w:rPr>
                                <w:rFonts w:hint="eastAsia"/>
                                <w:sz w:val="10"/>
                                <w:szCs w:val="10"/>
                                <w:lang w:val="en-US" w:eastAsia="zh-CN"/>
                              </w:rPr>
                              <w:t>A3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35pt;margin-top:168.05pt;height:13.6pt;width:21.3pt;z-index:1703329792;mso-width-relative:page;mso-height-relative:page;" fillcolor="#FFFFFF [3201]" filled="t" stroked="t" coordsize="21600,21600" o:gfxdata="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&#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IFi93YAAAADAEAAA8AAAAAAAAAAQAgAAAAIgAAAGRy&#10;cy9kb3ducmV2LnhtbFBLAQIUABQAAAAIAIdO4kAXEkCbPgIAAGwEAAAOAAAAAAAAAAEAIAAAACcB&#10;AABkcnMvZTJvRG9jLnhtbFBLBQYAAAAABgAGAFkBAADXBQAAAAA=&#10;">
                <v:fill on="t" focussize="0,0"/>
                <v:stroke weight="0.5pt" color="#000000 [3204]" joinstyle="round"/>
                <v:imagedata o:title=""/>
                <o:lock v:ext="edit" aspectratio="f"/>
                <v:textbox>
                  <w:txbxContent>
                    <w:p>
                      <w:pPr>
                        <w:rPr>
                          <w:rFonts w:hint="default" w:eastAsia="宋体"/>
                          <w:sz w:val="10"/>
                          <w:szCs w:val="10"/>
                          <w:lang w:val="en-US" w:eastAsia="zh-CN"/>
                        </w:rPr>
                      </w:pPr>
                      <w:r>
                        <w:rPr>
                          <w:rFonts w:hint="eastAsia"/>
                          <w:sz w:val="10"/>
                          <w:szCs w:val="10"/>
                          <w:lang w:val="en-US" w:eastAsia="zh-CN"/>
                        </w:rPr>
                        <w:t>A3</w:t>
                      </w:r>
                    </w:p>
                  </w:txbxContent>
                </v:textbox>
              </v:shape>
            </w:pict>
          </mc:Fallback>
        </mc:AlternateContent>
      </w:r>
      <w:r>
        <w:rPr>
          <w:color w:val="auto"/>
          <w:sz w:val="24"/>
        </w:rPr>
        <mc:AlternateContent>
          <mc:Choice Requires="wps">
            <w:drawing>
              <wp:anchor distT="0" distB="0" distL="114300" distR="114300" simplePos="0" relativeHeight="2209387520" behindDoc="0" locked="0" layoutInCell="1" allowOverlap="1">
                <wp:simplePos x="0" y="0"/>
                <wp:positionH relativeFrom="column">
                  <wp:posOffset>7661275</wp:posOffset>
                </wp:positionH>
                <wp:positionV relativeFrom="paragraph">
                  <wp:posOffset>2310130</wp:posOffset>
                </wp:positionV>
                <wp:extent cx="1184910" cy="1444625"/>
                <wp:effectExtent l="4445" t="4445" r="10795" b="17780"/>
                <wp:wrapNone/>
                <wp:docPr id="222" name="文本框 222"/>
                <wp:cNvGraphicFramePr/>
                <a:graphic xmlns:a="http://schemas.openxmlformats.org/drawingml/2006/main">
                  <a:graphicData uri="http://schemas.microsoft.com/office/word/2010/wordprocessingShape">
                    <wps:wsp>
                      <wps:cNvSpPr txBox="1"/>
                      <wps:spPr>
                        <a:xfrm>
                          <a:off x="8911590" y="3646805"/>
                          <a:ext cx="1184910" cy="1444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13"/>
                                <w:szCs w:val="13"/>
                                <w:lang w:val="en-US" w:eastAsia="zh-CN"/>
                              </w:rPr>
                            </w:pPr>
                            <w:r>
                              <w:rPr>
                                <w:rFonts w:hint="eastAsia"/>
                                <w:sz w:val="13"/>
                                <w:szCs w:val="13"/>
                                <w:lang w:val="en-US" w:eastAsia="zh-CN"/>
                              </w:rPr>
                              <w:t>S1长岭分公司总排污口上游500米</w:t>
                            </w:r>
                          </w:p>
                          <w:p>
                            <w:pPr>
                              <w:rPr>
                                <w:rFonts w:hint="eastAsia" w:ascii="Calibri" w:hAnsi="Calibri"/>
                                <w:sz w:val="13"/>
                                <w:szCs w:val="13"/>
                                <w:lang w:val="en-US" w:eastAsia="zh-CN"/>
                              </w:rPr>
                            </w:pPr>
                            <w:r>
                              <w:rPr>
                                <w:rFonts w:hint="eastAsia" w:ascii="Calibri" w:hAnsi="Calibri"/>
                                <w:sz w:val="13"/>
                                <w:szCs w:val="13"/>
                                <w:lang w:val="en-US" w:eastAsia="zh-CN"/>
                              </w:rPr>
                              <w:t>S2长岭分公司总排污口下游1000米</w:t>
                            </w:r>
                          </w:p>
                          <w:p>
                            <w:pPr>
                              <w:rPr>
                                <w:rFonts w:hint="eastAsia" w:ascii="Calibri" w:hAnsi="Calibri"/>
                                <w:sz w:val="13"/>
                                <w:szCs w:val="13"/>
                                <w:lang w:val="en-US" w:eastAsia="zh-CN"/>
                              </w:rPr>
                            </w:pPr>
                            <w:r>
                              <w:rPr>
                                <w:rFonts w:hint="eastAsia" w:ascii="Calibri" w:hAnsi="Calibri"/>
                                <w:sz w:val="13"/>
                                <w:szCs w:val="13"/>
                                <w:lang w:val="en-US" w:eastAsia="zh-CN"/>
                              </w:rPr>
                              <w:t>S3长岭分公司总排污口下游5000米</w:t>
                            </w:r>
                          </w:p>
                          <w:p>
                            <w:pPr>
                              <w:rPr>
                                <w:rFonts w:hint="eastAsia" w:ascii="Calibri" w:hAnsi="Calibri"/>
                                <w:sz w:val="13"/>
                                <w:szCs w:val="13"/>
                                <w:lang w:val="en-US" w:eastAsia="zh-CN"/>
                              </w:rPr>
                            </w:pPr>
                            <w:r>
                              <w:rPr>
                                <w:rFonts w:hint="eastAsia" w:ascii="Calibri" w:hAnsi="Calibri"/>
                                <w:sz w:val="13"/>
                                <w:szCs w:val="13"/>
                                <w:lang w:val="en-US" w:eastAsia="zh-CN"/>
                              </w:rPr>
                              <w:t>A1南岳丁家组井水</w:t>
                            </w:r>
                            <w:r>
                              <w:rPr>
                                <w:rFonts w:hint="eastAsia" w:ascii="Calibri" w:hAnsi="Calibri"/>
                                <w:sz w:val="13"/>
                                <w:szCs w:val="13"/>
                                <w:lang w:val="en-US" w:eastAsia="zh-CN"/>
                              </w:rPr>
                              <w:br w:type="textWrapping"/>
                            </w:r>
                            <w:r>
                              <w:rPr>
                                <w:rFonts w:hint="eastAsia" w:ascii="Calibri" w:hAnsi="Calibri"/>
                                <w:sz w:val="13"/>
                                <w:szCs w:val="13"/>
                                <w:lang w:val="en-US" w:eastAsia="zh-CN"/>
                              </w:rPr>
                              <w:t>A2臣山村新组李家井水</w:t>
                            </w:r>
                          </w:p>
                          <w:p>
                            <w:pPr>
                              <w:rPr>
                                <w:rFonts w:hint="eastAsia" w:ascii="Calibri" w:hAnsi="Calibri"/>
                                <w:sz w:val="13"/>
                                <w:szCs w:val="13"/>
                                <w:lang w:val="en-US" w:eastAsia="zh-CN"/>
                              </w:rPr>
                            </w:pPr>
                            <w:r>
                              <w:rPr>
                                <w:rFonts w:hint="eastAsia" w:ascii="Calibri" w:hAnsi="Calibri"/>
                                <w:sz w:val="13"/>
                                <w:szCs w:val="13"/>
                                <w:lang w:val="en-US" w:eastAsia="zh-CN"/>
                              </w:rPr>
                              <w:t>A3小桥村张家井水</w:t>
                            </w:r>
                          </w:p>
                          <w:p>
                            <w:pPr>
                              <w:rPr>
                                <w:rFonts w:hint="default" w:ascii="Calibri" w:hAnsi="Calibri"/>
                                <w:sz w:val="13"/>
                                <w:szCs w:val="13"/>
                                <w:lang w:val="en-US" w:eastAsia="zh-CN"/>
                              </w:rPr>
                            </w:pPr>
                            <w:r>
                              <w:rPr>
                                <w:rFonts w:hint="eastAsia" w:ascii="Calibri" w:hAnsi="Calibri"/>
                                <w:sz w:val="13"/>
                                <w:szCs w:val="13"/>
                                <w:lang w:val="en-US" w:eastAsia="zh-CN"/>
                              </w:rPr>
                              <w:t>A4小桥村沈家组居民点井水</w:t>
                            </w:r>
                          </w:p>
                          <w:p>
                            <w:pPr>
                              <w:rPr>
                                <w:rFonts w:hint="default" w:ascii="Calibri" w:hAnsi="Calibri"/>
                                <w:sz w:val="13"/>
                                <w:szCs w:val="13"/>
                                <w:lang w:val="en-US" w:eastAsia="zh-CN"/>
                              </w:rPr>
                            </w:pPr>
                            <w:r>
                              <w:rPr>
                                <w:rFonts w:hint="eastAsia" w:ascii="Calibri" w:hAnsi="Calibri"/>
                                <w:sz w:val="13"/>
                                <w:szCs w:val="13"/>
                                <w:lang w:val="en-US" w:eastAsia="zh-CN"/>
                              </w:rPr>
                              <w:t>A5和平村居民点井水</w:t>
                            </w:r>
                          </w:p>
                          <w:p>
                            <w:pPr>
                              <w:pStyle w:val="2"/>
                              <w:ind w:left="0" w:leftChars="0" w:firstLine="0" w:firstLineChars="0"/>
                              <w:jc w:val="left"/>
                              <w:rPr>
                                <w:rFonts w:hint="default"/>
                                <w:sz w:val="13"/>
                                <w:szCs w:val="13"/>
                                <w:lang w:val="en-US" w:eastAsia="zh-CN"/>
                              </w:rPr>
                            </w:pPr>
                          </w:p>
                          <w:p>
                            <w:pPr>
                              <w:pStyle w:val="2"/>
                              <w:jc w:val="left"/>
                              <w:rPr>
                                <w:rFonts w:hint="default"/>
                                <w:sz w:val="13"/>
                                <w:szCs w:val="13"/>
                                <w:lang w:val="en-US" w:eastAsia="zh-CN"/>
                              </w:rPr>
                            </w:pPr>
                          </w:p>
                          <w:p>
                            <w:pPr>
                              <w:pStyle w:val="2"/>
                              <w:rPr>
                                <w:rFonts w:hint="eastAsia"/>
                                <w:sz w:val="13"/>
                                <w:szCs w:val="13"/>
                                <w:lang w:val="en-US" w:eastAsia="zh-CN"/>
                              </w:rPr>
                            </w:pPr>
                          </w:p>
                          <w:p>
                            <w:pPr>
                              <w:pStyle w:val="2"/>
                              <w:ind w:left="0" w:leftChars="0" w:firstLine="0" w:firstLineChars="0"/>
                              <w:rPr>
                                <w:rFonts w:hint="default"/>
                                <w:sz w:val="13"/>
                                <w:szCs w:val="13"/>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3.25pt;margin-top:181.9pt;height:113.75pt;width:93.3pt;z-index:-2085579776;mso-width-relative:page;mso-height-relative:page;" fillcolor="#FFFFFF [3201]" filled="t" stroked="t" coordsize="21600,21600" o:gfxdata="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GUWqPYAAAADQEAAA8AAAAA&#10;AAAAAQAgAAAAIgAAAGRycy9kb3ducmV2LnhtbFBLAQIUABQAAAAIAIdO4kD9Ras6TQIAAHoEAAAO&#10;AAAAAAAAAAEAIAAAACcBAABkcnMvZTJvRG9jLnhtbFBLBQYAAAAABgAGAFkBAADmBQAAAAA=&#10;">
                <v:fill on="t" focussize="0,0"/>
                <v:stroke weight="0.5pt" color="#000000 [3204]" joinstyle="round"/>
                <v:imagedata o:title=""/>
                <o:lock v:ext="edit" aspectratio="f"/>
                <v:textbox>
                  <w:txbxContent>
                    <w:p>
                      <w:pPr>
                        <w:rPr>
                          <w:rFonts w:hint="eastAsia"/>
                          <w:sz w:val="13"/>
                          <w:szCs w:val="13"/>
                          <w:lang w:val="en-US" w:eastAsia="zh-CN"/>
                        </w:rPr>
                      </w:pPr>
                      <w:r>
                        <w:rPr>
                          <w:rFonts w:hint="eastAsia"/>
                          <w:sz w:val="13"/>
                          <w:szCs w:val="13"/>
                          <w:lang w:val="en-US" w:eastAsia="zh-CN"/>
                        </w:rPr>
                        <w:t>S1长岭分公司总排污口上游500米</w:t>
                      </w:r>
                    </w:p>
                    <w:p>
                      <w:pPr>
                        <w:rPr>
                          <w:rFonts w:hint="eastAsia" w:ascii="Calibri" w:hAnsi="Calibri"/>
                          <w:sz w:val="13"/>
                          <w:szCs w:val="13"/>
                          <w:lang w:val="en-US" w:eastAsia="zh-CN"/>
                        </w:rPr>
                      </w:pPr>
                      <w:r>
                        <w:rPr>
                          <w:rFonts w:hint="eastAsia" w:ascii="Calibri" w:hAnsi="Calibri"/>
                          <w:sz w:val="13"/>
                          <w:szCs w:val="13"/>
                          <w:lang w:val="en-US" w:eastAsia="zh-CN"/>
                        </w:rPr>
                        <w:t>S2长岭分公司总排污口下游1000米</w:t>
                      </w:r>
                    </w:p>
                    <w:p>
                      <w:pPr>
                        <w:rPr>
                          <w:rFonts w:hint="eastAsia" w:ascii="Calibri" w:hAnsi="Calibri"/>
                          <w:sz w:val="13"/>
                          <w:szCs w:val="13"/>
                          <w:lang w:val="en-US" w:eastAsia="zh-CN"/>
                        </w:rPr>
                      </w:pPr>
                      <w:r>
                        <w:rPr>
                          <w:rFonts w:hint="eastAsia" w:ascii="Calibri" w:hAnsi="Calibri"/>
                          <w:sz w:val="13"/>
                          <w:szCs w:val="13"/>
                          <w:lang w:val="en-US" w:eastAsia="zh-CN"/>
                        </w:rPr>
                        <w:t>S3长岭分公司总排污口下游5000米</w:t>
                      </w:r>
                    </w:p>
                    <w:p>
                      <w:pPr>
                        <w:rPr>
                          <w:rFonts w:hint="eastAsia" w:ascii="Calibri" w:hAnsi="Calibri"/>
                          <w:sz w:val="13"/>
                          <w:szCs w:val="13"/>
                          <w:lang w:val="en-US" w:eastAsia="zh-CN"/>
                        </w:rPr>
                      </w:pPr>
                      <w:r>
                        <w:rPr>
                          <w:rFonts w:hint="eastAsia" w:ascii="Calibri" w:hAnsi="Calibri"/>
                          <w:sz w:val="13"/>
                          <w:szCs w:val="13"/>
                          <w:lang w:val="en-US" w:eastAsia="zh-CN"/>
                        </w:rPr>
                        <w:t>A1南岳丁家组井水</w:t>
                      </w:r>
                      <w:r>
                        <w:rPr>
                          <w:rFonts w:hint="eastAsia" w:ascii="Calibri" w:hAnsi="Calibri"/>
                          <w:sz w:val="13"/>
                          <w:szCs w:val="13"/>
                          <w:lang w:val="en-US" w:eastAsia="zh-CN"/>
                        </w:rPr>
                        <w:br w:type="textWrapping"/>
                      </w:r>
                      <w:r>
                        <w:rPr>
                          <w:rFonts w:hint="eastAsia" w:ascii="Calibri" w:hAnsi="Calibri"/>
                          <w:sz w:val="13"/>
                          <w:szCs w:val="13"/>
                          <w:lang w:val="en-US" w:eastAsia="zh-CN"/>
                        </w:rPr>
                        <w:t>A2臣山村新组李家井水</w:t>
                      </w:r>
                    </w:p>
                    <w:p>
                      <w:pPr>
                        <w:rPr>
                          <w:rFonts w:hint="eastAsia" w:ascii="Calibri" w:hAnsi="Calibri"/>
                          <w:sz w:val="13"/>
                          <w:szCs w:val="13"/>
                          <w:lang w:val="en-US" w:eastAsia="zh-CN"/>
                        </w:rPr>
                      </w:pPr>
                      <w:r>
                        <w:rPr>
                          <w:rFonts w:hint="eastAsia" w:ascii="Calibri" w:hAnsi="Calibri"/>
                          <w:sz w:val="13"/>
                          <w:szCs w:val="13"/>
                          <w:lang w:val="en-US" w:eastAsia="zh-CN"/>
                        </w:rPr>
                        <w:t>A3小桥村张家井水</w:t>
                      </w:r>
                    </w:p>
                    <w:p>
                      <w:pPr>
                        <w:rPr>
                          <w:rFonts w:hint="default" w:ascii="Calibri" w:hAnsi="Calibri"/>
                          <w:sz w:val="13"/>
                          <w:szCs w:val="13"/>
                          <w:lang w:val="en-US" w:eastAsia="zh-CN"/>
                        </w:rPr>
                      </w:pPr>
                      <w:r>
                        <w:rPr>
                          <w:rFonts w:hint="eastAsia" w:ascii="Calibri" w:hAnsi="Calibri"/>
                          <w:sz w:val="13"/>
                          <w:szCs w:val="13"/>
                          <w:lang w:val="en-US" w:eastAsia="zh-CN"/>
                        </w:rPr>
                        <w:t>A4小桥村沈家组居民点井水</w:t>
                      </w:r>
                    </w:p>
                    <w:p>
                      <w:pPr>
                        <w:rPr>
                          <w:rFonts w:hint="default" w:ascii="Calibri" w:hAnsi="Calibri"/>
                          <w:sz w:val="13"/>
                          <w:szCs w:val="13"/>
                          <w:lang w:val="en-US" w:eastAsia="zh-CN"/>
                        </w:rPr>
                      </w:pPr>
                      <w:r>
                        <w:rPr>
                          <w:rFonts w:hint="eastAsia" w:ascii="Calibri" w:hAnsi="Calibri"/>
                          <w:sz w:val="13"/>
                          <w:szCs w:val="13"/>
                          <w:lang w:val="en-US" w:eastAsia="zh-CN"/>
                        </w:rPr>
                        <w:t>A5和平村居民点井水</w:t>
                      </w:r>
                    </w:p>
                    <w:p>
                      <w:pPr>
                        <w:pStyle w:val="2"/>
                        <w:ind w:left="0" w:leftChars="0" w:firstLine="0" w:firstLineChars="0"/>
                        <w:jc w:val="left"/>
                        <w:rPr>
                          <w:rFonts w:hint="default"/>
                          <w:sz w:val="13"/>
                          <w:szCs w:val="13"/>
                          <w:lang w:val="en-US" w:eastAsia="zh-CN"/>
                        </w:rPr>
                      </w:pPr>
                    </w:p>
                    <w:p>
                      <w:pPr>
                        <w:pStyle w:val="2"/>
                        <w:jc w:val="left"/>
                        <w:rPr>
                          <w:rFonts w:hint="default"/>
                          <w:sz w:val="13"/>
                          <w:szCs w:val="13"/>
                          <w:lang w:val="en-US" w:eastAsia="zh-CN"/>
                        </w:rPr>
                      </w:pPr>
                    </w:p>
                    <w:p>
                      <w:pPr>
                        <w:pStyle w:val="2"/>
                        <w:rPr>
                          <w:rFonts w:hint="eastAsia"/>
                          <w:sz w:val="13"/>
                          <w:szCs w:val="13"/>
                          <w:lang w:val="en-US" w:eastAsia="zh-CN"/>
                        </w:rPr>
                      </w:pPr>
                    </w:p>
                    <w:p>
                      <w:pPr>
                        <w:pStyle w:val="2"/>
                        <w:ind w:left="0" w:leftChars="0" w:firstLine="0" w:firstLineChars="0"/>
                        <w:rPr>
                          <w:rFonts w:hint="default"/>
                          <w:sz w:val="13"/>
                          <w:szCs w:val="13"/>
                          <w:lang w:val="en-US" w:eastAsia="zh-CN"/>
                        </w:rPr>
                      </w:pPr>
                    </w:p>
                  </w:txbxContent>
                </v:textbox>
              </v:shape>
            </w:pict>
          </mc:Fallback>
        </mc:AlternateContent>
      </w:r>
      <w:r>
        <w:rPr>
          <w:color w:val="auto"/>
          <w:sz w:val="24"/>
        </w:rPr>
        <mc:AlternateContent>
          <mc:Choice Requires="wps">
            <w:drawing>
              <wp:anchor distT="0" distB="0" distL="114300" distR="114300" simplePos="0" relativeHeight="2209385472" behindDoc="0" locked="0" layoutInCell="1" allowOverlap="1">
                <wp:simplePos x="0" y="0"/>
                <wp:positionH relativeFrom="column">
                  <wp:posOffset>259080</wp:posOffset>
                </wp:positionH>
                <wp:positionV relativeFrom="paragraph">
                  <wp:posOffset>295275</wp:posOffset>
                </wp:positionV>
                <wp:extent cx="593725" cy="153670"/>
                <wp:effectExtent l="1270" t="4445" r="14605" b="32385"/>
                <wp:wrapNone/>
                <wp:docPr id="209" name="直接箭头连接符 209"/>
                <wp:cNvGraphicFramePr/>
                <a:graphic xmlns:a="http://schemas.openxmlformats.org/drawingml/2006/main">
                  <a:graphicData uri="http://schemas.microsoft.com/office/word/2010/wordprocessingShape">
                    <wps:wsp>
                      <wps:cNvCnPr/>
                      <wps:spPr>
                        <a:xfrm>
                          <a:off x="0" y="0"/>
                          <a:ext cx="593725" cy="153670"/>
                        </a:xfrm>
                        <a:prstGeom prst="straightConnector1">
                          <a:avLst/>
                        </a:prstGeom>
                        <a:ln>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4pt;margin-top:23.25pt;height:12.1pt;width:46.75pt;z-index:-2085581824;mso-width-relative:page;mso-height-relative:page;" filled="f" stroked="t" coordsize="21600,21600" o:gfxdata="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KFmRM/XAAAA&#10;CAEAAA8AAAAAAAAAAQAgAAAAIgAAAGRycy9kb3ducmV2LnhtbFBLAQIUABQAAAAIAIdO4kDSnioQ&#10;5QEAAIEDAAAOAAAAAAAAAAEAIAAAACYBAABkcnMvZTJvRG9jLnhtbFBLBQYAAAAABgAGAFkBAAB9&#10;BQAAAAA=&#10;">
                <v:fill on="f" focussize="0,0"/>
                <v:stroke color="#FFC0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1576815616" behindDoc="0" locked="0" layoutInCell="1" allowOverlap="1">
                <wp:simplePos x="0" y="0"/>
                <wp:positionH relativeFrom="column">
                  <wp:posOffset>5401945</wp:posOffset>
                </wp:positionH>
                <wp:positionV relativeFrom="paragraph">
                  <wp:posOffset>2258695</wp:posOffset>
                </wp:positionV>
                <wp:extent cx="270510" cy="172720"/>
                <wp:effectExtent l="4445" t="4445" r="10795" b="13335"/>
                <wp:wrapNone/>
                <wp:docPr id="221" name="文本框 221"/>
                <wp:cNvGraphicFramePr/>
                <a:graphic xmlns:a="http://schemas.openxmlformats.org/drawingml/2006/main">
                  <a:graphicData uri="http://schemas.microsoft.com/office/word/2010/wordprocessingShape">
                    <wps:wsp>
                      <wps:cNvSpPr txBox="1"/>
                      <wps:spPr>
                        <a:xfrm>
                          <a:off x="0" y="0"/>
                          <a:ext cx="270510" cy="172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0"/>
                                <w:szCs w:val="10"/>
                                <w:lang w:val="en-US" w:eastAsia="zh-CN"/>
                              </w:rPr>
                            </w:pPr>
                            <w:r>
                              <w:rPr>
                                <w:rFonts w:hint="eastAsia"/>
                                <w:sz w:val="10"/>
                                <w:szCs w:val="10"/>
                                <w:lang w:val="en-US" w:eastAsia="zh-CN"/>
                              </w:rPr>
                              <w:t>A5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35pt;margin-top:177.85pt;height:13.6pt;width:21.3pt;z-index:1576815616;mso-width-relative:page;mso-height-relative:page;" fillcolor="#FFFFFF [3201]" filled="t" stroked="t" coordsize="21600,21600" o:gfxdata="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YjdgXXAAAACwEAAA8AAAAAAAAAAQAgAAAAIgAAAGRy&#10;cy9kb3ducmV2LnhtbFBLAQIUABQAAAAIAIdO4kCw2OOWPwIAAGwEAAAOAAAAAAAAAAEAIAAAACYB&#10;AABkcnMvZTJvRG9jLnhtbFBLBQYAAAAABgAGAFkBAADXBQAAAAA=&#10;">
                <v:fill on="t" focussize="0,0"/>
                <v:stroke weight="0.5pt" color="#000000 [3204]" joinstyle="round"/>
                <v:imagedata o:title=""/>
                <o:lock v:ext="edit" aspectratio="f"/>
                <v:textbox>
                  <w:txbxContent>
                    <w:p>
                      <w:pPr>
                        <w:rPr>
                          <w:rFonts w:hint="default" w:eastAsia="宋体"/>
                          <w:sz w:val="10"/>
                          <w:szCs w:val="10"/>
                          <w:lang w:val="en-US" w:eastAsia="zh-CN"/>
                        </w:rPr>
                      </w:pPr>
                      <w:r>
                        <w:rPr>
                          <w:rFonts w:hint="eastAsia"/>
                          <w:sz w:val="10"/>
                          <w:szCs w:val="10"/>
                          <w:lang w:val="en-US" w:eastAsia="zh-CN"/>
                        </w:rPr>
                        <w:t>A5</w:t>
                      </w:r>
                    </w:p>
                  </w:txbxContent>
                </v:textbox>
              </v:shape>
            </w:pict>
          </mc:Fallback>
        </mc:AlternateContent>
      </w:r>
      <w:r>
        <w:rPr>
          <w:color w:val="auto"/>
          <w:sz w:val="24"/>
        </w:rPr>
        <mc:AlternateContent>
          <mc:Choice Requires="wps">
            <w:drawing>
              <wp:anchor distT="0" distB="0" distL="114300" distR="114300" simplePos="0" relativeHeight="1703329792" behindDoc="0" locked="0" layoutInCell="1" allowOverlap="1">
                <wp:simplePos x="0" y="0"/>
                <wp:positionH relativeFrom="column">
                  <wp:posOffset>5541645</wp:posOffset>
                </wp:positionH>
                <wp:positionV relativeFrom="paragraph">
                  <wp:posOffset>2683510</wp:posOffset>
                </wp:positionV>
                <wp:extent cx="270510" cy="172720"/>
                <wp:effectExtent l="4445" t="4445" r="10795" b="13335"/>
                <wp:wrapNone/>
                <wp:docPr id="219" name="文本框 219"/>
                <wp:cNvGraphicFramePr/>
                <a:graphic xmlns:a="http://schemas.openxmlformats.org/drawingml/2006/main">
                  <a:graphicData uri="http://schemas.microsoft.com/office/word/2010/wordprocessingShape">
                    <wps:wsp>
                      <wps:cNvSpPr txBox="1"/>
                      <wps:spPr>
                        <a:xfrm>
                          <a:off x="0" y="0"/>
                          <a:ext cx="270510" cy="172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0"/>
                                <w:szCs w:val="10"/>
                                <w:lang w:val="en-US" w:eastAsia="zh-CN"/>
                              </w:rPr>
                            </w:pPr>
                            <w:r>
                              <w:rPr>
                                <w:rFonts w:hint="eastAsia"/>
                                <w:sz w:val="10"/>
                                <w:szCs w:val="10"/>
                                <w:lang w:val="en-US" w:eastAsia="zh-CN"/>
                              </w:rPr>
                              <w:t>A2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35pt;margin-top:211.3pt;height:13.6pt;width:21.3pt;z-index:1703329792;mso-width-relative:page;mso-height-relative:page;" fillcolor="#FFFFFF [3201]" filled="t" stroked="t" coordsize="21600,21600" o:gfxdata="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s8O4tgAAAALAQAADwAAAAAAAAABACAAAAAiAAAA&#10;ZHJzL2Rvd25yZXYueG1sUEsBAhQAFAAAAAgAh07iQAszPSJAAgAAbAQAAA4AAAAAAAAAAQAgAAAA&#10;JwEAAGRycy9lMm9Eb2MueG1sUEsFBgAAAAAGAAYAWQEAANkFAAAAAA==&#10;">
                <v:fill on="t" focussize="0,0"/>
                <v:stroke weight="0.5pt" color="#000000 [3204]" joinstyle="round"/>
                <v:imagedata o:title=""/>
                <o:lock v:ext="edit" aspectratio="f"/>
                <v:textbox>
                  <w:txbxContent>
                    <w:p>
                      <w:pPr>
                        <w:rPr>
                          <w:rFonts w:hint="default" w:eastAsia="宋体"/>
                          <w:sz w:val="10"/>
                          <w:szCs w:val="10"/>
                          <w:lang w:val="en-US" w:eastAsia="zh-CN"/>
                        </w:rPr>
                      </w:pPr>
                      <w:r>
                        <w:rPr>
                          <w:rFonts w:hint="eastAsia"/>
                          <w:sz w:val="10"/>
                          <w:szCs w:val="10"/>
                          <w:lang w:val="en-US" w:eastAsia="zh-CN"/>
                        </w:rPr>
                        <w:t>A2</w:t>
                      </w:r>
                    </w:p>
                  </w:txbxContent>
                </v:textbox>
              </v:shape>
            </w:pict>
          </mc:Fallback>
        </mc:AlternateContent>
      </w:r>
      <w:r>
        <w:rPr>
          <w:color w:val="auto"/>
          <w:sz w:val="24"/>
        </w:rPr>
        <mc:AlternateContent>
          <mc:Choice Requires="wps">
            <w:drawing>
              <wp:anchor distT="0" distB="0" distL="114300" distR="114300" simplePos="0" relativeHeight="2209386496" behindDoc="0" locked="0" layoutInCell="1" allowOverlap="1">
                <wp:simplePos x="0" y="0"/>
                <wp:positionH relativeFrom="column">
                  <wp:posOffset>976630</wp:posOffset>
                </wp:positionH>
                <wp:positionV relativeFrom="paragraph">
                  <wp:posOffset>53340</wp:posOffset>
                </wp:positionV>
                <wp:extent cx="358140" cy="245745"/>
                <wp:effectExtent l="4445" t="4445" r="18415" b="16510"/>
                <wp:wrapNone/>
                <wp:docPr id="211" name="文本框 211"/>
                <wp:cNvGraphicFramePr/>
                <a:graphic xmlns:a="http://schemas.openxmlformats.org/drawingml/2006/main">
                  <a:graphicData uri="http://schemas.microsoft.com/office/word/2010/wordprocessingShape">
                    <wps:wsp>
                      <wps:cNvSpPr txBox="1"/>
                      <wps:spPr>
                        <a:xfrm>
                          <a:off x="1936115" y="1879600"/>
                          <a:ext cx="358140" cy="2457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S3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9pt;margin-top:4.2pt;height:19.35pt;width:28.2pt;z-index:-2085580800;mso-width-relative:page;mso-height-relative:page;" fillcolor="#FFFFFF [3201]" filled="t" stroked="t" coordsize="21600,21600" o:gfxdata="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SL4OXVAAAACAEAAA8AAAAAAAAAAQAgAAAA&#10;IgAAAGRycy9kb3ducmV2LnhtbFBLAQIUABQAAAAIAIdO4kBJ6Od9RwIAAHgEAAAOAAAAAAAAAAEA&#10;IAAAACQBAABkcnMvZTJvRG9jLnhtbFBLBQYAAAAABgAGAFkBAADd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S3</w:t>
                      </w:r>
                    </w:p>
                  </w:txbxContent>
                </v:textbox>
              </v:shape>
            </w:pict>
          </mc:Fallback>
        </mc:AlternateContent>
      </w:r>
      <w:r>
        <w:rPr>
          <w:color w:val="auto"/>
          <w:sz w:val="24"/>
        </w:rPr>
        <mc:AlternateContent>
          <mc:Choice Requires="wps">
            <w:drawing>
              <wp:anchor distT="0" distB="0" distL="114300" distR="114300" simplePos="0" relativeHeight="1956358144" behindDoc="0" locked="0" layoutInCell="1" allowOverlap="1">
                <wp:simplePos x="0" y="0"/>
                <wp:positionH relativeFrom="column">
                  <wp:posOffset>779145</wp:posOffset>
                </wp:positionH>
                <wp:positionV relativeFrom="paragraph">
                  <wp:posOffset>609600</wp:posOffset>
                </wp:positionV>
                <wp:extent cx="321945" cy="267970"/>
                <wp:effectExtent l="4445" t="4445" r="16510" b="13335"/>
                <wp:wrapNone/>
                <wp:docPr id="213" name="文本框 213"/>
                <wp:cNvGraphicFramePr/>
                <a:graphic xmlns:a="http://schemas.openxmlformats.org/drawingml/2006/main">
                  <a:graphicData uri="http://schemas.microsoft.com/office/word/2010/wordprocessingShape">
                    <wps:wsp>
                      <wps:cNvSpPr txBox="1"/>
                      <wps:spPr>
                        <a:xfrm>
                          <a:off x="0" y="0"/>
                          <a:ext cx="321945" cy="267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S1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35pt;margin-top:48pt;height:21.1pt;width:25.35pt;z-index:1956358144;mso-width-relative:page;mso-height-relative:page;" fillcolor="#FFFFFF [3201]" filled="t" stroked="t" coordsize="21600,21600" o:gfxdata="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RClLbWAAAACgEAAA8AAAAAAAAAAQAgAAAAIgAAAGRy&#10;cy9kb3ducmV2LnhtbFBLAQIUABQAAAAIAIdO4kBakG37QAIAAGwEAAAOAAAAAAAAAAEAIAAAACUB&#10;AABkcnMvZTJvRG9jLnhtbFBLBQYAAAAABgAGAFkBAADX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S1</w:t>
                      </w:r>
                    </w:p>
                  </w:txbxContent>
                </v:textbox>
              </v:shape>
            </w:pict>
          </mc:Fallback>
        </mc:AlternateContent>
      </w:r>
      <w:r>
        <w:rPr>
          <w:color w:val="auto"/>
          <w:sz w:val="24"/>
        </w:rPr>
        <mc:AlternateContent>
          <mc:Choice Requires="wps">
            <w:drawing>
              <wp:anchor distT="0" distB="0" distL="114300" distR="114300" simplePos="0" relativeHeight="2082872320" behindDoc="0" locked="0" layoutInCell="1" allowOverlap="1">
                <wp:simplePos x="0" y="0"/>
                <wp:positionH relativeFrom="column">
                  <wp:posOffset>925830</wp:posOffset>
                </wp:positionH>
                <wp:positionV relativeFrom="paragraph">
                  <wp:posOffset>338455</wp:posOffset>
                </wp:positionV>
                <wp:extent cx="335280" cy="252730"/>
                <wp:effectExtent l="4445" t="4445" r="22225" b="9525"/>
                <wp:wrapNone/>
                <wp:docPr id="212" name="文本框 212"/>
                <wp:cNvGraphicFramePr/>
                <a:graphic xmlns:a="http://schemas.openxmlformats.org/drawingml/2006/main">
                  <a:graphicData uri="http://schemas.microsoft.com/office/word/2010/wordprocessingShape">
                    <wps:wsp>
                      <wps:cNvSpPr txBox="1"/>
                      <wps:spPr>
                        <a:xfrm>
                          <a:off x="0" y="0"/>
                          <a:ext cx="335280" cy="2527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S2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9pt;margin-top:26.65pt;height:19.9pt;width:26.4pt;z-index:2082872320;mso-width-relative:page;mso-height-relative:page;" fillcolor="#FFFFFF [3201]" filled="t" stroked="t" coordsize="21600,21600" o:gfxdata="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&#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f01TTWAAAACQEAAA8AAAAAAAAAAQAgAAAAIgAAAGRy&#10;cy9kb3ducmV2LnhtbFBLAQIUABQAAAAIAIdO4kA2acaUQAIAAGwEAAAOAAAAAAAAAAEAIAAAACUB&#10;AABkcnMvZTJvRG9jLnhtbFBLBQYAAAAABgAGAFkBAADX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S2</w:t>
                      </w:r>
                    </w:p>
                  </w:txbxContent>
                </v:textbox>
              </v:shape>
            </w:pict>
          </mc:Fallback>
        </mc:AlternateContent>
      </w:r>
      <w:r>
        <w:rPr>
          <w:color w:val="auto"/>
          <w:sz w:val="24"/>
        </w:rPr>
        <mc:AlternateContent>
          <mc:Choice Requires="wps">
            <w:drawing>
              <wp:anchor distT="0" distB="0" distL="114300" distR="114300" simplePos="0" relativeHeight="125159424" behindDoc="0" locked="0" layoutInCell="1" allowOverlap="1">
                <wp:simplePos x="0" y="0"/>
                <wp:positionH relativeFrom="column">
                  <wp:posOffset>149225</wp:posOffset>
                </wp:positionH>
                <wp:positionV relativeFrom="paragraph">
                  <wp:posOffset>441325</wp:posOffset>
                </wp:positionV>
                <wp:extent cx="600710" cy="168910"/>
                <wp:effectExtent l="1270" t="4445" r="7620" b="36195"/>
                <wp:wrapNone/>
                <wp:docPr id="208" name="直接箭头连接符 208"/>
                <wp:cNvGraphicFramePr/>
                <a:graphic xmlns:a="http://schemas.openxmlformats.org/drawingml/2006/main">
                  <a:graphicData uri="http://schemas.microsoft.com/office/word/2010/wordprocessingShape">
                    <wps:wsp>
                      <wps:cNvCnPr/>
                      <wps:spPr>
                        <a:xfrm>
                          <a:off x="1159510" y="2194560"/>
                          <a:ext cx="600710" cy="1689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75pt;margin-top:34.75pt;height:13.3pt;width:47.3pt;z-index:125159424;mso-width-relative:page;mso-height-relative:page;" filled="f" stroked="t" coordsize="21600,21600" o:gfxdata="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QjSEjYAAAACAEAAA8AAAAAAAAAAQAgAAAA&#10;IgAAAGRycy9kb3ducmV2LnhtbFBLAQIUABQAAAAIAIdO4kAfVo7MCwIAAMYDAAAOAAAAAAAAAAEA&#10;IAAAACcBAABkcnMvZTJvRG9jLnhtbFBLBQYAAAAABgAGAFkBAACkBQAAAAA=&#10;">
                <v:fill on="f" focussize="0,0"/>
                <v:stroke color="#4A7EBB [3204]" joinstyle="round" endarrow="open"/>
                <v:imagedata o:title=""/>
                <o:lock v:ext="edit" aspectratio="f"/>
              </v:shape>
            </w:pict>
          </mc:Fallback>
        </mc:AlternateContent>
      </w:r>
      <w:r>
        <w:rPr>
          <w:rFonts w:hint="eastAsia"/>
          <w:color w:val="auto"/>
          <w:lang w:eastAsia="zh-CN"/>
        </w:rPr>
        <w:drawing>
          <wp:inline distT="0" distB="0" distL="114300" distR="114300">
            <wp:extent cx="8853805" cy="3755390"/>
            <wp:effectExtent l="0" t="0" r="4445" b="16510"/>
            <wp:docPr id="196" name="图片 196" descr="1561786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1561786385(1)"/>
                    <pic:cNvPicPr>
                      <a:picLocks noChangeAspect="1"/>
                    </pic:cNvPicPr>
                  </pic:nvPicPr>
                  <pic:blipFill>
                    <a:blip r:embed="rId67"/>
                    <a:stretch>
                      <a:fillRect/>
                    </a:stretch>
                  </pic:blipFill>
                  <pic:spPr>
                    <a:xfrm>
                      <a:off x="0" y="0"/>
                      <a:ext cx="8853805" cy="3755390"/>
                    </a:xfrm>
                    <a:prstGeom prst="rect">
                      <a:avLst/>
                    </a:prstGeom>
                  </pic:spPr>
                </pic:pic>
              </a:graphicData>
            </a:graphic>
          </wp:inline>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firstLine="480"/>
        <w:jc w:val="center"/>
        <w:rPr>
          <w:rFonts w:hint="eastAsia"/>
          <w:color w:val="auto"/>
          <w:lang w:eastAsia="zh-CN"/>
        </w:rPr>
      </w:pPr>
      <w:r>
        <w:rPr>
          <w:rFonts w:hint="eastAsia"/>
          <w:color w:val="auto"/>
          <w:lang w:eastAsia="zh-CN"/>
        </w:rPr>
        <w:t>附图</w:t>
      </w:r>
      <w:r>
        <w:rPr>
          <w:rFonts w:hint="eastAsia"/>
          <w:color w:val="auto"/>
          <w:lang w:val="en-US" w:eastAsia="zh-CN"/>
        </w:rPr>
        <w:t xml:space="preserve">5  </w:t>
      </w:r>
      <w:r>
        <w:rPr>
          <w:rFonts w:hint="eastAsia"/>
          <w:color w:val="auto"/>
          <w:lang w:eastAsia="zh-CN"/>
        </w:rPr>
        <w:t>项目环境保护目标图</w:t>
      </w:r>
    </w:p>
    <w:p>
      <w:pPr>
        <w:pStyle w:val="5"/>
        <w:ind w:firstLine="480"/>
        <w:jc w:val="center"/>
        <w:rPr>
          <w:rFonts w:hint="eastAsia"/>
          <w:color w:val="auto"/>
          <w:lang w:eastAsia="zh-CN"/>
        </w:rPr>
      </w:pPr>
      <w:r>
        <w:drawing>
          <wp:anchor distT="0" distB="0" distL="114300" distR="114300" simplePos="0" relativeHeight="4167429120" behindDoc="0" locked="0" layoutInCell="1" allowOverlap="1">
            <wp:simplePos x="0" y="0"/>
            <wp:positionH relativeFrom="column">
              <wp:posOffset>8122285</wp:posOffset>
            </wp:positionH>
            <wp:positionV relativeFrom="paragraph">
              <wp:posOffset>274320</wp:posOffset>
            </wp:positionV>
            <wp:extent cx="683895" cy="538480"/>
            <wp:effectExtent l="19050" t="0" r="20955" b="33020"/>
            <wp:wrapNone/>
            <wp:docPr id="58"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0"/>
                    <pic:cNvPicPr>
                      <a:picLocks noChangeAspect="1" noChangeArrowheads="1"/>
                    </pic:cNvPicPr>
                  </pic:nvPicPr>
                  <pic:blipFill>
                    <a:blip r:embed="rId60" cstate="print"/>
                    <a:srcRect/>
                    <a:stretch>
                      <a:fillRect/>
                    </a:stretch>
                  </pic:blipFill>
                  <pic:spPr>
                    <a:xfrm>
                      <a:off x="0" y="0"/>
                      <a:ext cx="683895" cy="538480"/>
                    </a:xfrm>
                    <a:prstGeom prst="rect">
                      <a:avLst/>
                    </a:prstGeom>
                    <a:noFill/>
                    <a:ln w="19050">
                      <a:solidFill>
                        <a:srgbClr val="000000"/>
                      </a:solidFill>
                      <a:miter lim="800000"/>
                      <a:headEnd/>
                      <a:tailEnd/>
                    </a:ln>
                  </pic:spPr>
                </pic:pic>
              </a:graphicData>
            </a:graphic>
          </wp:anchor>
        </w:drawing>
      </w:r>
    </w:p>
    <w:p>
      <w:pPr>
        <w:pStyle w:val="5"/>
        <w:ind w:firstLine="480"/>
        <w:jc w:val="center"/>
        <w:rPr>
          <w:rFonts w:hint="eastAsia"/>
          <w:color w:val="auto"/>
          <w:lang w:eastAsia="zh-CN"/>
        </w:rPr>
      </w:pPr>
      <w:r>
        <w:rPr>
          <w:color w:val="auto"/>
          <w:sz w:val="24"/>
        </w:rPr>
        <mc:AlternateContent>
          <mc:Choice Requires="wps">
            <w:drawing>
              <wp:anchor distT="0" distB="0" distL="114300" distR="114300" simplePos="0" relativeHeight="125221888" behindDoc="0" locked="0" layoutInCell="1" allowOverlap="1">
                <wp:simplePos x="0" y="0"/>
                <wp:positionH relativeFrom="column">
                  <wp:posOffset>7719695</wp:posOffset>
                </wp:positionH>
                <wp:positionV relativeFrom="paragraph">
                  <wp:posOffset>2256790</wp:posOffset>
                </wp:positionV>
                <wp:extent cx="1121410" cy="1925955"/>
                <wp:effectExtent l="4445" t="4445" r="17145" b="12700"/>
                <wp:wrapNone/>
                <wp:docPr id="148" name="文本框 148"/>
                <wp:cNvGraphicFramePr/>
                <a:graphic xmlns:a="http://schemas.openxmlformats.org/drawingml/2006/main">
                  <a:graphicData uri="http://schemas.microsoft.com/office/word/2010/wordprocessingShape">
                    <wps:wsp>
                      <wps:cNvSpPr txBox="1"/>
                      <wps:spPr>
                        <a:xfrm>
                          <a:off x="8620125" y="3201670"/>
                          <a:ext cx="1121410" cy="1925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pStyle w:val="22"/>
                              <w:rPr>
                                <w:rFonts w:hint="eastAsia"/>
                                <w:color w:val="auto"/>
                                <w:sz w:val="15"/>
                                <w:szCs w:val="15"/>
                                <w:lang w:eastAsia="zh-CN"/>
                              </w:rPr>
                            </w:pPr>
                            <w:r>
                              <w:rPr>
                                <w:rFonts w:hint="eastAsia"/>
                                <w:color w:val="auto"/>
                                <w:sz w:val="15"/>
                                <w:szCs w:val="15"/>
                                <w:lang w:val="en-US" w:eastAsia="zh-CN"/>
                              </w:rPr>
                              <w:t xml:space="preserve">1 </w:t>
                            </w:r>
                            <w:r>
                              <w:rPr>
                                <w:rFonts w:hint="eastAsia"/>
                                <w:color w:val="auto"/>
                                <w:sz w:val="15"/>
                                <w:szCs w:val="15"/>
                                <w:lang w:eastAsia="zh-CN"/>
                              </w:rPr>
                              <w:t>新合村</w:t>
                            </w:r>
                          </w:p>
                          <w:p>
                            <w:pPr>
                              <w:pStyle w:val="22"/>
                              <w:rPr>
                                <w:rFonts w:hint="eastAsia"/>
                                <w:color w:val="auto"/>
                                <w:sz w:val="15"/>
                                <w:szCs w:val="15"/>
                                <w:lang w:val="en-US" w:eastAsia="zh-CN"/>
                              </w:rPr>
                            </w:pPr>
                            <w:r>
                              <w:rPr>
                                <w:rFonts w:hint="eastAsia"/>
                                <w:color w:val="auto"/>
                                <w:sz w:val="15"/>
                                <w:szCs w:val="15"/>
                                <w:lang w:val="en-US" w:eastAsia="zh-CN"/>
                              </w:rPr>
                              <w:t>2 长岭社区</w:t>
                            </w:r>
                          </w:p>
                          <w:p>
                            <w:pPr>
                              <w:pStyle w:val="22"/>
                              <w:rPr>
                                <w:rFonts w:hint="eastAsia"/>
                                <w:color w:val="auto"/>
                                <w:sz w:val="15"/>
                                <w:szCs w:val="15"/>
                                <w:lang w:val="en-US" w:eastAsia="zh-CN"/>
                              </w:rPr>
                            </w:pPr>
                            <w:r>
                              <w:rPr>
                                <w:rFonts w:hint="eastAsia"/>
                                <w:color w:val="auto"/>
                                <w:sz w:val="15"/>
                                <w:szCs w:val="15"/>
                                <w:lang w:val="en-US" w:eastAsia="zh-CN"/>
                              </w:rPr>
                              <w:t>3 长炼医院</w:t>
                            </w:r>
                          </w:p>
                          <w:p>
                            <w:pPr>
                              <w:pStyle w:val="22"/>
                              <w:rPr>
                                <w:rFonts w:hint="eastAsia"/>
                                <w:color w:val="auto"/>
                                <w:sz w:val="15"/>
                                <w:szCs w:val="15"/>
                                <w:lang w:val="en-US" w:eastAsia="zh-CN"/>
                              </w:rPr>
                            </w:pPr>
                            <w:r>
                              <w:rPr>
                                <w:rFonts w:hint="eastAsia"/>
                                <w:color w:val="auto"/>
                                <w:sz w:val="15"/>
                                <w:szCs w:val="15"/>
                                <w:lang w:val="en-US" w:eastAsia="zh-CN"/>
                              </w:rPr>
                              <w:t>4 长炼学校</w:t>
                            </w:r>
                          </w:p>
                          <w:p>
                            <w:pPr>
                              <w:pStyle w:val="22"/>
                              <w:rPr>
                                <w:rFonts w:hint="eastAsia"/>
                                <w:color w:val="auto"/>
                                <w:sz w:val="15"/>
                                <w:szCs w:val="15"/>
                                <w:lang w:val="en-US" w:eastAsia="zh-CN"/>
                              </w:rPr>
                            </w:pPr>
                            <w:r>
                              <w:rPr>
                                <w:rFonts w:hint="eastAsia"/>
                                <w:color w:val="auto"/>
                                <w:sz w:val="15"/>
                                <w:szCs w:val="15"/>
                                <w:lang w:val="en-US" w:eastAsia="zh-CN"/>
                              </w:rPr>
                              <w:t>5 职业技术学院</w:t>
                            </w:r>
                          </w:p>
                          <w:p>
                            <w:pPr>
                              <w:pStyle w:val="22"/>
                              <w:rPr>
                                <w:rFonts w:hint="eastAsia"/>
                                <w:color w:val="auto"/>
                                <w:sz w:val="15"/>
                                <w:szCs w:val="15"/>
                                <w:lang w:val="en-US" w:eastAsia="zh-CN"/>
                              </w:rPr>
                            </w:pPr>
                            <w:r>
                              <w:rPr>
                                <w:rFonts w:hint="eastAsia"/>
                                <w:color w:val="auto"/>
                                <w:sz w:val="15"/>
                                <w:szCs w:val="15"/>
                                <w:lang w:val="en-US" w:eastAsia="zh-CN"/>
                              </w:rPr>
                              <w:t>6 长岭分公司生活区</w:t>
                            </w:r>
                          </w:p>
                          <w:p>
                            <w:pPr>
                              <w:pStyle w:val="22"/>
                              <w:rPr>
                                <w:rFonts w:hint="eastAsia"/>
                                <w:color w:val="auto"/>
                                <w:sz w:val="15"/>
                                <w:szCs w:val="15"/>
                                <w:lang w:val="en-US" w:eastAsia="zh-CN"/>
                              </w:rPr>
                            </w:pPr>
                            <w:r>
                              <w:rPr>
                                <w:rFonts w:hint="eastAsia"/>
                                <w:color w:val="auto"/>
                                <w:sz w:val="15"/>
                                <w:szCs w:val="15"/>
                                <w:lang w:val="en-US" w:eastAsia="zh-CN"/>
                              </w:rPr>
                              <w:t>7 长兴花园</w:t>
                            </w:r>
                          </w:p>
                          <w:p>
                            <w:pPr>
                              <w:pStyle w:val="22"/>
                              <w:rPr>
                                <w:rFonts w:hint="eastAsia"/>
                                <w:color w:val="auto"/>
                                <w:sz w:val="15"/>
                                <w:szCs w:val="15"/>
                                <w:lang w:val="en-US" w:eastAsia="zh-CN"/>
                              </w:rPr>
                            </w:pPr>
                            <w:r>
                              <w:rPr>
                                <w:rFonts w:hint="eastAsia"/>
                                <w:color w:val="auto"/>
                                <w:sz w:val="15"/>
                                <w:szCs w:val="15"/>
                                <w:lang w:val="en-US" w:eastAsia="zh-CN"/>
                              </w:rPr>
                              <w:t>8 阳西关</w:t>
                            </w:r>
                          </w:p>
                          <w:p>
                            <w:pPr>
                              <w:pStyle w:val="22"/>
                              <w:rPr>
                                <w:rFonts w:hint="eastAsia"/>
                                <w:color w:val="auto"/>
                                <w:sz w:val="15"/>
                                <w:szCs w:val="15"/>
                                <w:lang w:val="en-US" w:eastAsia="zh-CN"/>
                              </w:rPr>
                            </w:pPr>
                            <w:r>
                              <w:rPr>
                                <w:rFonts w:hint="eastAsia"/>
                                <w:color w:val="auto"/>
                                <w:sz w:val="15"/>
                                <w:szCs w:val="15"/>
                                <w:lang w:val="en-US" w:eastAsia="zh-CN"/>
                              </w:rPr>
                              <w:t>9 和平村</w:t>
                            </w:r>
                          </w:p>
                          <w:p>
                            <w:pPr>
                              <w:pStyle w:val="22"/>
                              <w:rPr>
                                <w:rFonts w:hint="eastAsia"/>
                                <w:color w:val="auto"/>
                                <w:sz w:val="15"/>
                                <w:szCs w:val="15"/>
                                <w:lang w:val="en-US" w:eastAsia="zh-CN"/>
                              </w:rPr>
                            </w:pPr>
                            <w:r>
                              <w:rPr>
                                <w:rFonts w:hint="eastAsia"/>
                                <w:color w:val="auto"/>
                                <w:sz w:val="15"/>
                                <w:szCs w:val="15"/>
                                <w:lang w:val="en-US" w:eastAsia="zh-CN"/>
                              </w:rPr>
                              <w:t>10文桥村</w:t>
                            </w:r>
                          </w:p>
                          <w:p>
                            <w:pPr>
                              <w:pStyle w:val="22"/>
                              <w:rPr>
                                <w:rFonts w:hint="eastAsia"/>
                                <w:color w:val="auto"/>
                                <w:sz w:val="15"/>
                                <w:szCs w:val="15"/>
                                <w:lang w:val="en-US" w:eastAsia="zh-CN"/>
                              </w:rPr>
                            </w:pPr>
                            <w:r>
                              <w:rPr>
                                <w:rFonts w:hint="eastAsia"/>
                                <w:color w:val="auto"/>
                                <w:sz w:val="15"/>
                                <w:szCs w:val="15"/>
                                <w:lang w:val="en-US" w:eastAsia="zh-CN"/>
                              </w:rPr>
                              <w:t>11小桥村</w:t>
                            </w:r>
                          </w:p>
                          <w:p>
                            <w:pPr>
                              <w:pStyle w:val="22"/>
                              <w:rPr>
                                <w:rFonts w:hint="eastAsia"/>
                                <w:color w:val="auto"/>
                                <w:sz w:val="15"/>
                                <w:szCs w:val="15"/>
                                <w:lang w:val="en-US" w:eastAsia="zh-CN"/>
                              </w:rPr>
                            </w:pPr>
                            <w:r>
                              <w:rPr>
                                <w:rFonts w:hint="eastAsia"/>
                                <w:color w:val="auto"/>
                                <w:sz w:val="15"/>
                                <w:szCs w:val="15"/>
                                <w:lang w:val="en-US" w:eastAsia="zh-CN"/>
                              </w:rPr>
                              <w:t>12文桥村卫生院</w:t>
                            </w:r>
                          </w:p>
                          <w:p>
                            <w:pPr>
                              <w:pStyle w:val="22"/>
                              <w:rPr>
                                <w:rFonts w:hint="eastAsia"/>
                                <w:color w:val="auto"/>
                                <w:sz w:val="15"/>
                                <w:szCs w:val="15"/>
                                <w:lang w:val="en-US" w:eastAsia="zh-CN"/>
                              </w:rPr>
                            </w:pPr>
                            <w:r>
                              <w:rPr>
                                <w:rFonts w:hint="eastAsia"/>
                                <w:color w:val="auto"/>
                                <w:sz w:val="15"/>
                                <w:szCs w:val="15"/>
                                <w:lang w:val="en-US" w:eastAsia="zh-CN"/>
                              </w:rPr>
                              <w:t>13文桥中学</w:t>
                            </w:r>
                          </w:p>
                          <w:p>
                            <w:pPr>
                              <w:pStyle w:val="22"/>
                              <w:rPr>
                                <w:rFonts w:hint="eastAsia"/>
                                <w:color w:val="auto"/>
                                <w:sz w:val="15"/>
                                <w:szCs w:val="15"/>
                                <w:lang w:val="en-US" w:eastAsia="zh-CN"/>
                              </w:rPr>
                            </w:pPr>
                            <w:r>
                              <w:rPr>
                                <w:rFonts w:hint="eastAsia"/>
                                <w:color w:val="auto"/>
                                <w:sz w:val="15"/>
                                <w:szCs w:val="15"/>
                                <w:lang w:val="en-US" w:eastAsia="zh-CN"/>
                              </w:rPr>
                              <w:t>14路口村</w:t>
                            </w:r>
                          </w:p>
                          <w:p>
                            <w:pPr>
                              <w:pStyle w:val="22"/>
                              <w:rPr>
                                <w:rFonts w:hint="default"/>
                                <w:color w:val="auto"/>
                                <w:sz w:val="15"/>
                                <w:szCs w:val="15"/>
                                <w:lang w:val="en-US" w:eastAsia="zh-CN"/>
                              </w:rPr>
                            </w:pPr>
                            <w:r>
                              <w:rPr>
                                <w:rFonts w:hint="eastAsia"/>
                                <w:color w:val="auto"/>
                                <w:sz w:val="15"/>
                                <w:szCs w:val="15"/>
                                <w:lang w:val="en-US" w:eastAsia="zh-CN"/>
                              </w:rPr>
                              <w:t>15南山村</w:t>
                            </w:r>
                          </w:p>
                          <w:p>
                            <w:pPr>
                              <w:pStyle w:val="22"/>
                              <w:rPr>
                                <w:rFonts w:hint="default"/>
                                <w:color w:val="auto"/>
                                <w:sz w:val="15"/>
                                <w:szCs w:val="15"/>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7.85pt;margin-top:177.7pt;height:151.65pt;width:88.3pt;z-index:125221888;mso-width-relative:page;mso-height-relative:page;" fillcolor="#FFFFFF [3201]" filled="t" stroked="t" coordsize="21600,21600" o:gfxdata="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tzw33ZAAAADQEAAA8AAAAAAAAA&#10;AQAgAAAAIgAAAGRycy9kb3ducmV2LnhtbFBLAQIUABQAAAAIAIdO4kA4a9clSQIAAHoEAAAOAAAA&#10;AAAAAAEAIAAAACgBAABkcnMvZTJvRG9jLnhtbFBLBQYAAAAABgAGAFkBAADjBQAAAAA=&#10;">
                <v:fill on="t" focussize="0,0"/>
                <v:stroke weight="0.5pt" color="#000000 [3204]" joinstyle="round"/>
                <v:imagedata o:title=""/>
                <o:lock v:ext="edit" aspectratio="f"/>
                <v:textbox>
                  <w:txbxContent>
                    <w:p>
                      <w:pPr>
                        <w:pStyle w:val="22"/>
                        <w:rPr>
                          <w:rFonts w:hint="eastAsia"/>
                          <w:color w:val="auto"/>
                          <w:sz w:val="15"/>
                          <w:szCs w:val="15"/>
                          <w:lang w:eastAsia="zh-CN"/>
                        </w:rPr>
                      </w:pPr>
                      <w:r>
                        <w:rPr>
                          <w:rFonts w:hint="eastAsia"/>
                          <w:color w:val="auto"/>
                          <w:sz w:val="15"/>
                          <w:szCs w:val="15"/>
                          <w:lang w:val="en-US" w:eastAsia="zh-CN"/>
                        </w:rPr>
                        <w:t xml:space="preserve">1 </w:t>
                      </w:r>
                      <w:r>
                        <w:rPr>
                          <w:rFonts w:hint="eastAsia"/>
                          <w:color w:val="auto"/>
                          <w:sz w:val="15"/>
                          <w:szCs w:val="15"/>
                          <w:lang w:eastAsia="zh-CN"/>
                        </w:rPr>
                        <w:t>新合村</w:t>
                      </w:r>
                    </w:p>
                    <w:p>
                      <w:pPr>
                        <w:pStyle w:val="22"/>
                        <w:rPr>
                          <w:rFonts w:hint="eastAsia"/>
                          <w:color w:val="auto"/>
                          <w:sz w:val="15"/>
                          <w:szCs w:val="15"/>
                          <w:lang w:val="en-US" w:eastAsia="zh-CN"/>
                        </w:rPr>
                      </w:pPr>
                      <w:r>
                        <w:rPr>
                          <w:rFonts w:hint="eastAsia"/>
                          <w:color w:val="auto"/>
                          <w:sz w:val="15"/>
                          <w:szCs w:val="15"/>
                          <w:lang w:val="en-US" w:eastAsia="zh-CN"/>
                        </w:rPr>
                        <w:t>2 长岭社区</w:t>
                      </w:r>
                    </w:p>
                    <w:p>
                      <w:pPr>
                        <w:pStyle w:val="22"/>
                        <w:rPr>
                          <w:rFonts w:hint="eastAsia"/>
                          <w:color w:val="auto"/>
                          <w:sz w:val="15"/>
                          <w:szCs w:val="15"/>
                          <w:lang w:val="en-US" w:eastAsia="zh-CN"/>
                        </w:rPr>
                      </w:pPr>
                      <w:r>
                        <w:rPr>
                          <w:rFonts w:hint="eastAsia"/>
                          <w:color w:val="auto"/>
                          <w:sz w:val="15"/>
                          <w:szCs w:val="15"/>
                          <w:lang w:val="en-US" w:eastAsia="zh-CN"/>
                        </w:rPr>
                        <w:t>3 长炼医院</w:t>
                      </w:r>
                    </w:p>
                    <w:p>
                      <w:pPr>
                        <w:pStyle w:val="22"/>
                        <w:rPr>
                          <w:rFonts w:hint="eastAsia"/>
                          <w:color w:val="auto"/>
                          <w:sz w:val="15"/>
                          <w:szCs w:val="15"/>
                          <w:lang w:val="en-US" w:eastAsia="zh-CN"/>
                        </w:rPr>
                      </w:pPr>
                      <w:r>
                        <w:rPr>
                          <w:rFonts w:hint="eastAsia"/>
                          <w:color w:val="auto"/>
                          <w:sz w:val="15"/>
                          <w:szCs w:val="15"/>
                          <w:lang w:val="en-US" w:eastAsia="zh-CN"/>
                        </w:rPr>
                        <w:t>4 长炼学校</w:t>
                      </w:r>
                    </w:p>
                    <w:p>
                      <w:pPr>
                        <w:pStyle w:val="22"/>
                        <w:rPr>
                          <w:rFonts w:hint="eastAsia"/>
                          <w:color w:val="auto"/>
                          <w:sz w:val="15"/>
                          <w:szCs w:val="15"/>
                          <w:lang w:val="en-US" w:eastAsia="zh-CN"/>
                        </w:rPr>
                      </w:pPr>
                      <w:r>
                        <w:rPr>
                          <w:rFonts w:hint="eastAsia"/>
                          <w:color w:val="auto"/>
                          <w:sz w:val="15"/>
                          <w:szCs w:val="15"/>
                          <w:lang w:val="en-US" w:eastAsia="zh-CN"/>
                        </w:rPr>
                        <w:t>5 职业技术学院</w:t>
                      </w:r>
                    </w:p>
                    <w:p>
                      <w:pPr>
                        <w:pStyle w:val="22"/>
                        <w:rPr>
                          <w:rFonts w:hint="eastAsia"/>
                          <w:color w:val="auto"/>
                          <w:sz w:val="15"/>
                          <w:szCs w:val="15"/>
                          <w:lang w:val="en-US" w:eastAsia="zh-CN"/>
                        </w:rPr>
                      </w:pPr>
                      <w:r>
                        <w:rPr>
                          <w:rFonts w:hint="eastAsia"/>
                          <w:color w:val="auto"/>
                          <w:sz w:val="15"/>
                          <w:szCs w:val="15"/>
                          <w:lang w:val="en-US" w:eastAsia="zh-CN"/>
                        </w:rPr>
                        <w:t>6 长岭分公司生活区</w:t>
                      </w:r>
                    </w:p>
                    <w:p>
                      <w:pPr>
                        <w:pStyle w:val="22"/>
                        <w:rPr>
                          <w:rFonts w:hint="eastAsia"/>
                          <w:color w:val="auto"/>
                          <w:sz w:val="15"/>
                          <w:szCs w:val="15"/>
                          <w:lang w:val="en-US" w:eastAsia="zh-CN"/>
                        </w:rPr>
                      </w:pPr>
                      <w:r>
                        <w:rPr>
                          <w:rFonts w:hint="eastAsia"/>
                          <w:color w:val="auto"/>
                          <w:sz w:val="15"/>
                          <w:szCs w:val="15"/>
                          <w:lang w:val="en-US" w:eastAsia="zh-CN"/>
                        </w:rPr>
                        <w:t>7 长兴花园</w:t>
                      </w:r>
                    </w:p>
                    <w:p>
                      <w:pPr>
                        <w:pStyle w:val="22"/>
                        <w:rPr>
                          <w:rFonts w:hint="eastAsia"/>
                          <w:color w:val="auto"/>
                          <w:sz w:val="15"/>
                          <w:szCs w:val="15"/>
                          <w:lang w:val="en-US" w:eastAsia="zh-CN"/>
                        </w:rPr>
                      </w:pPr>
                      <w:r>
                        <w:rPr>
                          <w:rFonts w:hint="eastAsia"/>
                          <w:color w:val="auto"/>
                          <w:sz w:val="15"/>
                          <w:szCs w:val="15"/>
                          <w:lang w:val="en-US" w:eastAsia="zh-CN"/>
                        </w:rPr>
                        <w:t>8 阳西关</w:t>
                      </w:r>
                    </w:p>
                    <w:p>
                      <w:pPr>
                        <w:pStyle w:val="22"/>
                        <w:rPr>
                          <w:rFonts w:hint="eastAsia"/>
                          <w:color w:val="auto"/>
                          <w:sz w:val="15"/>
                          <w:szCs w:val="15"/>
                          <w:lang w:val="en-US" w:eastAsia="zh-CN"/>
                        </w:rPr>
                      </w:pPr>
                      <w:r>
                        <w:rPr>
                          <w:rFonts w:hint="eastAsia"/>
                          <w:color w:val="auto"/>
                          <w:sz w:val="15"/>
                          <w:szCs w:val="15"/>
                          <w:lang w:val="en-US" w:eastAsia="zh-CN"/>
                        </w:rPr>
                        <w:t>9 和平村</w:t>
                      </w:r>
                    </w:p>
                    <w:p>
                      <w:pPr>
                        <w:pStyle w:val="22"/>
                        <w:rPr>
                          <w:rFonts w:hint="eastAsia"/>
                          <w:color w:val="auto"/>
                          <w:sz w:val="15"/>
                          <w:szCs w:val="15"/>
                          <w:lang w:val="en-US" w:eastAsia="zh-CN"/>
                        </w:rPr>
                      </w:pPr>
                      <w:r>
                        <w:rPr>
                          <w:rFonts w:hint="eastAsia"/>
                          <w:color w:val="auto"/>
                          <w:sz w:val="15"/>
                          <w:szCs w:val="15"/>
                          <w:lang w:val="en-US" w:eastAsia="zh-CN"/>
                        </w:rPr>
                        <w:t>10文桥村</w:t>
                      </w:r>
                    </w:p>
                    <w:p>
                      <w:pPr>
                        <w:pStyle w:val="22"/>
                        <w:rPr>
                          <w:rFonts w:hint="eastAsia"/>
                          <w:color w:val="auto"/>
                          <w:sz w:val="15"/>
                          <w:szCs w:val="15"/>
                          <w:lang w:val="en-US" w:eastAsia="zh-CN"/>
                        </w:rPr>
                      </w:pPr>
                      <w:r>
                        <w:rPr>
                          <w:rFonts w:hint="eastAsia"/>
                          <w:color w:val="auto"/>
                          <w:sz w:val="15"/>
                          <w:szCs w:val="15"/>
                          <w:lang w:val="en-US" w:eastAsia="zh-CN"/>
                        </w:rPr>
                        <w:t>11小桥村</w:t>
                      </w:r>
                    </w:p>
                    <w:p>
                      <w:pPr>
                        <w:pStyle w:val="22"/>
                        <w:rPr>
                          <w:rFonts w:hint="eastAsia"/>
                          <w:color w:val="auto"/>
                          <w:sz w:val="15"/>
                          <w:szCs w:val="15"/>
                          <w:lang w:val="en-US" w:eastAsia="zh-CN"/>
                        </w:rPr>
                      </w:pPr>
                      <w:r>
                        <w:rPr>
                          <w:rFonts w:hint="eastAsia"/>
                          <w:color w:val="auto"/>
                          <w:sz w:val="15"/>
                          <w:szCs w:val="15"/>
                          <w:lang w:val="en-US" w:eastAsia="zh-CN"/>
                        </w:rPr>
                        <w:t>12文桥村卫生院</w:t>
                      </w:r>
                    </w:p>
                    <w:p>
                      <w:pPr>
                        <w:pStyle w:val="22"/>
                        <w:rPr>
                          <w:rFonts w:hint="eastAsia"/>
                          <w:color w:val="auto"/>
                          <w:sz w:val="15"/>
                          <w:szCs w:val="15"/>
                          <w:lang w:val="en-US" w:eastAsia="zh-CN"/>
                        </w:rPr>
                      </w:pPr>
                      <w:r>
                        <w:rPr>
                          <w:rFonts w:hint="eastAsia"/>
                          <w:color w:val="auto"/>
                          <w:sz w:val="15"/>
                          <w:szCs w:val="15"/>
                          <w:lang w:val="en-US" w:eastAsia="zh-CN"/>
                        </w:rPr>
                        <w:t>13文桥中学</w:t>
                      </w:r>
                    </w:p>
                    <w:p>
                      <w:pPr>
                        <w:pStyle w:val="22"/>
                        <w:rPr>
                          <w:rFonts w:hint="eastAsia"/>
                          <w:color w:val="auto"/>
                          <w:sz w:val="15"/>
                          <w:szCs w:val="15"/>
                          <w:lang w:val="en-US" w:eastAsia="zh-CN"/>
                        </w:rPr>
                      </w:pPr>
                      <w:r>
                        <w:rPr>
                          <w:rFonts w:hint="eastAsia"/>
                          <w:color w:val="auto"/>
                          <w:sz w:val="15"/>
                          <w:szCs w:val="15"/>
                          <w:lang w:val="en-US" w:eastAsia="zh-CN"/>
                        </w:rPr>
                        <w:t>14路口村</w:t>
                      </w:r>
                    </w:p>
                    <w:p>
                      <w:pPr>
                        <w:pStyle w:val="22"/>
                        <w:rPr>
                          <w:rFonts w:hint="default"/>
                          <w:color w:val="auto"/>
                          <w:sz w:val="15"/>
                          <w:szCs w:val="15"/>
                          <w:lang w:val="en-US" w:eastAsia="zh-CN"/>
                        </w:rPr>
                      </w:pPr>
                      <w:r>
                        <w:rPr>
                          <w:rFonts w:hint="eastAsia"/>
                          <w:color w:val="auto"/>
                          <w:sz w:val="15"/>
                          <w:szCs w:val="15"/>
                          <w:lang w:val="en-US" w:eastAsia="zh-CN"/>
                        </w:rPr>
                        <w:t>15南山村</w:t>
                      </w:r>
                    </w:p>
                    <w:p>
                      <w:pPr>
                        <w:pStyle w:val="22"/>
                        <w:rPr>
                          <w:rFonts w:hint="default"/>
                          <w:color w:val="auto"/>
                          <w:sz w:val="15"/>
                          <w:szCs w:val="15"/>
                          <w:lang w:val="en-US" w:eastAsia="zh-CN"/>
                        </w:rPr>
                      </w:pPr>
                    </w:p>
                  </w:txbxContent>
                </v:textbox>
              </v:shape>
            </w:pict>
          </mc:Fallback>
        </mc:AlternateContent>
      </w:r>
      <w:r>
        <w:rPr>
          <w:color w:val="auto"/>
          <w:sz w:val="24"/>
        </w:rPr>
        <mc:AlternateContent>
          <mc:Choice Requires="wps">
            <w:drawing>
              <wp:anchor distT="0" distB="0" distL="114300" distR="114300" simplePos="0" relativeHeight="698222592" behindDoc="0" locked="0" layoutInCell="1" allowOverlap="1">
                <wp:simplePos x="0" y="0"/>
                <wp:positionH relativeFrom="column">
                  <wp:posOffset>7234555</wp:posOffset>
                </wp:positionH>
                <wp:positionV relativeFrom="paragraph">
                  <wp:posOffset>789940</wp:posOffset>
                </wp:positionV>
                <wp:extent cx="260985" cy="173355"/>
                <wp:effectExtent l="4445" t="4445" r="20320" b="12700"/>
                <wp:wrapNone/>
                <wp:docPr id="207" name="文本框 207"/>
                <wp:cNvGraphicFramePr/>
                <a:graphic xmlns:a="http://schemas.openxmlformats.org/drawingml/2006/main">
                  <a:graphicData uri="http://schemas.microsoft.com/office/word/2010/wordprocessingShape">
                    <wps:wsp>
                      <wps:cNvSpPr txBox="1"/>
                      <wps:spPr>
                        <a:xfrm>
                          <a:off x="0" y="0"/>
                          <a:ext cx="26098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65pt;margin-top:62.2pt;height:13.65pt;width:20.55pt;z-index:698222592;mso-width-relative:page;mso-height-relative:page;" fillcolor="#FFFFFF [3201]" filled="t" stroked="t" coordsize="21600,21600" o:gfxdata="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oCqkNcAAAANAQAADwAAAAAAAAABACAAAAAiAAAAZHJz&#10;L2Rvd25yZXYueG1sUEsBAhQAFAAAAAgAh07iQNNthws+AgAAbAQAAA4AAAAAAAAAAQAgAAAAJg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11</w:t>
                      </w:r>
                    </w:p>
                  </w:txbxContent>
                </v:textbox>
              </v:shape>
            </w:pict>
          </mc:Fallback>
        </mc:AlternateContent>
      </w:r>
      <w:r>
        <w:rPr>
          <w:color w:val="auto"/>
          <w:sz w:val="24"/>
        </w:rPr>
        <mc:AlternateContent>
          <mc:Choice Requires="wps">
            <w:drawing>
              <wp:anchor distT="0" distB="0" distL="114300" distR="114300" simplePos="0" relativeHeight="2209384448" behindDoc="0" locked="0" layoutInCell="1" allowOverlap="1">
                <wp:simplePos x="0" y="0"/>
                <wp:positionH relativeFrom="column">
                  <wp:posOffset>6804025</wp:posOffset>
                </wp:positionH>
                <wp:positionV relativeFrom="paragraph">
                  <wp:posOffset>1638300</wp:posOffset>
                </wp:positionV>
                <wp:extent cx="254000" cy="173355"/>
                <wp:effectExtent l="4445" t="4445" r="8255" b="12700"/>
                <wp:wrapNone/>
                <wp:docPr id="200" name="文本框 200"/>
                <wp:cNvGraphicFramePr/>
                <a:graphic xmlns:a="http://schemas.openxmlformats.org/drawingml/2006/main">
                  <a:graphicData uri="http://schemas.microsoft.com/office/word/2010/wordprocessingShape">
                    <wps:wsp>
                      <wps:cNvSpPr txBox="1"/>
                      <wps:spPr>
                        <a:xfrm>
                          <a:off x="0" y="0"/>
                          <a:ext cx="254000"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75pt;margin-top:129pt;height:13.65pt;width:20pt;z-index:-2085582848;mso-width-relative:page;mso-height-relative:page;" fillcolor="#FFFFFF [3201]" filled="t" stroked="t" coordsize="21600,21600" o:gfxdata="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qoMzTVAAAADQEAAA8AAAAAAAAAAQAgAAAAIgAAAGRycy9kb3du&#10;cmV2LnhtbFBLAQIUABQAAAAIAIdO4kADZiYBOwIAAGwEAAAOAAAAAAAAAAEAIAAAACQBAABkcnMv&#10;ZTJvRG9jLnhtbFBLBQYAAAAABgAGAFkBAADRBQ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15</w:t>
                      </w:r>
                    </w:p>
                  </w:txbxContent>
                </v:textbox>
              </v:shape>
            </w:pict>
          </mc:Fallback>
        </mc:AlternateContent>
      </w:r>
      <w:r>
        <w:rPr>
          <w:color w:val="auto"/>
          <w:sz w:val="24"/>
        </w:rPr>
        <mc:AlternateContent>
          <mc:Choice Requires="wps">
            <w:drawing>
              <wp:anchor distT="0" distB="0" distL="114300" distR="114300" simplePos="0" relativeHeight="3411732480" behindDoc="0" locked="0" layoutInCell="1" allowOverlap="1">
                <wp:simplePos x="0" y="0"/>
                <wp:positionH relativeFrom="column">
                  <wp:posOffset>7219950</wp:posOffset>
                </wp:positionH>
                <wp:positionV relativeFrom="paragraph">
                  <wp:posOffset>993775</wp:posOffset>
                </wp:positionV>
                <wp:extent cx="196215" cy="173355"/>
                <wp:effectExtent l="4445" t="4445" r="8890" b="12700"/>
                <wp:wrapNone/>
                <wp:docPr id="170" name="文本框 170"/>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8.5pt;margin-top:78.25pt;height:13.65pt;width:15.45pt;z-index:-883234816;mso-width-relative:page;mso-height-relative:page;" fillcolor="#FFFFFF [3201]" filled="t" stroked="t" coordsize="21600,21600" o:gfxdata="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vXMMS2AAAAA0BAAAPAAAAAAAAAAEAIAAAACIAAABkcnMv&#10;ZG93bnJldi54bWxQSwECFAAUAAAACACHTuJAE14OITwCAABsBAAADgAAAAAAAAABACAAAAAnAQAA&#10;ZHJzL2Uyb0RvYy54bWxQSwUGAAAAAAYABgBZAQAA1QU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9</w:t>
                      </w:r>
                    </w:p>
                  </w:txbxContent>
                </v:textbox>
              </v:shape>
            </w:pict>
          </mc:Fallback>
        </mc:AlternateContent>
      </w:r>
      <w:r>
        <w:rPr>
          <w:color w:val="auto"/>
          <w:sz w:val="24"/>
        </w:rPr>
        <mc:AlternateContent>
          <mc:Choice Requires="wps">
            <w:drawing>
              <wp:anchor distT="0" distB="0" distL="114300" distR="114300" simplePos="0" relativeHeight="1662052352" behindDoc="0" locked="0" layoutInCell="1" allowOverlap="1">
                <wp:simplePos x="0" y="0"/>
                <wp:positionH relativeFrom="column">
                  <wp:posOffset>6918960</wp:posOffset>
                </wp:positionH>
                <wp:positionV relativeFrom="paragraph">
                  <wp:posOffset>1155700</wp:posOffset>
                </wp:positionV>
                <wp:extent cx="394335" cy="173355"/>
                <wp:effectExtent l="4445" t="4445" r="20320" b="12700"/>
                <wp:wrapNone/>
                <wp:docPr id="177" name="文本框 177"/>
                <wp:cNvGraphicFramePr/>
                <a:graphic xmlns:a="http://schemas.openxmlformats.org/drawingml/2006/main">
                  <a:graphicData uri="http://schemas.microsoft.com/office/word/2010/wordprocessingShape">
                    <wps:wsp>
                      <wps:cNvSpPr txBox="1"/>
                      <wps:spPr>
                        <a:xfrm>
                          <a:off x="0" y="0"/>
                          <a:ext cx="39433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00B0F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00B0F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小河沟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4.8pt;margin-top:91pt;height:13.65pt;width:31.05pt;z-index:1662052352;mso-width-relative:page;mso-height-relative:page;" fillcolor="#FFFFFF [3201]" filled="t" stroked="t" coordsize="21600,21600" o:gfxdata="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6pzRZNgAAAANAQAADwAAAAAAAAABACAAAAAiAAAAZHJz&#10;L2Rvd25yZXYueG1sUEsBAhQAFAAAAAgAh07iQAFNzSs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00B0F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00B0F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小河沟</w:t>
                      </w:r>
                    </w:p>
                  </w:txbxContent>
                </v:textbox>
              </v:shape>
            </w:pict>
          </mc:Fallback>
        </mc:AlternateContent>
      </w:r>
      <w:r>
        <w:rPr>
          <w:color w:val="auto"/>
          <w:sz w:val="24"/>
        </w:rPr>
        <mc:AlternateContent>
          <mc:Choice Requires="wps">
            <w:drawing>
              <wp:anchor distT="0" distB="0" distL="114300" distR="114300" simplePos="0" relativeHeight="377972736" behindDoc="0" locked="0" layoutInCell="1" allowOverlap="1">
                <wp:simplePos x="0" y="0"/>
                <wp:positionH relativeFrom="column">
                  <wp:posOffset>6729095</wp:posOffset>
                </wp:positionH>
                <wp:positionV relativeFrom="paragraph">
                  <wp:posOffset>1353185</wp:posOffset>
                </wp:positionV>
                <wp:extent cx="196215" cy="173355"/>
                <wp:effectExtent l="4445" t="4445" r="8890" b="12700"/>
                <wp:wrapNone/>
                <wp:docPr id="164" name="文本框 164"/>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85pt;margin-top:106.55pt;height:13.65pt;width:15.45pt;z-index:377972736;mso-width-relative:page;mso-height-relative:page;" fillcolor="#FFFFFF [3201]" filled="t" stroked="t" coordsize="21600,21600" o:gfxdata="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Q1Ag9gAAAANAQAADwAAAAAAAAABACAAAAAiAAAAZHJz&#10;L2Rvd25yZXYueG1sUEsBAhQAFAAAAAgAh07iQA7hPl8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3</w:t>
                      </w:r>
                    </w:p>
                  </w:txbxContent>
                </v:textbox>
              </v:shape>
            </w:pict>
          </mc:Fallback>
        </mc:AlternateContent>
      </w:r>
      <w:r>
        <w:rPr>
          <w:color w:val="auto"/>
          <w:sz w:val="24"/>
        </w:rPr>
        <mc:AlternateContent>
          <mc:Choice Requires="wps">
            <w:drawing>
              <wp:anchor distT="0" distB="0" distL="114300" distR="114300" simplePos="0" relativeHeight="247737344" behindDoc="0" locked="0" layoutInCell="1" allowOverlap="1">
                <wp:simplePos x="0" y="0"/>
                <wp:positionH relativeFrom="column">
                  <wp:posOffset>7021830</wp:posOffset>
                </wp:positionH>
                <wp:positionV relativeFrom="paragraph">
                  <wp:posOffset>1349375</wp:posOffset>
                </wp:positionV>
                <wp:extent cx="422275" cy="228600"/>
                <wp:effectExtent l="4445" t="4445" r="11430" b="14605"/>
                <wp:wrapNone/>
                <wp:docPr id="160" name="文本框 160"/>
                <wp:cNvGraphicFramePr/>
                <a:graphic xmlns:a="http://schemas.openxmlformats.org/drawingml/2006/main">
                  <a:graphicData uri="http://schemas.microsoft.com/office/word/2010/wordprocessingShape">
                    <wps:wsp>
                      <wps:cNvSpPr txBox="1"/>
                      <wps:spPr>
                        <a:xfrm>
                          <a:off x="0" y="0"/>
                          <a:ext cx="422275" cy="22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eastAsia"/>
                                <w:color w:val="00B0F0"/>
                                <w:sz w:val="18"/>
                                <w:szCs w:val="1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pPr>
                            <w:r>
                              <w:rPr>
                                <w:rFonts w:hint="eastAsia"/>
                                <w:color w:val="00B0F0"/>
                                <w:sz w:val="18"/>
                                <w:szCs w:val="1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2.9pt;margin-top:106.25pt;height:18pt;width:33.25pt;z-index:247737344;mso-width-relative:page;mso-height-relative:page;" fillcolor="#FFFFFF [3201]" filled="t" stroked="t" coordsize="21600,21600" o:gfxdata="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0mGkB2AAAAA0BAAAPAAAAAAAAAAEAIAAAACIAAABk&#10;cnMvZG93bnJldi54bWxQSwECFAAUAAAACACHTuJAt/j0xD8CAABsBAAADgAAAAAAAAABACAAAAAn&#10;AQAAZHJzL2Uyb0RvYy54bWxQSwUGAAAAAAYABgBZAQAA2AUAAAAA&#10;">
                <v:fill on="t" focussize="0,0"/>
                <v:stroke weight="0.5pt" color="#000000 [3204]" joinstyle="round"/>
                <v:imagedata o:title=""/>
                <o:lock v:ext="edit" aspectratio="f"/>
                <v:textbox>
                  <w:txbxContent>
                    <w:p>
                      <w:pPr>
                        <w:jc w:val="left"/>
                        <w:rPr>
                          <w:rFonts w:hint="eastAsia"/>
                          <w:color w:val="00B0F0"/>
                          <w:sz w:val="18"/>
                          <w:szCs w:val="1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pPr>
                      <w:r>
                        <w:rPr>
                          <w:rFonts w:hint="eastAsia"/>
                          <w:color w:val="00B0F0"/>
                          <w:sz w:val="18"/>
                          <w:szCs w:val="18"/>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项目</w:t>
                      </w:r>
                    </w:p>
                  </w:txbxContent>
                </v:textbox>
              </v:shape>
            </w:pict>
          </mc:Fallback>
        </mc:AlternateContent>
      </w:r>
      <w:r>
        <w:rPr>
          <w:color w:val="auto"/>
          <w:sz w:val="24"/>
        </w:rPr>
        <mc:AlternateContent>
          <mc:Choice Requires="wps">
            <w:drawing>
              <wp:anchor distT="0" distB="0" distL="114300" distR="114300" simplePos="0" relativeHeight="389408768" behindDoc="0" locked="0" layoutInCell="1" allowOverlap="1">
                <wp:simplePos x="0" y="0"/>
                <wp:positionH relativeFrom="column">
                  <wp:posOffset>1475105</wp:posOffset>
                </wp:positionH>
                <wp:positionV relativeFrom="paragraph">
                  <wp:posOffset>1118870</wp:posOffset>
                </wp:positionV>
                <wp:extent cx="328930" cy="173355"/>
                <wp:effectExtent l="4445" t="4445" r="9525" b="12700"/>
                <wp:wrapNone/>
                <wp:docPr id="176" name="文本框 176"/>
                <wp:cNvGraphicFramePr/>
                <a:graphic xmlns:a="http://schemas.openxmlformats.org/drawingml/2006/main">
                  <a:graphicData uri="http://schemas.microsoft.com/office/word/2010/wordprocessingShape">
                    <wps:wsp>
                      <wps:cNvSpPr txBox="1"/>
                      <wps:spPr>
                        <a:xfrm>
                          <a:off x="0" y="0"/>
                          <a:ext cx="328930"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00B0F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00B0F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长江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15pt;margin-top:88.1pt;height:13.65pt;width:25.9pt;z-index:389408768;mso-width-relative:page;mso-height-relative:page;" fillcolor="#FFFFFF [3201]" filled="t" stroked="t" coordsize="21600,21600" o:gfxdata="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4txmx1wAAAAsBAAAPAAAAAAAAAAEAIAAAACIAAABkcnMv&#10;ZG93bnJldi54bWxQSwECFAAUAAAACACHTuJAcer/hz0CAABsBAAADgAAAAAAAAABACAAAAAmAQAA&#10;ZHJzL2Uyb0RvYy54bWxQSwUGAAAAAAYABgBZAQAA1QUAAAAA&#10;">
                <v:fill on="t" focussize="0,0"/>
                <v:stroke weight="0.5pt" color="#000000 [3204]" joinstyle="round"/>
                <v:imagedata o:title=""/>
                <o:lock v:ext="edit" aspectratio="f"/>
                <v:textbox>
                  <w:txbxContent>
                    <w:p>
                      <w:pPr>
                        <w:jc w:val="left"/>
                        <w:rPr>
                          <w:rFonts w:hint="default" w:eastAsia="宋体"/>
                          <w:color w:val="00B0F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00B0F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长江</w:t>
                      </w:r>
                    </w:p>
                  </w:txbxContent>
                </v:textbox>
              </v:shape>
            </w:pict>
          </mc:Fallback>
        </mc:AlternateContent>
      </w:r>
      <w:r>
        <w:rPr>
          <w:color w:val="auto"/>
          <w:sz w:val="24"/>
        </w:rPr>
        <mc:AlternateContent>
          <mc:Choice Requires="wps">
            <w:drawing>
              <wp:anchor distT="0" distB="0" distL="114300" distR="114300" simplePos="0" relativeHeight="1397803008" behindDoc="0" locked="0" layoutInCell="1" allowOverlap="1">
                <wp:simplePos x="0" y="0"/>
                <wp:positionH relativeFrom="column">
                  <wp:posOffset>6670040</wp:posOffset>
                </wp:positionH>
                <wp:positionV relativeFrom="paragraph">
                  <wp:posOffset>2168525</wp:posOffset>
                </wp:positionV>
                <wp:extent cx="260985" cy="173355"/>
                <wp:effectExtent l="4445" t="4445" r="20320" b="12700"/>
                <wp:wrapNone/>
                <wp:docPr id="175" name="文本框 175"/>
                <wp:cNvGraphicFramePr/>
                <a:graphic xmlns:a="http://schemas.openxmlformats.org/drawingml/2006/main">
                  <a:graphicData uri="http://schemas.microsoft.com/office/word/2010/wordprocessingShape">
                    <wps:wsp>
                      <wps:cNvSpPr txBox="1"/>
                      <wps:spPr>
                        <a:xfrm>
                          <a:off x="0" y="0"/>
                          <a:ext cx="26098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5.2pt;margin-top:170.75pt;height:13.65pt;width:20.55pt;z-index:1397803008;mso-width-relative:page;mso-height-relative:page;" fillcolor="#FFFFFF [3201]" filled="t" stroked="t" coordsize="21600,21600" o:gfxdata="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hK043YAAAADQEAAA8AAAAAAAAAAQAgAAAAIgAA&#10;AGRycy9kb3ducmV2LnhtbFBLAQIUABQAAAAIAIdO4kB/BOdEQQIAAGwEAAAOAAAAAAAAAAEAIAAA&#10;ACcBAABkcnMvZTJvRG9jLnhtbFBLBQYAAAAABgAGAFkBAADaBQ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14</w:t>
                      </w:r>
                    </w:p>
                  </w:txbxContent>
                </v:textbox>
              </v:shape>
            </w:pict>
          </mc:Fallback>
        </mc:AlternateContent>
      </w:r>
      <w:r>
        <w:rPr>
          <w:color w:val="auto"/>
          <w:sz w:val="24"/>
        </w:rPr>
        <mc:AlternateContent>
          <mc:Choice Requires="wps">
            <w:drawing>
              <wp:anchor distT="0" distB="0" distL="114300" distR="114300" simplePos="0" relativeHeight="2153383936" behindDoc="0" locked="0" layoutInCell="1" allowOverlap="1">
                <wp:simplePos x="0" y="0"/>
                <wp:positionH relativeFrom="column">
                  <wp:posOffset>6501130</wp:posOffset>
                </wp:positionH>
                <wp:positionV relativeFrom="paragraph">
                  <wp:posOffset>827405</wp:posOffset>
                </wp:positionV>
                <wp:extent cx="260985" cy="173355"/>
                <wp:effectExtent l="4445" t="4445" r="20320" b="12700"/>
                <wp:wrapNone/>
                <wp:docPr id="173" name="文本框 173"/>
                <wp:cNvGraphicFramePr/>
                <a:graphic xmlns:a="http://schemas.openxmlformats.org/drawingml/2006/main">
                  <a:graphicData uri="http://schemas.microsoft.com/office/word/2010/wordprocessingShape">
                    <wps:wsp>
                      <wps:cNvSpPr txBox="1"/>
                      <wps:spPr>
                        <a:xfrm>
                          <a:off x="0" y="0"/>
                          <a:ext cx="26098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1.9pt;margin-top:65.15pt;height:13.65pt;width:20.55pt;z-index:-2141583360;mso-width-relative:page;mso-height-relative:page;" fillcolor="#FFFFFF [3201]" filled="t" stroked="t" coordsize="21600,21600" o:gfxdata="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fIAd51wAAAA0BAAAPAAAAAAAAAAEAIAAAACIAAABkcnMv&#10;ZG93bnJldi54bWxQSwECFAAUAAAACACHTuJArbsvaT0CAABsBAAADgAAAAAAAAABACAAAAAmAQAA&#10;ZHJzL2Uyb0RvYy54bWxQSwUGAAAAAAYABgBZAQAA1QU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13</w:t>
                      </w:r>
                    </w:p>
                  </w:txbxContent>
                </v:textbox>
              </v:shape>
            </w:pict>
          </mc:Fallback>
        </mc:AlternateContent>
      </w:r>
      <w:r>
        <w:rPr>
          <w:color w:val="auto"/>
          <w:sz w:val="24"/>
        </w:rPr>
        <mc:AlternateContent>
          <mc:Choice Requires="wps">
            <w:drawing>
              <wp:anchor distT="0" distB="0" distL="114300" distR="114300" simplePos="0" relativeHeight="2908964864" behindDoc="0" locked="0" layoutInCell="1" allowOverlap="1">
                <wp:simplePos x="0" y="0"/>
                <wp:positionH relativeFrom="column">
                  <wp:posOffset>6508750</wp:posOffset>
                </wp:positionH>
                <wp:positionV relativeFrom="paragraph">
                  <wp:posOffset>973455</wp:posOffset>
                </wp:positionV>
                <wp:extent cx="260985" cy="173355"/>
                <wp:effectExtent l="4445" t="4445" r="20320" b="12700"/>
                <wp:wrapNone/>
                <wp:docPr id="172" name="文本框 172"/>
                <wp:cNvGraphicFramePr/>
                <a:graphic xmlns:a="http://schemas.openxmlformats.org/drawingml/2006/main">
                  <a:graphicData uri="http://schemas.microsoft.com/office/word/2010/wordprocessingShape">
                    <wps:wsp>
                      <wps:cNvSpPr txBox="1"/>
                      <wps:spPr>
                        <a:xfrm>
                          <a:off x="0" y="0"/>
                          <a:ext cx="26098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5pt;margin-top:76.65pt;height:13.65pt;width:20.55pt;z-index:-1386002432;mso-width-relative:page;mso-height-relative:page;" fillcolor="#FFFFFF [3201]" filled="t" stroked="t" coordsize="21600,21600" o:gfxdata="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YSXg3XAAAADQEAAA8AAAAAAAAAAQAgAAAAIgAAAGRy&#10;cy9kb3ducmV2LnhtbFBLAQIUABQAAAAIAIdO4kAKcYxkPwIAAGwEAAAOAAAAAAAAAAEAIAAAACYB&#10;AABkcnMvZTJvRG9jLnhtbFBLBQYAAAAABgAGAFkBAADXBQ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12</w:t>
                      </w:r>
                    </w:p>
                  </w:txbxContent>
                </v:textbox>
              </v:shape>
            </w:pict>
          </mc:Fallback>
        </mc:AlternateContent>
      </w:r>
      <w:r>
        <w:rPr>
          <w:color w:val="auto"/>
          <w:sz w:val="24"/>
        </w:rPr>
        <mc:AlternateContent>
          <mc:Choice Requires="wps">
            <w:drawing>
              <wp:anchor distT="0" distB="0" distL="114300" distR="114300" simplePos="0" relativeHeight="3664545792" behindDoc="0" locked="0" layoutInCell="1" allowOverlap="1">
                <wp:simplePos x="0" y="0"/>
                <wp:positionH relativeFrom="column">
                  <wp:posOffset>6604000</wp:posOffset>
                </wp:positionH>
                <wp:positionV relativeFrom="paragraph">
                  <wp:posOffset>1127125</wp:posOffset>
                </wp:positionV>
                <wp:extent cx="260985" cy="173355"/>
                <wp:effectExtent l="4445" t="4445" r="20320" b="12700"/>
                <wp:wrapNone/>
                <wp:docPr id="171" name="文本框 171"/>
                <wp:cNvGraphicFramePr/>
                <a:graphic xmlns:a="http://schemas.openxmlformats.org/drawingml/2006/main">
                  <a:graphicData uri="http://schemas.microsoft.com/office/word/2010/wordprocessingShape">
                    <wps:wsp>
                      <wps:cNvSpPr txBox="1"/>
                      <wps:spPr>
                        <a:xfrm>
                          <a:off x="0" y="0"/>
                          <a:ext cx="26098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0pt;margin-top:88.75pt;height:13.65pt;width:20.55pt;z-index:-630421504;mso-width-relative:page;mso-height-relative:page;" fillcolor="#FFFFFF [3201]" filled="t" stroked="t" coordsize="21600,21600" o:gfxdata="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&#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jrS8p2QAAAA0BAAAPAAAAAAAAAAEAIAAAACIAAABk&#10;cnMvZG93bnJldi54bWxQSwECFAAUAAAACACHTuJA4y5ocj4CAABsBAAADgAAAAAAAAABACAAAAAo&#10;AQAAZHJzL2Uyb0RvYy54bWxQSwUGAAAAAAYABgBZAQAA2AU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10</w:t>
                      </w:r>
                    </w:p>
                  </w:txbxContent>
                </v:textbox>
              </v:shape>
            </w:pict>
          </mc:Fallback>
        </mc:AlternateContent>
      </w:r>
      <w:r>
        <w:rPr>
          <w:color w:val="auto"/>
          <w:sz w:val="24"/>
        </w:rPr>
        <mc:AlternateContent>
          <mc:Choice Requires="wps">
            <w:drawing>
              <wp:anchor distT="0" distB="0" distL="114300" distR="114300" simplePos="0" relativeHeight="3158919168" behindDoc="0" locked="0" layoutInCell="1" allowOverlap="1">
                <wp:simplePos x="0" y="0"/>
                <wp:positionH relativeFrom="column">
                  <wp:posOffset>6436360</wp:posOffset>
                </wp:positionH>
                <wp:positionV relativeFrom="paragraph">
                  <wp:posOffset>1550670</wp:posOffset>
                </wp:positionV>
                <wp:extent cx="196215" cy="173355"/>
                <wp:effectExtent l="4445" t="4445" r="8890" b="12700"/>
                <wp:wrapNone/>
                <wp:docPr id="169" name="文本框 169"/>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6.8pt;margin-top:122.1pt;height:13.65pt;width:15.45pt;z-index:-1136048128;mso-width-relative:page;mso-height-relative:page;" fillcolor="#FFFFFF [3201]" filled="t" stroked="t" coordsize="21600,21600" o:gfxdata="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cEKntgAAAANAQAADwAAAAAAAAABACAAAAAiAAAAZHJz&#10;L2Rvd25yZXYueG1sUEsBAhQAFAAAAAgAh07iQA1UDAk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8</w:t>
                      </w:r>
                    </w:p>
                  </w:txbxContent>
                </v:textbox>
              </v:shape>
            </w:pict>
          </mc:Fallback>
        </mc:AlternateContent>
      </w:r>
      <w:r>
        <w:rPr>
          <w:color w:val="auto"/>
          <w:sz w:val="24"/>
        </w:rPr>
        <mc:AlternateContent>
          <mc:Choice Requires="wps">
            <w:drawing>
              <wp:anchor distT="0" distB="0" distL="114300" distR="114300" simplePos="0" relativeHeight="630786048" behindDoc="0" locked="0" layoutInCell="1" allowOverlap="1">
                <wp:simplePos x="0" y="0"/>
                <wp:positionH relativeFrom="column">
                  <wp:posOffset>6590030</wp:posOffset>
                </wp:positionH>
                <wp:positionV relativeFrom="paragraph">
                  <wp:posOffset>1543050</wp:posOffset>
                </wp:positionV>
                <wp:extent cx="196215" cy="173355"/>
                <wp:effectExtent l="4445" t="4445" r="8890" b="12700"/>
                <wp:wrapNone/>
                <wp:docPr id="165" name="文本框 165"/>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8.9pt;margin-top:121.5pt;height:13.65pt;width:15.45pt;z-index:630786048;mso-width-relative:page;mso-height-relative:page;" fillcolor="#FFFFFF [3201]" filled="t" stroked="t" coordsize="21600,21600" o:gfxdata="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UIkx02AAAAA0BAAAPAAAAAAAAAAEAIAAAACIAAABk&#10;cnMvZG93bnJldi54bWxQSwECFAAUAAAACACHTuJAqSudUj8CAABsBAAADgAAAAAAAAABACAAAAAn&#10;AQAAZHJzL2Uyb0RvYy54bWxQSwUGAAAAAAYABgBZAQAA2AU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4</w:t>
                      </w:r>
                    </w:p>
                  </w:txbxContent>
                </v:textbox>
              </v:shape>
            </w:pict>
          </mc:Fallback>
        </mc:AlternateContent>
      </w:r>
      <w:r>
        <w:rPr>
          <w:color w:val="auto"/>
          <w:sz w:val="24"/>
        </w:rPr>
        <mc:AlternateContent>
          <mc:Choice Requires="wps">
            <w:drawing>
              <wp:anchor distT="0" distB="0" distL="114300" distR="114300" simplePos="0" relativeHeight="251566080" behindDoc="0" locked="0" layoutInCell="1" allowOverlap="1">
                <wp:simplePos x="0" y="0"/>
                <wp:positionH relativeFrom="column">
                  <wp:posOffset>6289040</wp:posOffset>
                </wp:positionH>
                <wp:positionV relativeFrom="paragraph">
                  <wp:posOffset>1353185</wp:posOffset>
                </wp:positionV>
                <wp:extent cx="196215" cy="173355"/>
                <wp:effectExtent l="4445" t="4445" r="8890" b="12700"/>
                <wp:wrapNone/>
                <wp:docPr id="162" name="文本框 162"/>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2pt;margin-top:106.55pt;height:13.65pt;width:15.45pt;z-index:251566080;mso-width-relative:page;mso-height-relative:page;" fillcolor="#FFFFFF [3201]" filled="t" stroked="t" coordsize="21600,21600" o:gfxdata="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TJY7DWAAAADAEAAA8AAAAAAAAAAQAgAAAAIgAAAGRycy9k&#10;b3ducmV2LnhtbFBLAQIUABQAAAAIAIdO4kDcXvZyPQIAAGwEAAAOAAAAAAAAAAEAIAAAACUBAABk&#10;cnMvZTJvRG9jLnhtbFBLBQYAAAAABgAGAFkBAADUBQ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2</w:t>
                      </w:r>
                    </w:p>
                  </w:txbxContent>
                </v:textbox>
              </v:shape>
            </w:pict>
          </mc:Fallback>
        </mc:AlternateContent>
      </w:r>
      <w:r>
        <w:rPr>
          <w:color w:val="auto"/>
          <w:sz w:val="24"/>
        </w:rPr>
        <mc:AlternateContent>
          <mc:Choice Requires="wps">
            <w:drawing>
              <wp:anchor distT="0" distB="0" distL="114300" distR="114300" simplePos="0" relativeHeight="2653292544" behindDoc="0" locked="0" layoutInCell="1" allowOverlap="1">
                <wp:simplePos x="0" y="0"/>
                <wp:positionH relativeFrom="column">
                  <wp:posOffset>6289675</wp:posOffset>
                </wp:positionH>
                <wp:positionV relativeFrom="paragraph">
                  <wp:posOffset>1528445</wp:posOffset>
                </wp:positionV>
                <wp:extent cx="196215" cy="173355"/>
                <wp:effectExtent l="4445" t="4445" r="8890" b="12700"/>
                <wp:wrapNone/>
                <wp:docPr id="168" name="文本框 168"/>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25pt;margin-top:120.35pt;height:13.65pt;width:15.45pt;z-index:-1641674752;mso-width-relative:page;mso-height-relative:page;" fillcolor="#FFFFFF [3201]" filled="t" stroked="t" coordsize="21600,21600" o:gfxdata="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wibqetgAAAAMAQAADwAAAAAAAAABACAAAAAiAAAAZHJz&#10;L2Rvd25yZXYueG1sUEsBAhQAFAAAAAgAh07iQKqerwQ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7</w:t>
                      </w:r>
                    </w:p>
                  </w:txbxContent>
                </v:textbox>
              </v:shape>
            </w:pict>
          </mc:Fallback>
        </mc:AlternateContent>
      </w:r>
      <w:r>
        <w:rPr>
          <w:color w:val="auto"/>
          <w:sz w:val="24"/>
        </w:rPr>
        <mc:AlternateContent>
          <mc:Choice Requires="wps">
            <w:drawing>
              <wp:anchor distT="0" distB="0" distL="114300" distR="114300" simplePos="0" relativeHeight="1642039296" behindDoc="0" locked="0" layoutInCell="1" allowOverlap="1">
                <wp:simplePos x="0" y="0"/>
                <wp:positionH relativeFrom="column">
                  <wp:posOffset>6502400</wp:posOffset>
                </wp:positionH>
                <wp:positionV relativeFrom="paragraph">
                  <wp:posOffset>1353185</wp:posOffset>
                </wp:positionV>
                <wp:extent cx="196215" cy="173355"/>
                <wp:effectExtent l="4445" t="4445" r="8890" b="12700"/>
                <wp:wrapNone/>
                <wp:docPr id="167" name="文本框 167"/>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pt;margin-top:106.55pt;height:13.65pt;width:15.45pt;z-index:1642039296;mso-width-relative:page;mso-height-relative:page;" fillcolor="#FFFFFF [3201]" filled="t" stroked="t" coordsize="21600,21600" o:gfxdata="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i6BNtgAAAANAQAADwAAAAAAAAABACAAAAAiAAAAZHJz&#10;L2Rvd25yZXYueG1sUEsBAhQAFAAAAAgAh07iQOe+2kk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6</w:t>
                      </w:r>
                    </w:p>
                  </w:txbxContent>
                </v:textbox>
              </v:shape>
            </w:pict>
          </mc:Fallback>
        </mc:AlternateContent>
      </w:r>
      <w:r>
        <w:rPr>
          <w:color w:val="auto"/>
          <w:sz w:val="24"/>
        </w:rPr>
        <mc:AlternateContent>
          <mc:Choice Requires="wps">
            <w:drawing>
              <wp:anchor distT="0" distB="0" distL="114300" distR="114300" simplePos="0" relativeHeight="1136412672" behindDoc="0" locked="0" layoutInCell="1" allowOverlap="1">
                <wp:simplePos x="0" y="0"/>
                <wp:positionH relativeFrom="column">
                  <wp:posOffset>6252845</wp:posOffset>
                </wp:positionH>
                <wp:positionV relativeFrom="paragraph">
                  <wp:posOffset>1733550</wp:posOffset>
                </wp:positionV>
                <wp:extent cx="196215" cy="173355"/>
                <wp:effectExtent l="4445" t="4445" r="8890" b="12700"/>
                <wp:wrapNone/>
                <wp:docPr id="166" name="文本框 166"/>
                <wp:cNvGraphicFramePr/>
                <a:graphic xmlns:a="http://schemas.openxmlformats.org/drawingml/2006/main">
                  <a:graphicData uri="http://schemas.microsoft.com/office/word/2010/wordprocessingShape">
                    <wps:wsp>
                      <wps:cNvSpPr txBox="1"/>
                      <wps:spPr>
                        <a:xfrm>
                          <a:off x="0" y="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2.35pt;margin-top:136.5pt;height:13.65pt;width:15.45pt;z-index:1136412672;mso-width-relative:page;mso-height-relative:page;" fillcolor="#FFFFFF [3201]" filled="t" stroked="t" coordsize="21600,21600" o:gfxdata="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nHE8dgAAAAMAQAADwAAAAAAAAABACAAAAAiAAAAZHJz&#10;L2Rvd25yZXYueG1sUEsBAhQAFAAAAAgAh07iQEB0eUQ9AgAAbAQAAA4AAAAAAAAAAQAgAAAAJwEA&#10;AGRycy9lMm9Eb2MueG1sUEsFBgAAAAAGAAYAWQEAANY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5</w:t>
                      </w:r>
                    </w:p>
                  </w:txbxContent>
                </v:textbox>
              </v:shape>
            </w:pict>
          </mc:Fallback>
        </mc:AlternateContent>
      </w:r>
      <w:r>
        <w:rPr>
          <w:color w:val="auto"/>
          <w:sz w:val="24"/>
        </w:rPr>
        <mc:AlternateContent>
          <mc:Choice Requires="wps">
            <w:drawing>
              <wp:anchor distT="0" distB="0" distL="114300" distR="114300" simplePos="0" relativeHeight="128988160" behindDoc="0" locked="0" layoutInCell="1" allowOverlap="1">
                <wp:simplePos x="0" y="0"/>
                <wp:positionH relativeFrom="column">
                  <wp:posOffset>7204710</wp:posOffset>
                </wp:positionH>
                <wp:positionV relativeFrom="paragraph">
                  <wp:posOffset>1689735</wp:posOffset>
                </wp:positionV>
                <wp:extent cx="196215" cy="173355"/>
                <wp:effectExtent l="4445" t="4445" r="8890" b="12700"/>
                <wp:wrapNone/>
                <wp:docPr id="152" name="文本框 152"/>
                <wp:cNvGraphicFramePr/>
                <a:graphic xmlns:a="http://schemas.openxmlformats.org/drawingml/2006/main">
                  <a:graphicData uri="http://schemas.microsoft.com/office/word/2010/wordprocessingShape">
                    <wps:wsp>
                      <wps:cNvSpPr txBox="1"/>
                      <wps:spPr>
                        <a:xfrm>
                          <a:off x="8267065" y="2980690"/>
                          <a:ext cx="196215" cy="173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3pt;margin-top:133.05pt;height:13.65pt;width:15.45pt;z-index:128988160;mso-width-relative:page;mso-height-relative:page;" fillcolor="#FFFFFF [3201]" filled="t" stroked="t" coordsize="21600,21600" o:gfxdata="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D4v4dgAAAANAQAADwAAAAAAAAAB&#10;ACAAAAAiAAAAZHJzL2Rvd25yZXYueG1sUEsBAhQAFAAAAAgAh07iQAH/d/9JAgAAeAQAAA4AAAAA&#10;AAAAAQAgAAAAJwEAAGRycy9lMm9Eb2MueG1sUEsFBgAAAAAGAAYAWQEAAOIFAAAAAA==&#10;">
                <v:fill on="t" focussize="0,0"/>
                <v:stroke weight="0.5pt" color="#000000 [3204]" joinstyle="round"/>
                <v:imagedata o:title=""/>
                <o:lock v:ext="edit" aspectratio="f"/>
                <v:textbox>
                  <w:txbxContent>
                    <w:p>
                      <w:pPr>
                        <w:jc w:val="left"/>
                        <w:rPr>
                          <w:rFonts w:hint="default" w:eastAsia="宋体"/>
                          <w:color w:val="FF0000"/>
                          <w:sz w:val="10"/>
                          <w:szCs w:val="10"/>
                          <w:lang w:val="en-US" w:eastAsia="zh-CN"/>
                          <w14:glow w14:rad="0">
                            <w14:srgbClr w14:val="000000"/>
                          </w14:glow>
                          <w14:shadow w14:blurRad="0" w14:dist="38100" w14:dir="2700000" w14:sx="100000" w14:sy="100000" w14:kx="0" w14:ky="0" w14:algn="bl">
                            <w14:schemeClr w14:val="accent5"/>
                          </w14:shadow>
                          <w14:reflection w14:blurRad="0" w14:stA="0" w14:stPos="0" w14:endA="0" w14:endPos="0" w14:dist="0" w14:dir="0" w14:fadeDir="0" w14:sx="0" w14:sy="0" w14:kx="0" w14:ky="0" w14:algn="none"/>
                          <w14:textOutline w14:w="13462">
                            <w14:solidFill>
                              <w14:schemeClr w14:val="bg1"/>
                            </w14:solidFill>
                            <w14:prstDash w14:val="solid"/>
                            <w14:round/>
                          </w14:textOutline>
                          <w14:props3d w14:extrusionH="0" w14:contourW="0" w14:prstMaterial="clear"/>
                        </w:rPr>
                      </w:pPr>
                      <w:r>
                        <w:rPr>
                          <w:rFonts w:hint="eastAsia"/>
                          <w:color w:val="FF0000"/>
                          <w:sz w:val="10"/>
                          <w:szCs w:val="1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props3d w14:extrusionH="0" w14:contourW="0" w14:prstMaterial="clear"/>
                        </w:rPr>
                        <w:t>1</w:t>
                      </w:r>
                    </w:p>
                  </w:txbxContent>
                </v:textbox>
              </v:shape>
            </w:pict>
          </mc:Fallback>
        </mc:AlternateContent>
      </w:r>
      <w:r>
        <w:rPr>
          <w:rFonts w:hint="default" w:ascii="Calibri" w:hAnsi="Calibri" w:cs="Calibri"/>
          <w:color w:val="auto"/>
          <w:lang w:eastAsia="zh-CN"/>
        </w:rPr>
        <w:t>①</w:t>
      </w:r>
      <w:r>
        <w:rPr>
          <w:rFonts w:hint="eastAsia"/>
          <w:color w:val="auto"/>
          <w:lang w:eastAsia="zh-CN"/>
        </w:rPr>
        <w:drawing>
          <wp:inline distT="0" distB="0" distL="114300" distR="114300">
            <wp:extent cx="8315325" cy="4186555"/>
            <wp:effectExtent l="0" t="0" r="9525" b="4445"/>
            <wp:docPr id="146" name="图片 146" descr="1561777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1561777240(1)"/>
                    <pic:cNvPicPr>
                      <a:picLocks noChangeAspect="1"/>
                    </pic:cNvPicPr>
                  </pic:nvPicPr>
                  <pic:blipFill>
                    <a:blip r:embed="rId68"/>
                    <a:stretch>
                      <a:fillRect/>
                    </a:stretch>
                  </pic:blipFill>
                  <pic:spPr>
                    <a:xfrm>
                      <a:off x="0" y="0"/>
                      <a:ext cx="8315325" cy="4186555"/>
                    </a:xfrm>
                    <a:prstGeom prst="rect">
                      <a:avLst/>
                    </a:prstGeom>
                  </pic:spPr>
                </pic:pic>
              </a:graphicData>
            </a:graphic>
          </wp:inline>
        </w:drawing>
      </w:r>
    </w:p>
    <w:p>
      <w:pPr>
        <w:pStyle w:val="5"/>
        <w:ind w:firstLine="480"/>
        <w:jc w:val="center"/>
        <w:rPr>
          <w:rFonts w:hint="eastAsia"/>
          <w:color w:val="auto"/>
          <w:lang w:eastAsia="zh-CN"/>
        </w:rPr>
      </w:pPr>
    </w:p>
    <w:p>
      <w:pPr>
        <w:pStyle w:val="5"/>
        <w:ind w:firstLine="480"/>
        <w:jc w:val="center"/>
        <w:rPr>
          <w:rFonts w:hint="eastAsia"/>
          <w:color w:val="auto"/>
          <w:lang w:eastAsia="zh-CN"/>
        </w:rPr>
      </w:pPr>
    </w:p>
    <w:p>
      <w:pPr>
        <w:pStyle w:val="5"/>
        <w:ind w:firstLine="480"/>
        <w:jc w:val="center"/>
        <w:rPr>
          <w:rFonts w:hint="eastAsia"/>
          <w:color w:val="auto"/>
          <w:lang w:eastAsia="zh-CN"/>
        </w:rPr>
      </w:pPr>
    </w:p>
    <w:p>
      <w:pPr>
        <w:pStyle w:val="5"/>
        <w:ind w:left="0" w:leftChars="0" w:firstLine="0" w:firstLineChars="0"/>
        <w:jc w:val="center"/>
        <w:rPr>
          <w:rFonts w:hint="eastAsia"/>
          <w:color w:val="auto"/>
          <w:lang w:eastAsia="zh-CN"/>
        </w:rPr>
      </w:pPr>
      <w:r>
        <w:rPr>
          <w:rFonts w:hint="eastAsia"/>
          <w:color w:val="auto"/>
          <w:lang w:eastAsia="zh-CN"/>
        </w:rPr>
        <w:t>附图</w:t>
      </w:r>
      <w:r>
        <w:rPr>
          <w:rFonts w:hint="eastAsia"/>
          <w:color w:val="auto"/>
          <w:lang w:val="en-US" w:eastAsia="zh-CN"/>
        </w:rPr>
        <w:t xml:space="preserve">6  </w:t>
      </w:r>
      <w:r>
        <w:rPr>
          <w:rFonts w:hint="eastAsia"/>
          <w:color w:val="auto"/>
          <w:lang w:eastAsia="zh-CN"/>
        </w:rPr>
        <w:t>项目总平面布置图</w:t>
      </w:r>
    </w:p>
    <w:p>
      <w:pPr>
        <w:pStyle w:val="5"/>
        <w:ind w:firstLine="480"/>
        <w:jc w:val="center"/>
        <w:rPr>
          <w:color w:val="auto"/>
        </w:rPr>
      </w:pPr>
      <w:r>
        <w:rPr>
          <w:color w:val="auto"/>
          <w:sz w:val="24"/>
        </w:rPr>
        <mc:AlternateContent>
          <mc:Choice Requires="wps">
            <w:drawing>
              <wp:anchor distT="0" distB="0" distL="114300" distR="114300" simplePos="0" relativeHeight="125316096" behindDoc="0" locked="0" layoutInCell="1" allowOverlap="1">
                <wp:simplePos x="0" y="0"/>
                <wp:positionH relativeFrom="column">
                  <wp:posOffset>2142490</wp:posOffset>
                </wp:positionH>
                <wp:positionV relativeFrom="paragraph">
                  <wp:posOffset>857250</wp:posOffset>
                </wp:positionV>
                <wp:extent cx="702945" cy="252095"/>
                <wp:effectExtent l="5080" t="5080" r="15875" b="9525"/>
                <wp:wrapNone/>
                <wp:docPr id="61" name="文本框 61"/>
                <wp:cNvGraphicFramePr/>
                <a:graphic xmlns:a="http://schemas.openxmlformats.org/drawingml/2006/main">
                  <a:graphicData uri="http://schemas.microsoft.com/office/word/2010/wordprocessingShape">
                    <wps:wsp>
                      <wps:cNvSpPr txBox="1"/>
                      <wps:spPr>
                        <a:xfrm>
                          <a:off x="0" y="0"/>
                          <a:ext cx="702945" cy="2520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color w:val="4F81BD"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事故水池平面布置</w:t>
                            </w:r>
                            <w:r>
                              <w:rPr>
                                <w:rFonts w:hint="eastAsia"/>
                                <w:color w:val="4F81BD"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7pt;margin-top:67.5pt;height:19.85pt;width:55.35pt;z-index:125316096;mso-width-relative:page;mso-height-relative:page;" fillcolor="#FFFFFF [3201]" filled="t" stroked="t" coordsize="21600,21600" o:gfxdata="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Cw9CjXAAAACwEAAA8AAAAAAAAAAQAgAAAAIgAAAGRycy9k&#10;b3ducmV2LnhtbFBLAQIUABQAAAAIAIdO4kAlViuIPAIAAGoEAAAOAAAAAAAAAAEAIAAAACYBAABk&#10;cnMvZTJvRG9jLnhtbFBLBQYAAAAABgAGAFkBAADUBQ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color w:val="4F81BD"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事故水池平面布置</w:t>
                      </w:r>
                      <w:r>
                        <w:rPr>
                          <w:rFonts w:hint="eastAsia"/>
                          <w:color w:val="4F81BD"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图</w:t>
                      </w:r>
                    </w:p>
                  </w:txbxContent>
                </v:textbox>
              </v:shape>
            </w:pict>
          </mc:Fallback>
        </mc:AlternateContent>
      </w:r>
      <w:r>
        <w:rPr>
          <w:rFonts w:hint="eastAsia" w:eastAsia="宋体"/>
          <w:color w:val="auto"/>
          <w:lang w:eastAsia="zh-CN"/>
        </w:rPr>
        <w:drawing>
          <wp:inline distT="0" distB="0" distL="114300" distR="114300">
            <wp:extent cx="7000875" cy="5232400"/>
            <wp:effectExtent l="0" t="0" r="9525" b="6350"/>
            <wp:docPr id="47" name="图片 47" descr="1562854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562854632(1)"/>
                    <pic:cNvPicPr>
                      <a:picLocks noChangeAspect="1"/>
                    </pic:cNvPicPr>
                  </pic:nvPicPr>
                  <pic:blipFill>
                    <a:blip r:embed="rId69"/>
                    <a:stretch>
                      <a:fillRect/>
                    </a:stretch>
                  </pic:blipFill>
                  <pic:spPr>
                    <a:xfrm>
                      <a:off x="0" y="0"/>
                      <a:ext cx="7000875" cy="5232400"/>
                    </a:xfrm>
                    <a:prstGeom prst="rect">
                      <a:avLst/>
                    </a:prstGeom>
                  </pic:spPr>
                </pic:pic>
              </a:graphicData>
            </a:graphic>
          </wp:inline>
        </w:drawing>
      </w:r>
      <w:r>
        <w:drawing>
          <wp:anchor distT="0" distB="0" distL="114300" distR="114300" simplePos="0" relativeHeight="4041030656" behindDoc="0" locked="0" layoutInCell="1" allowOverlap="1">
            <wp:simplePos x="0" y="0"/>
            <wp:positionH relativeFrom="column">
              <wp:posOffset>7467600</wp:posOffset>
            </wp:positionH>
            <wp:positionV relativeFrom="paragraph">
              <wp:posOffset>24130</wp:posOffset>
            </wp:positionV>
            <wp:extent cx="600710" cy="473075"/>
            <wp:effectExtent l="19050" t="19050" r="27940" b="22225"/>
            <wp:wrapNone/>
            <wp:docPr id="59" name="图片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descr="0"/>
                    <pic:cNvPicPr>
                      <a:picLocks noChangeAspect="1" noChangeArrowheads="1"/>
                    </pic:cNvPicPr>
                  </pic:nvPicPr>
                  <pic:blipFill>
                    <a:blip r:embed="rId60" cstate="print"/>
                    <a:srcRect/>
                    <a:stretch>
                      <a:fillRect/>
                    </a:stretch>
                  </pic:blipFill>
                  <pic:spPr>
                    <a:xfrm>
                      <a:off x="0" y="0"/>
                      <a:ext cx="600710" cy="473075"/>
                    </a:xfrm>
                    <a:prstGeom prst="rect">
                      <a:avLst/>
                    </a:prstGeom>
                    <a:noFill/>
                    <a:ln w="19050">
                      <a:solidFill>
                        <a:srgbClr val="000000"/>
                      </a:solidFill>
                      <a:miter lim="800000"/>
                      <a:headEnd/>
                      <a:tailEnd/>
                    </a:ln>
                  </pic:spPr>
                </pic:pic>
              </a:graphicData>
            </a:graphic>
          </wp:anchor>
        </w:drawing>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6261735</wp:posOffset>
                </wp:positionH>
                <wp:positionV relativeFrom="paragraph">
                  <wp:posOffset>4895215</wp:posOffset>
                </wp:positionV>
                <wp:extent cx="1809750" cy="333375"/>
                <wp:effectExtent l="4445" t="4445" r="14605" b="5080"/>
                <wp:wrapNone/>
                <wp:docPr id="134" name="文本框 134"/>
                <wp:cNvGraphicFramePr/>
                <a:graphic xmlns:a="http://schemas.openxmlformats.org/drawingml/2006/main">
                  <a:graphicData uri="http://schemas.microsoft.com/office/word/2010/wordprocessingShape">
                    <wps:wsp>
                      <wps:cNvSpPr txBox="1"/>
                      <wps:spPr>
                        <a:xfrm>
                          <a:off x="8028305" y="6298565"/>
                          <a:ext cx="1809750" cy="3333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color w:val="4F81BD"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项目总平面布置</w:t>
                            </w:r>
                            <w:r>
                              <w:rPr>
                                <w:rFonts w:hint="eastAsia"/>
                                <w:color w:val="4F81BD"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3.05pt;margin-top:385.45pt;height:26.25pt;width:142.5pt;z-index:251714560;mso-width-relative:page;mso-height-relative:page;" fillcolor="#FFFFFF [3201]" filled="t" stroked="t" coordsize="21600,21600" o:gfxdata="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5Fpt32AAAAAwBAAAPAAAAAAAA&#10;AAEAIAAAACIAAABkcnMvZG93bnJldi54bWxQSwECFAAUAAAACACHTuJA4zlqREsCAAB5BAAADgAA&#10;AAAAAAABACAAAAAnAQAAZHJzL2Uyb0RvYy54bWxQSwUGAAAAAAYABgBZAQAA5AU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color w:val="4F81BD" w:themeColor="accent1"/>
                          <w:lang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项目总平面布置</w:t>
                      </w:r>
                      <w:r>
                        <w:rPr>
                          <w:rFonts w:hint="eastAsia"/>
                          <w:color w:val="4F81BD"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图</w:t>
                      </w:r>
                    </w:p>
                  </w:txbxContent>
                </v:textbox>
              </v:shape>
            </w:pict>
          </mc:Fallback>
        </mc:AlternateContent>
      </w:r>
    </w:p>
    <w:p>
      <w:pPr>
        <w:pStyle w:val="5"/>
        <w:ind w:left="0" w:leftChars="0" w:firstLine="0" w:firstLineChars="0"/>
        <w:jc w:val="left"/>
        <w:rPr>
          <w:color w:val="auto"/>
        </w:rPr>
        <w:sectPr>
          <w:pgSz w:w="16840" w:h="11907" w:orient="landscape"/>
          <w:pgMar w:top="1474" w:right="1474" w:bottom="1531" w:left="1418" w:header="1020" w:footer="992" w:gutter="0"/>
          <w:pgNumType w:fmt="decimal"/>
          <w:cols w:space="0" w:num="1"/>
          <w:rtlGutter w:val="0"/>
          <w:docGrid w:linePitch="312" w:charSpace="0"/>
        </w:sect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default"/>
          <w:color w:val="auto"/>
          <w:lang w:val="en-US" w:eastAsia="zh-CN"/>
        </w:rPr>
      </w:pPr>
      <w:r>
        <w:rPr>
          <w:rFonts w:hint="eastAsia"/>
          <w:color w:val="auto"/>
          <w:lang w:val="en-US" w:eastAsia="zh-CN"/>
        </w:rPr>
        <w:t>附件一：环评委托书</w:t>
      </w:r>
    </w:p>
    <w:p>
      <w:pPr>
        <w:pStyle w:val="5"/>
        <w:ind w:left="0" w:leftChars="0" w:firstLine="0" w:firstLineChars="0"/>
        <w:jc w:val="left"/>
        <w:rPr>
          <w:rFonts w:hint="eastAsia"/>
          <w:color w:val="auto"/>
          <w:lang w:eastAsia="zh-CN"/>
        </w:rPr>
      </w:pPr>
      <w:r>
        <w:rPr>
          <w:color w:val="auto"/>
        </w:rPr>
        <w:drawing>
          <wp:anchor distT="0" distB="0" distL="114300" distR="114300" simplePos="0" relativeHeight="2335886336" behindDoc="0" locked="0" layoutInCell="1" allowOverlap="1">
            <wp:simplePos x="0" y="0"/>
            <wp:positionH relativeFrom="column">
              <wp:posOffset>28575</wp:posOffset>
            </wp:positionH>
            <wp:positionV relativeFrom="paragraph">
              <wp:posOffset>102235</wp:posOffset>
            </wp:positionV>
            <wp:extent cx="5645785" cy="7728585"/>
            <wp:effectExtent l="0" t="0" r="12065" b="5715"/>
            <wp:wrapNone/>
            <wp:docPr id="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2"/>
                    <pic:cNvPicPr>
                      <a:picLocks noChangeAspect="1"/>
                    </pic:cNvPicPr>
                  </pic:nvPicPr>
                  <pic:blipFill>
                    <a:blip r:embed="rId70"/>
                    <a:stretch>
                      <a:fillRect/>
                    </a:stretch>
                  </pic:blipFill>
                  <pic:spPr>
                    <a:xfrm>
                      <a:off x="0" y="0"/>
                      <a:ext cx="5645785" cy="7728585"/>
                    </a:xfrm>
                    <a:prstGeom prst="rect">
                      <a:avLst/>
                    </a:prstGeom>
                    <a:noFill/>
                    <a:ln>
                      <a:noFill/>
                    </a:ln>
                  </pic:spPr>
                </pic:pic>
              </a:graphicData>
            </a:graphic>
          </wp:anchor>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r>
        <w:rPr>
          <w:rFonts w:hint="eastAsia"/>
          <w:color w:val="auto"/>
          <w:lang w:eastAsia="zh-CN"/>
        </w:rPr>
        <w:t>附件二：评价标准执行函</w:t>
      </w:r>
    </w:p>
    <w:p>
      <w:pPr>
        <w:pStyle w:val="5"/>
        <w:ind w:left="0" w:leftChars="0" w:firstLine="0" w:firstLineChars="0"/>
        <w:jc w:val="left"/>
        <w:rPr>
          <w:rFonts w:hint="eastAsia"/>
          <w:color w:val="auto"/>
          <w:lang w:eastAsia="zh-CN"/>
        </w:rPr>
      </w:pPr>
      <w:r>
        <w:rPr>
          <w:rFonts w:hint="eastAsia"/>
          <w:color w:val="auto"/>
          <w:lang w:eastAsia="zh-CN"/>
        </w:rPr>
        <w:drawing>
          <wp:anchor distT="0" distB="0" distL="114300" distR="114300" simplePos="0" relativeHeight="2335947776" behindDoc="0" locked="0" layoutInCell="1" allowOverlap="1">
            <wp:simplePos x="0" y="0"/>
            <wp:positionH relativeFrom="column">
              <wp:posOffset>0</wp:posOffset>
            </wp:positionH>
            <wp:positionV relativeFrom="paragraph">
              <wp:posOffset>0</wp:posOffset>
            </wp:positionV>
            <wp:extent cx="5647690" cy="7781290"/>
            <wp:effectExtent l="0" t="0" r="10160" b="10160"/>
            <wp:wrapNone/>
            <wp:docPr id="70" name="图片 70" descr="d1d836db1f6515c6c996623e709b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1d836db1f6515c6c996623e709b70b"/>
                    <pic:cNvPicPr>
                      <a:picLocks noChangeAspect="1"/>
                    </pic:cNvPicPr>
                  </pic:nvPicPr>
                  <pic:blipFill>
                    <a:blip r:embed="rId71"/>
                    <a:stretch>
                      <a:fillRect/>
                    </a:stretch>
                  </pic:blipFill>
                  <pic:spPr>
                    <a:xfrm>
                      <a:off x="0" y="0"/>
                      <a:ext cx="5647690" cy="7781290"/>
                    </a:xfrm>
                    <a:prstGeom prst="rect">
                      <a:avLst/>
                    </a:prstGeom>
                  </pic:spPr>
                </pic:pic>
              </a:graphicData>
            </a:graphic>
          </wp:anchor>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r>
        <w:rPr>
          <w:rFonts w:hint="eastAsia"/>
          <w:color w:val="auto"/>
          <w:lang w:eastAsia="zh-CN"/>
        </w:rPr>
        <w:drawing>
          <wp:anchor distT="0" distB="0" distL="114300" distR="114300" simplePos="0" relativeHeight="2335948800" behindDoc="0" locked="0" layoutInCell="1" allowOverlap="1">
            <wp:simplePos x="0" y="0"/>
            <wp:positionH relativeFrom="column">
              <wp:posOffset>0</wp:posOffset>
            </wp:positionH>
            <wp:positionV relativeFrom="paragraph">
              <wp:posOffset>0</wp:posOffset>
            </wp:positionV>
            <wp:extent cx="5647690" cy="8032115"/>
            <wp:effectExtent l="0" t="0" r="10160" b="6985"/>
            <wp:wrapNone/>
            <wp:docPr id="71" name="图片 71" descr="368d9e211edcfe5c681bc7fc26eac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68d9e211edcfe5c681bc7fc26eacd7"/>
                    <pic:cNvPicPr>
                      <a:picLocks noChangeAspect="1"/>
                    </pic:cNvPicPr>
                  </pic:nvPicPr>
                  <pic:blipFill>
                    <a:blip r:embed="rId72"/>
                    <a:stretch>
                      <a:fillRect/>
                    </a:stretch>
                  </pic:blipFill>
                  <pic:spPr>
                    <a:xfrm>
                      <a:off x="0" y="0"/>
                      <a:ext cx="5647690" cy="8032115"/>
                    </a:xfrm>
                    <a:prstGeom prst="rect">
                      <a:avLst/>
                    </a:prstGeom>
                  </pic:spPr>
                </pic:pic>
              </a:graphicData>
            </a:graphic>
          </wp:anchor>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r>
        <w:rPr>
          <w:rFonts w:hint="eastAsia"/>
          <w:color w:val="auto"/>
          <w:lang w:eastAsia="zh-CN"/>
        </w:rPr>
        <w:t>附件三：环境现状监测质保单</w:t>
      </w:r>
    </w:p>
    <w:p>
      <w:pPr>
        <w:pStyle w:val="5"/>
        <w:ind w:left="0" w:leftChars="0" w:firstLine="0" w:firstLineChars="0"/>
        <w:jc w:val="left"/>
        <w:rPr>
          <w:rFonts w:hint="eastAsia"/>
          <w:color w:val="auto"/>
          <w:lang w:eastAsia="zh-CN"/>
        </w:rPr>
      </w:pPr>
      <w:r>
        <w:rPr>
          <w:color w:val="auto"/>
        </w:rPr>
        <w:drawing>
          <wp:anchor distT="0" distB="0" distL="114300" distR="114300" simplePos="0" relativeHeight="2335889408" behindDoc="0" locked="0" layoutInCell="1" allowOverlap="1">
            <wp:simplePos x="0" y="0"/>
            <wp:positionH relativeFrom="column">
              <wp:posOffset>0</wp:posOffset>
            </wp:positionH>
            <wp:positionV relativeFrom="paragraph">
              <wp:posOffset>0</wp:posOffset>
            </wp:positionV>
            <wp:extent cx="5647055" cy="6918960"/>
            <wp:effectExtent l="0" t="0" r="10795" b="15240"/>
            <wp:wrapNone/>
            <wp:docPr id="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pic:cNvPicPr>
                      <a:picLocks noChangeAspect="1"/>
                    </pic:cNvPicPr>
                  </pic:nvPicPr>
                  <pic:blipFill>
                    <a:blip r:embed="rId73"/>
                    <a:stretch>
                      <a:fillRect/>
                    </a:stretch>
                  </pic:blipFill>
                  <pic:spPr>
                    <a:xfrm>
                      <a:off x="0" y="0"/>
                      <a:ext cx="5647055" cy="6918960"/>
                    </a:xfrm>
                    <a:prstGeom prst="rect">
                      <a:avLst/>
                    </a:prstGeom>
                    <a:noFill/>
                    <a:ln>
                      <a:noFill/>
                    </a:ln>
                  </pic:spPr>
                </pic:pic>
              </a:graphicData>
            </a:graphic>
          </wp:anchor>
        </w:drawing>
      </w: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color w:val="auto"/>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rFonts w:hint="eastAsia"/>
          <w:color w:val="auto"/>
          <w:lang w:eastAsia="zh-CN"/>
        </w:rPr>
        <w:t>附件四：</w:t>
      </w:r>
      <w:r>
        <w:rPr>
          <w:rFonts w:ascii="Times New Roman" w:hAnsi="Times New Roman" w:cs="Times New Roman"/>
          <w:color w:val="auto"/>
          <w:sz w:val="24"/>
          <w:szCs w:val="24"/>
        </w:rPr>
        <w:t>中国石化股份有限公司长岭分公司油品质量升级改扩建项目竣工验收</w:t>
      </w:r>
      <w:r>
        <w:rPr>
          <w:rFonts w:hint="eastAsia" w:ascii="Times New Roman" w:hAnsi="Times New Roman" w:cs="Times New Roman"/>
          <w:color w:val="auto"/>
          <w:sz w:val="24"/>
          <w:szCs w:val="24"/>
          <w:lang w:eastAsia="zh-CN"/>
        </w:rPr>
        <w:t>批复</w:t>
      </w: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r>
        <w:rPr>
          <w:color w:val="auto"/>
        </w:rPr>
        <w:drawing>
          <wp:inline distT="0" distB="0" distL="114300" distR="114300">
            <wp:extent cx="5651500" cy="6225540"/>
            <wp:effectExtent l="0" t="0" r="6350" b="3810"/>
            <wp:docPr id="1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2"/>
                    <pic:cNvPicPr>
                      <a:picLocks noChangeAspect="1"/>
                    </pic:cNvPicPr>
                  </pic:nvPicPr>
                  <pic:blipFill>
                    <a:blip r:embed="rId74"/>
                    <a:stretch>
                      <a:fillRect/>
                    </a:stretch>
                  </pic:blipFill>
                  <pic:spPr>
                    <a:xfrm>
                      <a:off x="0" y="0"/>
                      <a:ext cx="5651500" cy="6225540"/>
                    </a:xfrm>
                    <a:prstGeom prst="rect">
                      <a:avLst/>
                    </a:prstGeom>
                    <a:noFill/>
                    <a:ln>
                      <a:noFill/>
                    </a:ln>
                  </pic:spPr>
                </pic:pic>
              </a:graphicData>
            </a:graphic>
          </wp:inline>
        </w:drawing>
      </w: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p>
    <w:p>
      <w:pPr>
        <w:pStyle w:val="5"/>
        <w:ind w:left="0" w:leftChars="0" w:firstLine="0" w:firstLineChars="0"/>
        <w:jc w:val="left"/>
        <w:rPr>
          <w:color w:val="auto"/>
        </w:rPr>
      </w:pPr>
      <w:r>
        <w:rPr>
          <w:color w:val="auto"/>
        </w:rPr>
        <w:drawing>
          <wp:anchor distT="0" distB="0" distL="114300" distR="114300" simplePos="0" relativeHeight="2335890432" behindDoc="0" locked="0" layoutInCell="1" allowOverlap="1">
            <wp:simplePos x="0" y="0"/>
            <wp:positionH relativeFrom="column">
              <wp:posOffset>-171450</wp:posOffset>
            </wp:positionH>
            <wp:positionV relativeFrom="paragraph">
              <wp:posOffset>200660</wp:posOffset>
            </wp:positionV>
            <wp:extent cx="5652135" cy="6999605"/>
            <wp:effectExtent l="0" t="0" r="5715" b="10795"/>
            <wp:wrapNone/>
            <wp:docPr id="1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3"/>
                    <pic:cNvPicPr>
                      <a:picLocks noChangeAspect="1"/>
                    </pic:cNvPicPr>
                  </pic:nvPicPr>
                  <pic:blipFill>
                    <a:blip r:embed="rId75"/>
                    <a:stretch>
                      <a:fillRect/>
                    </a:stretch>
                  </pic:blipFill>
                  <pic:spPr>
                    <a:xfrm>
                      <a:off x="0" y="0"/>
                      <a:ext cx="5652135" cy="6999605"/>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1456" behindDoc="0" locked="0" layoutInCell="1" allowOverlap="1">
            <wp:simplePos x="0" y="0"/>
            <wp:positionH relativeFrom="column">
              <wp:posOffset>-47625</wp:posOffset>
            </wp:positionH>
            <wp:positionV relativeFrom="paragraph">
              <wp:posOffset>7620</wp:posOffset>
            </wp:positionV>
            <wp:extent cx="5647055" cy="6358890"/>
            <wp:effectExtent l="0" t="0" r="10795" b="3810"/>
            <wp:wrapNone/>
            <wp:docPr id="1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pic:cNvPicPr>
                      <a:picLocks noChangeAspect="1"/>
                    </pic:cNvPicPr>
                  </pic:nvPicPr>
                  <pic:blipFill>
                    <a:blip r:embed="rId76"/>
                    <a:stretch>
                      <a:fillRect/>
                    </a:stretch>
                  </pic:blipFill>
                  <pic:spPr>
                    <a:xfrm>
                      <a:off x="0" y="0"/>
                      <a:ext cx="5647055" cy="635889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2480" behindDoc="0" locked="0" layoutInCell="1" allowOverlap="1">
            <wp:simplePos x="0" y="0"/>
            <wp:positionH relativeFrom="column">
              <wp:posOffset>219075</wp:posOffset>
            </wp:positionH>
            <wp:positionV relativeFrom="paragraph">
              <wp:posOffset>72390</wp:posOffset>
            </wp:positionV>
            <wp:extent cx="5652135" cy="6603365"/>
            <wp:effectExtent l="0" t="0" r="5715" b="6985"/>
            <wp:wrapNone/>
            <wp:docPr id="1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5"/>
                    <pic:cNvPicPr>
                      <a:picLocks noChangeAspect="1"/>
                    </pic:cNvPicPr>
                  </pic:nvPicPr>
                  <pic:blipFill>
                    <a:blip r:embed="rId77"/>
                    <a:stretch>
                      <a:fillRect/>
                    </a:stretch>
                  </pic:blipFill>
                  <pic:spPr>
                    <a:xfrm>
                      <a:off x="0" y="0"/>
                      <a:ext cx="5652135" cy="6603365"/>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3504" behindDoc="0" locked="0" layoutInCell="1" allowOverlap="1">
            <wp:simplePos x="0" y="0"/>
            <wp:positionH relativeFrom="column">
              <wp:posOffset>0</wp:posOffset>
            </wp:positionH>
            <wp:positionV relativeFrom="paragraph">
              <wp:posOffset>0</wp:posOffset>
            </wp:positionV>
            <wp:extent cx="5647055" cy="6271260"/>
            <wp:effectExtent l="0" t="0" r="10795" b="15240"/>
            <wp:wrapNone/>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78"/>
                    <a:stretch>
                      <a:fillRect/>
                    </a:stretch>
                  </pic:blipFill>
                  <pic:spPr>
                    <a:xfrm>
                      <a:off x="0" y="0"/>
                      <a:ext cx="5647055" cy="627126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4528" behindDoc="0" locked="0" layoutInCell="1" allowOverlap="1">
            <wp:simplePos x="0" y="0"/>
            <wp:positionH relativeFrom="column">
              <wp:posOffset>0</wp:posOffset>
            </wp:positionH>
            <wp:positionV relativeFrom="paragraph">
              <wp:posOffset>0</wp:posOffset>
            </wp:positionV>
            <wp:extent cx="5647055" cy="6501130"/>
            <wp:effectExtent l="0" t="0" r="10795" b="13970"/>
            <wp:wrapNone/>
            <wp:docPr id="1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7"/>
                    <pic:cNvPicPr>
                      <a:picLocks noChangeAspect="1"/>
                    </pic:cNvPicPr>
                  </pic:nvPicPr>
                  <pic:blipFill>
                    <a:blip r:embed="rId79"/>
                    <a:stretch>
                      <a:fillRect/>
                    </a:stretch>
                  </pic:blipFill>
                  <pic:spPr>
                    <a:xfrm>
                      <a:off x="0" y="0"/>
                      <a:ext cx="5647055" cy="650113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5552" behindDoc="0" locked="0" layoutInCell="1" allowOverlap="1">
            <wp:simplePos x="0" y="0"/>
            <wp:positionH relativeFrom="column">
              <wp:posOffset>-428625</wp:posOffset>
            </wp:positionH>
            <wp:positionV relativeFrom="paragraph">
              <wp:posOffset>144145</wp:posOffset>
            </wp:positionV>
            <wp:extent cx="5648960" cy="6610985"/>
            <wp:effectExtent l="0" t="0" r="8890" b="18415"/>
            <wp:wrapNone/>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8"/>
                    <pic:cNvPicPr>
                      <a:picLocks noChangeAspect="1"/>
                    </pic:cNvPicPr>
                  </pic:nvPicPr>
                  <pic:blipFill>
                    <a:blip r:embed="rId80"/>
                    <a:stretch>
                      <a:fillRect/>
                    </a:stretch>
                  </pic:blipFill>
                  <pic:spPr>
                    <a:xfrm>
                      <a:off x="0" y="0"/>
                      <a:ext cx="5648960" cy="6610985"/>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896576" behindDoc="0" locked="0" layoutInCell="1" allowOverlap="1">
            <wp:simplePos x="0" y="0"/>
            <wp:positionH relativeFrom="column">
              <wp:posOffset>0</wp:posOffset>
            </wp:positionH>
            <wp:positionV relativeFrom="paragraph">
              <wp:posOffset>0</wp:posOffset>
            </wp:positionV>
            <wp:extent cx="5652135" cy="6276975"/>
            <wp:effectExtent l="0" t="0" r="5715" b="9525"/>
            <wp:wrapNone/>
            <wp:docPr id="1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9"/>
                    <pic:cNvPicPr>
                      <a:picLocks noChangeAspect="1"/>
                    </pic:cNvPicPr>
                  </pic:nvPicPr>
                  <pic:blipFill>
                    <a:blip r:embed="rId81"/>
                    <a:stretch>
                      <a:fillRect/>
                    </a:stretch>
                  </pic:blipFill>
                  <pic:spPr>
                    <a:xfrm>
                      <a:off x="0" y="0"/>
                      <a:ext cx="5652135" cy="6276975"/>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sectPr>
          <w:pgSz w:w="11907" w:h="16840"/>
          <w:pgMar w:top="1474" w:right="1531" w:bottom="1418" w:left="1474" w:header="1020" w:footer="992" w:gutter="0"/>
          <w:pgNumType w:fmt="decimal"/>
          <w:cols w:space="0" w:num="1"/>
          <w:rtlGutter w:val="0"/>
          <w:docGrid w:linePitch="312" w:charSpace="0"/>
        </w:sectPr>
      </w:pPr>
    </w:p>
    <w:p>
      <w:pPr>
        <w:pStyle w:val="5"/>
        <w:ind w:left="0" w:leftChars="0" w:firstLine="0" w:firstLineChars="0"/>
        <w:jc w:val="left"/>
        <w:rPr>
          <w:rFonts w:hint="eastAsia" w:ascii="Times New Roman" w:hAnsi="Times New Roman" w:cs="Times New Roman"/>
          <w:color w:val="auto"/>
          <w:sz w:val="24"/>
          <w:szCs w:val="24"/>
          <w:lang w:eastAsia="zh-CN"/>
        </w:rPr>
        <w:sectPr>
          <w:pgSz w:w="11907" w:h="16840"/>
          <w:pgMar w:top="1474" w:right="1531" w:bottom="1418" w:left="1474" w:header="1020" w:footer="992" w:gutter="0"/>
          <w:pgNumType w:fmt="decimal"/>
          <w:cols w:space="0" w:num="1"/>
          <w:rtlGutter w:val="0"/>
          <w:docGrid w:linePitch="312" w:charSpace="0"/>
        </w:sectPr>
      </w:pPr>
      <w:r>
        <w:rPr>
          <w:color w:val="auto"/>
        </w:rPr>
        <w:drawing>
          <wp:anchor distT="0" distB="0" distL="114300" distR="114300" simplePos="0" relativeHeight="2335897600" behindDoc="0" locked="0" layoutInCell="1" allowOverlap="1">
            <wp:simplePos x="0" y="0"/>
            <wp:positionH relativeFrom="column">
              <wp:posOffset>0</wp:posOffset>
            </wp:positionH>
            <wp:positionV relativeFrom="paragraph">
              <wp:posOffset>0</wp:posOffset>
            </wp:positionV>
            <wp:extent cx="5648960" cy="6894830"/>
            <wp:effectExtent l="0" t="0" r="8890" b="1270"/>
            <wp:wrapNone/>
            <wp:docPr id="1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0"/>
                    <pic:cNvPicPr>
                      <a:picLocks noChangeAspect="1"/>
                    </pic:cNvPicPr>
                  </pic:nvPicPr>
                  <pic:blipFill>
                    <a:blip r:embed="rId82"/>
                    <a:stretch>
                      <a:fillRect/>
                    </a:stretch>
                  </pic:blipFill>
                  <pic:spPr>
                    <a:xfrm>
                      <a:off x="0" y="0"/>
                      <a:ext cx="5648960" cy="689483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sectPr>
          <w:pgSz w:w="11907" w:h="16840"/>
          <w:pgMar w:top="1474" w:right="1531" w:bottom="1418" w:left="1474" w:header="1020" w:footer="992" w:gutter="0"/>
          <w:pgNumType w:fmt="decimal"/>
          <w:cols w:space="0" w:num="1"/>
          <w:rtlGutter w:val="0"/>
          <w:docGrid w:linePitch="312" w:charSpace="0"/>
        </w:sectPr>
      </w:pPr>
      <w:r>
        <w:rPr>
          <w:color w:val="auto"/>
        </w:rPr>
        <w:drawing>
          <wp:anchor distT="0" distB="0" distL="114300" distR="114300" simplePos="0" relativeHeight="2335898624" behindDoc="0" locked="0" layoutInCell="1" allowOverlap="1">
            <wp:simplePos x="0" y="0"/>
            <wp:positionH relativeFrom="column">
              <wp:posOffset>0</wp:posOffset>
            </wp:positionH>
            <wp:positionV relativeFrom="paragraph">
              <wp:posOffset>0</wp:posOffset>
            </wp:positionV>
            <wp:extent cx="5645785" cy="6720840"/>
            <wp:effectExtent l="0" t="0" r="12065" b="3810"/>
            <wp:wrapNone/>
            <wp:docPr id="1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1"/>
                    <pic:cNvPicPr>
                      <a:picLocks noChangeAspect="1"/>
                    </pic:cNvPicPr>
                  </pic:nvPicPr>
                  <pic:blipFill>
                    <a:blip r:embed="rId83"/>
                    <a:stretch>
                      <a:fillRect/>
                    </a:stretch>
                  </pic:blipFill>
                  <pic:spPr>
                    <a:xfrm>
                      <a:off x="0" y="0"/>
                      <a:ext cx="5645785" cy="672084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sectPr>
          <w:pgSz w:w="11907" w:h="16840"/>
          <w:pgMar w:top="1474" w:right="1531" w:bottom="1418" w:left="1474" w:header="1020" w:footer="992" w:gutter="0"/>
          <w:pgNumType w:fmt="decimal"/>
          <w:cols w:space="0" w:num="1"/>
          <w:rtlGutter w:val="0"/>
          <w:docGrid w:linePitch="312" w:charSpace="0"/>
        </w:sectPr>
      </w:pPr>
      <w:r>
        <w:rPr>
          <w:color w:val="auto"/>
        </w:rPr>
        <w:drawing>
          <wp:anchor distT="0" distB="0" distL="114300" distR="114300" simplePos="0" relativeHeight="2335899648" behindDoc="0" locked="0" layoutInCell="1" allowOverlap="1">
            <wp:simplePos x="0" y="0"/>
            <wp:positionH relativeFrom="column">
              <wp:posOffset>0</wp:posOffset>
            </wp:positionH>
            <wp:positionV relativeFrom="paragraph">
              <wp:posOffset>0</wp:posOffset>
            </wp:positionV>
            <wp:extent cx="5651500" cy="6993890"/>
            <wp:effectExtent l="0" t="0" r="6350" b="16510"/>
            <wp:wrapNone/>
            <wp:docPr id="1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2"/>
                    <pic:cNvPicPr>
                      <a:picLocks noChangeAspect="1"/>
                    </pic:cNvPicPr>
                  </pic:nvPicPr>
                  <pic:blipFill>
                    <a:blip r:embed="rId84"/>
                    <a:stretch>
                      <a:fillRect/>
                    </a:stretch>
                  </pic:blipFill>
                  <pic:spPr>
                    <a:xfrm>
                      <a:off x="0" y="0"/>
                      <a:ext cx="5651500" cy="699389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r>
        <w:rPr>
          <w:color w:val="auto"/>
        </w:rPr>
        <w:drawing>
          <wp:anchor distT="0" distB="0" distL="114300" distR="114300" simplePos="0" relativeHeight="2335900672" behindDoc="0" locked="0" layoutInCell="1" allowOverlap="1">
            <wp:simplePos x="0" y="0"/>
            <wp:positionH relativeFrom="column">
              <wp:posOffset>66675</wp:posOffset>
            </wp:positionH>
            <wp:positionV relativeFrom="paragraph">
              <wp:posOffset>93345</wp:posOffset>
            </wp:positionV>
            <wp:extent cx="5645785" cy="6062980"/>
            <wp:effectExtent l="0" t="0" r="12065" b="13970"/>
            <wp:wrapNone/>
            <wp:docPr id="1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3"/>
                    <pic:cNvPicPr>
                      <a:picLocks noChangeAspect="1"/>
                    </pic:cNvPicPr>
                  </pic:nvPicPr>
                  <pic:blipFill>
                    <a:blip r:embed="rId85"/>
                    <a:stretch>
                      <a:fillRect/>
                    </a:stretch>
                  </pic:blipFill>
                  <pic:spPr>
                    <a:xfrm>
                      <a:off x="0" y="0"/>
                      <a:ext cx="5645785" cy="6062980"/>
                    </a:xfrm>
                    <a:prstGeom prst="rect">
                      <a:avLst/>
                    </a:prstGeom>
                    <a:noFill/>
                    <a:ln>
                      <a:noFill/>
                    </a:ln>
                  </pic:spPr>
                </pic:pic>
              </a:graphicData>
            </a:graphic>
          </wp:anchor>
        </w:drawing>
      </w: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pPr>
    </w:p>
    <w:p>
      <w:pPr>
        <w:pStyle w:val="2"/>
        <w:spacing w:line="520" w:lineRule="exact"/>
        <w:ind w:left="0" w:leftChars="0" w:firstLine="0" w:firstLineChars="0"/>
        <w:jc w:val="center"/>
        <w:rPr>
          <w:rFonts w:hint="default" w:hAnsi="黑体" w:eastAsia="黑体"/>
          <w:b w:val="0"/>
          <w:bCs w:val="0"/>
          <w:color w:val="auto"/>
          <w:sz w:val="24"/>
          <w:lang w:val="en-US" w:eastAsia="zh-CN"/>
        </w:rPr>
      </w:pPr>
      <w:r>
        <w:drawing>
          <wp:anchor distT="0" distB="0" distL="114300" distR="114300" simplePos="0" relativeHeight="2335942656" behindDoc="0" locked="0" layoutInCell="1" allowOverlap="1">
            <wp:simplePos x="0" y="0"/>
            <wp:positionH relativeFrom="column">
              <wp:posOffset>-47625</wp:posOffset>
            </wp:positionH>
            <wp:positionV relativeFrom="paragraph">
              <wp:posOffset>384810</wp:posOffset>
            </wp:positionV>
            <wp:extent cx="5645785" cy="8007350"/>
            <wp:effectExtent l="0" t="0" r="12065" b="12700"/>
            <wp:wrapNone/>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86"/>
                    <a:stretch>
                      <a:fillRect/>
                    </a:stretch>
                  </pic:blipFill>
                  <pic:spPr>
                    <a:xfrm>
                      <a:off x="0" y="0"/>
                      <a:ext cx="5645785" cy="8007350"/>
                    </a:xfrm>
                    <a:prstGeom prst="rect">
                      <a:avLst/>
                    </a:prstGeom>
                    <a:noFill/>
                    <a:ln>
                      <a:noFill/>
                    </a:ln>
                  </pic:spPr>
                </pic:pic>
              </a:graphicData>
            </a:graphic>
          </wp:anchor>
        </w:drawing>
      </w:r>
      <w:r>
        <w:rPr>
          <w:rFonts w:hint="eastAsia" w:hAnsi="黑体" w:eastAsia="黑体"/>
          <w:b w:val="0"/>
          <w:bCs w:val="0"/>
          <w:color w:val="auto"/>
          <w:sz w:val="24"/>
          <w:lang w:eastAsia="zh-CN"/>
        </w:rPr>
        <w:t>附件五</w:t>
      </w:r>
      <w:r>
        <w:rPr>
          <w:rFonts w:hint="eastAsia" w:hAnsi="黑体" w:eastAsia="黑体"/>
          <w:b w:val="0"/>
          <w:bCs w:val="0"/>
          <w:color w:val="auto"/>
          <w:sz w:val="24"/>
          <w:lang w:val="en-US" w:eastAsia="zh-CN"/>
        </w:rPr>
        <w:t xml:space="preserve"> 液化气站环评批复</w:t>
      </w: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r>
        <w:drawing>
          <wp:inline distT="0" distB="0" distL="114300" distR="114300">
            <wp:extent cx="5647690" cy="7983855"/>
            <wp:effectExtent l="0" t="0" r="10160" b="17145"/>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pic:cNvPicPr>
                      <a:picLocks noChangeAspect="1"/>
                    </pic:cNvPicPr>
                  </pic:nvPicPr>
                  <pic:blipFill>
                    <a:blip r:embed="rId87"/>
                    <a:stretch>
                      <a:fillRect/>
                    </a:stretch>
                  </pic:blipFill>
                  <pic:spPr>
                    <a:xfrm>
                      <a:off x="0" y="0"/>
                      <a:ext cx="5647690" cy="7983855"/>
                    </a:xfrm>
                    <a:prstGeom prst="rect">
                      <a:avLst/>
                    </a:prstGeom>
                    <a:noFill/>
                    <a:ln>
                      <a:noFill/>
                    </a:ln>
                  </pic:spPr>
                </pic:pic>
              </a:graphicData>
            </a:graphic>
          </wp:inline>
        </w:drawing>
      </w: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r>
        <w:drawing>
          <wp:inline distT="0" distB="0" distL="114300" distR="114300">
            <wp:extent cx="5647690" cy="7983855"/>
            <wp:effectExtent l="0" t="0" r="10160" b="17145"/>
            <wp:docPr id="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pic:cNvPicPr>
                      <a:picLocks noChangeAspect="1"/>
                    </pic:cNvPicPr>
                  </pic:nvPicPr>
                  <pic:blipFill>
                    <a:blip r:embed="rId87"/>
                    <a:stretch>
                      <a:fillRect/>
                    </a:stretch>
                  </pic:blipFill>
                  <pic:spPr>
                    <a:xfrm>
                      <a:off x="0" y="0"/>
                      <a:ext cx="5647690" cy="7983855"/>
                    </a:xfrm>
                    <a:prstGeom prst="rect">
                      <a:avLst/>
                    </a:prstGeom>
                    <a:noFill/>
                    <a:ln>
                      <a:noFill/>
                    </a:ln>
                  </pic:spPr>
                </pic:pic>
              </a:graphicData>
            </a:graphic>
          </wp:inline>
        </w:drawing>
      </w:r>
    </w:p>
    <w:p>
      <w:pPr>
        <w:pStyle w:val="2"/>
        <w:spacing w:line="520" w:lineRule="exact"/>
        <w:ind w:left="0" w:leftChars="0" w:firstLine="480"/>
        <w:jc w:val="center"/>
        <w:rPr>
          <w:rFonts w:hint="eastAsia" w:hAnsi="黑体" w:eastAsia="黑体"/>
          <w:color w:val="auto"/>
          <w:sz w:val="24"/>
          <w:lang w:eastAsia="zh-CN"/>
        </w:rPr>
      </w:pPr>
      <w:r>
        <w:drawing>
          <wp:inline distT="0" distB="0" distL="114300" distR="114300">
            <wp:extent cx="5647690" cy="7983855"/>
            <wp:effectExtent l="0" t="0" r="10160" b="17145"/>
            <wp:docPr id="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pic:cNvPicPr>
                      <a:picLocks noChangeAspect="1"/>
                    </pic:cNvPicPr>
                  </pic:nvPicPr>
                  <pic:blipFill>
                    <a:blip r:embed="rId87"/>
                    <a:stretch>
                      <a:fillRect/>
                    </a:stretch>
                  </pic:blipFill>
                  <pic:spPr>
                    <a:xfrm>
                      <a:off x="0" y="0"/>
                      <a:ext cx="5647690" cy="7983855"/>
                    </a:xfrm>
                    <a:prstGeom prst="rect">
                      <a:avLst/>
                    </a:prstGeom>
                    <a:noFill/>
                    <a:ln>
                      <a:noFill/>
                    </a:ln>
                  </pic:spPr>
                </pic:pic>
              </a:graphicData>
            </a:graphic>
          </wp:inline>
        </w:drawing>
      </w:r>
    </w:p>
    <w:p>
      <w:pPr>
        <w:pStyle w:val="2"/>
        <w:spacing w:line="520" w:lineRule="exact"/>
        <w:ind w:left="0" w:leftChars="0" w:firstLine="0" w:firstLineChars="0"/>
        <w:jc w:val="center"/>
        <w:rPr>
          <w:rFonts w:hint="eastAsia" w:hAnsi="黑体" w:eastAsia="黑体"/>
          <w:b w:val="0"/>
          <w:bCs w:val="0"/>
          <w:color w:val="auto"/>
          <w:sz w:val="24"/>
          <w:lang w:eastAsia="zh-CN"/>
        </w:rPr>
        <w:sectPr>
          <w:pgSz w:w="11907" w:h="16840"/>
          <w:pgMar w:top="1474" w:right="1531" w:bottom="1418" w:left="1474" w:header="1020" w:footer="992" w:gutter="0"/>
          <w:pgNumType w:fmt="decimal"/>
          <w:cols w:space="0" w:num="1"/>
          <w:rtlGutter w:val="0"/>
          <w:docGrid w:linePitch="312" w:charSpace="0"/>
        </w:sectPr>
      </w:pPr>
    </w:p>
    <w:p>
      <w:pPr>
        <w:pStyle w:val="2"/>
        <w:spacing w:line="520" w:lineRule="exact"/>
        <w:ind w:left="0" w:leftChars="0" w:firstLine="0" w:firstLineChars="0"/>
        <w:jc w:val="center"/>
        <w:rPr>
          <w:rFonts w:hint="eastAsia" w:hAnsi="黑体" w:eastAsia="黑体"/>
          <w:b w:val="0"/>
          <w:bCs w:val="0"/>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43680" behindDoc="0" locked="0" layoutInCell="1" allowOverlap="1">
            <wp:simplePos x="0" y="0"/>
            <wp:positionH relativeFrom="column">
              <wp:posOffset>0</wp:posOffset>
            </wp:positionH>
            <wp:positionV relativeFrom="paragraph">
              <wp:posOffset>302260</wp:posOffset>
            </wp:positionV>
            <wp:extent cx="5651500" cy="7835900"/>
            <wp:effectExtent l="0" t="0" r="6350" b="12700"/>
            <wp:wrapNone/>
            <wp:docPr id="5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
                    <pic:cNvPicPr>
                      <a:picLocks noChangeAspect="1"/>
                    </pic:cNvPicPr>
                  </pic:nvPicPr>
                  <pic:blipFill>
                    <a:blip r:embed="rId88"/>
                    <a:stretch>
                      <a:fillRect/>
                    </a:stretch>
                  </pic:blipFill>
                  <pic:spPr>
                    <a:xfrm>
                      <a:off x="0" y="0"/>
                      <a:ext cx="5651500" cy="7835900"/>
                    </a:xfrm>
                    <a:prstGeom prst="rect">
                      <a:avLst/>
                    </a:prstGeom>
                    <a:noFill/>
                    <a:ln>
                      <a:noFill/>
                    </a:ln>
                  </pic:spPr>
                </pic:pic>
              </a:graphicData>
            </a:graphic>
          </wp:anchor>
        </w:drawing>
      </w:r>
    </w:p>
    <w:p>
      <w:pPr>
        <w:pStyle w:val="2"/>
        <w:spacing w:line="520" w:lineRule="exact"/>
        <w:ind w:left="0" w:leftChars="0" w:firstLine="0" w:firstLineChars="0"/>
        <w:jc w:val="center"/>
        <w:rPr>
          <w:rFonts w:hint="eastAsia" w:hAnsi="黑体" w:eastAsia="黑体"/>
          <w:b w:val="0"/>
          <w:bCs w:val="0"/>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44704" behindDoc="0" locked="0" layoutInCell="1" allowOverlap="1">
            <wp:simplePos x="0" y="0"/>
            <wp:positionH relativeFrom="column">
              <wp:posOffset>28575</wp:posOffset>
            </wp:positionH>
            <wp:positionV relativeFrom="paragraph">
              <wp:posOffset>1102360</wp:posOffset>
            </wp:positionV>
            <wp:extent cx="5646420" cy="8340725"/>
            <wp:effectExtent l="0" t="0" r="11430" b="3175"/>
            <wp:wrapNone/>
            <wp:docPr id="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
                    <pic:cNvPicPr>
                      <a:picLocks noChangeAspect="1"/>
                    </pic:cNvPicPr>
                  </pic:nvPicPr>
                  <pic:blipFill>
                    <a:blip r:embed="rId89"/>
                    <a:stretch>
                      <a:fillRect/>
                    </a:stretch>
                  </pic:blipFill>
                  <pic:spPr>
                    <a:xfrm>
                      <a:off x="0" y="0"/>
                      <a:ext cx="5646420" cy="8340725"/>
                    </a:xfrm>
                    <a:prstGeom prst="rect">
                      <a:avLst/>
                    </a:prstGeom>
                    <a:noFill/>
                    <a:ln>
                      <a:noFill/>
                    </a:ln>
                  </pic:spPr>
                </pic:pic>
              </a:graphicData>
            </a:graphic>
          </wp:anchor>
        </w:drawing>
      </w:r>
    </w:p>
    <w:p>
      <w:pPr>
        <w:pStyle w:val="2"/>
        <w:spacing w:line="520" w:lineRule="exact"/>
        <w:ind w:left="0" w:leftChars="0" w:firstLine="0" w:firstLineChars="0"/>
        <w:jc w:val="center"/>
        <w:rPr>
          <w:rFonts w:hint="eastAsia" w:hAnsi="黑体" w:eastAsia="黑体"/>
          <w:b w:val="0"/>
          <w:bCs w:val="0"/>
          <w:color w:val="auto"/>
          <w:sz w:val="24"/>
          <w:lang w:val="en-US" w:eastAsia="zh-CN"/>
        </w:rPr>
      </w:pPr>
      <w:r>
        <w:drawing>
          <wp:anchor distT="0" distB="0" distL="114300" distR="114300" simplePos="0" relativeHeight="2335945728" behindDoc="0" locked="0" layoutInCell="1" allowOverlap="1">
            <wp:simplePos x="0" y="0"/>
            <wp:positionH relativeFrom="column">
              <wp:posOffset>-28575</wp:posOffset>
            </wp:positionH>
            <wp:positionV relativeFrom="paragraph">
              <wp:posOffset>-653415</wp:posOffset>
            </wp:positionV>
            <wp:extent cx="5647690" cy="7223125"/>
            <wp:effectExtent l="0" t="0" r="10160" b="15875"/>
            <wp:wrapNone/>
            <wp:docPr id="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5"/>
                    <pic:cNvPicPr>
                      <a:picLocks noChangeAspect="1"/>
                    </pic:cNvPicPr>
                  </pic:nvPicPr>
                  <pic:blipFill>
                    <a:blip r:embed="rId90"/>
                    <a:stretch>
                      <a:fillRect/>
                    </a:stretch>
                  </pic:blipFill>
                  <pic:spPr>
                    <a:xfrm>
                      <a:off x="0" y="0"/>
                      <a:ext cx="5647690" cy="7223125"/>
                    </a:xfrm>
                    <a:prstGeom prst="rect">
                      <a:avLst/>
                    </a:prstGeom>
                    <a:noFill/>
                    <a:ln>
                      <a:noFill/>
                    </a:ln>
                  </pic:spPr>
                </pic:pic>
              </a:graphicData>
            </a:graphic>
          </wp:anchor>
        </w:drawing>
      </w:r>
      <w:r>
        <w:rPr>
          <w:rFonts w:hint="eastAsia" w:hAnsi="黑体" w:eastAsia="黑体"/>
          <w:b w:val="0"/>
          <w:bCs w:val="0"/>
          <w:color w:val="auto"/>
          <w:sz w:val="24"/>
          <w:lang w:eastAsia="zh-CN"/>
        </w:rPr>
        <w:t>附件</w:t>
      </w:r>
      <w:r>
        <w:rPr>
          <w:rFonts w:hint="eastAsia" w:hAnsi="黑体" w:eastAsia="黑体"/>
          <w:b w:val="0"/>
          <w:bCs w:val="0"/>
          <w:color w:val="auto"/>
          <w:sz w:val="24"/>
          <w:lang w:val="en-US" w:eastAsia="zh-CN"/>
        </w:rPr>
        <w:t>六 液化气站安评批复</w:t>
      </w:r>
    </w:p>
    <w:p>
      <w:pPr>
        <w:pStyle w:val="2"/>
        <w:spacing w:line="520" w:lineRule="exact"/>
        <w:ind w:left="0" w:leftChars="0" w:firstLine="0" w:firstLineChars="0"/>
        <w:jc w:val="center"/>
        <w:rPr>
          <w:rFonts w:hint="eastAsia" w:hAnsi="黑体" w:eastAsia="黑体"/>
          <w:b w:val="0"/>
          <w:bCs w:val="0"/>
          <w:color w:val="auto"/>
          <w:sz w:val="24"/>
          <w:lang w:val="en-US" w:eastAsia="zh-CN"/>
        </w:rPr>
      </w:pPr>
    </w:p>
    <w:p>
      <w:pPr>
        <w:pStyle w:val="2"/>
        <w:spacing w:line="520" w:lineRule="exact"/>
        <w:ind w:left="0" w:leftChars="0" w:firstLine="480"/>
        <w:jc w:val="center"/>
        <w:rPr>
          <w:rFonts w:hint="default" w:hAnsi="黑体" w:eastAsia="黑体"/>
          <w:color w:val="auto"/>
          <w:sz w:val="24"/>
          <w:lang w:val="en-US" w:eastAsia="zh-CN"/>
        </w:rPr>
      </w:pPr>
      <w:r>
        <w:rPr>
          <w:rFonts w:hint="default" w:hAnsi="黑体" w:eastAsia="黑体"/>
          <w:color w:val="auto"/>
          <w:sz w:val="24"/>
          <w:lang w:val="en-US" w:eastAsia="zh-CN"/>
        </w:rPr>
        <w:drawing>
          <wp:inline distT="0" distB="0" distL="114300" distR="114300">
            <wp:extent cx="4467225" cy="6086475"/>
            <wp:effectExtent l="0" t="0" r="9525" b="9525"/>
            <wp:docPr id="68" name="图片 68" descr="1563544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563544515(1)"/>
                    <pic:cNvPicPr>
                      <a:picLocks noChangeAspect="1"/>
                    </pic:cNvPicPr>
                  </pic:nvPicPr>
                  <pic:blipFill>
                    <a:blip r:embed="rId91"/>
                    <a:stretch>
                      <a:fillRect/>
                    </a:stretch>
                  </pic:blipFill>
                  <pic:spPr>
                    <a:xfrm>
                      <a:off x="0" y="0"/>
                      <a:ext cx="4467225" cy="6086475"/>
                    </a:xfrm>
                    <a:prstGeom prst="rect">
                      <a:avLst/>
                    </a:prstGeom>
                  </pic:spPr>
                </pic:pic>
              </a:graphicData>
            </a:graphic>
          </wp:inline>
        </w:drawing>
      </w: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r>
        <w:rPr>
          <w:rFonts w:hint="eastAsia" w:hAnsi="黑体" w:eastAsia="黑体"/>
          <w:color w:val="auto"/>
          <w:sz w:val="24"/>
          <w:lang w:eastAsia="zh-CN"/>
        </w:rPr>
        <w:drawing>
          <wp:inline distT="0" distB="0" distL="114300" distR="114300">
            <wp:extent cx="4286250" cy="5981700"/>
            <wp:effectExtent l="0" t="0" r="0" b="0"/>
            <wp:docPr id="64" name="图片 64" descr="1563543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563543962(1)"/>
                    <pic:cNvPicPr>
                      <a:picLocks noChangeAspect="1"/>
                    </pic:cNvPicPr>
                  </pic:nvPicPr>
                  <pic:blipFill>
                    <a:blip r:embed="rId92"/>
                    <a:stretch>
                      <a:fillRect/>
                    </a:stretch>
                  </pic:blipFill>
                  <pic:spPr>
                    <a:xfrm>
                      <a:off x="0" y="0"/>
                      <a:ext cx="4286250" cy="5981700"/>
                    </a:xfrm>
                    <a:prstGeom prst="rect">
                      <a:avLst/>
                    </a:prstGeom>
                  </pic:spPr>
                </pic:pic>
              </a:graphicData>
            </a:graphic>
          </wp:inline>
        </w:drawing>
      </w: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r>
        <w:drawing>
          <wp:inline distT="0" distB="0" distL="114300" distR="114300">
            <wp:extent cx="5647690" cy="7983855"/>
            <wp:effectExtent l="0" t="0" r="10160" b="17145"/>
            <wp:docPr id="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2"/>
                    <pic:cNvPicPr>
                      <a:picLocks noChangeAspect="1"/>
                    </pic:cNvPicPr>
                  </pic:nvPicPr>
                  <pic:blipFill>
                    <a:blip r:embed="rId87"/>
                    <a:stretch>
                      <a:fillRect/>
                    </a:stretch>
                  </pic:blipFill>
                  <pic:spPr>
                    <a:xfrm>
                      <a:off x="0" y="0"/>
                      <a:ext cx="5647690" cy="7983855"/>
                    </a:xfrm>
                    <a:prstGeom prst="rect">
                      <a:avLst/>
                    </a:prstGeom>
                    <a:noFill/>
                    <a:ln>
                      <a:noFill/>
                    </a:ln>
                  </pic:spPr>
                </pic:pic>
              </a:graphicData>
            </a:graphic>
          </wp:inline>
        </w:drawing>
      </w: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0" w:firstLineChars="0"/>
        <w:jc w:val="both"/>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pP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46752" behindDoc="0" locked="0" layoutInCell="1" allowOverlap="1">
            <wp:simplePos x="0" y="0"/>
            <wp:positionH relativeFrom="column">
              <wp:posOffset>47625</wp:posOffset>
            </wp:positionH>
            <wp:positionV relativeFrom="paragraph">
              <wp:posOffset>254635</wp:posOffset>
            </wp:positionV>
            <wp:extent cx="5645785" cy="7068820"/>
            <wp:effectExtent l="0" t="0" r="12065" b="17780"/>
            <wp:wrapNone/>
            <wp:docPr id="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
                    <pic:cNvPicPr>
                      <a:picLocks noChangeAspect="1"/>
                    </pic:cNvPicPr>
                  </pic:nvPicPr>
                  <pic:blipFill>
                    <a:blip r:embed="rId93"/>
                    <a:stretch>
                      <a:fillRect/>
                    </a:stretch>
                  </pic:blipFill>
                  <pic:spPr>
                    <a:xfrm>
                      <a:off x="0" y="0"/>
                      <a:ext cx="5645785" cy="7068820"/>
                    </a:xfrm>
                    <a:prstGeom prst="rect">
                      <a:avLst/>
                    </a:prstGeom>
                    <a:noFill/>
                    <a:ln>
                      <a:noFill/>
                    </a:ln>
                  </pic:spPr>
                </pic:pic>
              </a:graphicData>
            </a:graphic>
          </wp:anchor>
        </w:drawing>
      </w: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49824" behindDoc="0" locked="0" layoutInCell="1" allowOverlap="1">
            <wp:simplePos x="0" y="0"/>
            <wp:positionH relativeFrom="column">
              <wp:posOffset>190500</wp:posOffset>
            </wp:positionH>
            <wp:positionV relativeFrom="paragraph">
              <wp:posOffset>1302385</wp:posOffset>
            </wp:positionV>
            <wp:extent cx="5647055" cy="6821170"/>
            <wp:effectExtent l="0" t="0" r="10795" b="17780"/>
            <wp:wrapNone/>
            <wp:docPr id="7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
                    <pic:cNvPicPr>
                      <a:picLocks noChangeAspect="1"/>
                    </pic:cNvPicPr>
                  </pic:nvPicPr>
                  <pic:blipFill>
                    <a:blip r:embed="rId94"/>
                    <a:stretch>
                      <a:fillRect/>
                    </a:stretch>
                  </pic:blipFill>
                  <pic:spPr>
                    <a:xfrm>
                      <a:off x="0" y="0"/>
                      <a:ext cx="5647055" cy="6821170"/>
                    </a:xfrm>
                    <a:prstGeom prst="rect">
                      <a:avLst/>
                    </a:prstGeom>
                    <a:noFill/>
                    <a:ln>
                      <a:noFill/>
                    </a:ln>
                  </pic:spPr>
                </pic:pic>
              </a:graphicData>
            </a:graphic>
          </wp:anchor>
        </w:drawing>
      </w:r>
      <w:r>
        <w:drawing>
          <wp:inline distT="0" distB="0" distL="114300" distR="114300">
            <wp:extent cx="5647055" cy="6821170"/>
            <wp:effectExtent l="0" t="0" r="10795" b="17780"/>
            <wp:docPr id="7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3"/>
                    <pic:cNvPicPr>
                      <a:picLocks noChangeAspect="1"/>
                    </pic:cNvPicPr>
                  </pic:nvPicPr>
                  <pic:blipFill>
                    <a:blip r:embed="rId94"/>
                    <a:stretch>
                      <a:fillRect/>
                    </a:stretch>
                  </pic:blipFill>
                  <pic:spPr>
                    <a:xfrm>
                      <a:off x="0" y="0"/>
                      <a:ext cx="5647055" cy="6821170"/>
                    </a:xfrm>
                    <a:prstGeom prst="rect">
                      <a:avLst/>
                    </a:prstGeom>
                    <a:noFill/>
                    <a:ln>
                      <a:noFill/>
                    </a:ln>
                  </pic:spPr>
                </pic:pic>
              </a:graphicData>
            </a:graphic>
          </wp:inline>
        </w:drawing>
      </w: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50848" behindDoc="0" locked="0" layoutInCell="1" allowOverlap="1">
            <wp:simplePos x="0" y="0"/>
            <wp:positionH relativeFrom="column">
              <wp:posOffset>95250</wp:posOffset>
            </wp:positionH>
            <wp:positionV relativeFrom="paragraph">
              <wp:posOffset>626110</wp:posOffset>
            </wp:positionV>
            <wp:extent cx="5647690" cy="7292340"/>
            <wp:effectExtent l="0" t="0" r="10160" b="3810"/>
            <wp:wrapNone/>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
                    <pic:cNvPicPr>
                      <a:picLocks noChangeAspect="1"/>
                    </pic:cNvPicPr>
                  </pic:nvPicPr>
                  <pic:blipFill>
                    <a:blip r:embed="rId95"/>
                    <a:stretch>
                      <a:fillRect/>
                    </a:stretch>
                  </pic:blipFill>
                  <pic:spPr>
                    <a:xfrm>
                      <a:off x="0" y="0"/>
                      <a:ext cx="5647690" cy="7292340"/>
                    </a:xfrm>
                    <a:prstGeom prst="rect">
                      <a:avLst/>
                    </a:prstGeom>
                    <a:noFill/>
                    <a:ln>
                      <a:noFill/>
                    </a:ln>
                  </pic:spPr>
                </pic:pic>
              </a:graphicData>
            </a:graphic>
          </wp:anchor>
        </w:drawing>
      </w: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r>
        <w:drawing>
          <wp:anchor distT="0" distB="0" distL="114300" distR="114300" simplePos="0" relativeHeight="2335951872" behindDoc="0" locked="0" layoutInCell="1" allowOverlap="1">
            <wp:simplePos x="0" y="0"/>
            <wp:positionH relativeFrom="column">
              <wp:posOffset>247650</wp:posOffset>
            </wp:positionH>
            <wp:positionV relativeFrom="paragraph">
              <wp:posOffset>64135</wp:posOffset>
            </wp:positionV>
            <wp:extent cx="5652135" cy="5157470"/>
            <wp:effectExtent l="0" t="0" r="5715" b="5080"/>
            <wp:wrapNone/>
            <wp:docPr id="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
                    <pic:cNvPicPr>
                      <a:picLocks noChangeAspect="1"/>
                    </pic:cNvPicPr>
                  </pic:nvPicPr>
                  <pic:blipFill>
                    <a:blip r:embed="rId96"/>
                    <a:stretch>
                      <a:fillRect/>
                    </a:stretch>
                  </pic:blipFill>
                  <pic:spPr>
                    <a:xfrm>
                      <a:off x="0" y="0"/>
                      <a:ext cx="5652135" cy="5157470"/>
                    </a:xfrm>
                    <a:prstGeom prst="rect">
                      <a:avLst/>
                    </a:prstGeom>
                    <a:noFill/>
                    <a:ln>
                      <a:noFill/>
                    </a:ln>
                  </pic:spPr>
                </pic:pic>
              </a:graphicData>
            </a:graphic>
          </wp:anchor>
        </w:drawing>
      </w:r>
    </w:p>
    <w:p>
      <w:pPr>
        <w:pStyle w:val="2"/>
        <w:spacing w:line="520" w:lineRule="exact"/>
        <w:ind w:left="0" w:leftChars="0" w:firstLine="480"/>
        <w:jc w:val="center"/>
        <w:rPr>
          <w:rFonts w:hint="eastAsia" w:hAnsi="黑体" w:eastAsia="黑体"/>
          <w:color w:val="auto"/>
          <w:sz w:val="24"/>
          <w:lang w:eastAsia="zh-CN"/>
        </w:rPr>
        <w:sectPr>
          <w:pgSz w:w="11907" w:h="16840"/>
          <w:pgMar w:top="1474" w:right="1531" w:bottom="1418" w:left="1474" w:header="1020" w:footer="992" w:gutter="0"/>
          <w:pgNumType w:fmt="decimal"/>
          <w:cols w:space="0" w:num="1"/>
          <w:rtlGutter w:val="0"/>
          <w:docGrid w:linePitch="312" w:charSpace="0"/>
        </w:sectPr>
      </w:pPr>
      <w:r>
        <w:rPr>
          <w:rFonts w:hint="eastAsia" w:hAnsi="黑体" w:eastAsia="黑体"/>
          <w:color w:val="auto"/>
          <w:sz w:val="24"/>
          <w:lang w:eastAsia="zh-CN"/>
        </w:rPr>
        <w:drawing>
          <wp:anchor distT="0" distB="0" distL="114300" distR="114300" simplePos="0" relativeHeight="2335952896" behindDoc="0" locked="0" layoutInCell="1" allowOverlap="1">
            <wp:simplePos x="0" y="0"/>
            <wp:positionH relativeFrom="column">
              <wp:posOffset>85725</wp:posOffset>
            </wp:positionH>
            <wp:positionV relativeFrom="paragraph">
              <wp:posOffset>207010</wp:posOffset>
            </wp:positionV>
            <wp:extent cx="5647690" cy="8314690"/>
            <wp:effectExtent l="0" t="0" r="10160" b="10160"/>
            <wp:wrapNone/>
            <wp:docPr id="76" name="图片 76" descr="156b3388418e773fe6fdf94a17b9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56b3388418e773fe6fdf94a17b94d0"/>
                    <pic:cNvPicPr>
                      <a:picLocks noChangeAspect="1"/>
                    </pic:cNvPicPr>
                  </pic:nvPicPr>
                  <pic:blipFill>
                    <a:blip r:embed="rId97"/>
                    <a:stretch>
                      <a:fillRect/>
                    </a:stretch>
                  </pic:blipFill>
                  <pic:spPr>
                    <a:xfrm>
                      <a:off x="0" y="0"/>
                      <a:ext cx="5647690" cy="8314690"/>
                    </a:xfrm>
                    <a:prstGeom prst="rect">
                      <a:avLst/>
                    </a:prstGeom>
                  </pic:spPr>
                </pic:pic>
              </a:graphicData>
            </a:graphic>
          </wp:anchor>
        </w:drawing>
      </w:r>
    </w:p>
    <w:p>
      <w:pPr>
        <w:pStyle w:val="2"/>
        <w:spacing w:line="520" w:lineRule="exact"/>
        <w:ind w:left="0" w:leftChars="0" w:firstLine="480"/>
        <w:jc w:val="center"/>
        <w:rPr>
          <w:rFonts w:hint="eastAsia" w:hAnsi="黑体" w:eastAsia="黑体"/>
          <w:color w:val="auto"/>
          <w:sz w:val="24"/>
        </w:rPr>
      </w:pPr>
      <w:r>
        <w:rPr>
          <w:rFonts w:hint="eastAsia" w:hAnsi="黑体" w:eastAsia="黑体"/>
          <w:color w:val="auto"/>
          <w:sz w:val="24"/>
          <w:lang w:eastAsia="zh-CN"/>
        </w:rPr>
        <w:t>附表</w:t>
      </w:r>
      <w:r>
        <w:rPr>
          <w:rFonts w:hint="eastAsia" w:hAnsi="黑体" w:eastAsia="黑体"/>
          <w:color w:val="auto"/>
          <w:sz w:val="24"/>
          <w:lang w:val="en-US" w:eastAsia="zh-CN"/>
        </w:rPr>
        <w:t xml:space="preserve">1  </w:t>
      </w:r>
      <w:r>
        <w:rPr>
          <w:rFonts w:hint="eastAsia" w:hAnsi="黑体" w:eastAsia="黑体"/>
          <w:color w:val="auto"/>
          <w:sz w:val="24"/>
        </w:rPr>
        <w:t>大气环境影响评价自查表</w:t>
      </w:r>
    </w:p>
    <w:tbl>
      <w:tblPr>
        <w:tblStyle w:val="45"/>
        <w:tblW w:w="904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79"/>
        <w:gridCol w:w="1686"/>
        <w:gridCol w:w="975"/>
        <w:gridCol w:w="376"/>
        <w:gridCol w:w="114"/>
        <w:gridCol w:w="259"/>
        <w:gridCol w:w="127"/>
        <w:gridCol w:w="116"/>
        <w:gridCol w:w="159"/>
        <w:gridCol w:w="402"/>
        <w:gridCol w:w="266"/>
        <w:gridCol w:w="116"/>
        <w:gridCol w:w="105"/>
        <w:gridCol w:w="515"/>
        <w:gridCol w:w="416"/>
        <w:gridCol w:w="179"/>
        <w:gridCol w:w="568"/>
        <w:gridCol w:w="69"/>
        <w:gridCol w:w="172"/>
        <w:gridCol w:w="235"/>
        <w:gridCol w:w="486"/>
        <w:gridCol w:w="7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2665" w:type="dxa"/>
            <w:gridSpan w:val="2"/>
            <w:vAlign w:val="center"/>
          </w:tcPr>
          <w:p>
            <w:pPr>
              <w:pStyle w:val="80"/>
              <w:snapToGrid w:val="0"/>
              <w:spacing w:line="260" w:lineRule="atLeast"/>
              <w:rPr>
                <w:color w:val="auto"/>
              </w:rPr>
            </w:pPr>
            <w:r>
              <w:rPr>
                <w:rFonts w:hint="eastAsia"/>
                <w:color w:val="auto"/>
              </w:rPr>
              <w:t>工作内容</w:t>
            </w:r>
          </w:p>
        </w:tc>
        <w:tc>
          <w:tcPr>
            <w:tcW w:w="6376" w:type="dxa"/>
            <w:gridSpan w:val="20"/>
            <w:vAlign w:val="center"/>
          </w:tcPr>
          <w:p>
            <w:pPr>
              <w:pStyle w:val="80"/>
              <w:snapToGrid w:val="0"/>
              <w:spacing w:line="260" w:lineRule="atLeast"/>
              <w:rPr>
                <w:color w:val="auto"/>
              </w:rPr>
            </w:pPr>
            <w:r>
              <w:rPr>
                <w:rFonts w:hint="eastAsia"/>
                <w:color w:val="auto"/>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restart"/>
            <w:vAlign w:val="center"/>
          </w:tcPr>
          <w:p>
            <w:pPr>
              <w:pStyle w:val="80"/>
              <w:snapToGrid w:val="0"/>
              <w:spacing w:line="260" w:lineRule="atLeast"/>
              <w:rPr>
                <w:color w:val="auto"/>
              </w:rPr>
            </w:pPr>
            <w:r>
              <w:rPr>
                <w:rFonts w:hint="eastAsia"/>
                <w:color w:val="auto"/>
              </w:rPr>
              <w:t>评价等级与范围</w:t>
            </w:r>
          </w:p>
        </w:tc>
        <w:tc>
          <w:tcPr>
            <w:tcW w:w="1686" w:type="dxa"/>
            <w:vAlign w:val="center"/>
          </w:tcPr>
          <w:p>
            <w:pPr>
              <w:pStyle w:val="80"/>
              <w:snapToGrid w:val="0"/>
              <w:spacing w:line="260" w:lineRule="atLeast"/>
              <w:rPr>
                <w:color w:val="auto"/>
              </w:rPr>
            </w:pPr>
            <w:r>
              <w:rPr>
                <w:rFonts w:hint="eastAsia"/>
                <w:color w:val="auto"/>
              </w:rPr>
              <w:t>评价等级</w:t>
            </w:r>
          </w:p>
        </w:tc>
        <w:tc>
          <w:tcPr>
            <w:tcW w:w="2528" w:type="dxa"/>
            <w:gridSpan w:val="8"/>
            <w:vAlign w:val="center"/>
          </w:tcPr>
          <w:p>
            <w:pPr>
              <w:pStyle w:val="80"/>
              <w:snapToGrid w:val="0"/>
              <w:spacing w:line="260" w:lineRule="atLeast"/>
              <w:rPr>
                <w:color w:val="auto"/>
              </w:rPr>
            </w:pPr>
            <w:r>
              <w:rPr>
                <w:rFonts w:hint="eastAsia"/>
                <w:color w:val="auto"/>
              </w:rPr>
              <w:t>一级</w:t>
            </w:r>
            <w:r>
              <w:rPr>
                <w:rFonts w:hint="eastAsia" w:ascii="仿宋" w:hAnsi="仿宋" w:eastAsia="仿宋"/>
                <w:color w:val="auto"/>
              </w:rPr>
              <w:t>□</w:t>
            </w:r>
          </w:p>
        </w:tc>
        <w:tc>
          <w:tcPr>
            <w:tcW w:w="2234" w:type="dxa"/>
            <w:gridSpan w:val="8"/>
            <w:vAlign w:val="center"/>
          </w:tcPr>
          <w:p>
            <w:pPr>
              <w:pStyle w:val="80"/>
              <w:snapToGrid w:val="0"/>
              <w:spacing w:line="260" w:lineRule="atLeast"/>
              <w:rPr>
                <w:rFonts w:hint="eastAsia" w:eastAsia="宋体"/>
                <w:color w:val="auto"/>
                <w:lang w:eastAsia="zh-CN"/>
              </w:rPr>
            </w:pPr>
            <w:r>
              <w:rPr>
                <w:rFonts w:hint="eastAsia"/>
                <w:color w:val="auto"/>
              </w:rPr>
              <w:t>二级</w:t>
            </w:r>
            <w:r>
              <w:rPr>
                <w:rFonts w:hint="eastAsia"/>
                <w:color w:val="auto"/>
                <w:lang w:eastAsia="zh-CN"/>
              </w:rPr>
              <w:t>□</w:t>
            </w:r>
          </w:p>
        </w:tc>
        <w:tc>
          <w:tcPr>
            <w:tcW w:w="1614" w:type="dxa"/>
            <w:gridSpan w:val="4"/>
            <w:vAlign w:val="center"/>
          </w:tcPr>
          <w:p>
            <w:pPr>
              <w:pStyle w:val="80"/>
              <w:snapToGrid w:val="0"/>
              <w:spacing w:line="260" w:lineRule="atLeast"/>
              <w:rPr>
                <w:color w:val="auto"/>
              </w:rPr>
            </w:pPr>
            <w:r>
              <w:rPr>
                <w:rFonts w:hint="eastAsia"/>
                <w:color w:val="auto"/>
              </w:rPr>
              <w:t>三级</w:t>
            </w:r>
            <w:r>
              <w:rPr>
                <w:rFonts w:hint="eastAsia" w:ascii="仿宋" w:hAnsi="仿宋" w:eastAsia="仿宋"/>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评价范围</w:t>
            </w:r>
          </w:p>
        </w:tc>
        <w:tc>
          <w:tcPr>
            <w:tcW w:w="2528" w:type="dxa"/>
            <w:gridSpan w:val="8"/>
            <w:vAlign w:val="center"/>
          </w:tcPr>
          <w:p>
            <w:pPr>
              <w:pStyle w:val="80"/>
              <w:snapToGrid w:val="0"/>
              <w:spacing w:line="260" w:lineRule="atLeast"/>
              <w:rPr>
                <w:color w:val="auto"/>
              </w:rPr>
            </w:pPr>
            <w:r>
              <w:rPr>
                <w:rFonts w:hint="eastAsia"/>
                <w:color w:val="auto"/>
              </w:rPr>
              <w:t>边长</w:t>
            </w:r>
            <w:r>
              <w:rPr>
                <w:color w:val="auto"/>
              </w:rPr>
              <w:t>=50km</w:t>
            </w:r>
            <w:r>
              <w:rPr>
                <w:rFonts w:hint="eastAsia" w:ascii="仿宋" w:hAnsi="仿宋" w:eastAsia="仿宋"/>
                <w:color w:val="auto"/>
              </w:rPr>
              <w:t>□</w:t>
            </w:r>
          </w:p>
        </w:tc>
        <w:tc>
          <w:tcPr>
            <w:tcW w:w="2234" w:type="dxa"/>
            <w:gridSpan w:val="8"/>
            <w:vAlign w:val="center"/>
          </w:tcPr>
          <w:p>
            <w:pPr>
              <w:pStyle w:val="80"/>
              <w:snapToGrid w:val="0"/>
              <w:spacing w:line="260" w:lineRule="atLeast"/>
              <w:rPr>
                <w:rFonts w:hint="eastAsia" w:eastAsia="宋体"/>
                <w:color w:val="auto"/>
                <w:lang w:eastAsia="zh-CN"/>
              </w:rPr>
            </w:pPr>
            <w:r>
              <w:rPr>
                <w:rFonts w:hint="eastAsia" w:ascii="宋体" w:hAnsi="宋体" w:eastAsia="宋体" w:cs="宋体"/>
                <w:color w:val="auto"/>
              </w:rPr>
              <w:t>边长</w:t>
            </w:r>
            <w:r>
              <w:rPr>
                <w:color w:val="auto"/>
              </w:rPr>
              <w:t>5</w:t>
            </w:r>
            <w:r>
              <w:rPr>
                <w:rFonts w:hint="eastAsia" w:ascii="宋体" w:hAnsi="宋体" w:eastAsia="宋体" w:cs="宋体"/>
                <w:color w:val="auto"/>
              </w:rPr>
              <w:t>～</w:t>
            </w:r>
            <w:r>
              <w:rPr>
                <w:color w:val="auto"/>
              </w:rPr>
              <w:t>50km</w:t>
            </w:r>
            <w:r>
              <w:rPr>
                <w:rFonts w:hint="eastAsia"/>
                <w:color w:val="auto"/>
                <w:lang w:eastAsia="zh-CN"/>
              </w:rPr>
              <w:t>□</w:t>
            </w:r>
          </w:p>
        </w:tc>
        <w:tc>
          <w:tcPr>
            <w:tcW w:w="1614" w:type="dxa"/>
            <w:gridSpan w:val="4"/>
            <w:vAlign w:val="center"/>
          </w:tcPr>
          <w:p>
            <w:pPr>
              <w:pStyle w:val="80"/>
              <w:snapToGrid w:val="0"/>
              <w:spacing w:line="260" w:lineRule="atLeast"/>
              <w:rPr>
                <w:color w:val="auto"/>
              </w:rPr>
            </w:pPr>
            <w:r>
              <w:rPr>
                <w:rFonts w:hint="eastAsia"/>
                <w:color w:val="auto"/>
              </w:rPr>
              <w:t>边长</w:t>
            </w:r>
            <w:r>
              <w:rPr>
                <w:color w:val="auto"/>
              </w:rPr>
              <w:t>=5 km</w:t>
            </w:r>
            <w:r>
              <w:rPr>
                <w:rFonts w:hint="eastAsia" w:ascii="仿宋" w:hAnsi="仿宋" w:eastAsia="仿宋"/>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restart"/>
            <w:vAlign w:val="center"/>
          </w:tcPr>
          <w:p>
            <w:pPr>
              <w:pStyle w:val="80"/>
              <w:snapToGrid w:val="0"/>
              <w:spacing w:line="260" w:lineRule="atLeast"/>
              <w:rPr>
                <w:color w:val="auto"/>
              </w:rPr>
            </w:pPr>
            <w:r>
              <w:rPr>
                <w:rFonts w:hint="eastAsia"/>
                <w:color w:val="auto"/>
              </w:rPr>
              <w:t>评价因子</w:t>
            </w:r>
          </w:p>
        </w:tc>
        <w:tc>
          <w:tcPr>
            <w:tcW w:w="1686" w:type="dxa"/>
            <w:vAlign w:val="center"/>
          </w:tcPr>
          <w:p>
            <w:pPr>
              <w:pStyle w:val="80"/>
              <w:snapToGrid w:val="0"/>
              <w:spacing w:line="260" w:lineRule="atLeast"/>
              <w:rPr>
                <w:color w:val="auto"/>
              </w:rPr>
            </w:pPr>
            <w:r>
              <w:rPr>
                <w:color w:val="auto"/>
              </w:rPr>
              <w:t>SO</w:t>
            </w:r>
            <w:r>
              <w:rPr>
                <w:color w:val="auto"/>
                <w:vertAlign w:val="subscript"/>
              </w:rPr>
              <w:t xml:space="preserve">2 </w:t>
            </w:r>
            <w:r>
              <w:rPr>
                <w:color w:val="auto"/>
              </w:rPr>
              <w:t>+NO</w:t>
            </w:r>
            <w:r>
              <w:rPr>
                <w:i/>
                <w:color w:val="auto"/>
                <w:vertAlign w:val="subscript"/>
              </w:rPr>
              <w:t>x</w:t>
            </w:r>
            <w:r>
              <w:rPr>
                <w:rFonts w:hint="eastAsia"/>
                <w:color w:val="auto"/>
              </w:rPr>
              <w:t>排放量</w:t>
            </w:r>
          </w:p>
        </w:tc>
        <w:tc>
          <w:tcPr>
            <w:tcW w:w="1351" w:type="dxa"/>
            <w:gridSpan w:val="2"/>
            <w:vAlign w:val="center"/>
          </w:tcPr>
          <w:p>
            <w:pPr>
              <w:pStyle w:val="80"/>
              <w:snapToGrid w:val="0"/>
              <w:spacing w:line="260" w:lineRule="atLeast"/>
              <w:rPr>
                <w:color w:val="auto"/>
              </w:rPr>
            </w:pPr>
            <w:r>
              <w:rPr>
                <w:rFonts w:hint="eastAsia" w:ascii="仿宋" w:hAnsi="仿宋" w:eastAsia="仿宋"/>
                <w:color w:val="auto"/>
              </w:rPr>
              <w:t>≥</w:t>
            </w:r>
            <w:r>
              <w:rPr>
                <w:color w:val="auto"/>
              </w:rPr>
              <w:t xml:space="preserve"> 2000t/a</w:t>
            </w:r>
            <w:r>
              <w:rPr>
                <w:rFonts w:hint="eastAsia" w:ascii="仿宋" w:hAnsi="仿宋" w:eastAsia="仿宋"/>
                <w:color w:val="auto"/>
              </w:rPr>
              <w:t>□</w:t>
            </w:r>
          </w:p>
        </w:tc>
        <w:tc>
          <w:tcPr>
            <w:tcW w:w="3411" w:type="dxa"/>
            <w:gridSpan w:val="14"/>
            <w:vAlign w:val="center"/>
          </w:tcPr>
          <w:p>
            <w:pPr>
              <w:pStyle w:val="80"/>
              <w:snapToGrid w:val="0"/>
              <w:spacing w:line="260" w:lineRule="atLeast"/>
              <w:rPr>
                <w:color w:val="auto"/>
              </w:rPr>
            </w:pPr>
            <w:r>
              <w:rPr>
                <w:rFonts w:eastAsia="仿宋"/>
                <w:color w:val="auto"/>
              </w:rPr>
              <w:t xml:space="preserve">500~ </w:t>
            </w:r>
            <w:r>
              <w:rPr>
                <w:color w:val="auto"/>
              </w:rPr>
              <w:t>2000t/a</w:t>
            </w:r>
            <w:r>
              <w:rPr>
                <w:rFonts w:hint="eastAsia" w:ascii="仿宋" w:hAnsi="仿宋" w:eastAsia="仿宋"/>
                <w:color w:val="auto"/>
              </w:rPr>
              <w:t>□</w:t>
            </w:r>
          </w:p>
        </w:tc>
        <w:tc>
          <w:tcPr>
            <w:tcW w:w="1614" w:type="dxa"/>
            <w:gridSpan w:val="4"/>
            <w:vAlign w:val="center"/>
          </w:tcPr>
          <w:p>
            <w:pPr>
              <w:pStyle w:val="80"/>
              <w:snapToGrid w:val="0"/>
              <w:spacing w:line="260" w:lineRule="atLeast"/>
              <w:rPr>
                <w:color w:val="auto"/>
              </w:rPr>
            </w:pPr>
            <w:r>
              <w:rPr>
                <w:rFonts w:hint="eastAsia" w:ascii="仿宋" w:hAnsi="仿宋" w:eastAsia="仿宋"/>
                <w:color w:val="auto"/>
              </w:rPr>
              <w:t>＜</w:t>
            </w:r>
            <w:r>
              <w:rPr>
                <w:color w:val="auto"/>
              </w:rPr>
              <w:t>500 t/a</w:t>
            </w:r>
            <w:r>
              <w:rPr>
                <w:rFonts w:hint="eastAsia" w:ascii="MS Mincho" w:hAnsi="MS Mincho" w:eastAsia="MS Mincho" w:cs="MS Mincho"/>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46"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评价因子</w:t>
            </w:r>
          </w:p>
        </w:tc>
        <w:tc>
          <w:tcPr>
            <w:tcW w:w="3530" w:type="dxa"/>
            <w:gridSpan w:val="12"/>
            <w:vAlign w:val="center"/>
          </w:tcPr>
          <w:p>
            <w:pPr>
              <w:pStyle w:val="80"/>
              <w:snapToGrid w:val="0"/>
              <w:spacing w:line="260" w:lineRule="atLeast"/>
              <w:rPr>
                <w:color w:val="auto"/>
              </w:rPr>
            </w:pPr>
            <w:r>
              <w:rPr>
                <w:rFonts w:hint="eastAsia"/>
                <w:color w:val="auto"/>
              </w:rPr>
              <w:t>基本污染物 (</w:t>
            </w:r>
            <w:r>
              <w:rPr>
                <w:color w:val="auto"/>
              </w:rPr>
              <w:t xml:space="preserve">            )</w:t>
            </w:r>
          </w:p>
          <w:p>
            <w:pPr>
              <w:pStyle w:val="80"/>
              <w:snapToGrid w:val="0"/>
              <w:spacing w:line="260" w:lineRule="atLeast"/>
              <w:rPr>
                <w:color w:val="auto"/>
              </w:rPr>
            </w:pPr>
            <w:r>
              <w:rPr>
                <w:rFonts w:hint="eastAsia" w:ascii="宋体" w:hAnsi="宋体" w:eastAsia="宋体" w:cs="宋体"/>
                <w:color w:val="auto"/>
              </w:rPr>
              <w:t>其他污染物</w:t>
            </w:r>
            <w:r>
              <w:rPr>
                <w:color w:val="auto"/>
              </w:rPr>
              <w:t xml:space="preserve"> (  </w:t>
            </w:r>
            <w:r>
              <w:rPr>
                <w:rFonts w:hint="eastAsia"/>
                <w:color w:val="auto"/>
              </w:rPr>
              <w:t xml:space="preserve">  </w:t>
            </w:r>
            <w:r>
              <w:rPr>
                <w:rFonts w:hint="eastAsia"/>
                <w:color w:val="auto"/>
                <w:lang w:eastAsia="zh-CN"/>
              </w:rPr>
              <w:t>氨</w:t>
            </w:r>
            <w:r>
              <w:rPr>
                <w:color w:val="auto"/>
              </w:rPr>
              <w:t xml:space="preserve">  )</w:t>
            </w:r>
          </w:p>
        </w:tc>
        <w:tc>
          <w:tcPr>
            <w:tcW w:w="2846" w:type="dxa"/>
            <w:gridSpan w:val="8"/>
            <w:vAlign w:val="center"/>
          </w:tcPr>
          <w:p>
            <w:pPr>
              <w:pStyle w:val="80"/>
              <w:snapToGrid w:val="0"/>
              <w:spacing w:line="260" w:lineRule="atLeast"/>
              <w:ind w:right="412" w:rightChars="196"/>
              <w:jc w:val="right"/>
              <w:rPr>
                <w:color w:val="auto"/>
              </w:rPr>
            </w:pPr>
            <w:r>
              <w:rPr>
                <w:rFonts w:hint="eastAsia"/>
                <w:color w:val="auto"/>
              </w:rPr>
              <w:t>包括二次</w:t>
            </w:r>
            <w:r>
              <w:rPr>
                <w:color w:val="auto"/>
              </w:rPr>
              <w:t>PM</w:t>
            </w:r>
            <w:r>
              <w:rPr>
                <w:color w:val="auto"/>
                <w:vertAlign w:val="subscript"/>
              </w:rPr>
              <w:t>2.5</w:t>
            </w:r>
            <w:r>
              <w:rPr>
                <w:rFonts w:hint="eastAsia" w:ascii="仿宋" w:hAnsi="仿宋" w:eastAsia="仿宋"/>
                <w:color w:val="auto"/>
              </w:rPr>
              <w:t>□</w:t>
            </w:r>
          </w:p>
          <w:p>
            <w:pPr>
              <w:pStyle w:val="80"/>
              <w:snapToGrid w:val="0"/>
              <w:spacing w:line="260" w:lineRule="atLeast"/>
              <w:ind w:right="412" w:rightChars="196"/>
              <w:jc w:val="right"/>
              <w:rPr>
                <w:color w:val="auto"/>
              </w:rPr>
            </w:pPr>
            <w:r>
              <w:rPr>
                <w:rFonts w:hint="eastAsia"/>
                <w:color w:val="auto"/>
              </w:rPr>
              <w:t>不包括二次</w:t>
            </w:r>
            <w:r>
              <w:rPr>
                <w:color w:val="auto"/>
              </w:rPr>
              <w:t>PM</w:t>
            </w:r>
            <w:r>
              <w:rPr>
                <w:color w:val="auto"/>
                <w:vertAlign w:val="subscript"/>
              </w:rPr>
              <w:t>2.5</w:t>
            </w:r>
            <w:r>
              <w:rPr>
                <w:rFonts w:hint="eastAsia" w:ascii="MS Mincho" w:hAnsi="MS Mincho" w:eastAsia="MS Mincho" w:cs="MS Mincho"/>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Align w:val="center"/>
          </w:tcPr>
          <w:p>
            <w:pPr>
              <w:pStyle w:val="80"/>
              <w:snapToGrid w:val="0"/>
              <w:spacing w:line="260" w:lineRule="atLeast"/>
              <w:rPr>
                <w:color w:val="auto"/>
              </w:rPr>
            </w:pPr>
            <w:r>
              <w:rPr>
                <w:rFonts w:hint="eastAsia"/>
                <w:color w:val="auto"/>
              </w:rPr>
              <w:t>评价标准</w:t>
            </w:r>
          </w:p>
        </w:tc>
        <w:tc>
          <w:tcPr>
            <w:tcW w:w="1686" w:type="dxa"/>
            <w:vAlign w:val="center"/>
          </w:tcPr>
          <w:p>
            <w:pPr>
              <w:pStyle w:val="80"/>
              <w:snapToGrid w:val="0"/>
              <w:spacing w:line="260" w:lineRule="atLeast"/>
              <w:rPr>
                <w:color w:val="auto"/>
              </w:rPr>
            </w:pPr>
            <w:r>
              <w:rPr>
                <w:rFonts w:hint="eastAsia"/>
                <w:color w:val="auto"/>
              </w:rPr>
              <w:t>评价标准</w:t>
            </w:r>
          </w:p>
        </w:tc>
        <w:tc>
          <w:tcPr>
            <w:tcW w:w="1967" w:type="dxa"/>
            <w:gridSpan w:val="6"/>
            <w:vAlign w:val="center"/>
          </w:tcPr>
          <w:p>
            <w:pPr>
              <w:pStyle w:val="80"/>
              <w:snapToGrid w:val="0"/>
              <w:spacing w:line="260" w:lineRule="atLeast"/>
              <w:rPr>
                <w:color w:val="auto"/>
              </w:rPr>
            </w:pPr>
            <w:r>
              <w:rPr>
                <w:rFonts w:hint="eastAsia"/>
                <w:color w:val="auto"/>
              </w:rPr>
              <w:t>国家标准☑</w:t>
            </w:r>
          </w:p>
        </w:tc>
        <w:tc>
          <w:tcPr>
            <w:tcW w:w="1563" w:type="dxa"/>
            <w:gridSpan w:val="6"/>
            <w:vAlign w:val="center"/>
          </w:tcPr>
          <w:p>
            <w:pPr>
              <w:pStyle w:val="80"/>
              <w:snapToGrid w:val="0"/>
              <w:spacing w:line="260" w:lineRule="atLeast"/>
              <w:rPr>
                <w:color w:val="auto"/>
              </w:rPr>
            </w:pPr>
            <w:r>
              <w:rPr>
                <w:rFonts w:hint="eastAsia"/>
                <w:color w:val="auto"/>
              </w:rPr>
              <w:t>地方标准</w:t>
            </w:r>
            <w:r>
              <w:rPr>
                <w:rFonts w:hint="eastAsia" w:ascii="仿宋" w:hAnsi="仿宋" w:eastAsia="仿宋"/>
                <w:color w:val="auto"/>
              </w:rPr>
              <w:t>□</w:t>
            </w:r>
          </w:p>
        </w:tc>
        <w:tc>
          <w:tcPr>
            <w:tcW w:w="1639" w:type="dxa"/>
            <w:gridSpan w:val="6"/>
            <w:vAlign w:val="center"/>
          </w:tcPr>
          <w:p>
            <w:pPr>
              <w:pStyle w:val="80"/>
              <w:snapToGrid w:val="0"/>
              <w:spacing w:line="260" w:lineRule="atLeast"/>
              <w:rPr>
                <w:color w:val="auto"/>
              </w:rPr>
            </w:pPr>
            <w:r>
              <w:rPr>
                <w:rFonts w:hint="eastAsia"/>
                <w:color w:val="auto"/>
              </w:rPr>
              <w:t>附录</w:t>
            </w:r>
            <w:r>
              <w:rPr>
                <w:color w:val="auto"/>
              </w:rPr>
              <w:t>D</w:t>
            </w:r>
            <w:r>
              <w:rPr>
                <w:rFonts w:hint="eastAsia" w:ascii="仿宋" w:hAnsi="仿宋" w:eastAsia="仿宋"/>
                <w:color w:val="auto"/>
              </w:rPr>
              <w:t>□</w:t>
            </w:r>
          </w:p>
        </w:tc>
        <w:tc>
          <w:tcPr>
            <w:tcW w:w="1207" w:type="dxa"/>
            <w:gridSpan w:val="2"/>
            <w:vAlign w:val="center"/>
          </w:tcPr>
          <w:p>
            <w:pPr>
              <w:pStyle w:val="80"/>
              <w:snapToGrid w:val="0"/>
              <w:spacing w:line="260" w:lineRule="atLeast"/>
              <w:rPr>
                <w:color w:val="auto"/>
              </w:rPr>
            </w:pPr>
            <w:r>
              <w:rPr>
                <w:rFonts w:hint="eastAsia"/>
                <w:color w:val="auto"/>
              </w:rPr>
              <w:t>其他标准</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restart"/>
            <w:vAlign w:val="center"/>
          </w:tcPr>
          <w:p>
            <w:pPr>
              <w:pStyle w:val="80"/>
              <w:snapToGrid w:val="0"/>
              <w:spacing w:line="260" w:lineRule="atLeast"/>
              <w:rPr>
                <w:color w:val="auto"/>
              </w:rPr>
            </w:pPr>
            <w:r>
              <w:rPr>
                <w:rFonts w:hint="eastAsia"/>
                <w:color w:val="auto"/>
              </w:rPr>
              <w:t>现状评价</w:t>
            </w:r>
          </w:p>
        </w:tc>
        <w:tc>
          <w:tcPr>
            <w:tcW w:w="1686" w:type="dxa"/>
            <w:vAlign w:val="center"/>
          </w:tcPr>
          <w:p>
            <w:pPr>
              <w:pStyle w:val="80"/>
              <w:snapToGrid w:val="0"/>
              <w:spacing w:line="260" w:lineRule="atLeast"/>
              <w:rPr>
                <w:color w:val="auto"/>
              </w:rPr>
            </w:pPr>
            <w:r>
              <w:rPr>
                <w:rFonts w:hint="eastAsia"/>
                <w:color w:val="auto"/>
              </w:rPr>
              <w:t>环境功能区</w:t>
            </w:r>
          </w:p>
        </w:tc>
        <w:tc>
          <w:tcPr>
            <w:tcW w:w="2528" w:type="dxa"/>
            <w:gridSpan w:val="8"/>
            <w:vAlign w:val="center"/>
          </w:tcPr>
          <w:p>
            <w:pPr>
              <w:pStyle w:val="80"/>
              <w:snapToGrid w:val="0"/>
              <w:spacing w:line="260" w:lineRule="atLeast"/>
              <w:rPr>
                <w:color w:val="auto"/>
              </w:rPr>
            </w:pPr>
            <w:r>
              <w:rPr>
                <w:rFonts w:hint="eastAsia"/>
                <w:color w:val="auto"/>
              </w:rPr>
              <w:t>一类区</w:t>
            </w:r>
            <w:r>
              <w:rPr>
                <w:rFonts w:hint="eastAsia" w:ascii="仿宋" w:hAnsi="仿宋" w:eastAsia="仿宋"/>
                <w:color w:val="auto"/>
              </w:rPr>
              <w:t>□</w:t>
            </w:r>
          </w:p>
        </w:tc>
        <w:tc>
          <w:tcPr>
            <w:tcW w:w="2165" w:type="dxa"/>
            <w:gridSpan w:val="7"/>
            <w:vAlign w:val="center"/>
          </w:tcPr>
          <w:p>
            <w:pPr>
              <w:pStyle w:val="80"/>
              <w:snapToGrid w:val="0"/>
              <w:spacing w:line="260" w:lineRule="atLeast"/>
              <w:rPr>
                <w:color w:val="auto"/>
              </w:rPr>
            </w:pPr>
            <w:r>
              <w:rPr>
                <w:rFonts w:hint="eastAsia"/>
                <w:color w:val="auto"/>
              </w:rPr>
              <w:t>二类区</w:t>
            </w:r>
            <w:r>
              <w:rPr>
                <w:rFonts w:hint="eastAsia" w:ascii="MS Mincho" w:hAnsi="MS Mincho" w:eastAsia="MS Mincho" w:cs="MS Mincho"/>
                <w:color w:val="auto"/>
              </w:rPr>
              <w:t>☑</w:t>
            </w:r>
          </w:p>
        </w:tc>
        <w:tc>
          <w:tcPr>
            <w:tcW w:w="1683" w:type="dxa"/>
            <w:gridSpan w:val="5"/>
            <w:vAlign w:val="center"/>
          </w:tcPr>
          <w:p>
            <w:pPr>
              <w:pStyle w:val="80"/>
              <w:snapToGrid w:val="0"/>
              <w:spacing w:line="260" w:lineRule="atLeast"/>
              <w:rPr>
                <w:color w:val="auto"/>
              </w:rPr>
            </w:pPr>
            <w:r>
              <w:rPr>
                <w:rFonts w:hint="eastAsia"/>
                <w:color w:val="auto"/>
              </w:rPr>
              <w:t>一类区和二类区</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评价基准年</w:t>
            </w:r>
          </w:p>
        </w:tc>
        <w:tc>
          <w:tcPr>
            <w:tcW w:w="6376" w:type="dxa"/>
            <w:gridSpan w:val="20"/>
            <w:vAlign w:val="center"/>
          </w:tcPr>
          <w:p>
            <w:pPr>
              <w:pStyle w:val="80"/>
              <w:snapToGrid w:val="0"/>
              <w:spacing w:line="260" w:lineRule="atLeast"/>
              <w:rPr>
                <w:color w:val="auto"/>
              </w:rPr>
            </w:pPr>
            <w:r>
              <w:rPr>
                <w:rFonts w:hint="eastAsia" w:ascii="宋体" w:hAnsi="宋体" w:eastAsia="宋体" w:cs="宋体"/>
                <w:color w:val="auto"/>
              </w:rPr>
              <w:t>（</w:t>
            </w:r>
            <w:r>
              <w:rPr>
                <w:rFonts w:hint="eastAsia" w:ascii="宋体" w:hAnsi="宋体" w:cs="宋体"/>
                <w:color w:val="auto"/>
                <w:lang w:val="en-US" w:eastAsia="zh-CN"/>
              </w:rPr>
              <w:t>2017、</w:t>
            </w:r>
            <w:r>
              <w:rPr>
                <w:color w:val="auto"/>
              </w:rPr>
              <w:t>201</w:t>
            </w:r>
            <w:r>
              <w:rPr>
                <w:rFonts w:hint="eastAsia" w:eastAsia="宋体"/>
                <w:color w:val="auto"/>
              </w:rPr>
              <w:t>8</w:t>
            </w:r>
            <w:r>
              <w:rPr>
                <w:rFonts w:hint="eastAsia" w:ascii="宋体" w:hAnsi="宋体" w:eastAsia="宋体" w:cs="宋体"/>
                <w:color w:val="auto"/>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环境空气质量</w:t>
            </w:r>
            <w:r>
              <w:rPr>
                <w:color w:val="auto"/>
              </w:rPr>
              <w:br w:type="textWrapping"/>
            </w:r>
            <w:r>
              <w:rPr>
                <w:rFonts w:hint="eastAsia"/>
                <w:color w:val="auto"/>
              </w:rPr>
              <w:t>现状调查数据来源</w:t>
            </w:r>
          </w:p>
        </w:tc>
        <w:tc>
          <w:tcPr>
            <w:tcW w:w="2528" w:type="dxa"/>
            <w:gridSpan w:val="8"/>
            <w:vAlign w:val="center"/>
          </w:tcPr>
          <w:p>
            <w:pPr>
              <w:pStyle w:val="80"/>
              <w:snapToGrid w:val="0"/>
              <w:spacing w:line="260" w:lineRule="atLeast"/>
              <w:rPr>
                <w:color w:val="auto"/>
              </w:rPr>
            </w:pPr>
            <w:r>
              <w:rPr>
                <w:rFonts w:hint="eastAsia"/>
                <w:color w:val="auto"/>
              </w:rPr>
              <w:t>长期例行监测数据</w:t>
            </w:r>
            <w:r>
              <w:rPr>
                <w:rFonts w:hint="eastAsia" w:ascii="仿宋" w:hAnsi="仿宋" w:eastAsia="仿宋"/>
                <w:color w:val="auto"/>
              </w:rPr>
              <w:sym w:font="Wingdings 2" w:char="0052"/>
            </w:r>
          </w:p>
        </w:tc>
        <w:tc>
          <w:tcPr>
            <w:tcW w:w="2234" w:type="dxa"/>
            <w:gridSpan w:val="8"/>
            <w:vAlign w:val="center"/>
          </w:tcPr>
          <w:p>
            <w:pPr>
              <w:pStyle w:val="80"/>
              <w:snapToGrid w:val="0"/>
              <w:spacing w:line="260" w:lineRule="atLeast"/>
              <w:rPr>
                <w:color w:val="auto"/>
              </w:rPr>
            </w:pPr>
            <w:r>
              <w:rPr>
                <w:rFonts w:hint="eastAsia" w:ascii="宋体" w:hAnsi="宋体" w:eastAsia="宋体" w:cs="宋体"/>
                <w:color w:val="auto"/>
              </w:rPr>
              <w:t>主管部门发布的数据</w:t>
            </w:r>
            <w:r>
              <w:rPr>
                <w:rFonts w:hint="eastAsia" w:ascii="仿宋" w:hAnsi="仿宋" w:eastAsia="仿宋"/>
                <w:color w:val="auto"/>
              </w:rPr>
              <w:t>□</w:t>
            </w:r>
          </w:p>
        </w:tc>
        <w:tc>
          <w:tcPr>
            <w:tcW w:w="1614" w:type="dxa"/>
            <w:gridSpan w:val="4"/>
            <w:vAlign w:val="center"/>
          </w:tcPr>
          <w:p>
            <w:pPr>
              <w:pStyle w:val="80"/>
              <w:snapToGrid w:val="0"/>
              <w:spacing w:line="260" w:lineRule="atLeast"/>
              <w:rPr>
                <w:color w:val="auto"/>
              </w:rPr>
            </w:pPr>
            <w:r>
              <w:rPr>
                <w:rFonts w:hint="eastAsia" w:ascii="宋体" w:hAnsi="宋体" w:eastAsia="宋体" w:cs="宋体"/>
                <w:color w:val="auto"/>
              </w:rPr>
              <w:t>现状补充监测</w:t>
            </w:r>
            <w:r>
              <w:rPr>
                <w:rFonts w:hint="eastAsia" w:ascii="MS Mincho" w:hAnsi="MS Mincho" w:eastAsia="MS Mincho" w:cs="MS Mincho"/>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现状评价</w:t>
            </w:r>
          </w:p>
        </w:tc>
        <w:tc>
          <w:tcPr>
            <w:tcW w:w="3530" w:type="dxa"/>
            <w:gridSpan w:val="12"/>
            <w:vAlign w:val="center"/>
          </w:tcPr>
          <w:p>
            <w:pPr>
              <w:pStyle w:val="80"/>
              <w:snapToGrid w:val="0"/>
              <w:spacing w:line="260" w:lineRule="atLeast"/>
              <w:rPr>
                <w:rFonts w:hint="eastAsia" w:eastAsia="宋体"/>
                <w:color w:val="auto"/>
                <w:lang w:eastAsia="zh-CN"/>
              </w:rPr>
            </w:pPr>
            <w:r>
              <w:rPr>
                <w:rFonts w:hint="eastAsia" w:ascii="宋体" w:hAnsi="宋体" w:eastAsia="宋体" w:cs="宋体"/>
                <w:color w:val="auto"/>
              </w:rPr>
              <w:t>达标区</w:t>
            </w:r>
            <w:r>
              <w:rPr>
                <w:rFonts w:hint="eastAsia" w:ascii="MS Mincho" w:hAnsi="MS Mincho" w:cs="MS Mincho"/>
                <w:color w:val="auto"/>
                <w:lang w:eastAsia="zh-CN"/>
              </w:rPr>
              <w:sym w:font="Wingdings 2" w:char="0052"/>
            </w:r>
          </w:p>
        </w:tc>
        <w:tc>
          <w:tcPr>
            <w:tcW w:w="2846" w:type="dxa"/>
            <w:gridSpan w:val="8"/>
            <w:vAlign w:val="center"/>
          </w:tcPr>
          <w:p>
            <w:pPr>
              <w:pStyle w:val="80"/>
              <w:snapToGrid w:val="0"/>
              <w:spacing w:line="260" w:lineRule="atLeast"/>
              <w:rPr>
                <w:color w:val="auto"/>
              </w:rPr>
            </w:pPr>
            <w:r>
              <w:rPr>
                <w:rFonts w:hint="eastAsia"/>
                <w:color w:val="auto"/>
              </w:rPr>
              <w:t>不达标区</w:t>
            </w:r>
            <w:r>
              <w:rPr>
                <w:rFonts w:hint="eastAsia" w:ascii="仿宋" w:hAnsi="仿宋" w:eastAsia="仿宋"/>
                <w:color w:val="auto"/>
              </w:rPr>
              <w:sym w:font="Wingdings 2" w:char="00A3"/>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Align w:val="center"/>
          </w:tcPr>
          <w:p>
            <w:pPr>
              <w:pStyle w:val="80"/>
              <w:snapToGrid w:val="0"/>
              <w:spacing w:line="260" w:lineRule="atLeast"/>
              <w:rPr>
                <w:color w:val="auto"/>
              </w:rPr>
            </w:pPr>
            <w:r>
              <w:rPr>
                <w:rFonts w:hint="eastAsia"/>
                <w:color w:val="auto"/>
              </w:rPr>
              <w:t>污染源</w:t>
            </w:r>
            <w:r>
              <w:rPr>
                <w:color w:val="auto"/>
              </w:rPr>
              <w:br w:type="textWrapping"/>
            </w:r>
            <w:r>
              <w:rPr>
                <w:rFonts w:hint="eastAsia"/>
                <w:color w:val="auto"/>
              </w:rPr>
              <w:t>调查</w:t>
            </w:r>
          </w:p>
        </w:tc>
        <w:tc>
          <w:tcPr>
            <w:tcW w:w="1686" w:type="dxa"/>
            <w:vAlign w:val="center"/>
          </w:tcPr>
          <w:p>
            <w:pPr>
              <w:pStyle w:val="80"/>
              <w:snapToGrid w:val="0"/>
              <w:spacing w:line="260" w:lineRule="atLeast"/>
              <w:rPr>
                <w:color w:val="auto"/>
              </w:rPr>
            </w:pPr>
            <w:r>
              <w:rPr>
                <w:rFonts w:hint="eastAsia"/>
                <w:color w:val="auto"/>
              </w:rPr>
              <w:t>调查内容</w:t>
            </w:r>
          </w:p>
        </w:tc>
        <w:tc>
          <w:tcPr>
            <w:tcW w:w="2126" w:type="dxa"/>
            <w:gridSpan w:val="7"/>
            <w:vAlign w:val="center"/>
          </w:tcPr>
          <w:p>
            <w:pPr>
              <w:pStyle w:val="80"/>
              <w:snapToGrid w:val="0"/>
              <w:spacing w:line="260" w:lineRule="atLeast"/>
              <w:jc w:val="right"/>
              <w:rPr>
                <w:color w:val="auto"/>
              </w:rPr>
            </w:pPr>
            <w:r>
              <w:rPr>
                <w:rFonts w:hint="eastAsia"/>
                <w:color w:val="auto"/>
              </w:rPr>
              <w:t>本项目正常排放源</w:t>
            </w:r>
            <w:r>
              <w:rPr>
                <w:rFonts w:hint="eastAsia" w:ascii="MS Mincho" w:hAnsi="MS Mincho" w:eastAsia="MS Mincho" w:cs="MS Mincho"/>
                <w:color w:val="auto"/>
              </w:rPr>
              <w:t>☑</w:t>
            </w:r>
          </w:p>
          <w:p>
            <w:pPr>
              <w:pStyle w:val="80"/>
              <w:snapToGrid w:val="0"/>
              <w:spacing w:line="260" w:lineRule="atLeast"/>
              <w:jc w:val="right"/>
              <w:rPr>
                <w:color w:val="auto"/>
              </w:rPr>
            </w:pPr>
            <w:r>
              <w:rPr>
                <w:rFonts w:hint="eastAsia"/>
                <w:color w:val="auto"/>
              </w:rPr>
              <w:t>本项目非正常排放源</w:t>
            </w:r>
            <w:r>
              <w:rPr>
                <w:rFonts w:hint="eastAsia" w:ascii="仿宋" w:hAnsi="仿宋" w:eastAsia="仿宋"/>
                <w:color w:val="auto"/>
              </w:rPr>
              <w:t>□</w:t>
            </w:r>
          </w:p>
          <w:p>
            <w:pPr>
              <w:pStyle w:val="80"/>
              <w:snapToGrid w:val="0"/>
              <w:spacing w:line="260" w:lineRule="atLeast"/>
              <w:jc w:val="right"/>
              <w:rPr>
                <w:color w:val="auto"/>
              </w:rPr>
            </w:pPr>
            <w:r>
              <w:rPr>
                <w:rFonts w:hint="eastAsia"/>
                <w:color w:val="auto"/>
              </w:rPr>
              <w:t>现有污染源</w:t>
            </w:r>
            <w:r>
              <w:rPr>
                <w:rFonts w:hint="eastAsia" w:ascii="仿宋" w:hAnsi="仿宋" w:eastAsia="仿宋"/>
                <w:color w:val="auto"/>
              </w:rPr>
              <w:t>□</w:t>
            </w:r>
          </w:p>
        </w:tc>
        <w:tc>
          <w:tcPr>
            <w:tcW w:w="1404" w:type="dxa"/>
            <w:gridSpan w:val="5"/>
            <w:vAlign w:val="center"/>
          </w:tcPr>
          <w:p>
            <w:pPr>
              <w:pStyle w:val="80"/>
              <w:snapToGrid w:val="0"/>
              <w:spacing w:line="260" w:lineRule="atLeast"/>
              <w:rPr>
                <w:color w:val="auto"/>
              </w:rPr>
            </w:pPr>
            <w:r>
              <w:rPr>
                <w:rFonts w:hint="eastAsia"/>
                <w:color w:val="auto"/>
              </w:rPr>
              <w:t>拟替代的污染源</w:t>
            </w:r>
            <w:r>
              <w:rPr>
                <w:rFonts w:hint="eastAsia" w:ascii="仿宋" w:hAnsi="仿宋" w:eastAsia="仿宋"/>
                <w:color w:val="auto"/>
              </w:rPr>
              <w:t>□</w:t>
            </w:r>
          </w:p>
        </w:tc>
        <w:tc>
          <w:tcPr>
            <w:tcW w:w="1639" w:type="dxa"/>
            <w:gridSpan w:val="6"/>
            <w:vAlign w:val="center"/>
          </w:tcPr>
          <w:p>
            <w:pPr>
              <w:pStyle w:val="80"/>
              <w:snapToGrid w:val="0"/>
              <w:spacing w:line="260" w:lineRule="atLeast"/>
              <w:rPr>
                <w:color w:val="auto"/>
              </w:rPr>
            </w:pPr>
            <w:r>
              <w:rPr>
                <w:rFonts w:hint="eastAsia"/>
                <w:color w:val="auto"/>
              </w:rPr>
              <w:t>其他在建、拟建项目污染源</w:t>
            </w:r>
            <w:r>
              <w:rPr>
                <w:rFonts w:hint="eastAsia" w:ascii="仿宋" w:hAnsi="仿宋" w:eastAsia="仿宋"/>
                <w:color w:val="auto"/>
              </w:rPr>
              <w:t>□</w:t>
            </w:r>
          </w:p>
        </w:tc>
        <w:tc>
          <w:tcPr>
            <w:tcW w:w="1207" w:type="dxa"/>
            <w:gridSpan w:val="2"/>
            <w:vAlign w:val="center"/>
          </w:tcPr>
          <w:p>
            <w:pPr>
              <w:pStyle w:val="80"/>
              <w:snapToGrid w:val="0"/>
              <w:spacing w:line="260" w:lineRule="atLeast"/>
              <w:rPr>
                <w:color w:val="auto"/>
              </w:rPr>
            </w:pPr>
            <w:r>
              <w:rPr>
                <w:rFonts w:hint="eastAsia"/>
                <w:color w:val="auto"/>
              </w:rPr>
              <w:t>区域污染源</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restart"/>
            <w:vAlign w:val="center"/>
          </w:tcPr>
          <w:p>
            <w:pPr>
              <w:pStyle w:val="80"/>
              <w:snapToGrid w:val="0"/>
              <w:spacing w:line="260" w:lineRule="atLeast"/>
              <w:rPr>
                <w:color w:val="auto"/>
              </w:rPr>
            </w:pPr>
            <w:r>
              <w:rPr>
                <w:rFonts w:hint="eastAsia"/>
                <w:color w:val="auto"/>
              </w:rPr>
              <w:t>大气环境影响预测与</w:t>
            </w:r>
            <w:r>
              <w:rPr>
                <w:color w:val="auto"/>
              </w:rPr>
              <w:br w:type="textWrapping"/>
            </w:r>
            <w:r>
              <w:rPr>
                <w:rFonts w:hint="eastAsia"/>
                <w:color w:val="auto"/>
              </w:rPr>
              <w:t>评价</w:t>
            </w:r>
          </w:p>
        </w:tc>
        <w:tc>
          <w:tcPr>
            <w:tcW w:w="1686" w:type="dxa"/>
            <w:vAlign w:val="center"/>
          </w:tcPr>
          <w:p>
            <w:pPr>
              <w:pStyle w:val="80"/>
              <w:snapToGrid w:val="0"/>
              <w:spacing w:line="260" w:lineRule="atLeast"/>
              <w:rPr>
                <w:color w:val="auto"/>
              </w:rPr>
            </w:pPr>
            <w:r>
              <w:rPr>
                <w:rFonts w:hint="eastAsia"/>
                <w:color w:val="auto"/>
              </w:rPr>
              <w:t>预测模型</w:t>
            </w:r>
          </w:p>
        </w:tc>
        <w:tc>
          <w:tcPr>
            <w:tcW w:w="975" w:type="dxa"/>
            <w:vAlign w:val="center"/>
          </w:tcPr>
          <w:p>
            <w:pPr>
              <w:pStyle w:val="80"/>
              <w:snapToGrid w:val="0"/>
              <w:spacing w:line="260" w:lineRule="atLeast"/>
              <w:rPr>
                <w:color w:val="auto"/>
              </w:rPr>
            </w:pPr>
            <w:r>
              <w:rPr>
                <w:color w:val="auto"/>
                <w:szCs w:val="18"/>
              </w:rPr>
              <w:t>AERMOD</w:t>
            </w:r>
            <w:r>
              <w:rPr>
                <w:color w:val="auto"/>
                <w:szCs w:val="18"/>
              </w:rPr>
              <w:br w:type="textWrapping"/>
            </w:r>
            <w:r>
              <w:rPr>
                <w:rFonts w:hint="eastAsia" w:ascii="仿宋" w:hAnsi="仿宋" w:eastAsia="仿宋"/>
                <w:color w:val="auto"/>
              </w:rPr>
              <w:t>□</w:t>
            </w:r>
          </w:p>
        </w:tc>
        <w:tc>
          <w:tcPr>
            <w:tcW w:w="876" w:type="dxa"/>
            <w:gridSpan w:val="4"/>
            <w:vAlign w:val="center"/>
          </w:tcPr>
          <w:p>
            <w:pPr>
              <w:pStyle w:val="80"/>
              <w:snapToGrid w:val="0"/>
              <w:spacing w:line="260" w:lineRule="atLeast"/>
              <w:rPr>
                <w:color w:val="auto"/>
              </w:rPr>
            </w:pPr>
            <w:r>
              <w:rPr>
                <w:color w:val="auto"/>
                <w:szCs w:val="18"/>
              </w:rPr>
              <w:t>ADMS</w:t>
            </w:r>
            <w:r>
              <w:rPr>
                <w:color w:val="auto"/>
                <w:szCs w:val="18"/>
              </w:rPr>
              <w:br w:type="textWrapping"/>
            </w:r>
            <w:r>
              <w:rPr>
                <w:rFonts w:hint="eastAsia" w:ascii="仿宋" w:hAnsi="仿宋" w:eastAsia="仿宋"/>
                <w:color w:val="auto"/>
              </w:rPr>
              <w:t>□</w:t>
            </w:r>
          </w:p>
        </w:tc>
        <w:tc>
          <w:tcPr>
            <w:tcW w:w="1059" w:type="dxa"/>
            <w:gridSpan w:val="5"/>
            <w:vAlign w:val="center"/>
          </w:tcPr>
          <w:p>
            <w:pPr>
              <w:pStyle w:val="80"/>
              <w:snapToGrid w:val="0"/>
              <w:spacing w:line="260" w:lineRule="atLeast"/>
              <w:rPr>
                <w:color w:val="auto"/>
              </w:rPr>
            </w:pPr>
            <w:r>
              <w:rPr>
                <w:color w:val="auto"/>
                <w:szCs w:val="18"/>
              </w:rPr>
              <w:t>AUSTAL2000</w:t>
            </w:r>
            <w:r>
              <w:rPr>
                <w:color w:val="auto"/>
                <w:szCs w:val="18"/>
              </w:rPr>
              <w:br w:type="textWrapping"/>
            </w:r>
            <w:r>
              <w:rPr>
                <w:rFonts w:hint="eastAsia" w:ascii="仿宋" w:hAnsi="仿宋" w:eastAsia="仿宋"/>
                <w:color w:val="auto"/>
              </w:rPr>
              <w:t>□</w:t>
            </w:r>
          </w:p>
        </w:tc>
        <w:tc>
          <w:tcPr>
            <w:tcW w:w="1036" w:type="dxa"/>
            <w:gridSpan w:val="3"/>
            <w:vAlign w:val="center"/>
          </w:tcPr>
          <w:p>
            <w:pPr>
              <w:pStyle w:val="80"/>
              <w:snapToGrid w:val="0"/>
              <w:spacing w:line="260" w:lineRule="atLeast"/>
              <w:rPr>
                <w:color w:val="auto"/>
              </w:rPr>
            </w:pPr>
            <w:r>
              <w:rPr>
                <w:color w:val="auto"/>
                <w:szCs w:val="18"/>
              </w:rPr>
              <w:t>EDMS/AEDT</w:t>
            </w:r>
            <w:r>
              <w:rPr>
                <w:color w:val="auto"/>
                <w:szCs w:val="18"/>
              </w:rPr>
              <w:br w:type="textWrapping"/>
            </w:r>
            <w:r>
              <w:rPr>
                <w:rFonts w:hint="eastAsia" w:ascii="仿宋" w:hAnsi="仿宋" w:eastAsia="仿宋"/>
                <w:color w:val="auto"/>
              </w:rPr>
              <w:t>□</w:t>
            </w:r>
          </w:p>
        </w:tc>
        <w:tc>
          <w:tcPr>
            <w:tcW w:w="816" w:type="dxa"/>
            <w:gridSpan w:val="3"/>
            <w:vAlign w:val="center"/>
          </w:tcPr>
          <w:p>
            <w:pPr>
              <w:pStyle w:val="80"/>
              <w:snapToGrid w:val="0"/>
              <w:spacing w:line="260" w:lineRule="atLeast"/>
              <w:rPr>
                <w:color w:val="auto"/>
              </w:rPr>
            </w:pPr>
            <w:r>
              <w:rPr>
                <w:color w:val="auto"/>
                <w:szCs w:val="18"/>
              </w:rPr>
              <w:t>CALPUFF</w:t>
            </w:r>
            <w:r>
              <w:rPr>
                <w:color w:val="auto"/>
                <w:szCs w:val="18"/>
              </w:rPr>
              <w:br w:type="textWrapping"/>
            </w:r>
            <w:r>
              <w:rPr>
                <w:rFonts w:hint="eastAsia" w:ascii="仿宋" w:hAnsi="仿宋" w:eastAsia="仿宋"/>
                <w:color w:val="auto"/>
              </w:rPr>
              <w:t>□</w:t>
            </w:r>
          </w:p>
        </w:tc>
        <w:tc>
          <w:tcPr>
            <w:tcW w:w="893" w:type="dxa"/>
            <w:gridSpan w:val="3"/>
            <w:vAlign w:val="center"/>
          </w:tcPr>
          <w:p>
            <w:pPr>
              <w:pStyle w:val="80"/>
              <w:snapToGrid w:val="0"/>
              <w:spacing w:line="260" w:lineRule="atLeast"/>
              <w:rPr>
                <w:color w:val="auto"/>
              </w:rPr>
            </w:pPr>
            <w:r>
              <w:rPr>
                <w:rFonts w:hint="eastAsia"/>
                <w:color w:val="auto"/>
                <w:szCs w:val="18"/>
              </w:rPr>
              <w:t>网格模型</w:t>
            </w:r>
            <w:r>
              <w:rPr>
                <w:color w:val="auto"/>
                <w:szCs w:val="18"/>
              </w:rPr>
              <w:br w:type="textWrapping"/>
            </w:r>
            <w:r>
              <w:rPr>
                <w:rFonts w:hint="eastAsia" w:ascii="仿宋" w:hAnsi="仿宋" w:eastAsia="仿宋"/>
                <w:color w:val="auto"/>
              </w:rPr>
              <w:t>□</w:t>
            </w:r>
          </w:p>
        </w:tc>
        <w:tc>
          <w:tcPr>
            <w:tcW w:w="721" w:type="dxa"/>
            <w:vAlign w:val="center"/>
          </w:tcPr>
          <w:p>
            <w:pPr>
              <w:pStyle w:val="80"/>
              <w:snapToGrid w:val="0"/>
              <w:spacing w:line="260" w:lineRule="atLeast"/>
              <w:rPr>
                <w:color w:val="auto"/>
              </w:rPr>
            </w:pPr>
            <w:r>
              <w:rPr>
                <w:rFonts w:hint="eastAsia"/>
                <w:color w:val="auto"/>
              </w:rPr>
              <w:t>其他</w:t>
            </w:r>
            <w:r>
              <w:rPr>
                <w:color w:val="auto"/>
              </w:rPr>
              <w:br w:type="textWrapping"/>
            </w:r>
            <w:r>
              <w:rPr>
                <w:rFonts w:hint="eastAsia" w:ascii="MS Mincho" w:hAnsi="MS Mincho" w:eastAsia="MS Mincho" w:cs="MS Mincho"/>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72"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预测范围</w:t>
            </w:r>
          </w:p>
        </w:tc>
        <w:tc>
          <w:tcPr>
            <w:tcW w:w="1851" w:type="dxa"/>
            <w:gridSpan w:val="5"/>
            <w:vAlign w:val="center"/>
          </w:tcPr>
          <w:p>
            <w:pPr>
              <w:pStyle w:val="80"/>
              <w:snapToGrid w:val="0"/>
              <w:spacing w:line="260" w:lineRule="atLeast"/>
              <w:rPr>
                <w:color w:val="auto"/>
                <w:szCs w:val="18"/>
              </w:rPr>
            </w:pPr>
            <w:r>
              <w:rPr>
                <w:rFonts w:hint="eastAsia"/>
                <w:color w:val="auto"/>
              </w:rPr>
              <w:t>边长</w:t>
            </w:r>
            <w:r>
              <w:rPr>
                <w:rFonts w:hint="eastAsia" w:ascii="仿宋" w:hAnsi="仿宋" w:eastAsia="仿宋"/>
                <w:color w:val="auto"/>
              </w:rPr>
              <w:t>≥</w:t>
            </w:r>
            <w:r>
              <w:rPr>
                <w:color w:val="auto"/>
              </w:rPr>
              <w:t>50km</w:t>
            </w:r>
            <w:r>
              <w:rPr>
                <w:rFonts w:hint="eastAsia" w:ascii="仿宋" w:hAnsi="仿宋" w:eastAsia="仿宋"/>
                <w:color w:val="auto"/>
              </w:rPr>
              <w:t>□</w:t>
            </w:r>
          </w:p>
        </w:tc>
        <w:tc>
          <w:tcPr>
            <w:tcW w:w="2911" w:type="dxa"/>
            <w:gridSpan w:val="11"/>
            <w:vAlign w:val="center"/>
          </w:tcPr>
          <w:p>
            <w:pPr>
              <w:pStyle w:val="80"/>
              <w:snapToGrid w:val="0"/>
              <w:spacing w:line="260" w:lineRule="atLeast"/>
              <w:rPr>
                <w:rFonts w:hint="eastAsia" w:eastAsia="宋体"/>
                <w:color w:val="auto"/>
                <w:szCs w:val="18"/>
                <w:lang w:eastAsia="zh-CN"/>
              </w:rPr>
            </w:pPr>
            <w:r>
              <w:rPr>
                <w:rFonts w:hint="eastAsia"/>
                <w:color w:val="auto"/>
              </w:rPr>
              <w:t>边长</w:t>
            </w:r>
            <w:r>
              <w:rPr>
                <w:color w:val="auto"/>
              </w:rPr>
              <w:t>5</w:t>
            </w:r>
            <w:r>
              <w:rPr>
                <w:rFonts w:hint="eastAsia"/>
                <w:color w:val="auto"/>
              </w:rPr>
              <w:t>～</w:t>
            </w:r>
            <w:r>
              <w:rPr>
                <w:color w:val="auto"/>
              </w:rPr>
              <w:t>50km</w:t>
            </w:r>
            <w:r>
              <w:rPr>
                <w:rFonts w:hint="eastAsia" w:ascii="MS Mincho" w:hAnsi="MS Mincho" w:cs="MS Mincho"/>
                <w:color w:val="auto"/>
                <w:lang w:eastAsia="zh-CN"/>
              </w:rPr>
              <w:t>□</w:t>
            </w:r>
          </w:p>
        </w:tc>
        <w:tc>
          <w:tcPr>
            <w:tcW w:w="1614" w:type="dxa"/>
            <w:gridSpan w:val="4"/>
            <w:vAlign w:val="center"/>
          </w:tcPr>
          <w:p>
            <w:pPr>
              <w:pStyle w:val="80"/>
              <w:snapToGrid w:val="0"/>
              <w:spacing w:line="260" w:lineRule="atLeast"/>
              <w:rPr>
                <w:color w:val="auto"/>
              </w:rPr>
            </w:pPr>
            <w:r>
              <w:rPr>
                <w:rFonts w:hint="eastAsia"/>
                <w:color w:val="auto"/>
              </w:rPr>
              <w:t>边长</w:t>
            </w:r>
            <w:r>
              <w:rPr>
                <w:color w:val="auto"/>
              </w:rPr>
              <w:t>=5 km</w:t>
            </w:r>
            <w:r>
              <w:rPr>
                <w:rFonts w:hint="eastAsia" w:ascii="仿宋" w:hAnsi="仿宋" w:eastAsia="仿宋"/>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0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预测因子</w:t>
            </w:r>
          </w:p>
        </w:tc>
        <w:tc>
          <w:tcPr>
            <w:tcW w:w="3530" w:type="dxa"/>
            <w:gridSpan w:val="12"/>
            <w:vAlign w:val="center"/>
          </w:tcPr>
          <w:p>
            <w:pPr>
              <w:pStyle w:val="80"/>
              <w:snapToGrid w:val="0"/>
              <w:spacing w:line="260" w:lineRule="atLeast"/>
              <w:rPr>
                <w:color w:val="auto"/>
              </w:rPr>
            </w:pPr>
            <w:r>
              <w:rPr>
                <w:rFonts w:hint="eastAsia" w:ascii="宋体" w:hAnsi="宋体" w:eastAsia="宋体" w:cs="宋体"/>
                <w:color w:val="auto"/>
              </w:rPr>
              <w:t>预测因子</w:t>
            </w:r>
            <w:r>
              <w:rPr>
                <w:color w:val="auto"/>
              </w:rPr>
              <w:t xml:space="preserve">(   </w:t>
            </w:r>
            <w:r>
              <w:rPr>
                <w:rFonts w:hint="eastAsia"/>
                <w:color w:val="auto"/>
                <w:lang w:eastAsia="zh-CN"/>
              </w:rPr>
              <w:t>氨</w:t>
            </w:r>
            <w:r>
              <w:rPr>
                <w:color w:val="auto"/>
              </w:rPr>
              <w:t xml:space="preserve">   )</w:t>
            </w:r>
          </w:p>
        </w:tc>
        <w:tc>
          <w:tcPr>
            <w:tcW w:w="2846" w:type="dxa"/>
            <w:gridSpan w:val="8"/>
            <w:vAlign w:val="center"/>
          </w:tcPr>
          <w:p>
            <w:pPr>
              <w:pStyle w:val="80"/>
              <w:snapToGrid w:val="0"/>
              <w:spacing w:line="260" w:lineRule="atLeast"/>
              <w:ind w:right="552" w:rightChars="263"/>
              <w:jc w:val="right"/>
              <w:rPr>
                <w:color w:val="auto"/>
              </w:rPr>
            </w:pPr>
            <w:r>
              <w:rPr>
                <w:rFonts w:hint="eastAsia"/>
                <w:color w:val="auto"/>
              </w:rPr>
              <w:t>包括二次</w:t>
            </w:r>
            <w:r>
              <w:rPr>
                <w:color w:val="auto"/>
              </w:rPr>
              <w:t>PM</w:t>
            </w:r>
            <w:r>
              <w:rPr>
                <w:color w:val="auto"/>
                <w:vertAlign w:val="subscript"/>
              </w:rPr>
              <w:t>2.5</w:t>
            </w:r>
            <w:r>
              <w:rPr>
                <w:rFonts w:hint="eastAsia" w:ascii="仿宋" w:hAnsi="仿宋" w:eastAsia="仿宋"/>
                <w:color w:val="auto"/>
              </w:rPr>
              <w:t>□</w:t>
            </w:r>
          </w:p>
          <w:p>
            <w:pPr>
              <w:pStyle w:val="80"/>
              <w:snapToGrid w:val="0"/>
              <w:spacing w:line="260" w:lineRule="atLeast"/>
              <w:ind w:right="552" w:rightChars="263"/>
              <w:jc w:val="right"/>
              <w:rPr>
                <w:color w:val="auto"/>
              </w:rPr>
            </w:pPr>
            <w:r>
              <w:rPr>
                <w:rFonts w:hint="eastAsia"/>
                <w:color w:val="auto"/>
              </w:rPr>
              <w:t>不包括二次</w:t>
            </w:r>
            <w:r>
              <w:rPr>
                <w:color w:val="auto"/>
              </w:rPr>
              <w:t>PM</w:t>
            </w:r>
            <w:r>
              <w:rPr>
                <w:color w:val="auto"/>
                <w:vertAlign w:val="subscript"/>
              </w:rPr>
              <w:t>2.5</w:t>
            </w:r>
            <w:r>
              <w:rPr>
                <w:rFonts w:hint="eastAsia" w:ascii="仿宋" w:hAnsi="仿宋" w:eastAsia="仿宋"/>
                <w:color w:val="auto"/>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正常排放短期浓度贡献值</w:t>
            </w:r>
          </w:p>
        </w:tc>
        <w:tc>
          <w:tcPr>
            <w:tcW w:w="3530" w:type="dxa"/>
            <w:gridSpan w:val="12"/>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26"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DF535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DF535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27"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DF535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DF535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最大占标率</w:t>
            </w:r>
            <w:r>
              <w:rPr>
                <w:rFonts w:hint="eastAsia" w:ascii="仿宋" w:hAnsi="仿宋" w:eastAsia="仿宋"/>
                <w:color w:val="auto"/>
              </w:rPr>
              <w:t>≤</w:t>
            </w:r>
            <w:r>
              <w:rPr>
                <w:color w:val="auto"/>
              </w:rPr>
              <w:t>100%</w:t>
            </w:r>
            <w:r>
              <w:rPr>
                <w:rFonts w:hint="eastAsia" w:ascii="MS Mincho" w:hAnsi="MS Mincho" w:eastAsia="MS Mincho" w:cs="MS Mincho"/>
                <w:color w:val="auto"/>
              </w:rPr>
              <w:t>☑</w:t>
            </w:r>
          </w:p>
        </w:tc>
        <w:tc>
          <w:tcPr>
            <w:tcW w:w="2846" w:type="dxa"/>
            <w:gridSpan w:val="8"/>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28"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9F3&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0549F3&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29"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9F3&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0549F3&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最大占标率</w:t>
            </w:r>
            <w:r>
              <w:rPr>
                <w:rFonts w:hint="eastAsia" w:ascii="仿宋" w:hAnsi="仿宋" w:eastAsia="仿宋"/>
                <w:color w:val="auto"/>
              </w:rPr>
              <w:t>＞</w:t>
            </w:r>
            <w:r>
              <w:rPr>
                <w:color w:val="auto"/>
              </w:rPr>
              <w:t>100%</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89" w:hRule="atLeast"/>
        </w:trPr>
        <w:tc>
          <w:tcPr>
            <w:tcW w:w="979" w:type="dxa"/>
            <w:vMerge w:val="continue"/>
            <w:vAlign w:val="center"/>
          </w:tcPr>
          <w:p>
            <w:pPr>
              <w:pStyle w:val="80"/>
              <w:snapToGrid w:val="0"/>
              <w:spacing w:line="260" w:lineRule="atLeast"/>
              <w:rPr>
                <w:color w:val="auto"/>
              </w:rPr>
            </w:pPr>
          </w:p>
        </w:tc>
        <w:tc>
          <w:tcPr>
            <w:tcW w:w="1686" w:type="dxa"/>
            <w:vMerge w:val="restart"/>
            <w:vAlign w:val="center"/>
          </w:tcPr>
          <w:p>
            <w:pPr>
              <w:pStyle w:val="80"/>
              <w:snapToGrid w:val="0"/>
              <w:spacing w:line="260" w:lineRule="atLeast"/>
              <w:rPr>
                <w:color w:val="auto"/>
              </w:rPr>
            </w:pPr>
            <w:r>
              <w:rPr>
                <w:rFonts w:hint="eastAsia"/>
                <w:color w:val="auto"/>
              </w:rPr>
              <w:t>正常排放年均浓度贡献值</w:t>
            </w:r>
          </w:p>
        </w:tc>
        <w:tc>
          <w:tcPr>
            <w:tcW w:w="975" w:type="dxa"/>
            <w:tcBorders>
              <w:right w:val="single" w:color="auto" w:sz="4" w:space="0"/>
            </w:tcBorders>
            <w:vAlign w:val="center"/>
          </w:tcPr>
          <w:p>
            <w:pPr>
              <w:pStyle w:val="80"/>
              <w:snapToGrid w:val="0"/>
              <w:spacing w:line="260" w:lineRule="atLeast"/>
              <w:rPr>
                <w:color w:val="auto"/>
              </w:rPr>
            </w:pPr>
            <w:r>
              <w:rPr>
                <w:rFonts w:hint="eastAsia"/>
                <w:color w:val="auto"/>
              </w:rPr>
              <w:t>一类区</w:t>
            </w:r>
          </w:p>
        </w:tc>
        <w:tc>
          <w:tcPr>
            <w:tcW w:w="2555" w:type="dxa"/>
            <w:gridSpan w:val="11"/>
            <w:tcBorders>
              <w:left w:val="single" w:color="auto" w:sz="4" w:space="0"/>
            </w:tcBorders>
            <w:vAlign w:val="center"/>
          </w:tcPr>
          <w:p>
            <w:pPr>
              <w:pStyle w:val="80"/>
              <w:snapToGrid w:val="0"/>
              <w:spacing w:before="24" w:after="24" w:line="260" w:lineRule="atLeast"/>
              <w:rPr>
                <w:color w:val="auto"/>
              </w:rPr>
            </w:pPr>
            <w:r>
              <w:rPr>
                <w:color w:val="auto"/>
              </w:rPr>
              <w:fldChar w:fldCharType="begin"/>
            </w:r>
            <w:r>
              <w:rPr>
                <w:color w:val="auto"/>
              </w:rPr>
              <w:instrText xml:space="preserve"> QUOTE </w:instrText>
            </w:r>
            <w:r>
              <w:rPr>
                <w:color w:val="auto"/>
                <w:position w:val="-6"/>
              </w:rPr>
              <w:pict>
                <v:shape id="_x0000_i1030"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B5A02&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CB5A0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31"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B5A02&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CB5A0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最大占标率</w:t>
            </w:r>
            <w:bookmarkStart w:id="555" w:name="OLE_LINK5"/>
            <w:bookmarkStart w:id="556" w:name="OLE_LINK7"/>
            <w:r>
              <w:rPr>
                <w:rFonts w:hint="eastAsia" w:ascii="仿宋" w:hAnsi="仿宋" w:eastAsia="仿宋"/>
                <w:color w:val="auto"/>
              </w:rPr>
              <w:t>≤</w:t>
            </w:r>
            <w:bookmarkEnd w:id="555"/>
            <w:bookmarkEnd w:id="556"/>
            <w:r>
              <w:rPr>
                <w:color w:val="auto"/>
              </w:rPr>
              <w:t>10%</w:t>
            </w:r>
            <w:r>
              <w:rPr>
                <w:rFonts w:hint="eastAsia" w:ascii="仿宋" w:hAnsi="仿宋" w:eastAsia="仿宋"/>
                <w:color w:val="auto"/>
              </w:rPr>
              <w:t>□</w:t>
            </w:r>
          </w:p>
        </w:tc>
        <w:tc>
          <w:tcPr>
            <w:tcW w:w="2846" w:type="dxa"/>
            <w:gridSpan w:val="8"/>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32"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0BF2&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ED0BF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33"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0BF2&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ED0BF2&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最大标率</w:t>
            </w:r>
            <w:r>
              <w:rPr>
                <w:rFonts w:hint="eastAsia" w:ascii="仿宋" w:hAnsi="仿宋" w:eastAsia="仿宋"/>
                <w:color w:val="auto"/>
              </w:rPr>
              <w:t>＞</w:t>
            </w:r>
            <w:r>
              <w:rPr>
                <w:color w:val="auto"/>
              </w:rPr>
              <w:t xml:space="preserve">10% </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11" w:hRule="atLeast"/>
        </w:trPr>
        <w:tc>
          <w:tcPr>
            <w:tcW w:w="979" w:type="dxa"/>
            <w:vMerge w:val="continue"/>
            <w:vAlign w:val="center"/>
          </w:tcPr>
          <w:p>
            <w:pPr>
              <w:pStyle w:val="80"/>
              <w:snapToGrid w:val="0"/>
              <w:spacing w:line="260" w:lineRule="atLeast"/>
              <w:rPr>
                <w:color w:val="auto"/>
              </w:rPr>
            </w:pPr>
          </w:p>
        </w:tc>
        <w:tc>
          <w:tcPr>
            <w:tcW w:w="1686" w:type="dxa"/>
            <w:vMerge w:val="continue"/>
            <w:vAlign w:val="center"/>
          </w:tcPr>
          <w:p>
            <w:pPr>
              <w:pStyle w:val="80"/>
              <w:snapToGrid w:val="0"/>
              <w:spacing w:line="260" w:lineRule="atLeast"/>
              <w:rPr>
                <w:color w:val="auto"/>
              </w:rPr>
            </w:pPr>
          </w:p>
        </w:tc>
        <w:tc>
          <w:tcPr>
            <w:tcW w:w="975" w:type="dxa"/>
            <w:tcBorders>
              <w:right w:val="single" w:color="auto" w:sz="4" w:space="0"/>
            </w:tcBorders>
            <w:vAlign w:val="center"/>
          </w:tcPr>
          <w:p>
            <w:pPr>
              <w:pStyle w:val="80"/>
              <w:snapToGrid w:val="0"/>
              <w:spacing w:line="260" w:lineRule="atLeast"/>
              <w:rPr>
                <w:color w:val="auto"/>
              </w:rPr>
            </w:pPr>
            <w:r>
              <w:rPr>
                <w:rFonts w:hint="eastAsia"/>
                <w:color w:val="auto"/>
              </w:rPr>
              <w:t>二类区</w:t>
            </w:r>
          </w:p>
        </w:tc>
        <w:tc>
          <w:tcPr>
            <w:tcW w:w="2555" w:type="dxa"/>
            <w:gridSpan w:val="11"/>
            <w:tcBorders>
              <w:left w:val="single" w:color="auto" w:sz="4" w:space="0"/>
            </w:tcBorders>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34"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30FF5&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230FF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35"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30FF5&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230FF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最大占标率</w:t>
            </w:r>
            <w:r>
              <w:rPr>
                <w:rFonts w:hint="eastAsia" w:ascii="仿宋" w:hAnsi="仿宋" w:eastAsia="仿宋"/>
                <w:color w:val="auto"/>
              </w:rPr>
              <w:t>≤</w:t>
            </w:r>
            <w:r>
              <w:rPr>
                <w:color w:val="auto"/>
              </w:rPr>
              <w:t>30%</w:t>
            </w:r>
            <w:r>
              <w:rPr>
                <w:rFonts w:hint="eastAsia" w:ascii="MS Mincho" w:hAnsi="MS Mincho" w:eastAsia="MS Mincho" w:cs="MS Mincho"/>
                <w:color w:val="auto"/>
              </w:rPr>
              <w:t>☑</w:t>
            </w:r>
          </w:p>
        </w:tc>
        <w:tc>
          <w:tcPr>
            <w:tcW w:w="2846" w:type="dxa"/>
            <w:gridSpan w:val="8"/>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36"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2148C&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82148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37"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2148C&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82148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本项目&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最大标率</w:t>
            </w:r>
            <w:r>
              <w:rPr>
                <w:rFonts w:hint="eastAsia" w:ascii="仿宋" w:hAnsi="仿宋" w:eastAsia="仿宋"/>
                <w:color w:val="auto"/>
              </w:rPr>
              <w:t>＞</w:t>
            </w:r>
            <w:r>
              <w:rPr>
                <w:color w:val="auto"/>
              </w:rPr>
              <w:t xml:space="preserve">30% </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非正常排放</w:t>
            </w:r>
            <w:r>
              <w:rPr>
                <w:color w:val="auto"/>
              </w:rPr>
              <w:t>1h</w:t>
            </w:r>
            <w:r>
              <w:rPr>
                <w:rFonts w:hint="eastAsia"/>
                <w:color w:val="auto"/>
              </w:rPr>
              <w:t>浓度贡献值</w:t>
            </w:r>
          </w:p>
        </w:tc>
        <w:tc>
          <w:tcPr>
            <w:tcW w:w="1465" w:type="dxa"/>
            <w:gridSpan w:val="3"/>
            <w:tcBorders>
              <w:right w:val="single" w:color="auto" w:sz="4" w:space="0"/>
            </w:tcBorders>
            <w:vAlign w:val="center"/>
          </w:tcPr>
          <w:p>
            <w:pPr>
              <w:pStyle w:val="80"/>
              <w:snapToGrid w:val="0"/>
              <w:spacing w:line="260" w:lineRule="atLeast"/>
              <w:rPr>
                <w:color w:val="auto"/>
              </w:rPr>
            </w:pPr>
            <w:r>
              <w:rPr>
                <w:rFonts w:hint="eastAsia"/>
                <w:color w:val="auto"/>
              </w:rPr>
              <w:t>非正常持续时长（</w:t>
            </w:r>
            <w:r>
              <w:rPr>
                <w:rFonts w:hint="eastAsia"/>
                <w:color w:val="auto"/>
                <w:lang w:val="en-US" w:eastAsia="zh-CN"/>
              </w:rPr>
              <w:t>0.5</w:t>
            </w:r>
            <w:r>
              <w:rPr>
                <w:rFonts w:hint="eastAsia"/>
                <w:color w:val="auto"/>
              </w:rPr>
              <w:t>）</w:t>
            </w:r>
            <w:r>
              <w:rPr>
                <w:color w:val="auto"/>
              </w:rPr>
              <w:t>h</w:t>
            </w:r>
          </w:p>
        </w:tc>
        <w:tc>
          <w:tcPr>
            <w:tcW w:w="2660" w:type="dxa"/>
            <w:gridSpan w:val="11"/>
            <w:tcBorders>
              <w:left w:val="single" w:color="auto" w:sz="4" w:space="0"/>
            </w:tcBorders>
            <w:vAlign w:val="center"/>
          </w:tcPr>
          <w:p>
            <w:pPr>
              <w:pStyle w:val="80"/>
              <w:snapToGrid w:val="0"/>
              <w:spacing w:before="24" w:after="24" w:line="260" w:lineRule="atLeast"/>
              <w:rPr>
                <w:color w:val="auto"/>
              </w:rPr>
            </w:pPr>
            <w:r>
              <w:rPr>
                <w:color w:val="auto"/>
              </w:rPr>
              <w:fldChar w:fldCharType="begin"/>
            </w:r>
            <w:r>
              <w:rPr>
                <w:color w:val="auto"/>
              </w:rPr>
              <w:instrText xml:space="preserve"> QUOTE </w:instrText>
            </w:r>
            <w:r>
              <w:rPr>
                <w:color w:val="auto"/>
                <w:position w:val="-6"/>
              </w:rPr>
              <w:pict>
                <v:shape id="_x0000_i1038"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C3D35&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7C3D3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非正常&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39"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C3D35&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7C3D35&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非正常&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占标率</w:t>
            </w:r>
            <w:r>
              <w:rPr>
                <w:rFonts w:hint="eastAsia" w:ascii="仿宋" w:hAnsi="仿宋" w:eastAsia="仿宋"/>
                <w:color w:val="auto"/>
              </w:rPr>
              <w:t>≤</w:t>
            </w:r>
            <w:r>
              <w:rPr>
                <w:color w:val="auto"/>
              </w:rPr>
              <w:t xml:space="preserve">100% </w:t>
            </w:r>
            <w:r>
              <w:rPr>
                <w:rFonts w:hint="eastAsia" w:ascii="仿宋" w:hAnsi="仿宋" w:eastAsia="仿宋"/>
                <w:color w:val="auto"/>
              </w:rPr>
              <w:sym w:font="Wingdings 2" w:char="0052"/>
            </w:r>
          </w:p>
        </w:tc>
        <w:tc>
          <w:tcPr>
            <w:tcW w:w="2251" w:type="dxa"/>
            <w:gridSpan w:val="6"/>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40"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3B0C&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323B0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非正常&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41" o:spt="75" type="#_x0000_t75" style="height:15.75pt;width:29.2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3B0C&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323B0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非正常&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8" chromakey="#FFFFFF" o:title=""/>
                  <o:lock v:ext="edit" aspectratio="t"/>
                  <w10:wrap type="none"/>
                  <w10:anchorlock/>
                </v:shape>
              </w:pict>
            </w:r>
            <w:r>
              <w:rPr>
                <w:color w:val="auto"/>
              </w:rPr>
              <w:fldChar w:fldCharType="end"/>
            </w:r>
            <w:r>
              <w:rPr>
                <w:rFonts w:hint="eastAsia"/>
                <w:color w:val="auto"/>
              </w:rPr>
              <w:t>占标率</w:t>
            </w:r>
            <w:r>
              <w:rPr>
                <w:rFonts w:hint="eastAsia" w:ascii="仿宋" w:hAnsi="仿宋" w:eastAsia="仿宋"/>
                <w:color w:val="auto"/>
              </w:rPr>
              <w:t>＞</w:t>
            </w:r>
            <w:r>
              <w:rPr>
                <w:color w:val="auto"/>
              </w:rPr>
              <w:t>100%</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25"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保证率日平均浓度和年平均浓度叠加值</w:t>
            </w:r>
          </w:p>
        </w:tc>
        <w:tc>
          <w:tcPr>
            <w:tcW w:w="3015" w:type="dxa"/>
            <w:gridSpan w:val="11"/>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42" o:spt="75" type="#_x0000_t75" style="height:15.75pt;width:21.7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53DD&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5153DD&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叠加&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9"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43" o:spt="75" type="#_x0000_t75" style="height:15.75pt;width:21.7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53DD&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5153DD&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叠加&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9" chromakey="#FFFFFF" o:title=""/>
                  <o:lock v:ext="edit" aspectratio="t"/>
                  <w10:wrap type="none"/>
                  <w10:anchorlock/>
                </v:shape>
              </w:pict>
            </w:r>
            <w:r>
              <w:rPr>
                <w:color w:val="auto"/>
              </w:rPr>
              <w:fldChar w:fldCharType="end"/>
            </w:r>
            <w:r>
              <w:rPr>
                <w:rFonts w:hint="eastAsia"/>
                <w:color w:val="auto"/>
              </w:rPr>
              <w:t>达标</w:t>
            </w:r>
            <w:r>
              <w:rPr>
                <w:rFonts w:hint="eastAsia" w:ascii="MS Mincho" w:hAnsi="MS Mincho" w:eastAsia="MS Mincho" w:cs="MS Mincho"/>
                <w:color w:val="auto"/>
              </w:rPr>
              <w:t>☑</w:t>
            </w:r>
          </w:p>
        </w:tc>
        <w:tc>
          <w:tcPr>
            <w:tcW w:w="3361" w:type="dxa"/>
            <w:gridSpan w:val="9"/>
            <w:vAlign w:val="center"/>
          </w:tcPr>
          <w:p>
            <w:pPr>
              <w:pStyle w:val="80"/>
              <w:snapToGrid w:val="0"/>
              <w:spacing w:line="260" w:lineRule="atLeast"/>
              <w:rPr>
                <w:color w:val="auto"/>
              </w:rPr>
            </w:pPr>
            <w:r>
              <w:rPr>
                <w:color w:val="auto"/>
              </w:rPr>
              <w:fldChar w:fldCharType="begin"/>
            </w:r>
            <w:r>
              <w:rPr>
                <w:color w:val="auto"/>
              </w:rPr>
              <w:instrText xml:space="preserve"> QUOTE </w:instrText>
            </w:r>
            <w:r>
              <w:rPr>
                <w:color w:val="auto"/>
                <w:position w:val="-6"/>
              </w:rPr>
              <w:pict>
                <v:shape id="_x0000_i1044" o:spt="75" type="#_x0000_t75" style="height:15.75pt;width:21.7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658AC&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A658A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叠加&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9" chromakey="#FFFFFF" o:title=""/>
                  <o:lock v:ext="edit" aspectratio="t"/>
                  <w10:wrap type="none"/>
                  <w10:anchorlock/>
                </v:shape>
              </w:pict>
            </w:r>
            <w:r>
              <w:rPr>
                <w:color w:val="auto"/>
              </w:rPr>
              <w:instrText xml:space="preserve"> </w:instrText>
            </w:r>
            <w:r>
              <w:rPr>
                <w:color w:val="auto"/>
              </w:rPr>
              <w:fldChar w:fldCharType="separate"/>
            </w:r>
            <w:r>
              <w:rPr>
                <w:color w:val="auto"/>
                <w:position w:val="-6"/>
              </w:rPr>
              <w:pict>
                <v:shape id="_x0000_i1045" o:spt="75" type="#_x0000_t75" style="height:15.75pt;width:21.75pt;" filled="f" stroked="f" coordsize="21600,21600" equationxml="&lt;?xml version=&quot;1.0&quot; encoding=&quot;UTF-8&quot; standalone=&quot;yes&quot;?&gt;&#13;&#10;&lt;?mso-application progid=&quot;Word.Document&quot;?&gt;&#13;&#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20&quot;/&gt;&lt;w:doNotEmbedSystemFonts/&gt;&lt;w:defaultTabStop w:val=&quot;420&quot;/&gt;&lt;w:drawingGridVerticalSpacing w:val=&quot;156&quot;/&gt;&lt;w:characterSpacingControl w:val=&quot;CompressPunctuation&quot;/&gt;&lt;w:webPageEncoding w:val=&quot;x-cp20936&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1E16B29&quot;/&gt;&lt;wsp:rsid wsp:val=&quot;00014945&quot;/&gt;&lt;wsp:rsid wsp:val=&quot;00040F35&quot;/&gt;&lt;wsp:rsid wsp:val=&quot;00047B50&quot;/&gt;&lt;wsp:rsid wsp:val=&quot;00052EB0&quot;/&gt;&lt;wsp:rsid wsp:val=&quot;00054D94&quot;/&gt;&lt;wsp:rsid wsp:val=&quot;000652F6&quot;/&gt;&lt;wsp:rsid wsp:val=&quot;000E250F&quot;/&gt;&lt;wsp:rsid wsp:val=&quot;000E7782&quot;/&gt;&lt;wsp:rsid wsp:val=&quot;001131F9&quot;/&gt;&lt;wsp:rsid wsp:val=&quot;00141CA0&quot;/&gt;&lt;wsp:rsid wsp:val=&quot;00142A32&quot;/&gt;&lt;wsp:rsid wsp:val=&quot;001554A9&quot;/&gt;&lt;wsp:rsid wsp:val=&quot;001B15E1&quot;/&gt;&lt;wsp:rsid wsp:val=&quot;001B5452&quot;/&gt;&lt;wsp:rsid wsp:val=&quot;001B7DE4&quot;/&gt;&lt;wsp:rsid wsp:val=&quot;001F2E9D&quot;/&gt;&lt;wsp:rsid wsp:val=&quot;0021074F&quot;/&gt;&lt;wsp:rsid wsp:val=&quot;00210BD1&quot;/&gt;&lt;wsp:rsid wsp:val=&quot;00245018&quot;/&gt;&lt;wsp:rsid wsp:val=&quot;00247633&quot;/&gt;&lt;wsp:rsid wsp:val=&quot;0029025B&quot;/&gt;&lt;wsp:rsid wsp:val=&quot;002A0394&quot;/&gt;&lt;wsp:rsid wsp:val=&quot;002A761E&quot;/&gt;&lt;wsp:rsid wsp:val=&quot;002B1C77&quot;/&gt;&lt;wsp:rsid wsp:val=&quot;002B2441&quot;/&gt;&lt;wsp:rsid wsp:val=&quot;002F1197&quot;/&gt;&lt;wsp:rsid wsp:val=&quot;00310F91&quot;/&gt;&lt;wsp:rsid wsp:val=&quot;00324A63&quot;/&gt;&lt;wsp:rsid wsp:val=&quot;00325DC7&quot;/&gt;&lt;wsp:rsid wsp:val=&quot;00346B6B&quot;/&gt;&lt;wsp:rsid wsp:val=&quot;00357DC0&quot;/&gt;&lt;wsp:rsid wsp:val=&quot;0039773C&quot;/&gt;&lt;wsp:rsid wsp:val=&quot;00397A46&quot;/&gt;&lt;wsp:rsid wsp:val=&quot;003C7294&quot;/&gt;&lt;wsp:rsid wsp:val=&quot;003D0199&quot;/&gt;&lt;wsp:rsid wsp:val=&quot;003E4AEA&quot;/&gt;&lt;wsp:rsid wsp:val=&quot;003F361A&quot;/&gt;&lt;wsp:rsid wsp:val=&quot;0042425C&quot;/&gt;&lt;wsp:rsid wsp:val=&quot;00450CCC&quot;/&gt;&lt;wsp:rsid wsp:val=&quot;00455B66&quot;/&gt;&lt;wsp:rsid wsp:val=&quot;00455D64&quot;/&gt;&lt;wsp:rsid wsp:val=&quot;00471E4E&quot;/&gt;&lt;wsp:rsid wsp:val=&quot;00482A7A&quot;/&gt;&lt;wsp:rsid wsp:val=&quot;00483EE3&quot;/&gt;&lt;wsp:rsid wsp:val=&quot;00493CF0&quot;/&gt;&lt;wsp:rsid wsp:val=&quot;004B0A23&quot;/&gt;&lt;wsp:rsid wsp:val=&quot;004B648B&quot;/&gt;&lt;wsp:rsid wsp:val=&quot;004D05EA&quot;/&gt;&lt;wsp:rsid wsp:val=&quot;004E357B&quot;/&gt;&lt;wsp:rsid wsp:val=&quot;004E42D0&quot;/&gt;&lt;wsp:rsid wsp:val=&quot;004F19CE&quot;/&gt;&lt;wsp:rsid wsp:val=&quot;004F1EDB&quot;/&gt;&lt;wsp:rsid wsp:val=&quot;004F658C&quot;/&gt;&lt;wsp:rsid wsp:val=&quot;00504E11&quot;/&gt;&lt;wsp:rsid wsp:val=&quot;005074D4&quot;/&gt;&lt;wsp:rsid wsp:val=&quot;00516F20&quot;/&gt;&lt;wsp:rsid wsp:val=&quot;00537352&quot;/&gt;&lt;wsp:rsid wsp:val=&quot;00551A51&quot;/&gt;&lt;wsp:rsid wsp:val=&quot;00563E75&quot;/&gt;&lt;wsp:rsid wsp:val=&quot;00567928&quot;/&gt;&lt;wsp:rsid wsp:val=&quot;00592FDD&quot;/&gt;&lt;wsp:rsid wsp:val=&quot;005A4798&quot;/&gt;&lt;wsp:rsid wsp:val=&quot;005C4294&quot;/&gt;&lt;wsp:rsid wsp:val=&quot;005C464C&quot;/&gt;&lt;wsp:rsid wsp:val=&quot;005C529F&quot;/&gt;&lt;wsp:rsid wsp:val=&quot;005E4B71&quot;/&gt;&lt;wsp:rsid wsp:val=&quot;005F4935&quot;/&gt;&lt;wsp:rsid wsp:val=&quot;00601C59&quot;/&gt;&lt;wsp:rsid wsp:val=&quot;006067DF&quot;/&gt;&lt;wsp:rsid wsp:val=&quot;00643B17&quot;/&gt;&lt;wsp:rsid wsp:val=&quot;006669F9&quot;/&gt;&lt;wsp:rsid wsp:val=&quot;0066763F&quot;/&gt;&lt;wsp:rsid wsp:val=&quot;00682E43&quot;/&gt;&lt;wsp:rsid wsp:val=&quot;0068305D&quot;/&gt;&lt;wsp:rsid wsp:val=&quot;00684635&quot;/&gt;&lt;wsp:rsid wsp:val=&quot;00696BB1&quot;/&gt;&lt;wsp:rsid wsp:val=&quot;006A63BD&quot;/&gt;&lt;wsp:rsid wsp:val=&quot;006B659C&quot;/&gt;&lt;wsp:rsid wsp:val=&quot;006D2412&quot;/&gt;&lt;wsp:rsid wsp:val=&quot;006D3CA5&quot;/&gt;&lt;wsp:rsid wsp:val=&quot;006D61BB&quot;/&gt;&lt;wsp:rsid wsp:val=&quot;006E30E5&quot;/&gt;&lt;wsp:rsid wsp:val=&quot;006F3562&quot;/&gt;&lt;wsp:rsid wsp:val=&quot;00701C3F&quot;/&gt;&lt;wsp:rsid wsp:val=&quot;00710E24&quot;/&gt;&lt;wsp:rsid wsp:val=&quot;007317C0&quot;/&gt;&lt;wsp:rsid wsp:val=&quot;00765BB4&quot;/&gt;&lt;wsp:rsid wsp:val=&quot;00775909&quot;/&gt;&lt;wsp:rsid wsp:val=&quot;00777D8A&quot;/&gt;&lt;wsp:rsid wsp:val=&quot;00783014&quot;/&gt;&lt;wsp:rsid wsp:val=&quot;007B6BA6&quot;/&gt;&lt;wsp:rsid wsp:val=&quot;007D62DE&quot;/&gt;&lt;wsp:rsid wsp:val=&quot;00804824&quot;/&gt;&lt;wsp:rsid wsp:val=&quot;008074BD&quot;/&gt;&lt;wsp:rsid wsp:val=&quot;00811DAB&quot;/&gt;&lt;wsp:rsid wsp:val=&quot;00815BD6&quot;/&gt;&lt;wsp:rsid wsp:val=&quot;008204FA&quot;/&gt;&lt;wsp:rsid wsp:val=&quot;00830E26&quot;/&gt;&lt;wsp:rsid wsp:val=&quot;008363D6&quot;/&gt;&lt;wsp:rsid wsp:val=&quot;00855F63&quot;/&gt;&lt;wsp:rsid wsp:val=&quot;00867B46&quot;/&gt;&lt;wsp:rsid wsp:val=&quot;008A2C96&quot;/&gt;&lt;wsp:rsid wsp:val=&quot;008C408E&quot;/&gt;&lt;wsp:rsid wsp:val=&quot;0092641D&quot;/&gt;&lt;wsp:rsid wsp:val=&quot;00944757&quot;/&gt;&lt;wsp:rsid wsp:val=&quot;00950C7D&quot;/&gt;&lt;wsp:rsid wsp:val=&quot;00962B5D&quot;/&gt;&lt;wsp:rsid wsp:val=&quot;00967E2C&quot;/&gt;&lt;wsp:rsid wsp:val=&quot;00971A63&quot;/&gt;&lt;wsp:rsid wsp:val=&quot;00971E17&quot;/&gt;&lt;wsp:rsid wsp:val=&quot;009827FA&quot;/&gt;&lt;wsp:rsid wsp:val=&quot;00987D4A&quot;/&gt;&lt;wsp:rsid wsp:val=&quot;009A1735&quot;/&gt;&lt;wsp:rsid wsp:val=&quot;009B592B&quot;/&gt;&lt;wsp:rsid wsp:val=&quot;009B59E0&quot;/&gt;&lt;wsp:rsid wsp:val=&quot;009D1A33&quot;/&gt;&lt;wsp:rsid wsp:val=&quot;009D52D6&quot;/&gt;&lt;wsp:rsid wsp:val=&quot;009E124B&quot;/&gt;&lt;wsp:rsid wsp:val=&quot;009F2A93&quot;/&gt;&lt;wsp:rsid wsp:val=&quot;009F6413&quot;/&gt;&lt;wsp:rsid wsp:val=&quot;009F71A4&quot;/&gt;&lt;wsp:rsid wsp:val=&quot;00A00E12&quot;/&gt;&lt;wsp:rsid wsp:val=&quot;00A02CD6&quot;/&gt;&lt;wsp:rsid wsp:val=&quot;00A06251&quot;/&gt;&lt;wsp:rsid wsp:val=&quot;00A43CAB&quot;/&gt;&lt;wsp:rsid wsp:val=&quot;00A57052&quot;/&gt;&lt;wsp:rsid wsp:val=&quot;00A658AC&quot;/&gt;&lt;wsp:rsid wsp:val=&quot;00A73178&quot;/&gt;&lt;wsp:rsid wsp:val=&quot;00A928F9&quot;/&gt;&lt;wsp:rsid wsp:val=&quot;00A94033&quot;/&gt;&lt;wsp:rsid wsp:val=&quot;00A976B0&quot;/&gt;&lt;wsp:rsid wsp:val=&quot;00AB7A22&quot;/&gt;&lt;wsp:rsid wsp:val=&quot;00AC0571&quot;/&gt;&lt;wsp:rsid wsp:val=&quot;00AC2BD6&quot;/&gt;&lt;wsp:rsid wsp:val=&quot;00AE5C31&quot;/&gt;&lt;wsp:rsid wsp:val=&quot;00AE7BD9&quot;/&gt;&lt;wsp:rsid wsp:val=&quot;00B116EC&quot;/&gt;&lt;wsp:rsid wsp:val=&quot;00B123BE&quot;/&gt;&lt;wsp:rsid wsp:val=&quot;00B1309D&quot;/&gt;&lt;wsp:rsid wsp:val=&quot;00B46EE0&quot;/&gt;&lt;wsp:rsid wsp:val=&quot;00B517A8&quot;/&gt;&lt;wsp:rsid wsp:val=&quot;00B63525&quot;/&gt;&lt;wsp:rsid wsp:val=&quot;00B6497E&quot;/&gt;&lt;wsp:rsid wsp:val=&quot;00B8516B&quot;/&gt;&lt;wsp:rsid wsp:val=&quot;00BA180A&quot;/&gt;&lt;wsp:rsid wsp:val=&quot;00BB19F6&quot;/&gt;&lt;wsp:rsid wsp:val=&quot;00BC7ED0&quot;/&gt;&lt;wsp:rsid wsp:val=&quot;00BD0065&quot;/&gt;&lt;wsp:rsid wsp:val=&quot;00BD7993&quot;/&gt;&lt;wsp:rsid wsp:val=&quot;00BE79A6&quot;/&gt;&lt;wsp:rsid wsp:val=&quot;00C04985&quot;/&gt;&lt;wsp:rsid wsp:val=&quot;00C116F9&quot;/&gt;&lt;wsp:rsid wsp:val=&quot;00C11859&quot;/&gt;&lt;wsp:rsid wsp:val=&quot;00C53C05&quot;/&gt;&lt;wsp:rsid wsp:val=&quot;00C55026&quot;/&gt;&lt;wsp:rsid wsp:val=&quot;00C76885&quot;/&gt;&lt;wsp:rsid wsp:val=&quot;00C82CE3&quot;/&gt;&lt;wsp:rsid wsp:val=&quot;00C90EB5&quot;/&gt;&lt;wsp:rsid wsp:val=&quot;00CA5057&quot;/&gt;&lt;wsp:rsid wsp:val=&quot;00CA7426&quot;/&gt;&lt;wsp:rsid wsp:val=&quot;00CB0822&quot;/&gt;&lt;wsp:rsid wsp:val=&quot;00CB1946&quot;/&gt;&lt;wsp:rsid wsp:val=&quot;00CB58E6&quot;/&gt;&lt;wsp:rsid wsp:val=&quot;00CC4371&quot;/&gt;&lt;wsp:rsid wsp:val=&quot;00D04875&quot;/&gt;&lt;wsp:rsid wsp:val=&quot;00D05978&quot;/&gt;&lt;wsp:rsid wsp:val=&quot;00D10A52&quot;/&gt;&lt;wsp:rsid wsp:val=&quot;00D178E6&quot;/&gt;&lt;wsp:rsid wsp:val=&quot;00D22EBF&quot;/&gt;&lt;wsp:rsid wsp:val=&quot;00D51D81&quot;/&gt;&lt;wsp:rsid wsp:val=&quot;00D61AFD&quot;/&gt;&lt;wsp:rsid wsp:val=&quot;00D66425&quot;/&gt;&lt;wsp:rsid wsp:val=&quot;00D915BB&quot;/&gt;&lt;wsp:rsid wsp:val=&quot;00DA0D61&quot;/&gt;&lt;wsp:rsid wsp:val=&quot;00DF4132&quot;/&gt;&lt;wsp:rsid wsp:val=&quot;00E35BDD&quot;/&gt;&lt;wsp:rsid wsp:val=&quot;00EA1414&quot;/&gt;&lt;wsp:rsid wsp:val=&quot;00EC64D0&quot;/&gt;&lt;wsp:rsid wsp:val=&quot;00ED1FE8&quot;/&gt;&lt;wsp:rsid wsp:val=&quot;00ED4A5E&quot;/&gt;&lt;wsp:rsid wsp:val=&quot;00EE584F&quot;/&gt;&lt;wsp:rsid wsp:val=&quot;00EE5E53&quot;/&gt;&lt;wsp:rsid wsp:val=&quot;00EE7D2D&quot;/&gt;&lt;wsp:rsid wsp:val=&quot;00F07B7B&quot;/&gt;&lt;wsp:rsid wsp:val=&quot;00F10BA1&quot;/&gt;&lt;wsp:rsid wsp:val=&quot;00F357C4&quot;/&gt;&lt;wsp:rsid wsp:val=&quot;00F35D06&quot;/&gt;&lt;wsp:rsid wsp:val=&quot;00F5028A&quot;/&gt;&lt;wsp:rsid wsp:val=&quot;00F60534&quot;/&gt;&lt;wsp:rsid wsp:val=&quot;00F74E8A&quot;/&gt;&lt;wsp:rsid wsp:val=&quot;00F759E4&quot;/&gt;&lt;wsp:rsid wsp:val=&quot;00F769DB&quot;/&gt;&lt;wsp:rsid wsp:val=&quot;00F82158&quot;/&gt;&lt;wsp:rsid wsp:val=&quot;00F873E7&quot;/&gt;&lt;wsp:rsid wsp:val=&quot;00F87F4B&quot;/&gt;&lt;wsp:rsid wsp:val=&quot;00FA3281&quot;/&gt;&lt;wsp:rsid wsp:val=&quot;00FD2E5F&quot;/&gt;&lt;wsp:rsid wsp:val=&quot;00FE7C5A&quot;/&gt;&lt;wsp:rsid wsp:val=&quot;00FF45D1&quot;/&gt;&lt;wsp:rsid wsp:val=&quot;00FF5E68&quot;/&gt;&lt;wsp:rsid wsp:val=&quot;014F4D7A&quot;/&gt;&lt;wsp:rsid wsp:val=&quot;01E16B29&quot;/&gt;&lt;wsp:rsid wsp:val=&quot;02246135&quot;/&gt;&lt;wsp:rsid wsp:val=&quot;02A95191&quot;/&gt;&lt;wsp:rsid wsp:val=&quot;02FA4568&quot;/&gt;&lt;wsp:rsid wsp:val=&quot;033436C2&quot;/&gt;&lt;wsp:rsid wsp:val=&quot;03AB3604&quot;/&gt;&lt;wsp:rsid wsp:val=&quot;03D01756&quot;/&gt;&lt;wsp:rsid wsp:val=&quot;03D77689&quot;/&gt;&lt;wsp:rsid wsp:val=&quot;03EB4321&quot;/&gt;&lt;wsp:rsid wsp:val=&quot;04912D64&quot;/&gt;&lt;wsp:rsid wsp:val=&quot;04AE5DFC&quot;/&gt;&lt;wsp:rsid wsp:val=&quot;04CE1A6D&quot;/&gt;&lt;wsp:rsid wsp:val=&quot;04E06FB4&quot;/&gt;&lt;wsp:rsid wsp:val=&quot;053B49BE&quot;/&gt;&lt;wsp:rsid wsp:val=&quot;05406BDD&quot;/&gt;&lt;wsp:rsid wsp:val=&quot;06030E72&quot;/&gt;&lt;wsp:rsid wsp:val=&quot;06307298&quot;/&gt;&lt;wsp:rsid wsp:val=&quot;064A0767&quot;/&gt;&lt;wsp:rsid wsp:val=&quot;06623CDB&quot;/&gt;&lt;wsp:rsid wsp:val=&quot;06A2760C&quot;/&gt;&lt;wsp:rsid wsp:val=&quot;06DA4D42&quot;/&gt;&lt;wsp:rsid wsp:val=&quot;06E307FE&quot;/&gt;&lt;wsp:rsid wsp:val=&quot;072D2C81&quot;/&gt;&lt;wsp:rsid wsp:val=&quot;07D440B7&quot;/&gt;&lt;wsp:rsid wsp:val=&quot;07DF3F4A&quot;/&gt;&lt;wsp:rsid wsp:val=&quot;07EB385B&quot;/&gt;&lt;wsp:rsid wsp:val=&quot;080C76D2&quot;/&gt;&lt;wsp:rsid wsp:val=&quot;08633ECF&quot;/&gt;&lt;wsp:rsid wsp:val=&quot;08662125&quot;/&gt;&lt;wsp:rsid wsp:val=&quot;08691D7F&quot;/&gt;&lt;wsp:rsid wsp:val=&quot;08FF38C8&quot;/&gt;&lt;wsp:rsid wsp:val=&quot;092618A1&quot;/&gt;&lt;wsp:rsid wsp:val=&quot;09477B29&quot;/&gt;&lt;wsp:rsid wsp:val=&quot;097F35DE&quot;/&gt;&lt;wsp:rsid wsp:val=&quot;0986655A&quot;/&gt;&lt;wsp:rsid wsp:val=&quot;09A16AF3&quot;/&gt;&lt;wsp:rsid wsp:val=&quot;09C7418C&quot;/&gt;&lt;wsp:rsid wsp:val=&quot;0A2F04E4&quot;/&gt;&lt;wsp:rsid wsp:val=&quot;0A62698B&quot;/&gt;&lt;wsp:rsid wsp:val=&quot;0A7C02C0&quot;/&gt;&lt;wsp:rsid wsp:val=&quot;0AAE2F29&quot;/&gt;&lt;wsp:rsid wsp:val=&quot;0ABA3577&quot;/&gt;&lt;wsp:rsid wsp:val=&quot;0AE4572C&quot;/&gt;&lt;wsp:rsid wsp:val=&quot;0B853D3A&quot;/&gt;&lt;wsp:rsid wsp:val=&quot;0BA66D67&quot;/&gt;&lt;wsp:rsid wsp:val=&quot;0BFF2FF8&quot;/&gt;&lt;wsp:rsid wsp:val=&quot;0C2F429D&quot;/&gt;&lt;wsp:rsid wsp:val=&quot;0C882D87&quot;/&gt;&lt;wsp:rsid wsp:val=&quot;0CA4619B&quot;/&gt;&lt;wsp:rsid wsp:val=&quot;0CA65F5B&quot;/&gt;&lt;wsp:rsid wsp:val=&quot;0CBA5F3C&quot;/&gt;&lt;wsp:rsid wsp:val=&quot;0CCF106A&quot;/&gt;&lt;wsp:rsid wsp:val=&quot;0CD551F7&quot;/&gt;&lt;wsp:rsid wsp:val=&quot;0CEF2B18&quot;/&gt;&lt;wsp:rsid wsp:val=&quot;0D7C123B&quot;/&gt;&lt;wsp:rsid wsp:val=&quot;0D9A59A1&quot;/&gt;&lt;wsp:rsid wsp:val=&quot;0DA40CEA&quot;/&gt;&lt;wsp:rsid wsp:val=&quot;0E1E304C&quot;/&gt;&lt;wsp:rsid wsp:val=&quot;0E8A6195&quot;/&gt;&lt;wsp:rsid wsp:val=&quot;0ED34B22&quot;/&gt;&lt;wsp:rsid wsp:val=&quot;0EFC02F9&quot;/&gt;&lt;wsp:rsid wsp:val=&quot;0EFD3523&quot;/&gt;&lt;wsp:rsid wsp:val=&quot;0F2739BD&quot;/&gt;&lt;wsp:rsid wsp:val=&quot;0F3E77F2&quot;/&gt;&lt;wsp:rsid wsp:val=&quot;0F5C4136&quot;/&gt;&lt;wsp:rsid wsp:val=&quot;0F684EB7&quot;/&gt;&lt;wsp:rsid wsp:val=&quot;0FA017F7&quot;/&gt;&lt;wsp:rsid wsp:val=&quot;0FB85AC0&quot;/&gt;&lt;wsp:rsid wsp:val=&quot;0FF90F59&quot;/&gt;&lt;wsp:rsid wsp:val=&quot;10552F6B&quot;/&gt;&lt;wsp:rsid wsp:val=&quot;11033C37&quot;/&gt;&lt;wsp:rsid wsp:val=&quot;11312903&quot;/&gt;&lt;wsp:rsid wsp:val=&quot;113B62C3&quot;/&gt;&lt;wsp:rsid wsp:val=&quot;114E01CE&quot;/&gt;&lt;wsp:rsid wsp:val=&quot;116F7A66&quot;/&gt;&lt;wsp:rsid wsp:val=&quot;117D6AB8&quot;/&gt;&lt;wsp:rsid wsp:val=&quot;11CA3CB6&quot;/&gt;&lt;wsp:rsid wsp:val=&quot;12331793&quot;/&gt;&lt;wsp:rsid wsp:val=&quot;13681F3E&quot;/&gt;&lt;wsp:rsid wsp:val=&quot;13795B0D&quot;/&gt;&lt;wsp:rsid wsp:val=&quot;138052DE&quot;/&gt;&lt;wsp:rsid wsp:val=&quot;13A71AB8&quot;/&gt;&lt;wsp:rsid wsp:val=&quot;13C5020D&quot;/&gt;&lt;wsp:rsid wsp:val=&quot;13D04117&quot;/&gt;&lt;wsp:rsid wsp:val=&quot;13D1782D&quot;/&gt;&lt;wsp:rsid wsp:val=&quot;14407816&quot;/&gt;&lt;wsp:rsid wsp:val=&quot;145B39BE&quot;/&gt;&lt;wsp:rsid wsp:val=&quot;14814473&quot;/&gt;&lt;wsp:rsid wsp:val=&quot;14824E80&quot;/&gt;&lt;wsp:rsid wsp:val=&quot;14863DDA&quot;/&gt;&lt;wsp:rsid wsp:val=&quot;14DA7ABC&quot;/&gt;&lt;wsp:rsid wsp:val=&quot;14E12D46&quot;/&gt;&lt;wsp:rsid wsp:val=&quot;14EA1EAF&quot;/&gt;&lt;wsp:rsid wsp:val=&quot;1526113A&quot;/&gt;&lt;wsp:rsid wsp:val=&quot;15A009EF&quot;/&gt;&lt;wsp:rsid wsp:val=&quot;15E41D86&quot;/&gt;&lt;wsp:rsid wsp:val=&quot;16163328&quot;/&gt;&lt;wsp:rsid wsp:val=&quot;16C95CCE&quot;/&gt;&lt;wsp:rsid wsp:val=&quot;17290C58&quot;/&gt;&lt;wsp:rsid wsp:val=&quot;172C0917&quot;/&gt;&lt;wsp:rsid wsp:val=&quot;17A2366A&quot;/&gt;&lt;wsp:rsid wsp:val=&quot;17B80A99&quot;/&gt;&lt;wsp:rsid wsp:val=&quot;17D813A8&quot;/&gt;&lt;wsp:rsid wsp:val=&quot;17DA6897&quot;/&gt;&lt;wsp:rsid wsp:val=&quot;17E00330&quot;/&gt;&lt;wsp:rsid wsp:val=&quot;180C060E&quot;/&gt;&lt;wsp:rsid wsp:val=&quot;1838268C&quot;/&gt;&lt;wsp:rsid wsp:val=&quot;18701C27&quot;/&gt;&lt;wsp:rsid wsp:val=&quot;19E53207&quot;/&gt;&lt;wsp:rsid wsp:val=&quot;1A314285&quot;/&gt;&lt;wsp:rsid wsp:val=&quot;1AB44C7B&quot;/&gt;&lt;wsp:rsid wsp:val=&quot;1ADB1569&quot;/&gt;&lt;wsp:rsid wsp:val=&quot;1AF15470&quot;/&gt;&lt;wsp:rsid wsp:val=&quot;1B2577D4&quot;/&gt;&lt;wsp:rsid wsp:val=&quot;1B545002&quot;/&gt;&lt;wsp:rsid wsp:val=&quot;1B5F01D4&quot;/&gt;&lt;wsp:rsid wsp:val=&quot;1B852ED0&quot;/&gt;&lt;wsp:rsid wsp:val=&quot;1B9063CB&quot;/&gt;&lt;wsp:rsid wsp:val=&quot;1BCB184E&quot;/&gt;&lt;wsp:rsid wsp:val=&quot;1BDB333C&quot;/&gt;&lt;wsp:rsid wsp:val=&quot;1C0634E0&quot;/&gt;&lt;wsp:rsid wsp:val=&quot;1C720FC4&quot;/&gt;&lt;wsp:rsid wsp:val=&quot;1C9C27E4&quot;/&gt;&lt;wsp:rsid wsp:val=&quot;1CDE202A&quot;/&gt;&lt;wsp:rsid wsp:val=&quot;1D564AC2&quot;/&gt;&lt;wsp:rsid wsp:val=&quot;1D61677B&quot;/&gt;&lt;wsp:rsid wsp:val=&quot;1D853BB9&quot;/&gt;&lt;wsp:rsid wsp:val=&quot;1DA33891&quot;/&gt;&lt;wsp:rsid wsp:val=&quot;1DDD33E6&quot;/&gt;&lt;wsp:rsid wsp:val=&quot;1E1F40AB&quot;/&gt;&lt;wsp:rsid wsp:val=&quot;1E2648CF&quot;/&gt;&lt;wsp:rsid wsp:val=&quot;1E36281E&quot;/&gt;&lt;wsp:rsid wsp:val=&quot;1E5307A5&quot;/&gt;&lt;wsp:rsid wsp:val=&quot;1E6158D3&quot;/&gt;&lt;wsp:rsid wsp:val=&quot;1EE312A6&quot;/&gt;&lt;wsp:rsid wsp:val=&quot;1F100FCA&quot;/&gt;&lt;wsp:rsid wsp:val=&quot;1F907DEF&quot;/&gt;&lt;wsp:rsid wsp:val=&quot;1FA133E3&quot;/&gt;&lt;wsp:rsid wsp:val=&quot;20356B1A&quot;/&gt;&lt;wsp:rsid wsp:val=&quot;203A7773&quot;/&gt;&lt;wsp:rsid wsp:val=&quot;20BA4A50&quot;/&gt;&lt;wsp:rsid wsp:val=&quot;212C59A6&quot;/&gt;&lt;wsp:rsid wsp:val=&quot;21325346&quot;/&gt;&lt;wsp:rsid wsp:val=&quot;21363839&quot;/&gt;&lt;wsp:rsid wsp:val=&quot;2176754B&quot;/&gt;&lt;wsp:rsid wsp:val=&quot;21B74E9A&quot;/&gt;&lt;wsp:rsid wsp:val=&quot;21E870FC&quot;/&gt;&lt;wsp:rsid wsp:val=&quot;22076AAB&quot;/&gt;&lt;wsp:rsid wsp:val=&quot;22612B0B&quot;/&gt;&lt;wsp:rsid wsp:val=&quot;226B0FAE&quot;/&gt;&lt;wsp:rsid wsp:val=&quot;227A178D&quot;/&gt;&lt;wsp:rsid wsp:val=&quot;227F2125&quot;/&gt;&lt;wsp:rsid wsp:val=&quot;23402520&quot;/&gt;&lt;wsp:rsid wsp:val=&quot;2352380D&quot;/&gt;&lt;wsp:rsid wsp:val=&quot;24433014&quot;/&gt;&lt;wsp:rsid wsp:val=&quot;244803CE&quot;/&gt;&lt;wsp:rsid wsp:val=&quot;24892A61&quot;/&gt;&lt;wsp:rsid wsp:val=&quot;24D310DC&quot;/&gt;&lt;wsp:rsid wsp:val=&quot;251C1FE4&quot;/&gt;&lt;wsp:rsid wsp:val=&quot;255609C8&quot;/&gt;&lt;wsp:rsid wsp:val=&quot;25733011&quot;/&gt;&lt;wsp:rsid wsp:val=&quot;25B669EF&quot;/&gt;&lt;wsp:rsid wsp:val=&quot;25BC6DAF&quot;/&gt;&lt;wsp:rsid wsp:val=&quot;25EA008A&quot;/&gt;&lt;wsp:rsid wsp:val=&quot;25FC35A5&quot;/&gt;&lt;wsp:rsid wsp:val=&quot;26020581&quot;/&gt;&lt;wsp:rsid wsp:val=&quot;267C6AF2&quot;/&gt;&lt;wsp:rsid wsp:val=&quot;26A97480&quot;/&gt;&lt;wsp:rsid wsp:val=&quot;27251A82&quot;/&gt;&lt;wsp:rsid wsp:val=&quot;274D3932&quot;/&gt;&lt;wsp:rsid wsp:val=&quot;27677E6D&quot;/&gt;&lt;wsp:rsid wsp:val=&quot;27750E70&quot;/&gt;&lt;wsp:rsid wsp:val=&quot;27C810B5&quot;/&gt;&lt;wsp:rsid wsp:val=&quot;282C7737&quot;/&gt;&lt;wsp:rsid wsp:val=&quot;28D53C2B&quot;/&gt;&lt;wsp:rsid wsp:val=&quot;28DB0276&quot;/&gt;&lt;wsp:rsid wsp:val=&quot;28E9720B&quot;/&gt;&lt;wsp:rsid wsp:val=&quot;290173F0&quot;/&gt;&lt;wsp:rsid wsp:val=&quot;294A7DDC&quot;/&gt;&lt;wsp:rsid wsp:val=&quot;29665A19&quot;/&gt;&lt;wsp:rsid wsp:val=&quot;2967203D&quot;/&gt;&lt;wsp:rsid wsp:val=&quot;29EA2F26&quot;/&gt;&lt;wsp:rsid wsp:val=&quot;2A7E3582&quot;/&gt;&lt;wsp:rsid wsp:val=&quot;2AF76AA5&quot;/&gt;&lt;wsp:rsid wsp:val=&quot;2B0B4102&quot;/&gt;&lt;wsp:rsid wsp:val=&quot;2B6C181A&quot;/&gt;&lt;wsp:rsid wsp:val=&quot;2C991EAF&quot;/&gt;&lt;wsp:rsid wsp:val=&quot;2CDB4609&quot;/&gt;&lt;wsp:rsid wsp:val=&quot;2D744A76&quot;/&gt;&lt;wsp:rsid wsp:val=&quot;2D7E40D7&quot;/&gt;&lt;wsp:rsid wsp:val=&quot;2DD073FE&quot;/&gt;&lt;wsp:rsid wsp:val=&quot;2E0729A3&quot;/&gt;&lt;wsp:rsid wsp:val=&quot;2EAC7171&quot;/&gt;&lt;wsp:rsid wsp:val=&quot;2F792EDB&quot;/&gt;&lt;wsp:rsid wsp:val=&quot;2F844DD5&quot;/&gt;&lt;wsp:rsid wsp:val=&quot;2F8F77C3&quot;/&gt;&lt;wsp:rsid wsp:val=&quot;2F973086&quot;/&gt;&lt;wsp:rsid wsp:val=&quot;2FD90DAC&quot;/&gt;&lt;wsp:rsid wsp:val=&quot;2FF84D1B&quot;/&gt;&lt;wsp:rsid wsp:val=&quot;30026341&quot;/&gt;&lt;wsp:rsid wsp:val=&quot;302C5508&quot;/&gt;&lt;wsp:rsid wsp:val=&quot;311B4EFF&quot;/&gt;&lt;wsp:rsid wsp:val=&quot;314B3BA3&quot;/&gt;&lt;wsp:rsid wsp:val=&quot;31C132D3&quot;/&gt;&lt;wsp:rsid wsp:val=&quot;31CC5070&quot;/&gt;&lt;wsp:rsid wsp:val=&quot;31D929AD&quot;/&gt;&lt;wsp:rsid wsp:val=&quot;324A7153&quot;/&gt;&lt;wsp:rsid wsp:val=&quot;32675CF0&quot;/&gt;&lt;wsp:rsid wsp:val=&quot;32A1465A&quot;/&gt;&lt;wsp:rsid wsp:val=&quot;32F32609&quot;/&gt;&lt;wsp:rsid wsp:val=&quot;3356076E&quot;/&gt;&lt;wsp:rsid wsp:val=&quot;3386269B&quot;/&gt;&lt;wsp:rsid wsp:val=&quot;33D54AC7&quot;/&gt;&lt;wsp:rsid wsp:val=&quot;33DC6B26&quot;/&gt;&lt;wsp:rsid wsp:val=&quot;33F504D5&quot;/&gt;&lt;wsp:rsid wsp:val=&quot;345856F4&quot;/&gt;&lt;wsp:rsid wsp:val=&quot;34597F6B&quot;/&gt;&lt;wsp:rsid wsp:val=&quot;347922E8&quot;/&gt;&lt;wsp:rsid wsp:val=&quot;34B34F12&quot;/&gt;&lt;wsp:rsid wsp:val=&quot;357740A9&quot;/&gt;&lt;wsp:rsid wsp:val=&quot;358A02D0&quot;/&gt;&lt;wsp:rsid wsp:val=&quot;35906790&quot;/&gt;&lt;wsp:rsid wsp:val=&quot;35B14012&quot;/&gt;&lt;wsp:rsid wsp:val=&quot;36393D2A&quot;/&gt;&lt;wsp:rsid wsp:val=&quot;363E2F39&quot;/&gt;&lt;wsp:rsid wsp:val=&quot;36764BBE&quot;/&gt;&lt;wsp:rsid wsp:val=&quot;36871529&quot;/&gt;&lt;wsp:rsid wsp:val=&quot;36D12D99&quot;/&gt;&lt;wsp:rsid wsp:val=&quot;37465E2B&quot;/&gt;&lt;wsp:rsid wsp:val=&quot;379C17B4&quot;/&gt;&lt;wsp:rsid wsp:val=&quot;38185D5B&quot;/&gt;&lt;wsp:rsid wsp:val=&quot;38970F1F&quot;/&gt;&lt;wsp:rsid wsp:val=&quot;38BE570E&quot;/&gt;&lt;wsp:rsid wsp:val=&quot;38EF22E9&quot;/&gt;&lt;wsp:rsid wsp:val=&quot;38FA5553&quot;/&gt;&lt;wsp:rsid wsp:val=&quot;38FB0EBB&quot;/&gt;&lt;wsp:rsid wsp:val=&quot;39335BB1&quot;/&gt;&lt;wsp:rsid wsp:val=&quot;39AB77DC&quot;/&gt;&lt;wsp:rsid wsp:val=&quot;3A6C1895&quot;/&gt;&lt;wsp:rsid wsp:val=&quot;3AC170C9&quot;/&gt;&lt;wsp:rsid wsp:val=&quot;3AD80262&quot;/&gt;&lt;wsp:rsid wsp:val=&quot;3B0E1DD2&quot;/&gt;&lt;wsp:rsid wsp:val=&quot;3BB75FBE&quot;/&gt;&lt;wsp:rsid wsp:val=&quot;3C074339&quot;/&gt;&lt;wsp:rsid wsp:val=&quot;3C47351E&quot;/&gt;&lt;wsp:rsid wsp:val=&quot;3CE63DC7&quot;/&gt;&lt;wsp:rsid wsp:val=&quot;3DCC41CF&quot;/&gt;&lt;wsp:rsid wsp:val=&quot;3E863197&quot;/&gt;&lt;wsp:rsid wsp:val=&quot;3E945250&quot;/&gt;&lt;wsp:rsid wsp:val=&quot;3E957645&quot;/&gt;&lt;wsp:rsid wsp:val=&quot;3E974B1F&quot;/&gt;&lt;wsp:rsid wsp:val=&quot;3F830255&quot;/&gt;&lt;wsp:rsid wsp:val=&quot;3FD90D15&quot;/&gt;&lt;wsp:rsid wsp:val=&quot;41530CBD&quot;/&gt;&lt;wsp:rsid wsp:val=&quot;416E6B1F&quot;/&gt;&lt;wsp:rsid wsp:val=&quot;41771980&quot;/&gt;&lt;wsp:rsid wsp:val=&quot;41B430E3&quot;/&gt;&lt;wsp:rsid wsp:val=&quot;420A2435&quot;/&gt;&lt;wsp:rsid wsp:val=&quot;42262B9C&quot;/&gt;&lt;wsp:rsid wsp:val=&quot;423E2A37&quot;/&gt;&lt;wsp:rsid wsp:val=&quot;428233B8&quot;/&gt;&lt;wsp:rsid wsp:val=&quot;42C94A85&quot;/&gt;&lt;wsp:rsid wsp:val=&quot;436C1E0B&quot;/&gt;&lt;wsp:rsid wsp:val=&quot;43986C6D&quot;/&gt;&lt;wsp:rsid wsp:val=&quot;4409507C&quot;/&gt;&lt;wsp:rsid wsp:val=&quot;443B35C5&quot;/&gt;&lt;wsp:rsid wsp:val=&quot;443C7099&quot;/&gt;&lt;wsp:rsid wsp:val=&quot;44647E4E&quot;/&gt;&lt;wsp:rsid wsp:val=&quot;44946569&quot;/&gt;&lt;wsp:rsid wsp:val=&quot;449D45C7&quot;/&gt;&lt;wsp:rsid wsp:val=&quot;44C076AF&quot;/&gt;&lt;wsp:rsid wsp:val=&quot;44C73245&quot;/&gt;&lt;wsp:rsid wsp:val=&quot;44F51A91&quot;/&gt;&lt;wsp:rsid wsp:val=&quot;45185750&quot;/&gt;&lt;wsp:rsid wsp:val=&quot;45821FC0&quot;/&gt;&lt;wsp:rsid wsp:val=&quot;4684212E&quot;/&gt;&lt;wsp:rsid wsp:val=&quot;469A7857&quot;/&gt;&lt;wsp:rsid wsp:val=&quot;46C5625C&quot;/&gt;&lt;wsp:rsid wsp:val=&quot;46E612BB&quot;/&gt;&lt;wsp:rsid wsp:val=&quot;46F067B6&quot;/&gt;&lt;wsp:rsid wsp:val=&quot;47E8117B&quot;/&gt;&lt;wsp:rsid wsp:val=&quot;48315B62&quot;/&gt;&lt;wsp:rsid wsp:val=&quot;486D386E&quot;/&gt;&lt;wsp:rsid wsp:val=&quot;488D3AEC&quot;/&gt;&lt;wsp:rsid wsp:val=&quot;48A95483&quot;/&gt;&lt;wsp:rsid wsp:val=&quot;49704EAD&quot;/&gt;&lt;wsp:rsid wsp:val=&quot;49C47E5B&quot;/&gt;&lt;wsp:rsid wsp:val=&quot;4A230497&quot;/&gt;&lt;wsp:rsid wsp:val=&quot;4AC2099B&quot;/&gt;&lt;wsp:rsid wsp:val=&quot;4BA512D0&quot;/&gt;&lt;wsp:rsid wsp:val=&quot;4C022B2C&quot;/&gt;&lt;wsp:rsid wsp:val=&quot;4C795B91&quot;/&gt;&lt;wsp:rsid wsp:val=&quot;4CB013B0&quot;/&gt;&lt;wsp:rsid wsp:val=&quot;4D330529&quot;/&gt;&lt;wsp:rsid wsp:val=&quot;4D3B01F1&quot;/&gt;&lt;wsp:rsid wsp:val=&quot;4D8C3D9E&quot;/&gt;&lt;wsp:rsid wsp:val=&quot;4D973036&quot;/&gt;&lt;wsp:rsid wsp:val=&quot;4DAA5D14&quot;/&gt;&lt;wsp:rsid wsp:val=&quot;4DB8047D&quot;/&gt;&lt;wsp:rsid wsp:val=&quot;4E0209E3&quot;/&gt;&lt;wsp:rsid wsp:val=&quot;4E076D9F&quot;/&gt;&lt;wsp:rsid wsp:val=&quot;4E405C45&quot;/&gt;&lt;wsp:rsid wsp:val=&quot;4E705869&quot;/&gt;&lt;wsp:rsid wsp:val=&quot;4ED60B10&quot;/&gt;&lt;wsp:rsid wsp:val=&quot;4EE1656D&quot;/&gt;&lt;wsp:rsid wsp:val=&quot;4EF018E7&quot;/&gt;&lt;wsp:rsid wsp:val=&quot;4F302C6E&quot;/&gt;&lt;wsp:rsid wsp:val=&quot;500C18E5&quot;/&gt;&lt;wsp:rsid wsp:val=&quot;50541045&quot;/&gt;&lt;wsp:rsid wsp:val=&quot;50645594&quot;/&gt;&lt;wsp:rsid wsp:val=&quot;50761505&quot;/&gt;&lt;wsp:rsid wsp:val=&quot;50A83F23&quot;/&gt;&lt;wsp:rsid wsp:val=&quot;50C2585A&quot;/&gt;&lt;wsp:rsid wsp:val=&quot;50E91991&quot;/&gt;&lt;wsp:rsid wsp:val=&quot;50ED2D25&quot;/&gt;&lt;wsp:rsid wsp:val=&quot;50F466E9&quot;/&gt;&lt;wsp:rsid wsp:val=&quot;51182FCB&quot;/&gt;&lt;wsp:rsid wsp:val=&quot;511A6298&quot;/&gt;&lt;wsp:rsid wsp:val=&quot;511D00C5&quot;/&gt;&lt;wsp:rsid wsp:val=&quot;51251B6D&quot;/&gt;&lt;wsp:rsid wsp:val=&quot;512A4877&quot;/&gt;&lt;wsp:rsid wsp:val=&quot;5132294F&quot;/&gt;&lt;wsp:rsid wsp:val=&quot;51667092&quot;/&gt;&lt;wsp:rsid wsp:val=&quot;51707EDD&quot;/&gt;&lt;wsp:rsid wsp:val=&quot;51DB4320&quot;/&gt;&lt;wsp:rsid wsp:val=&quot;5218168B&quot;/&gt;&lt;wsp:rsid wsp:val=&quot;523C30E7&quot;/&gt;&lt;wsp:rsid wsp:val=&quot;52545CA8&quot;/&gt;&lt;wsp:rsid wsp:val=&quot;53264DAC&quot;/&gt;&lt;wsp:rsid wsp:val=&quot;532C530E&quot;/&gt;&lt;wsp:rsid wsp:val=&quot;537E4C17&quot;/&gt;&lt;wsp:rsid wsp:val=&quot;53864AAA&quot;/&gt;&lt;wsp:rsid wsp:val=&quot;538E5FC6&quot;/&gt;&lt;wsp:rsid wsp:val=&quot;54232050&quot;/&gt;&lt;wsp:rsid wsp:val=&quot;54347217&quot;/&gt;&lt;wsp:rsid wsp:val=&quot;54873BB3&quot;/&gt;&lt;wsp:rsid wsp:val=&quot;54CF2F14&quot;/&gt;&lt;wsp:rsid wsp:val=&quot;54E45BD4&quot;/&gt;&lt;wsp:rsid wsp:val=&quot;55126149&quot;/&gt;&lt;wsp:rsid wsp:val=&quot;5524392F&quot;/&gt;&lt;wsp:rsid wsp:val=&quot;554B3A03&quot;/&gt;&lt;wsp:rsid wsp:val=&quot;55C46762&quot;/&gt;&lt;wsp:rsid wsp:val=&quot;55F472A0&quot;/&gt;&lt;wsp:rsid wsp:val=&quot;56100C2C&quot;/&gt;&lt;wsp:rsid wsp:val=&quot;562066AF&quot;/&gt;&lt;wsp:rsid wsp:val=&quot;56D36877&quot;/&gt;&lt;wsp:rsid wsp:val=&quot;56F566D8&quot;/&gt;&lt;wsp:rsid wsp:val=&quot;57041EC0&quot;/&gt;&lt;wsp:rsid wsp:val=&quot;571751E4&quot;/&gt;&lt;wsp:rsid wsp:val=&quot;571A17E3&quot;/&gt;&lt;wsp:rsid wsp:val=&quot;572C6830&quot;/&gt;&lt;wsp:rsid wsp:val=&quot;57547F41&quot;/&gt;&lt;wsp:rsid wsp:val=&quot;5783126D&quot;/&gt;&lt;wsp:rsid wsp:val=&quot;57AF3ADD&quot;/&gt;&lt;wsp:rsid wsp:val=&quot;57F95FE6&quot;/&gt;&lt;wsp:rsid wsp:val=&quot;5838441C&quot;/&gt;&lt;wsp:rsid wsp:val=&quot;584C231F&quot;/&gt;&lt;wsp:rsid wsp:val=&quot;58A1381D&quot;/&gt;&lt;wsp:rsid wsp:val=&quot;58DF06BA&quot;/&gt;&lt;wsp:rsid wsp:val=&quot;594B1C7B&quot;/&gt;&lt;wsp:rsid wsp:val=&quot;598A2928&quot;/&gt;&lt;wsp:rsid wsp:val=&quot;599A2F74&quot;/&gt;&lt;wsp:rsid wsp:val=&quot;59B30A28&quot;/&gt;&lt;wsp:rsid wsp:val=&quot;5A2048A9&quot;/&gt;&lt;wsp:rsid wsp:val=&quot;5A2B2EDE&quot;/&gt;&lt;wsp:rsid wsp:val=&quot;5A80425B&quot;/&gt;&lt;wsp:rsid wsp:val=&quot;5ADE532C&quot;/&gt;&lt;wsp:rsid wsp:val=&quot;5B0545B6&quot;/&gt;&lt;wsp:rsid wsp:val=&quot;5B46639C&quot;/&gt;&lt;wsp:rsid wsp:val=&quot;5B747C60&quot;/&gt;&lt;wsp:rsid wsp:val=&quot;5B7B65F6&quot;/&gt;&lt;wsp:rsid wsp:val=&quot;5BB14FBE&quot;/&gt;&lt;wsp:rsid wsp:val=&quot;5C152A14&quot;/&gt;&lt;wsp:rsid wsp:val=&quot;5C3E4BAE&quot;/&gt;&lt;wsp:rsid wsp:val=&quot;5C4F20B9&quot;/&gt;&lt;wsp:rsid wsp:val=&quot;5C6C0AB2&quot;/&gt;&lt;wsp:rsid wsp:val=&quot;5C7709F4&quot;/&gt;&lt;wsp:rsid wsp:val=&quot;5CBA2C84&quot;/&gt;&lt;wsp:rsid wsp:val=&quot;5D0127CC&quot;/&gt;&lt;wsp:rsid wsp:val=&quot;5D4F65F7&quot;/&gt;&lt;wsp:rsid wsp:val=&quot;5D5F7624&quot;/&gt;&lt;wsp:rsid wsp:val=&quot;5D8A1A11&quot;/&gt;&lt;wsp:rsid wsp:val=&quot;5DCA7468&quot;/&gt;&lt;wsp:rsid wsp:val=&quot;5DD17EE2&quot;/&gt;&lt;wsp:rsid wsp:val=&quot;5DF15094&quot;/&gt;&lt;wsp:rsid wsp:val=&quot;5E8F4FD1&quot;/&gt;&lt;wsp:rsid wsp:val=&quot;5F32769E&quot;/&gt;&lt;wsp:rsid wsp:val=&quot;60705851&quot;/&gt;&lt;wsp:rsid wsp:val=&quot;60E25BD1&quot;/&gt;&lt;wsp:rsid wsp:val=&quot;60E45AFC&quot;/&gt;&lt;wsp:rsid wsp:val=&quot;60E5582E&quot;/&gt;&lt;wsp:rsid wsp:val=&quot;614A14EF&quot;/&gt;&lt;wsp:rsid wsp:val=&quot;61552247&quot;/&gt;&lt;wsp:rsid wsp:val=&quot;61E77CD7&quot;/&gt;&lt;wsp:rsid wsp:val=&quot;62054D39&quot;/&gt;&lt;wsp:rsid wsp:val=&quot;6296083E&quot;/&gt;&lt;wsp:rsid wsp:val=&quot;62C83BAA&quot;/&gt;&lt;wsp:rsid wsp:val=&quot;62E93F8E&quot;/&gt;&lt;wsp:rsid wsp:val=&quot;63183754&quot;/&gt;&lt;wsp:rsid wsp:val=&quot;633A2C1A&quot;/&gt;&lt;wsp:rsid wsp:val=&quot;63652FA0&quot;/&gt;&lt;wsp:rsid wsp:val=&quot;63711BC6&quot;/&gt;&lt;wsp:rsid wsp:val=&quot;63A46028&quot;/&gt;&lt;wsp:rsid wsp:val=&quot;64092CDF&quot;/&gt;&lt;wsp:rsid wsp:val=&quot;641C2267&quot;/&gt;&lt;wsp:rsid wsp:val=&quot;641F7EF1&quot;/&gt;&lt;wsp:rsid wsp:val=&quot;649E6FCA&quot;/&gt;&lt;wsp:rsid wsp:val=&quot;64A122EB&quot;/&gt;&lt;wsp:rsid wsp:val=&quot;64F905C3&quot;/&gt;&lt;wsp:rsid wsp:val=&quot;65215890&quot;/&gt;&lt;wsp:rsid wsp:val=&quot;655A41F0&quot;/&gt;&lt;wsp:rsid wsp:val=&quot;659B6C4B&quot;/&gt;&lt;wsp:rsid wsp:val=&quot;65A64C4C&quot;/&gt;&lt;wsp:rsid wsp:val=&quot;65B02965&quot;/&gt;&lt;wsp:rsid wsp:val=&quot;65B80F98&quot;/&gt;&lt;wsp:rsid wsp:val=&quot;65D21300&quot;/&gt;&lt;wsp:rsid wsp:val=&quot;65E7570C&quot;/&gt;&lt;wsp:rsid wsp:val=&quot;665275B0&quot;/&gt;&lt;wsp:rsid wsp:val=&quot;666535C9&quot;/&gt;&lt;wsp:rsid wsp:val=&quot;66C908FC&quot;/&gt;&lt;wsp:rsid wsp:val=&quot;66CB40FA&quot;/&gt;&lt;wsp:rsid wsp:val=&quot;66D01156&quot;/&gt;&lt;wsp:rsid wsp:val=&quot;66D062EA&quot;/&gt;&lt;wsp:rsid wsp:val=&quot;66DF056A&quot;/&gt;&lt;wsp:rsid wsp:val=&quot;67401A9D&quot;/&gt;&lt;wsp:rsid wsp:val=&quot;674601B8&quot;/&gt;&lt;wsp:rsid wsp:val=&quot;6792072E&quot;/&gt;&lt;wsp:rsid wsp:val=&quot;67B529AF&quot;/&gt;&lt;wsp:rsid wsp:val=&quot;68243604&quot;/&gt;&lt;wsp:rsid wsp:val=&quot;682F0F37&quot;/&gt;&lt;wsp:rsid wsp:val=&quot;69036C54&quot;/&gt;&lt;wsp:rsid wsp:val=&quot;69146F3C&quot;/&gt;&lt;wsp:rsid wsp:val=&quot;69B37510&quot;/&gt;&lt;wsp:rsid wsp:val=&quot;6A996393&quot;/&gt;&lt;wsp:rsid wsp:val=&quot;6AAA28C9&quot;/&gt;&lt;wsp:rsid wsp:val=&quot;6AAD6300&quot;/&gt;&lt;wsp:rsid wsp:val=&quot;6B3C7507&quot;/&gt;&lt;wsp:rsid wsp:val=&quot;6B53106B&quot;/&gt;&lt;wsp:rsid wsp:val=&quot;6B815341&quot;/&gt;&lt;wsp:rsid wsp:val=&quot;6BB63995&quot;/&gt;&lt;wsp:rsid wsp:val=&quot;6BCF792D&quot;/&gt;&lt;wsp:rsid wsp:val=&quot;6C4D577B&quot;/&gt;&lt;wsp:rsid wsp:val=&quot;6C58793D&quot;/&gt;&lt;wsp:rsid wsp:val=&quot;6CA169AF&quot;/&gt;&lt;wsp:rsid wsp:val=&quot;6CBB1BE2&quot;/&gt;&lt;wsp:rsid wsp:val=&quot;6CC2213B&quot;/&gt;&lt;wsp:rsid wsp:val=&quot;6CE427F4&quot;/&gt;&lt;wsp:rsid wsp:val=&quot;6D1E4F7B&quot;/&gt;&lt;wsp:rsid wsp:val=&quot;6D2E3865&quot;/&gt;&lt;wsp:rsid wsp:val=&quot;6D524D8C&quot;/&gt;&lt;wsp:rsid wsp:val=&quot;6D535020&quot;/&gt;&lt;wsp:rsid wsp:val=&quot;6DC97819&quot;/&gt;&lt;wsp:rsid wsp:val=&quot;6DEF16B1&quot;/&gt;&lt;wsp:rsid wsp:val=&quot;6E293669&quot;/&gt;&lt;wsp:rsid wsp:val=&quot;6E327AD6&quot;/&gt;&lt;wsp:rsid wsp:val=&quot;6EF07142&quot;/&gt;&lt;wsp:rsid wsp:val=&quot;6F25083C&quot;/&gt;&lt;wsp:rsid wsp:val=&quot;6F6A561E&quot;/&gt;&lt;wsp:rsid wsp:val=&quot;6F800D90&quot;/&gt;&lt;wsp:rsid wsp:val=&quot;6FB57CC4&quot;/&gt;&lt;wsp:rsid wsp:val=&quot;6FDB6C3A&quot;/&gt;&lt;wsp:rsid wsp:val=&quot;70895D54&quot;/&gt;&lt;wsp:rsid wsp:val=&quot;70D45E43&quot;/&gt;&lt;wsp:rsid wsp:val=&quot;70EF540A&quot;/&gt;&lt;wsp:rsid wsp:val=&quot;71751864&quot;/&gt;&lt;wsp:rsid wsp:val=&quot;72160C9F&quot;/&gt;&lt;wsp:rsid wsp:val=&quot;723A6FF5&quot;/&gt;&lt;wsp:rsid wsp:val=&quot;723D17CD&quot;/&gt;&lt;wsp:rsid wsp:val=&quot;726E6372&quot;/&gt;&lt;wsp:rsid wsp:val=&quot;727E35B2&quot;/&gt;&lt;wsp:rsid wsp:val=&quot;728B4D51&quot;/&gt;&lt;wsp:rsid wsp:val=&quot;72C06427&quot;/&gt;&lt;wsp:rsid wsp:val=&quot;72FB3C7C&quot;/&gt;&lt;wsp:rsid wsp:val=&quot;730A5FAC&quot;/&gt;&lt;wsp:rsid wsp:val=&quot;742373E2&quot;/&gt;&lt;wsp:rsid wsp:val=&quot;745C6FB6&quot;/&gt;&lt;wsp:rsid wsp:val=&quot;745F48B8&quot;/&gt;&lt;wsp:rsid wsp:val=&quot;749F0DF2&quot;/&gt;&lt;wsp:rsid wsp:val=&quot;74A927EA&quot;/&gt;&lt;wsp:rsid wsp:val=&quot;74B96432&quot;/&gt;&lt;wsp:rsid wsp:val=&quot;74F62192&quot;/&gt;&lt;wsp:rsid wsp:val=&quot;75402CFE&quot;/&gt;&lt;wsp:rsid wsp:val=&quot;757D6AED&quot;/&gt;&lt;wsp:rsid wsp:val=&quot;75803695&quot;/&gt;&lt;wsp:rsid wsp:val=&quot;758D3026&quot;/&gt;&lt;wsp:rsid wsp:val=&quot;76295A76&quot;/&gt;&lt;wsp:rsid wsp:val=&quot;764710BE&quot;/&gt;&lt;wsp:rsid wsp:val=&quot;76673EEC&quot;/&gt;&lt;wsp:rsid wsp:val=&quot;76C07BEE&quot;/&gt;&lt;wsp:rsid wsp:val=&quot;76C21B71&quot;/&gt;&lt;wsp:rsid wsp:val=&quot;76D21D95&quot;/&gt;&lt;wsp:rsid wsp:val=&quot;77450E3C&quot;/&gt;&lt;wsp:rsid wsp:val=&quot;77462F21&quot;/&gt;&lt;wsp:rsid wsp:val=&quot;77756336&quot;/&gt;&lt;wsp:rsid wsp:val=&quot;77D95C25&quot;/&gt;&lt;wsp:rsid wsp:val=&quot;780D7404&quot;/&gt;&lt;wsp:rsid wsp:val=&quot;785E7FA1&quot;/&gt;&lt;wsp:rsid wsp:val=&quot;790B4B4F&quot;/&gt;&lt;wsp:rsid wsp:val=&quot;793F06A0&quot;/&gt;&lt;wsp:rsid wsp:val=&quot;79482BF4&quot;/&gt;&lt;wsp:rsid wsp:val=&quot;79E43ED7&quot;/&gt;&lt;wsp:rsid wsp:val=&quot;7A0A30CB&quot;/&gt;&lt;wsp:rsid wsp:val=&quot;7A52714B&quot;/&gt;&lt;wsp:rsid wsp:val=&quot;7A6C1256&quot;/&gt;&lt;wsp:rsid wsp:val=&quot;7AAB52F8&quot;/&gt;&lt;wsp:rsid wsp:val=&quot;7B0D24D8&quot;/&gt;&lt;wsp:rsid wsp:val=&quot;7B5B3044&quot;/&gt;&lt;wsp:rsid wsp:val=&quot;7B855E57&quot;/&gt;&lt;wsp:rsid wsp:val=&quot;7B9469B5&quot;/&gt;&lt;wsp:rsid wsp:val=&quot;7BA463BA&quot;/&gt;&lt;wsp:rsid wsp:val=&quot;7BB90F45&quot;/&gt;&lt;wsp:rsid wsp:val=&quot;7BE278F8&quot;/&gt;&lt;wsp:rsid wsp:val=&quot;7CC62DE4&quot;/&gt;&lt;wsp:rsid wsp:val=&quot;7CCC6307&quot;/&gt;&lt;wsp:rsid wsp:val=&quot;7D140B93&quot;/&gt;&lt;wsp:rsid wsp:val=&quot;7D166BDA&quot;/&gt;&lt;wsp:rsid wsp:val=&quot;7D7A063F&quot;/&gt;&lt;wsp:rsid wsp:val=&quot;7DA1473E&quot;/&gt;&lt;wsp:rsid wsp:val=&quot;7DCB13E1&quot;/&gt;&lt;wsp:rsid wsp:val=&quot;7E4517C8&quot;/&gt;&lt;wsp:rsid wsp:val=&quot;7E585126&quot;/&gt;&lt;wsp:rsid wsp:val=&quot;7E5A6BF3&quot;/&gt;&lt;wsp:rsid wsp:val=&quot;7E646CA4&quot;/&gt;&lt;wsp:rsid wsp:val=&quot;7EB77F1C&quot;/&gt;&lt;wsp:rsid wsp:val=&quot;7ED16EEA&quot;/&gt;&lt;wsp:rsid wsp:val=&quot;7ED94261&quot;/&gt;&lt;wsp:rsid wsp:val=&quot;7F45273C&quot;/&gt;&lt;wsp:rsid wsp:val=&quot;7F513942&quot;/&gt;&lt;wsp:rsid wsp:val=&quot;7F6B2AB0&quot;/&gt;&lt;wsp:rsid wsp:val=&quot;7F983562&quot;/&gt;&lt;wsp:rsid wsp:val=&quot;7FAF1B72&quot;/&gt;&lt;wsp:rsid wsp:val=&quot;7FB9444C&quot;/&gt;&lt;wsp:rsid wsp:val=&quot;7FE46253&quot;/&gt;&lt;wsp:rsid wsp:val=&quot;7FF45D82&quot;/&gt;&lt;/wsp:rsids&gt;&lt;/w:docPr&gt;&lt;w:body&gt;&lt;w:p wsp:rsidR=&quot;00000000&quot; wsp:rsidRDefault=&quot;00A658AC&quot;&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lt;/m:t&gt;&lt;/m:r&gt;&lt;/m:e&gt;&lt;m:sub&gt;&lt;m:r&gt;&lt;m:rPr&gt;&lt;m:sty m:val=&quot;p&quot;/&gt;&lt;/m:rPr&gt;&lt;w:rPr&gt;&lt;w:rFonts w:ascii=&quot;Cambria Math&quot; w:h-ansi=&quot;Cambria Math&quot; w:hint=&quot;fareast&quot;/&gt;&lt;wx:font wx:val=&quot;宋体&quot;/&gt;&lt;w:color w:val=&quot;000000&quot;/&gt;&lt;/w:rPr&gt;&lt;m:t&gt;叠加&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body&gt;&lt;/w:wordDocument&gt;">
                  <v:path/>
                  <v:fill on="f" focussize="0,0"/>
                  <v:stroke on="f"/>
                  <v:imagedata r:id="rId99" chromakey="#FFFFFF" o:title=""/>
                  <o:lock v:ext="edit" aspectratio="t"/>
                  <w10:wrap type="none"/>
                  <w10:anchorlock/>
                </v:shape>
              </w:pict>
            </w:r>
            <w:r>
              <w:rPr>
                <w:color w:val="auto"/>
              </w:rPr>
              <w:fldChar w:fldCharType="end"/>
            </w:r>
            <w:r>
              <w:rPr>
                <w:rFonts w:hint="eastAsia"/>
                <w:color w:val="auto"/>
              </w:rPr>
              <w:t>不达标</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区域环境质量的整体变化情况</w:t>
            </w:r>
          </w:p>
        </w:tc>
        <w:tc>
          <w:tcPr>
            <w:tcW w:w="3015" w:type="dxa"/>
            <w:gridSpan w:val="11"/>
            <w:vAlign w:val="center"/>
          </w:tcPr>
          <w:p>
            <w:pPr>
              <w:pStyle w:val="80"/>
              <w:snapToGrid w:val="0"/>
              <w:spacing w:line="260" w:lineRule="atLeast"/>
              <w:rPr>
                <w:color w:val="auto"/>
              </w:rPr>
            </w:pPr>
            <w:r>
              <w:rPr>
                <w:i/>
                <w:color w:val="auto"/>
              </w:rPr>
              <w:t xml:space="preserve">k </w:t>
            </w:r>
            <w:r>
              <w:rPr>
                <w:rFonts w:hint="eastAsia" w:ascii="仿宋" w:hAnsi="仿宋" w:eastAsia="仿宋"/>
                <w:color w:val="auto"/>
              </w:rPr>
              <w:t>≤</w:t>
            </w:r>
            <w:r>
              <w:rPr>
                <w:color w:val="auto"/>
              </w:rPr>
              <w:t xml:space="preserve">-20% </w:t>
            </w:r>
            <w:r>
              <w:rPr>
                <w:rFonts w:hint="eastAsia" w:ascii="MS Mincho" w:hAnsi="MS Mincho" w:eastAsia="MS Mincho" w:cs="MS Mincho"/>
                <w:color w:val="auto"/>
              </w:rPr>
              <w:t>☑</w:t>
            </w:r>
          </w:p>
        </w:tc>
        <w:tc>
          <w:tcPr>
            <w:tcW w:w="3361" w:type="dxa"/>
            <w:gridSpan w:val="9"/>
            <w:vAlign w:val="center"/>
          </w:tcPr>
          <w:p>
            <w:pPr>
              <w:pStyle w:val="80"/>
              <w:snapToGrid w:val="0"/>
              <w:spacing w:line="260" w:lineRule="atLeast"/>
              <w:rPr>
                <w:color w:val="auto"/>
              </w:rPr>
            </w:pPr>
            <w:r>
              <w:rPr>
                <w:i/>
                <w:color w:val="auto"/>
              </w:rPr>
              <w:t>k</w:t>
            </w:r>
            <w:r>
              <w:rPr>
                <w:rFonts w:hint="eastAsia" w:ascii="仿宋" w:hAnsi="仿宋" w:eastAsia="仿宋"/>
                <w:color w:val="auto"/>
              </w:rPr>
              <w:t>＞</w:t>
            </w:r>
            <w:r>
              <w:rPr>
                <w:color w:val="auto"/>
              </w:rPr>
              <w:t xml:space="preserve">-20% </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restart"/>
            <w:vAlign w:val="center"/>
          </w:tcPr>
          <w:p>
            <w:pPr>
              <w:pStyle w:val="80"/>
              <w:snapToGrid w:val="0"/>
              <w:spacing w:line="260" w:lineRule="atLeast"/>
              <w:rPr>
                <w:color w:val="auto"/>
              </w:rPr>
            </w:pPr>
            <w:r>
              <w:rPr>
                <w:rFonts w:hint="eastAsia"/>
                <w:color w:val="auto"/>
              </w:rPr>
              <w:t>环境监测</w:t>
            </w:r>
            <w:r>
              <w:rPr>
                <w:color w:val="auto"/>
              </w:rPr>
              <w:br w:type="textWrapping"/>
            </w:r>
            <w:r>
              <w:rPr>
                <w:rFonts w:hint="eastAsia"/>
                <w:color w:val="auto"/>
              </w:rPr>
              <w:t>计划</w:t>
            </w:r>
          </w:p>
        </w:tc>
        <w:tc>
          <w:tcPr>
            <w:tcW w:w="1686" w:type="dxa"/>
            <w:vAlign w:val="center"/>
          </w:tcPr>
          <w:p>
            <w:pPr>
              <w:pStyle w:val="80"/>
              <w:snapToGrid w:val="0"/>
              <w:spacing w:line="260" w:lineRule="atLeast"/>
              <w:rPr>
                <w:color w:val="auto"/>
              </w:rPr>
            </w:pPr>
            <w:r>
              <w:rPr>
                <w:rFonts w:hint="eastAsia"/>
                <w:color w:val="auto"/>
              </w:rPr>
              <w:t>污染源监测</w:t>
            </w:r>
          </w:p>
        </w:tc>
        <w:tc>
          <w:tcPr>
            <w:tcW w:w="2794" w:type="dxa"/>
            <w:gridSpan w:val="9"/>
            <w:vAlign w:val="center"/>
          </w:tcPr>
          <w:p>
            <w:pPr>
              <w:pStyle w:val="80"/>
              <w:snapToGrid w:val="0"/>
              <w:spacing w:line="260" w:lineRule="atLeast"/>
              <w:rPr>
                <w:color w:val="auto"/>
              </w:rPr>
            </w:pPr>
            <w:r>
              <w:rPr>
                <w:rFonts w:hint="eastAsia" w:ascii="宋体" w:hAnsi="宋体" w:eastAsia="宋体" w:cs="宋体"/>
                <w:color w:val="auto"/>
              </w:rPr>
              <w:t>监测因子：（</w:t>
            </w:r>
            <w:r>
              <w:rPr>
                <w:rFonts w:hint="eastAsia"/>
                <w:color w:val="auto"/>
                <w:lang w:eastAsia="zh-CN"/>
              </w:rPr>
              <w:t>氨</w:t>
            </w:r>
            <w:r>
              <w:rPr>
                <w:rFonts w:hint="eastAsia" w:ascii="宋体" w:hAnsi="宋体" w:eastAsia="宋体" w:cs="宋体"/>
                <w:color w:val="auto"/>
              </w:rPr>
              <w:t>）</w:t>
            </w:r>
          </w:p>
        </w:tc>
        <w:tc>
          <w:tcPr>
            <w:tcW w:w="2375" w:type="dxa"/>
            <w:gridSpan w:val="9"/>
            <w:vAlign w:val="center"/>
          </w:tcPr>
          <w:p>
            <w:pPr>
              <w:pStyle w:val="80"/>
              <w:snapToGrid w:val="0"/>
              <w:spacing w:line="260" w:lineRule="atLeast"/>
              <w:rPr>
                <w:color w:val="auto"/>
              </w:rPr>
            </w:pPr>
            <w:r>
              <w:rPr>
                <w:rFonts w:hint="eastAsia"/>
                <w:color w:val="auto"/>
              </w:rPr>
              <w:t>有组织废气监测</w:t>
            </w:r>
            <w:r>
              <w:rPr>
                <w:rFonts w:hint="eastAsia" w:ascii="MS Mincho" w:hAnsi="MS Mincho" w:cs="MS Mincho"/>
                <w:color w:val="auto"/>
                <w:lang w:eastAsia="zh-CN"/>
              </w:rPr>
              <w:t>□</w:t>
            </w:r>
            <w:r>
              <w:rPr>
                <w:color w:val="auto"/>
              </w:rPr>
              <w:br w:type="textWrapping"/>
            </w:r>
            <w:r>
              <w:rPr>
                <w:rFonts w:hint="eastAsia"/>
                <w:color w:val="auto"/>
              </w:rPr>
              <w:t>无组织废气监测</w:t>
            </w:r>
            <w:r>
              <w:rPr>
                <w:rFonts w:hint="eastAsia" w:ascii="MS Mincho" w:hAnsi="MS Mincho" w:eastAsia="MS Mincho" w:cs="MS Mincho"/>
                <w:color w:val="auto"/>
              </w:rPr>
              <w:t>☑</w:t>
            </w:r>
          </w:p>
        </w:tc>
        <w:tc>
          <w:tcPr>
            <w:tcW w:w="1207" w:type="dxa"/>
            <w:gridSpan w:val="2"/>
            <w:vAlign w:val="center"/>
          </w:tcPr>
          <w:p>
            <w:pPr>
              <w:pStyle w:val="80"/>
              <w:snapToGrid w:val="0"/>
              <w:spacing w:line="260" w:lineRule="atLeast"/>
              <w:rPr>
                <w:color w:val="auto"/>
              </w:rPr>
            </w:pPr>
            <w:r>
              <w:rPr>
                <w:rFonts w:hint="eastAsia"/>
                <w:color w:val="auto"/>
              </w:rPr>
              <w:t>无监测</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环境质量监测</w:t>
            </w:r>
          </w:p>
        </w:tc>
        <w:tc>
          <w:tcPr>
            <w:tcW w:w="2794" w:type="dxa"/>
            <w:gridSpan w:val="9"/>
            <w:vAlign w:val="center"/>
          </w:tcPr>
          <w:p>
            <w:pPr>
              <w:pStyle w:val="80"/>
              <w:snapToGrid w:val="0"/>
              <w:spacing w:line="260" w:lineRule="atLeast"/>
              <w:rPr>
                <w:color w:val="auto"/>
              </w:rPr>
            </w:pPr>
            <w:r>
              <w:rPr>
                <w:rFonts w:hint="eastAsia"/>
                <w:color w:val="auto"/>
              </w:rPr>
              <w:t>监测因子：（</w:t>
            </w:r>
            <w:r>
              <w:rPr>
                <w:rFonts w:hint="eastAsia"/>
                <w:color w:val="auto"/>
                <w:lang w:val="en-US" w:eastAsia="zh-CN"/>
              </w:rPr>
              <w:t xml:space="preserve">  </w:t>
            </w:r>
            <w:r>
              <w:rPr>
                <w:rFonts w:hint="eastAsia"/>
                <w:color w:val="auto"/>
              </w:rPr>
              <w:t>）</w:t>
            </w:r>
          </w:p>
        </w:tc>
        <w:tc>
          <w:tcPr>
            <w:tcW w:w="2375" w:type="dxa"/>
            <w:gridSpan w:val="9"/>
            <w:vAlign w:val="center"/>
          </w:tcPr>
          <w:p>
            <w:pPr>
              <w:pStyle w:val="80"/>
              <w:snapToGrid w:val="0"/>
              <w:spacing w:line="260" w:lineRule="atLeast"/>
              <w:rPr>
                <w:color w:val="auto"/>
              </w:rPr>
            </w:pPr>
            <w:r>
              <w:rPr>
                <w:rFonts w:hint="eastAsia"/>
                <w:color w:val="auto"/>
              </w:rPr>
              <w:t>监测点位数（）</w:t>
            </w:r>
          </w:p>
        </w:tc>
        <w:tc>
          <w:tcPr>
            <w:tcW w:w="1207" w:type="dxa"/>
            <w:gridSpan w:val="2"/>
            <w:vAlign w:val="center"/>
          </w:tcPr>
          <w:p>
            <w:pPr>
              <w:pStyle w:val="80"/>
              <w:snapToGrid w:val="0"/>
              <w:spacing w:line="260" w:lineRule="atLeast"/>
              <w:rPr>
                <w:color w:val="auto"/>
              </w:rPr>
            </w:pPr>
            <w:r>
              <w:rPr>
                <w:rFonts w:hint="eastAsia"/>
                <w:color w:val="auto"/>
              </w:rPr>
              <w:t>无监测</w:t>
            </w:r>
            <w:r>
              <w:rPr>
                <w:rFonts w:hint="eastAsia" w:ascii="MS Mincho" w:hAnsi="MS Mincho" w:eastAsia="MS Mincho" w:cs="MS Mincho"/>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394" w:hRule="atLeast"/>
        </w:trPr>
        <w:tc>
          <w:tcPr>
            <w:tcW w:w="979" w:type="dxa"/>
            <w:vMerge w:val="restart"/>
            <w:vAlign w:val="center"/>
          </w:tcPr>
          <w:p>
            <w:pPr>
              <w:pStyle w:val="80"/>
              <w:snapToGrid w:val="0"/>
              <w:spacing w:line="260" w:lineRule="atLeast"/>
              <w:rPr>
                <w:color w:val="auto"/>
              </w:rPr>
            </w:pPr>
            <w:r>
              <w:rPr>
                <w:rFonts w:hint="eastAsia"/>
                <w:color w:val="auto"/>
              </w:rPr>
              <w:t>评价结论</w:t>
            </w:r>
          </w:p>
        </w:tc>
        <w:tc>
          <w:tcPr>
            <w:tcW w:w="1686" w:type="dxa"/>
            <w:vAlign w:val="center"/>
          </w:tcPr>
          <w:p>
            <w:pPr>
              <w:pStyle w:val="80"/>
              <w:snapToGrid w:val="0"/>
              <w:spacing w:line="260" w:lineRule="atLeast"/>
              <w:rPr>
                <w:color w:val="auto"/>
              </w:rPr>
            </w:pPr>
            <w:r>
              <w:rPr>
                <w:rFonts w:hint="eastAsia"/>
                <w:color w:val="auto"/>
              </w:rPr>
              <w:t>环境影响</w:t>
            </w:r>
          </w:p>
        </w:tc>
        <w:tc>
          <w:tcPr>
            <w:tcW w:w="6376" w:type="dxa"/>
            <w:gridSpan w:val="20"/>
            <w:vAlign w:val="center"/>
          </w:tcPr>
          <w:p>
            <w:pPr>
              <w:pStyle w:val="80"/>
              <w:snapToGrid w:val="0"/>
              <w:spacing w:line="260" w:lineRule="atLeast"/>
              <w:rPr>
                <w:color w:val="auto"/>
              </w:rPr>
            </w:pPr>
            <w:r>
              <w:rPr>
                <w:rFonts w:hint="eastAsia"/>
                <w:color w:val="auto"/>
              </w:rPr>
              <w:t>可以接受</w:t>
            </w:r>
            <w:r>
              <w:rPr>
                <w:rFonts w:hint="eastAsia" w:ascii="MS Mincho" w:hAnsi="MS Mincho" w:eastAsia="MS Mincho" w:cs="MS Mincho"/>
                <w:color w:val="auto"/>
              </w:rPr>
              <w:t>☑</w:t>
            </w:r>
            <w:r>
              <w:rPr>
                <w:rFonts w:hint="eastAsia"/>
                <w:color w:val="auto"/>
              </w:rPr>
              <w:t>不可以接受</w:t>
            </w:r>
            <w:r>
              <w:rPr>
                <w:rFonts w:hint="eastAsia" w:ascii="仿宋" w:hAnsi="仿宋" w:eastAsia="仿宋"/>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398"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大气环境防护距离</w:t>
            </w:r>
          </w:p>
        </w:tc>
        <w:tc>
          <w:tcPr>
            <w:tcW w:w="6376" w:type="dxa"/>
            <w:gridSpan w:val="20"/>
            <w:vAlign w:val="center"/>
          </w:tcPr>
          <w:p>
            <w:pPr>
              <w:pStyle w:val="80"/>
              <w:snapToGrid w:val="0"/>
              <w:spacing w:line="260" w:lineRule="atLeast"/>
              <w:rPr>
                <w:color w:val="auto"/>
              </w:rPr>
            </w:pPr>
            <w:r>
              <w:rPr>
                <w:rFonts w:hint="eastAsia"/>
                <w:color w:val="auto"/>
              </w:rPr>
              <w:t>距（厂界）厂界最远（0）</w:t>
            </w:r>
            <w:r>
              <w:rPr>
                <w:color w:val="auto"/>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41" w:hRule="atLeast"/>
        </w:trPr>
        <w:tc>
          <w:tcPr>
            <w:tcW w:w="979" w:type="dxa"/>
            <w:vMerge w:val="continue"/>
            <w:vAlign w:val="center"/>
          </w:tcPr>
          <w:p>
            <w:pPr>
              <w:pStyle w:val="80"/>
              <w:snapToGrid w:val="0"/>
              <w:spacing w:line="260" w:lineRule="atLeast"/>
              <w:rPr>
                <w:color w:val="auto"/>
              </w:rPr>
            </w:pPr>
          </w:p>
        </w:tc>
        <w:tc>
          <w:tcPr>
            <w:tcW w:w="1686" w:type="dxa"/>
            <w:vAlign w:val="center"/>
          </w:tcPr>
          <w:p>
            <w:pPr>
              <w:pStyle w:val="80"/>
              <w:snapToGrid w:val="0"/>
              <w:spacing w:line="260" w:lineRule="atLeast"/>
              <w:rPr>
                <w:color w:val="auto"/>
              </w:rPr>
            </w:pPr>
            <w:r>
              <w:rPr>
                <w:rFonts w:hint="eastAsia"/>
                <w:color w:val="auto"/>
              </w:rPr>
              <w:t>污染源年排放量</w:t>
            </w:r>
          </w:p>
        </w:tc>
        <w:tc>
          <w:tcPr>
            <w:tcW w:w="1724" w:type="dxa"/>
            <w:gridSpan w:val="4"/>
            <w:vAlign w:val="center"/>
          </w:tcPr>
          <w:p>
            <w:pPr>
              <w:pStyle w:val="80"/>
              <w:snapToGrid w:val="0"/>
              <w:spacing w:line="260" w:lineRule="atLeast"/>
              <w:rPr>
                <w:color w:val="auto"/>
              </w:rPr>
            </w:pPr>
            <w:r>
              <w:rPr>
                <w:color w:val="auto"/>
              </w:rPr>
              <w:t>SO</w:t>
            </w:r>
            <w:r>
              <w:rPr>
                <w:color w:val="auto"/>
                <w:vertAlign w:val="subscript"/>
              </w:rPr>
              <w:t>2</w:t>
            </w:r>
            <w:r>
              <w:rPr>
                <w:color w:val="auto"/>
              </w:rPr>
              <w:t>:</w:t>
            </w:r>
            <w:r>
              <w:rPr>
                <w:rFonts w:hint="eastAsia"/>
                <w:color w:val="auto"/>
              </w:rPr>
              <w:t>（）</w:t>
            </w:r>
            <w:r>
              <w:rPr>
                <w:color w:val="auto"/>
              </w:rPr>
              <w:t>t/a</w:t>
            </w:r>
          </w:p>
        </w:tc>
        <w:tc>
          <w:tcPr>
            <w:tcW w:w="1806" w:type="dxa"/>
            <w:gridSpan w:val="8"/>
            <w:vAlign w:val="center"/>
          </w:tcPr>
          <w:p>
            <w:pPr>
              <w:pStyle w:val="80"/>
              <w:snapToGrid w:val="0"/>
              <w:spacing w:line="260" w:lineRule="atLeast"/>
              <w:rPr>
                <w:color w:val="auto"/>
              </w:rPr>
            </w:pPr>
            <w:r>
              <w:rPr>
                <w:color w:val="auto"/>
              </w:rPr>
              <w:t>NO</w:t>
            </w:r>
            <w:r>
              <w:rPr>
                <w:color w:val="auto"/>
                <w:vertAlign w:val="subscript"/>
              </w:rPr>
              <w:t>x</w:t>
            </w:r>
            <w:r>
              <w:rPr>
                <w:color w:val="auto"/>
              </w:rPr>
              <w:t>:</w:t>
            </w:r>
            <w:r>
              <w:rPr>
                <w:rFonts w:hint="eastAsia"/>
                <w:color w:val="auto"/>
              </w:rPr>
              <w:t>（）</w:t>
            </w:r>
            <w:r>
              <w:rPr>
                <w:color w:val="auto"/>
              </w:rPr>
              <w:t>t/a</w:t>
            </w:r>
          </w:p>
        </w:tc>
        <w:tc>
          <w:tcPr>
            <w:tcW w:w="1404" w:type="dxa"/>
            <w:gridSpan w:val="5"/>
            <w:vAlign w:val="center"/>
          </w:tcPr>
          <w:p>
            <w:pPr>
              <w:pStyle w:val="80"/>
              <w:snapToGrid w:val="0"/>
              <w:spacing w:line="260" w:lineRule="atLeast"/>
              <w:rPr>
                <w:color w:val="auto"/>
              </w:rPr>
            </w:pPr>
            <w:r>
              <w:rPr>
                <w:rFonts w:hint="eastAsia" w:ascii="宋体" w:hAnsi="宋体" w:eastAsia="宋体" w:cs="宋体"/>
                <w:color w:val="auto"/>
              </w:rPr>
              <w:t>颗粒物</w:t>
            </w:r>
            <w:r>
              <w:rPr>
                <w:color w:val="auto"/>
              </w:rPr>
              <w:t>:</w:t>
            </w:r>
            <w:r>
              <w:rPr>
                <w:rFonts w:hint="eastAsia" w:ascii="宋体" w:hAnsi="宋体" w:eastAsia="宋体" w:cs="宋体"/>
                <w:color w:val="auto"/>
              </w:rPr>
              <w:t>（）</w:t>
            </w:r>
            <w:r>
              <w:rPr>
                <w:color w:val="auto"/>
              </w:rPr>
              <w:t>t/a</w:t>
            </w:r>
          </w:p>
        </w:tc>
        <w:tc>
          <w:tcPr>
            <w:tcW w:w="1442" w:type="dxa"/>
            <w:gridSpan w:val="3"/>
            <w:vAlign w:val="center"/>
          </w:tcPr>
          <w:p>
            <w:pPr>
              <w:pStyle w:val="80"/>
              <w:snapToGrid w:val="0"/>
              <w:spacing w:line="260" w:lineRule="atLeast"/>
              <w:rPr>
                <w:color w:val="auto"/>
              </w:rPr>
            </w:pPr>
            <w:r>
              <w:rPr>
                <w:color w:val="auto"/>
              </w:rPr>
              <w:t>VOC</w:t>
            </w:r>
            <w:r>
              <w:rPr>
                <w:color w:val="auto"/>
                <w:vertAlign w:val="subscript"/>
              </w:rPr>
              <w:t>s</w:t>
            </w:r>
            <w:r>
              <w:rPr>
                <w:color w:val="auto"/>
              </w:rPr>
              <w:t>:</w:t>
            </w:r>
            <w:r>
              <w:rPr>
                <w:rFonts w:hint="eastAsia"/>
                <w:color w:val="auto"/>
              </w:rPr>
              <w:t>（）</w:t>
            </w:r>
            <w:r>
              <w:rPr>
                <w:color w:val="auto"/>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411" w:hRule="atLeast"/>
        </w:trPr>
        <w:tc>
          <w:tcPr>
            <w:tcW w:w="9041" w:type="dxa"/>
            <w:gridSpan w:val="22"/>
            <w:vAlign w:val="center"/>
          </w:tcPr>
          <w:p>
            <w:pPr>
              <w:pStyle w:val="80"/>
              <w:snapToGrid w:val="0"/>
              <w:spacing w:line="260" w:lineRule="atLeast"/>
              <w:jc w:val="left"/>
              <w:rPr>
                <w:color w:val="auto"/>
              </w:rPr>
            </w:pPr>
            <w:r>
              <w:rPr>
                <w:rFonts w:hint="eastAsia"/>
                <w:color w:val="auto"/>
              </w:rPr>
              <w:t>注：“</w:t>
            </w:r>
            <w:r>
              <w:rPr>
                <w:rFonts w:hint="eastAsia" w:ascii="仿宋" w:hAnsi="仿宋" w:eastAsia="仿宋"/>
                <w:color w:val="auto"/>
              </w:rPr>
              <w:t>□</w:t>
            </w:r>
            <w:r>
              <w:rPr>
                <w:rFonts w:hint="eastAsia"/>
                <w:color w:val="auto"/>
              </w:rPr>
              <w:t>”为勾选项，填“√”；</w:t>
            </w:r>
            <w:r>
              <w:rPr>
                <w:color w:val="auto"/>
              </w:rPr>
              <w:t>“</w:t>
            </w:r>
            <w:r>
              <w:rPr>
                <w:rFonts w:hint="eastAsia"/>
                <w:color w:val="auto"/>
              </w:rPr>
              <w:t>（）</w:t>
            </w:r>
            <w:r>
              <w:rPr>
                <w:color w:val="auto"/>
              </w:rPr>
              <w:t xml:space="preserve">” </w:t>
            </w:r>
            <w:r>
              <w:rPr>
                <w:rFonts w:hint="eastAsia"/>
                <w:color w:val="auto"/>
              </w:rPr>
              <w:t>为内容填写项</w:t>
            </w:r>
          </w:p>
        </w:tc>
      </w:tr>
    </w:tbl>
    <w:p>
      <w:pPr>
        <w:pStyle w:val="22"/>
        <w:kinsoku w:val="0"/>
        <w:overflowPunct w:val="0"/>
        <w:spacing w:before="194" w:after="37"/>
        <w:ind w:right="2663"/>
        <w:jc w:val="both"/>
        <w:rPr>
          <w:rFonts w:hint="eastAsia"/>
          <w:b/>
          <w:color w:val="auto"/>
          <w:spacing w:val="-1"/>
          <w:sz w:val="21"/>
          <w:lang w:eastAsia="zh-CN"/>
        </w:rPr>
      </w:pPr>
    </w:p>
    <w:p>
      <w:pPr>
        <w:pStyle w:val="22"/>
        <w:kinsoku w:val="0"/>
        <w:overflowPunct w:val="0"/>
        <w:spacing w:before="194" w:after="37"/>
        <w:ind w:left="2825" w:right="2663"/>
        <w:jc w:val="center"/>
        <w:rPr>
          <w:rFonts w:hint="eastAsia"/>
          <w:b/>
          <w:color w:val="auto"/>
          <w:spacing w:val="-1"/>
          <w:sz w:val="21"/>
        </w:rPr>
      </w:pPr>
      <w:r>
        <w:rPr>
          <w:rFonts w:hint="eastAsia"/>
          <w:b/>
          <w:color w:val="auto"/>
          <w:spacing w:val="-1"/>
          <w:sz w:val="21"/>
          <w:lang w:eastAsia="zh-CN"/>
        </w:rPr>
        <w:t>附表</w:t>
      </w:r>
      <w:r>
        <w:rPr>
          <w:rFonts w:hint="eastAsia"/>
          <w:b/>
          <w:color w:val="auto"/>
          <w:spacing w:val="-1"/>
          <w:sz w:val="21"/>
          <w:lang w:val="en-US" w:eastAsia="zh-CN"/>
        </w:rPr>
        <w:t xml:space="preserve">2   </w:t>
      </w:r>
      <w:r>
        <w:rPr>
          <w:rFonts w:hint="eastAsia"/>
          <w:b/>
          <w:color w:val="auto"/>
          <w:spacing w:val="-1"/>
          <w:sz w:val="21"/>
        </w:rPr>
        <w:t>风险评价自查表</w:t>
      </w:r>
    </w:p>
    <w:tbl>
      <w:tblPr>
        <w:tblStyle w:val="45"/>
        <w:tblW w:w="8811" w:type="dxa"/>
        <w:tblInd w:w="86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6"/>
        <w:gridCol w:w="1084"/>
        <w:gridCol w:w="717"/>
        <w:gridCol w:w="426"/>
        <w:gridCol w:w="363"/>
        <w:gridCol w:w="21"/>
        <w:gridCol w:w="1149"/>
        <w:gridCol w:w="237"/>
        <w:gridCol w:w="495"/>
        <w:gridCol w:w="762"/>
        <w:gridCol w:w="697"/>
        <w:gridCol w:w="919"/>
        <w:gridCol w:w="14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0" w:hRule="atLeast"/>
        </w:trPr>
        <w:tc>
          <w:tcPr>
            <w:tcW w:w="1540" w:type="dxa"/>
            <w:gridSpan w:val="2"/>
            <w:tcBorders>
              <w:top w:val="single" w:color="000000" w:sz="12" w:space="0"/>
              <w:left w:val="nil"/>
              <w:bottom w:val="single" w:color="000000" w:sz="4" w:space="0"/>
              <w:right w:val="single" w:color="000000" w:sz="4" w:space="0"/>
              <w:tl2br w:val="nil"/>
              <w:tr2bl w:val="nil"/>
            </w:tcBorders>
            <w:vAlign w:val="top"/>
          </w:tcPr>
          <w:p>
            <w:pPr>
              <w:pStyle w:val="247"/>
              <w:kinsoku w:val="0"/>
              <w:overflowPunct w:val="0"/>
              <w:spacing w:before="3" w:line="250" w:lineRule="exact"/>
              <w:ind w:left="328"/>
              <w:jc w:val="left"/>
              <w:rPr>
                <w:rFonts w:hint="eastAsia"/>
                <w:color w:val="auto"/>
                <w:sz w:val="21"/>
              </w:rPr>
            </w:pPr>
            <w:r>
              <w:rPr>
                <w:rFonts w:hint="eastAsia"/>
                <w:color w:val="auto"/>
                <w:sz w:val="21"/>
              </w:rPr>
              <w:t>工作内容</w:t>
            </w:r>
          </w:p>
        </w:tc>
        <w:tc>
          <w:tcPr>
            <w:tcW w:w="7271" w:type="dxa"/>
            <w:gridSpan w:val="11"/>
            <w:tcBorders>
              <w:top w:val="single" w:color="000000" w:sz="12" w:space="0"/>
              <w:left w:val="single" w:color="000000" w:sz="4" w:space="0"/>
              <w:bottom w:val="single" w:color="000000" w:sz="4" w:space="0"/>
              <w:right w:val="nil"/>
              <w:tl2br w:val="nil"/>
              <w:tr2bl w:val="nil"/>
            </w:tcBorders>
            <w:vAlign w:val="top"/>
          </w:tcPr>
          <w:p>
            <w:pPr>
              <w:pStyle w:val="247"/>
              <w:kinsoku w:val="0"/>
              <w:overflowPunct w:val="0"/>
              <w:spacing w:before="3" w:line="250" w:lineRule="exact"/>
              <w:ind w:right="3170"/>
              <w:jc w:val="center"/>
              <w:rPr>
                <w:rFonts w:hint="eastAsia"/>
                <w:color w:val="auto"/>
                <w:sz w:val="21"/>
              </w:rPr>
            </w:pPr>
            <w:r>
              <w:rPr>
                <w:rFonts w:hint="eastAsia" w:eastAsia="宋体"/>
                <w:color w:val="auto"/>
                <w:sz w:val="21"/>
                <w:lang w:val="en-US" w:eastAsia="zh-CN"/>
              </w:rPr>
              <w:t xml:space="preserve">                       </w:t>
            </w:r>
            <w:r>
              <w:rPr>
                <w:rFonts w:hint="eastAsia"/>
                <w:color w:val="auto"/>
                <w:sz w:val="21"/>
              </w:rPr>
              <w:t>完成情况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4" w:hRule="atLeast"/>
        </w:trPr>
        <w:tc>
          <w:tcPr>
            <w:tcW w:w="456" w:type="dxa"/>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jc w:val="left"/>
              <w:rPr>
                <w:rFonts w:hint="eastAsia" w:ascii="楷体" w:hAnsi="楷体" w:eastAsia="楷体"/>
                <w:b/>
                <w:color w:val="auto"/>
                <w:sz w:val="20"/>
              </w:rPr>
            </w:pPr>
          </w:p>
          <w:p>
            <w:pPr>
              <w:pStyle w:val="247"/>
              <w:kinsoku w:val="0"/>
              <w:overflowPunct w:val="0"/>
              <w:jc w:val="left"/>
              <w:rPr>
                <w:rFonts w:hint="eastAsia" w:ascii="楷体" w:hAnsi="楷体" w:eastAsia="楷体"/>
                <w:b/>
                <w:color w:val="auto"/>
                <w:sz w:val="20"/>
              </w:rPr>
            </w:pPr>
          </w:p>
          <w:p>
            <w:pPr>
              <w:pStyle w:val="247"/>
              <w:kinsoku w:val="0"/>
              <w:overflowPunct w:val="0"/>
              <w:jc w:val="left"/>
              <w:rPr>
                <w:rFonts w:hint="eastAsia" w:ascii="楷体" w:hAnsi="楷体" w:eastAsia="楷体"/>
                <w:b/>
                <w:color w:val="auto"/>
                <w:sz w:val="20"/>
              </w:rPr>
            </w:pPr>
          </w:p>
          <w:p>
            <w:pPr>
              <w:pStyle w:val="247"/>
              <w:kinsoku w:val="0"/>
              <w:overflowPunct w:val="0"/>
              <w:spacing w:before="11"/>
              <w:jc w:val="left"/>
              <w:rPr>
                <w:rFonts w:hint="eastAsia" w:ascii="楷体" w:hAnsi="楷体" w:eastAsia="楷体"/>
                <w:b/>
                <w:color w:val="auto"/>
                <w:sz w:val="27"/>
              </w:rPr>
            </w:pPr>
          </w:p>
          <w:p>
            <w:pPr>
              <w:pStyle w:val="247"/>
              <w:kinsoku w:val="0"/>
              <w:overflowPunct w:val="0"/>
              <w:spacing w:before="1" w:line="242" w:lineRule="auto"/>
              <w:ind w:right="56"/>
              <w:jc w:val="both"/>
              <w:rPr>
                <w:rFonts w:hint="eastAsia"/>
                <w:color w:val="auto"/>
                <w:sz w:val="21"/>
              </w:rPr>
            </w:pPr>
            <w:r>
              <w:rPr>
                <w:rFonts w:hint="eastAsia"/>
                <w:color w:val="auto"/>
                <w:sz w:val="21"/>
              </w:rPr>
              <w:t>风险调查</w:t>
            </w:r>
          </w:p>
        </w:tc>
        <w:tc>
          <w:tcPr>
            <w:tcW w:w="1084"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0"/>
              <w:jc w:val="left"/>
              <w:rPr>
                <w:rFonts w:hint="eastAsia" w:ascii="楷体" w:hAnsi="楷体" w:eastAsia="楷体"/>
                <w:b/>
                <w:color w:val="auto"/>
                <w:sz w:val="21"/>
              </w:rPr>
            </w:pPr>
          </w:p>
          <w:p>
            <w:pPr>
              <w:pStyle w:val="247"/>
              <w:kinsoku w:val="0"/>
              <w:overflowPunct w:val="0"/>
              <w:jc w:val="left"/>
              <w:rPr>
                <w:rFonts w:hint="eastAsia"/>
                <w:color w:val="auto"/>
                <w:sz w:val="21"/>
              </w:rPr>
            </w:pPr>
            <w:r>
              <w:rPr>
                <w:rFonts w:hint="eastAsia"/>
                <w:color w:val="auto"/>
                <w:sz w:val="21"/>
              </w:rPr>
              <w:t>危险物质</w:t>
            </w: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38"/>
              <w:jc w:val="center"/>
              <w:rPr>
                <w:rFonts w:hint="eastAsia"/>
                <w:color w:val="auto"/>
                <w:sz w:val="21"/>
              </w:rPr>
            </w:pPr>
            <w:r>
              <w:rPr>
                <w:rFonts w:hint="eastAsia"/>
                <w:color w:val="auto"/>
                <w:sz w:val="21"/>
              </w:rPr>
              <w:t>名称</w:t>
            </w:r>
          </w:p>
        </w:tc>
        <w:tc>
          <w:tcPr>
            <w:tcW w:w="6128" w:type="dxa"/>
            <w:gridSpan w:val="9"/>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8"/>
              <w:ind w:left="61" w:right="1"/>
              <w:rPr>
                <w:rFonts w:hint="eastAsia"/>
                <w:color w:val="auto"/>
                <w:sz w:val="21"/>
              </w:rPr>
            </w:pPr>
            <w:r>
              <w:rPr>
                <w:rFonts w:hint="eastAsia"/>
                <w:color w:val="auto"/>
                <w:sz w:val="21"/>
              </w:rPr>
              <w:t>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ind w:left="101"/>
              <w:jc w:val="left"/>
              <w:rPr>
                <w:rFonts w:hint="default" w:ascii="Times New Roman" w:hAnsi="Times New Roman" w:eastAsia="Times New Roman"/>
                <w:color w:val="auto"/>
                <w:sz w:val="21"/>
              </w:rPr>
            </w:pPr>
            <w:r>
              <w:rPr>
                <w:rFonts w:hint="eastAsia"/>
                <w:color w:val="auto"/>
                <w:sz w:val="21"/>
              </w:rPr>
              <w:t>存在总量</w:t>
            </w:r>
            <w:r>
              <w:rPr>
                <w:rFonts w:hint="default" w:ascii="Times New Roman" w:hAnsi="Times New Roman" w:eastAsia="Times New Roman"/>
                <w:color w:val="auto"/>
                <w:sz w:val="21"/>
              </w:rPr>
              <w:t>/t</w:t>
            </w:r>
          </w:p>
        </w:tc>
        <w:tc>
          <w:tcPr>
            <w:tcW w:w="6128" w:type="dxa"/>
            <w:gridSpan w:val="9"/>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ind w:left="61" w:right="1"/>
              <w:rPr>
                <w:rFonts w:hint="default" w:ascii="Times New Roman" w:hAnsi="Times New Roman" w:eastAsia="宋体"/>
                <w:color w:val="auto"/>
                <w:sz w:val="21"/>
                <w:lang w:val="en-US" w:eastAsia="zh-CN"/>
              </w:rPr>
            </w:pPr>
            <w:r>
              <w:rPr>
                <w:rFonts w:hint="eastAsia" w:eastAsia="宋体"/>
                <w:color w:val="auto"/>
                <w:sz w:val="21"/>
                <w:lang w:val="en-US" w:eastAsia="zh-CN"/>
              </w:rPr>
              <w:t>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jc w:val="left"/>
              <w:rPr>
                <w:rFonts w:hint="eastAsia" w:ascii="楷体" w:hAnsi="楷体" w:eastAsia="楷体"/>
                <w:b/>
                <w:color w:val="auto"/>
                <w:sz w:val="20"/>
              </w:rPr>
            </w:pPr>
          </w:p>
          <w:p>
            <w:pPr>
              <w:pStyle w:val="247"/>
              <w:kinsoku w:val="0"/>
              <w:overflowPunct w:val="0"/>
              <w:jc w:val="left"/>
              <w:rPr>
                <w:rFonts w:hint="eastAsia" w:ascii="楷体" w:hAnsi="楷体" w:eastAsia="楷体"/>
                <w:b/>
                <w:color w:val="auto"/>
                <w:sz w:val="20"/>
              </w:rPr>
            </w:pPr>
          </w:p>
          <w:p>
            <w:pPr>
              <w:pStyle w:val="247"/>
              <w:kinsoku w:val="0"/>
              <w:overflowPunct w:val="0"/>
              <w:jc w:val="left"/>
              <w:rPr>
                <w:rFonts w:hint="eastAsia" w:ascii="楷体" w:hAnsi="楷体" w:eastAsia="楷体"/>
                <w:b/>
                <w:color w:val="auto"/>
                <w:sz w:val="20"/>
              </w:rPr>
            </w:pPr>
          </w:p>
          <w:p>
            <w:pPr>
              <w:pStyle w:val="247"/>
              <w:kinsoku w:val="0"/>
              <w:overflowPunct w:val="0"/>
              <w:spacing w:before="2"/>
              <w:jc w:val="left"/>
              <w:rPr>
                <w:rFonts w:hint="eastAsia" w:ascii="楷体" w:hAnsi="楷体" w:eastAsia="楷体"/>
                <w:b/>
                <w:color w:val="auto"/>
                <w:sz w:val="27"/>
              </w:rPr>
            </w:pPr>
          </w:p>
          <w:p>
            <w:pPr>
              <w:pStyle w:val="247"/>
              <w:kinsoku w:val="0"/>
              <w:overflowPunct w:val="0"/>
              <w:ind w:left="24" w:right="-15"/>
              <w:jc w:val="left"/>
              <w:rPr>
                <w:rFonts w:hint="eastAsia"/>
                <w:color w:val="auto"/>
                <w:spacing w:val="-1"/>
                <w:sz w:val="21"/>
              </w:rPr>
            </w:pPr>
            <w:r>
              <w:rPr>
                <w:rFonts w:hint="eastAsia"/>
                <w:color w:val="auto"/>
                <w:spacing w:val="-1"/>
                <w:sz w:val="21"/>
              </w:rPr>
              <w:t>环境敏感性</w:t>
            </w:r>
          </w:p>
        </w:tc>
        <w:tc>
          <w:tcPr>
            <w:tcW w:w="1143" w:type="dxa"/>
            <w:gridSpan w:val="2"/>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2"/>
              <w:ind w:left="370"/>
              <w:jc w:val="left"/>
              <w:rPr>
                <w:rFonts w:hint="eastAsia"/>
                <w:color w:val="auto"/>
                <w:sz w:val="21"/>
              </w:rPr>
            </w:pPr>
            <w:r>
              <w:rPr>
                <w:rFonts w:hint="eastAsia"/>
                <w:color w:val="auto"/>
                <w:sz w:val="21"/>
              </w:rPr>
              <w:t>大气</w:t>
            </w:r>
          </w:p>
        </w:tc>
        <w:tc>
          <w:tcPr>
            <w:tcW w:w="3027" w:type="dxa"/>
            <w:gridSpan w:val="6"/>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344"/>
              <w:jc w:val="left"/>
              <w:rPr>
                <w:rFonts w:hint="eastAsia"/>
                <w:color w:val="auto"/>
                <w:sz w:val="21"/>
              </w:rPr>
            </w:pPr>
            <w:r>
              <w:rPr>
                <w:rFonts w:hint="default" w:ascii="Times New Roman" w:hAnsi="Times New Roman" w:eastAsia="Times New Roman"/>
                <w:color w:val="auto"/>
                <w:sz w:val="21"/>
              </w:rPr>
              <w:t xml:space="preserve">500 m </w:t>
            </w:r>
            <w:r>
              <w:rPr>
                <w:rFonts w:hint="eastAsia"/>
                <w:color w:val="auto"/>
                <w:sz w:val="21"/>
              </w:rPr>
              <w:t>范围内人口数</w:t>
            </w:r>
            <w:r>
              <w:rPr>
                <w:rFonts w:hint="eastAsia"/>
                <w:color w:val="auto"/>
                <w:sz w:val="21"/>
                <w:u w:val="single" w:color="000000"/>
              </w:rPr>
              <w:t xml:space="preserve"> </w:t>
            </w:r>
            <w:r>
              <w:rPr>
                <w:rFonts w:hint="default" w:ascii="Times New Roman" w:hAnsi="Times New Roman" w:eastAsia="Times New Roman"/>
                <w:color w:val="auto"/>
                <w:sz w:val="21"/>
                <w:u w:val="single" w:color="000000"/>
              </w:rPr>
              <w:t>0</w:t>
            </w:r>
            <w:r>
              <w:rPr>
                <w:rFonts w:hint="default" w:ascii="Times New Roman" w:hAnsi="Times New Roman" w:eastAsia="Times New Roman"/>
                <w:color w:val="auto"/>
                <w:sz w:val="21"/>
              </w:rPr>
              <w:t xml:space="preserve"> </w:t>
            </w:r>
            <w:r>
              <w:rPr>
                <w:rFonts w:hint="eastAsia"/>
                <w:color w:val="auto"/>
                <w:sz w:val="21"/>
              </w:rPr>
              <w:t>人</w:t>
            </w:r>
          </w:p>
        </w:tc>
        <w:tc>
          <w:tcPr>
            <w:tcW w:w="3101" w:type="dxa"/>
            <w:gridSpan w:val="3"/>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line="252" w:lineRule="exact"/>
              <w:jc w:val="left"/>
              <w:rPr>
                <w:rFonts w:hint="eastAsia"/>
                <w:color w:val="auto"/>
                <w:sz w:val="21"/>
              </w:rPr>
            </w:pPr>
            <w:r>
              <w:rPr>
                <w:rFonts w:hint="eastAsia" w:ascii="Times New Roman" w:hAnsi="Times New Roman" w:eastAsia="宋体"/>
                <w:color w:val="auto"/>
                <w:sz w:val="21"/>
                <w:lang w:val="en-US" w:eastAsia="zh-CN"/>
              </w:rPr>
              <w:t>3</w:t>
            </w:r>
            <w:r>
              <w:rPr>
                <w:rFonts w:hint="default" w:ascii="Times New Roman" w:hAnsi="Times New Roman" w:eastAsia="Times New Roman"/>
                <w:color w:val="auto"/>
                <w:sz w:val="21"/>
              </w:rPr>
              <w:t xml:space="preserve"> km </w:t>
            </w:r>
            <w:r>
              <w:rPr>
                <w:rFonts w:hint="eastAsia"/>
                <w:color w:val="auto"/>
                <w:sz w:val="21"/>
              </w:rPr>
              <w:t>范围内人口数</w:t>
            </w:r>
            <w:r>
              <w:rPr>
                <w:rFonts w:hint="eastAsia"/>
                <w:color w:val="auto"/>
                <w:sz w:val="21"/>
                <w:u w:val="single" w:color="000000"/>
              </w:rPr>
              <w:t xml:space="preserve"> </w:t>
            </w:r>
            <w:r>
              <w:rPr>
                <w:rFonts w:hint="default" w:ascii="Times New Roman" w:hAnsi="Times New Roman" w:eastAsia="Times New Roman"/>
                <w:color w:val="auto"/>
                <w:sz w:val="21"/>
                <w:u w:val="single" w:color="000000"/>
              </w:rPr>
              <w:t>20000</w:t>
            </w:r>
            <w:r>
              <w:rPr>
                <w:rFonts w:hint="default" w:ascii="Times New Roman" w:hAnsi="Times New Roman" w:eastAsia="Times New Roman"/>
                <w:color w:val="auto"/>
                <w:sz w:val="21"/>
              </w:rPr>
              <w:t xml:space="preserve"> </w:t>
            </w:r>
            <w:r>
              <w:rPr>
                <w:rFonts w:hint="eastAsia"/>
                <w:color w:val="auto"/>
                <w:sz w:val="21"/>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4643" w:type="dxa"/>
            <w:gridSpan w:val="8"/>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180"/>
              <w:jc w:val="left"/>
              <w:rPr>
                <w:rFonts w:hint="eastAsia"/>
                <w:color w:val="auto"/>
                <w:sz w:val="21"/>
              </w:rPr>
            </w:pPr>
            <w:r>
              <w:rPr>
                <w:rFonts w:hint="eastAsia"/>
                <w:color w:val="auto"/>
                <w:sz w:val="21"/>
              </w:rPr>
              <w:t xml:space="preserve">每公里管段周边 </w:t>
            </w:r>
            <w:r>
              <w:rPr>
                <w:rFonts w:hint="default" w:ascii="Times New Roman" w:hAnsi="Times New Roman" w:eastAsia="Times New Roman"/>
                <w:color w:val="auto"/>
                <w:sz w:val="21"/>
              </w:rPr>
              <w:t xml:space="preserve">200 m </w:t>
            </w:r>
            <w:r>
              <w:rPr>
                <w:rFonts w:hint="eastAsia"/>
                <w:color w:val="auto"/>
                <w:sz w:val="21"/>
              </w:rPr>
              <w:t>范围内人口数（最大）</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line="250" w:lineRule="exact"/>
              <w:ind w:left="57"/>
              <w:rPr>
                <w:rFonts w:hint="eastAsia"/>
                <w:color w:val="auto"/>
                <w:sz w:val="21"/>
              </w:rPr>
            </w:pPr>
            <w:r>
              <w:rPr>
                <w:rFonts w:hint="eastAsia" w:eastAsia="宋体"/>
                <w:color w:val="auto"/>
                <w:sz w:val="21"/>
                <w:lang w:val="en-US" w:eastAsia="zh-CN"/>
              </w:rPr>
              <w:t>0</w:t>
            </w:r>
            <w:r>
              <w:rPr>
                <w:rFonts w:hint="eastAsia"/>
                <w:color w:val="auto"/>
                <w:sz w:val="21"/>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4"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jc w:val="left"/>
              <w:rPr>
                <w:rFonts w:hint="eastAsia" w:ascii="楷体" w:hAnsi="楷体" w:eastAsia="楷体"/>
                <w:b/>
                <w:color w:val="auto"/>
                <w:sz w:val="20"/>
              </w:rPr>
            </w:pPr>
          </w:p>
          <w:p>
            <w:pPr>
              <w:pStyle w:val="247"/>
              <w:kinsoku w:val="0"/>
              <w:overflowPunct w:val="0"/>
              <w:spacing w:before="160"/>
              <w:ind w:left="264"/>
              <w:jc w:val="left"/>
              <w:rPr>
                <w:rFonts w:hint="eastAsia"/>
                <w:color w:val="auto"/>
                <w:sz w:val="21"/>
              </w:rPr>
            </w:pPr>
            <w:r>
              <w:rPr>
                <w:rFonts w:hint="eastAsia"/>
                <w:color w:val="auto"/>
                <w:sz w:val="21"/>
              </w:rPr>
              <w:t>地表水</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2" w:line="270" w:lineRule="atLeast"/>
              <w:ind w:left="728" w:right="58" w:hanging="629"/>
              <w:jc w:val="left"/>
              <w:rPr>
                <w:rFonts w:hint="eastAsia"/>
                <w:color w:val="auto"/>
                <w:sz w:val="21"/>
              </w:rPr>
            </w:pPr>
            <w:r>
              <w:rPr>
                <w:rFonts w:hint="eastAsia"/>
                <w:color w:val="auto"/>
                <w:sz w:val="21"/>
              </w:rPr>
              <w:t>地表水功能敏感性</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ind w:right="321"/>
              <w:jc w:val="center"/>
              <w:rPr>
                <w:rFonts w:hint="default" w:ascii="Times New Roman" w:hAnsi="Times New Roman" w:eastAsia="Times New Roman"/>
                <w:color w:val="auto"/>
                <w:sz w:val="21"/>
              </w:rPr>
            </w:pPr>
            <w:r>
              <w:rPr>
                <w:rFonts w:hint="default" w:ascii="Times New Roman" w:hAnsi="Times New Roman" w:eastAsia="Times New Roman"/>
                <w:color w:val="auto"/>
                <w:sz w:val="21"/>
              </w:rPr>
              <w:t>F1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ind w:left="51"/>
              <w:rPr>
                <w:rFonts w:hint="default" w:ascii="Times New Roman" w:hAnsi="Times New Roman" w:eastAsia="Times New Roman"/>
                <w:color w:val="auto"/>
                <w:sz w:val="21"/>
              </w:rPr>
            </w:pPr>
            <w:r>
              <w:rPr>
                <w:rFonts w:hint="default" w:ascii="Times New Roman" w:hAnsi="Times New Roman" w:eastAsia="Times New Roman"/>
                <w:color w:val="auto"/>
                <w:sz w:val="21"/>
              </w:rPr>
              <w:t>F2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8"/>
              <w:ind w:left="526"/>
              <w:jc w:val="left"/>
              <w:rPr>
                <w:rFonts w:hint="eastAsia" w:ascii="MS Gothic" w:hAnsi="MS Gothic" w:eastAsia="MS Gothic"/>
                <w:color w:val="auto"/>
                <w:sz w:val="21"/>
              </w:rPr>
            </w:pPr>
            <w:r>
              <w:rPr>
                <w:rFonts w:hint="default" w:ascii="Times New Roman" w:hAnsi="Times New Roman" w:eastAsia="Times New Roman"/>
                <w:color w:val="auto"/>
                <w:sz w:val="21"/>
              </w:rPr>
              <w:t>F3</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7"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70" w:lineRule="atLeast"/>
              <w:ind w:left="728" w:right="58" w:hanging="629"/>
              <w:jc w:val="left"/>
              <w:rPr>
                <w:rFonts w:hint="eastAsia"/>
                <w:color w:val="auto"/>
                <w:sz w:val="21"/>
              </w:rPr>
            </w:pPr>
            <w:r>
              <w:rPr>
                <w:rFonts w:hint="eastAsia"/>
                <w:color w:val="auto"/>
                <w:sz w:val="21"/>
              </w:rPr>
              <w:t>环境敏感目标分级</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ind w:left="366" w:right="315"/>
              <w:rPr>
                <w:rFonts w:hint="default" w:ascii="Times New Roman" w:hAnsi="Times New Roman" w:eastAsia="Times New Roman"/>
                <w:color w:val="auto"/>
                <w:sz w:val="21"/>
              </w:rPr>
            </w:pPr>
            <w:r>
              <w:rPr>
                <w:rFonts w:hint="default" w:ascii="Times New Roman" w:hAnsi="Times New Roman" w:eastAsia="Times New Roman"/>
                <w:color w:val="auto"/>
                <w:sz w:val="21"/>
              </w:rPr>
              <w:t>S1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7"/>
              <w:ind w:left="56"/>
              <w:rPr>
                <w:rFonts w:hint="default" w:ascii="Times New Roman" w:hAnsi="Times New Roman" w:eastAsia="Times New Roman"/>
                <w:color w:val="auto"/>
                <w:sz w:val="21"/>
              </w:rPr>
            </w:pPr>
            <w:r>
              <w:rPr>
                <w:rFonts w:hint="default" w:ascii="Times New Roman" w:hAnsi="Times New Roman" w:eastAsia="Times New Roman"/>
                <w:color w:val="auto"/>
                <w:sz w:val="21"/>
              </w:rPr>
              <w:t>S2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8"/>
              <w:ind w:left="526"/>
              <w:jc w:val="left"/>
              <w:rPr>
                <w:rFonts w:hint="eastAsia" w:ascii="MS Gothic" w:hAnsi="MS Gothic" w:eastAsia="MS Gothic"/>
                <w:color w:val="auto"/>
                <w:sz w:val="21"/>
              </w:rPr>
            </w:pPr>
            <w:r>
              <w:rPr>
                <w:rFonts w:hint="default" w:ascii="Times New Roman" w:hAnsi="Times New Roman" w:eastAsia="Times New Roman"/>
                <w:color w:val="auto"/>
                <w:sz w:val="21"/>
              </w:rPr>
              <w:t xml:space="preserve">S3 </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4"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jc w:val="left"/>
              <w:rPr>
                <w:rFonts w:hint="eastAsia" w:ascii="楷体" w:hAnsi="楷体" w:eastAsia="楷体"/>
                <w:b/>
                <w:color w:val="auto"/>
                <w:sz w:val="21"/>
              </w:rPr>
            </w:pPr>
          </w:p>
          <w:p>
            <w:pPr>
              <w:pStyle w:val="247"/>
              <w:kinsoku w:val="0"/>
              <w:overflowPunct w:val="0"/>
              <w:spacing w:before="1"/>
              <w:ind w:left="264"/>
              <w:jc w:val="left"/>
              <w:rPr>
                <w:rFonts w:hint="eastAsia"/>
                <w:color w:val="auto"/>
                <w:sz w:val="21"/>
              </w:rPr>
            </w:pPr>
            <w:r>
              <w:rPr>
                <w:rFonts w:hint="eastAsia"/>
                <w:color w:val="auto"/>
                <w:sz w:val="21"/>
              </w:rPr>
              <w:t>地下水</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ind w:left="81" w:right="43"/>
              <w:rPr>
                <w:rFonts w:hint="eastAsia"/>
                <w:color w:val="auto"/>
                <w:sz w:val="21"/>
              </w:rPr>
            </w:pPr>
            <w:r>
              <w:rPr>
                <w:rFonts w:hint="eastAsia"/>
                <w:color w:val="auto"/>
                <w:sz w:val="21"/>
              </w:rPr>
              <w:t>地下水功能敏感性</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4"/>
              <w:ind w:left="490"/>
              <w:jc w:val="left"/>
              <w:rPr>
                <w:rFonts w:hint="default" w:ascii="Times New Roman" w:hAnsi="Times New Roman" w:eastAsia="Times New Roman"/>
                <w:color w:val="auto"/>
                <w:sz w:val="21"/>
              </w:rPr>
            </w:pPr>
            <w:r>
              <w:rPr>
                <w:rFonts w:hint="default" w:ascii="Times New Roman" w:hAnsi="Times New Roman" w:eastAsia="Times New Roman"/>
                <w:color w:val="auto"/>
                <w:sz w:val="21"/>
              </w:rPr>
              <w:t>G1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4"/>
              <w:ind w:left="53"/>
              <w:rPr>
                <w:rFonts w:hint="default" w:ascii="Times New Roman" w:hAnsi="Times New Roman" w:eastAsia="Times New Roman"/>
                <w:color w:val="auto"/>
                <w:sz w:val="21"/>
              </w:rPr>
            </w:pPr>
            <w:r>
              <w:rPr>
                <w:rFonts w:hint="default" w:ascii="Times New Roman" w:hAnsi="Times New Roman" w:eastAsia="Times New Roman"/>
                <w:color w:val="auto"/>
                <w:sz w:val="21"/>
              </w:rPr>
              <w:t>G2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8"/>
              <w:ind w:left="535"/>
              <w:jc w:val="left"/>
              <w:rPr>
                <w:rFonts w:hint="eastAsia" w:ascii="MS Gothic" w:hAnsi="MS Gothic" w:eastAsia="MS Gothic"/>
                <w:color w:val="auto"/>
                <w:sz w:val="21"/>
              </w:rPr>
            </w:pPr>
            <w:r>
              <w:rPr>
                <w:rFonts w:hint="default" w:ascii="Times New Roman" w:hAnsi="Times New Roman" w:eastAsia="Times New Roman"/>
                <w:color w:val="auto"/>
                <w:sz w:val="21"/>
              </w:rPr>
              <w:t>G3</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99"/>
              <w:jc w:val="left"/>
              <w:rPr>
                <w:rFonts w:hint="eastAsia"/>
                <w:color w:val="auto"/>
                <w:sz w:val="21"/>
              </w:rPr>
            </w:pPr>
            <w:r>
              <w:rPr>
                <w:rFonts w:hint="eastAsia"/>
                <w:color w:val="auto"/>
                <w:sz w:val="21"/>
              </w:rPr>
              <w:t>包气带防污性能</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ind w:left="490"/>
              <w:jc w:val="left"/>
              <w:rPr>
                <w:rFonts w:hint="default" w:ascii="Times New Roman" w:hAnsi="Times New Roman" w:eastAsia="Times New Roman"/>
                <w:color w:val="auto"/>
                <w:sz w:val="21"/>
              </w:rPr>
            </w:pPr>
            <w:r>
              <w:rPr>
                <w:rFonts w:hint="default" w:ascii="Times New Roman" w:hAnsi="Times New Roman" w:eastAsia="Times New Roman"/>
                <w:color w:val="auto"/>
                <w:sz w:val="21"/>
              </w:rPr>
              <w:t>D1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569"/>
              <w:jc w:val="left"/>
              <w:rPr>
                <w:rFonts w:hint="eastAsia" w:ascii="MS Gothic" w:hAnsi="MS Gothic" w:eastAsia="MS Gothic"/>
                <w:color w:val="auto"/>
                <w:sz w:val="21"/>
              </w:rPr>
            </w:pPr>
            <w:r>
              <w:rPr>
                <w:rFonts w:hint="default" w:ascii="Times New Roman" w:hAnsi="Times New Roman" w:eastAsia="Times New Roman"/>
                <w:color w:val="auto"/>
                <w:sz w:val="21"/>
              </w:rPr>
              <w:t xml:space="preserve">D2 </w:t>
            </w:r>
            <w:r>
              <w:rPr>
                <w:rFonts w:hint="default" w:ascii="Times New Roman" w:hAnsi="Times New Roman" w:eastAsia="Times New Roman"/>
                <w:color w:val="auto"/>
                <w:sz w:val="21"/>
              </w:rPr>
              <w:sym w:font="Wingdings 2" w:char="0052"/>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7"/>
              <w:ind w:left="550"/>
              <w:jc w:val="left"/>
              <w:rPr>
                <w:rFonts w:hint="default" w:ascii="Times New Roman" w:hAnsi="Times New Roman" w:eastAsia="Times New Roman"/>
                <w:color w:val="auto"/>
                <w:sz w:val="21"/>
              </w:rPr>
            </w:pPr>
            <w:r>
              <w:rPr>
                <w:rFonts w:hint="default" w:ascii="Times New Roman" w:hAnsi="Times New Roman" w:eastAsia="Times New Roman"/>
                <w:color w:val="auto"/>
                <w:sz w:val="21"/>
              </w:rPr>
              <w:t>D3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47" w:line="244" w:lineRule="auto"/>
              <w:ind w:left="328" w:right="70" w:hanging="212"/>
              <w:jc w:val="left"/>
              <w:rPr>
                <w:rFonts w:hint="eastAsia"/>
                <w:color w:val="auto"/>
                <w:sz w:val="21"/>
              </w:rPr>
            </w:pPr>
            <w:r>
              <w:rPr>
                <w:rFonts w:hint="eastAsia"/>
                <w:color w:val="auto"/>
                <w:sz w:val="21"/>
              </w:rPr>
              <w:t>物质及工艺系统危险性</w:t>
            </w: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ind w:left="346"/>
              <w:jc w:val="left"/>
              <w:rPr>
                <w:rFonts w:hint="eastAsia"/>
                <w:color w:val="auto"/>
                <w:sz w:val="21"/>
              </w:rPr>
            </w:pPr>
            <w:r>
              <w:rPr>
                <w:rFonts w:hint="default" w:ascii="Times New Roman" w:hAnsi="Times New Roman" w:eastAsia="Times New Roman"/>
                <w:i/>
                <w:color w:val="auto"/>
                <w:sz w:val="21"/>
              </w:rPr>
              <w:t>Q</w:t>
            </w:r>
            <w:r>
              <w:rPr>
                <w:rFonts w:hint="default" w:ascii="Times New Roman" w:hAnsi="Times New Roman" w:eastAsia="Times New Roman"/>
                <w:i/>
                <w:color w:val="auto"/>
                <w:spacing w:val="51"/>
                <w:sz w:val="21"/>
              </w:rPr>
              <w:t xml:space="preserve"> </w:t>
            </w:r>
            <w:r>
              <w:rPr>
                <w:rFonts w:hint="eastAsia"/>
                <w:color w:val="auto"/>
                <w:sz w:val="21"/>
              </w:rPr>
              <w:t>值</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ind w:left="512"/>
              <w:jc w:val="left"/>
              <w:rPr>
                <w:rFonts w:hint="default" w:ascii="Times New Roman" w:hAnsi="Times New Roman" w:eastAsia="Times New Roman"/>
                <w:color w:val="auto"/>
                <w:sz w:val="21"/>
              </w:rPr>
            </w:pPr>
            <w:r>
              <w:rPr>
                <w:rFonts w:hint="default" w:ascii="Times New Roman" w:hAnsi="Times New Roman" w:eastAsia="Times New Roman"/>
                <w:i/>
                <w:color w:val="auto"/>
                <w:sz w:val="21"/>
              </w:rPr>
              <w:t>Q</w:t>
            </w:r>
            <w:r>
              <w:rPr>
                <w:rFonts w:hint="eastAsia"/>
                <w:color w:val="auto"/>
                <w:sz w:val="21"/>
              </w:rPr>
              <w:t>＜</w:t>
            </w:r>
            <w:r>
              <w:rPr>
                <w:rFonts w:hint="default" w:ascii="Times New Roman" w:hAnsi="Times New Roman" w:eastAsia="Times New Roman"/>
                <w:color w:val="auto"/>
                <w:sz w:val="21"/>
              </w:rPr>
              <w:t>1 □</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jc w:val="left"/>
              <w:rPr>
                <w:rFonts w:hint="default" w:ascii="Times New Roman" w:hAnsi="Times New Roman" w:eastAsia="Times New Roman"/>
                <w:color w:val="auto"/>
                <w:sz w:val="21"/>
              </w:rPr>
            </w:pPr>
            <w:r>
              <w:rPr>
                <w:rFonts w:hint="default" w:ascii="Times New Roman" w:hAnsi="Times New Roman" w:eastAsia="Times New Roman"/>
                <w:color w:val="auto"/>
                <w:sz w:val="21"/>
              </w:rPr>
              <w:t>1≤</w:t>
            </w:r>
            <w:r>
              <w:rPr>
                <w:rFonts w:hint="default" w:ascii="Times New Roman" w:hAnsi="Times New Roman" w:eastAsia="Times New Roman"/>
                <w:i/>
                <w:color w:val="auto"/>
                <w:sz w:val="21"/>
              </w:rPr>
              <w:t>Q</w:t>
            </w:r>
            <w:r>
              <w:rPr>
                <w:rFonts w:hint="eastAsia"/>
                <w:color w:val="auto"/>
                <w:sz w:val="21"/>
              </w:rPr>
              <w:t>＜</w:t>
            </w:r>
            <w:r>
              <w:rPr>
                <w:rFonts w:hint="default" w:ascii="Times New Roman" w:hAnsi="Times New Roman" w:eastAsia="Times New Roman"/>
                <w:color w:val="auto"/>
                <w:sz w:val="21"/>
              </w:rPr>
              <w:t xml:space="preserve">10 </w:t>
            </w:r>
            <w:r>
              <w:rPr>
                <w:rFonts w:hint="default" w:ascii="Times New Roman" w:hAnsi="Times New Roman" w:eastAsia="Times New Roman"/>
                <w:color w:val="auto"/>
                <w:sz w:val="21"/>
              </w:rPr>
              <w:sym w:font="Wingdings 2" w:char="0052"/>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jc w:val="left"/>
              <w:rPr>
                <w:rFonts w:hint="default" w:ascii="Times New Roman" w:hAnsi="Times New Roman" w:eastAsia="Times New Roman"/>
                <w:color w:val="auto"/>
                <w:sz w:val="21"/>
              </w:rPr>
            </w:pPr>
            <w:r>
              <w:rPr>
                <w:rFonts w:hint="default" w:ascii="Times New Roman" w:hAnsi="Times New Roman" w:eastAsia="Times New Roman"/>
                <w:color w:val="auto"/>
                <w:sz w:val="21"/>
              </w:rPr>
              <w:t>10≤</w:t>
            </w:r>
            <w:r>
              <w:rPr>
                <w:rFonts w:hint="default" w:ascii="Times New Roman" w:hAnsi="Times New Roman" w:eastAsia="Times New Roman"/>
                <w:i/>
                <w:color w:val="auto"/>
                <w:sz w:val="21"/>
              </w:rPr>
              <w:t>Q</w:t>
            </w:r>
            <w:r>
              <w:rPr>
                <w:rFonts w:hint="eastAsia"/>
                <w:color w:val="auto"/>
                <w:sz w:val="21"/>
              </w:rPr>
              <w:t>＜</w:t>
            </w:r>
            <w:r>
              <w:rPr>
                <w:rFonts w:hint="default" w:ascii="Times New Roman" w:hAnsi="Times New Roman" w:eastAsia="Times New Roman"/>
                <w:color w:val="auto"/>
                <w:sz w:val="21"/>
              </w:rPr>
              <w:t>100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3" w:line="250" w:lineRule="exact"/>
              <w:jc w:val="left"/>
              <w:rPr>
                <w:rFonts w:hint="default" w:ascii="Times New Roman" w:hAnsi="Times New Roman" w:eastAsia="Times New Roman"/>
                <w:color w:val="auto"/>
                <w:sz w:val="21"/>
              </w:rPr>
            </w:pPr>
            <w:r>
              <w:rPr>
                <w:rFonts w:hint="default" w:ascii="Times New Roman" w:hAnsi="Times New Roman" w:eastAsia="Times New Roman"/>
                <w:i/>
                <w:color w:val="auto"/>
                <w:sz w:val="21"/>
              </w:rPr>
              <w:t>Q</w:t>
            </w:r>
            <w:r>
              <w:rPr>
                <w:rFonts w:hint="eastAsia"/>
                <w:color w:val="auto"/>
                <w:sz w:val="21"/>
              </w:rPr>
              <w:t>＞</w:t>
            </w:r>
            <w:r>
              <w:rPr>
                <w:rFonts w:hint="default" w:ascii="Times New Roman" w:hAnsi="Times New Roman" w:eastAsia="Times New Roman"/>
                <w:color w:val="auto"/>
                <w:sz w:val="21"/>
              </w:rPr>
              <w:t>100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329"/>
              <w:jc w:val="left"/>
              <w:rPr>
                <w:rFonts w:hint="eastAsia"/>
                <w:color w:val="auto"/>
                <w:sz w:val="21"/>
              </w:rPr>
            </w:pPr>
            <w:r>
              <w:rPr>
                <w:rFonts w:hint="default" w:ascii="Times New Roman" w:hAnsi="Times New Roman" w:eastAsia="Times New Roman"/>
                <w:color w:val="auto"/>
                <w:sz w:val="21"/>
              </w:rPr>
              <w:t xml:space="preserve">M </w:t>
            </w:r>
            <w:r>
              <w:rPr>
                <w:rFonts w:hint="eastAsia"/>
                <w:color w:val="auto"/>
                <w:sz w:val="21"/>
              </w:rPr>
              <w:t>值</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81" w:right="43"/>
              <w:rPr>
                <w:rFonts w:hint="eastAsia" w:ascii="MS Gothic" w:hAnsi="MS Gothic" w:eastAsia="MS Gothic"/>
                <w:color w:val="auto"/>
                <w:sz w:val="21"/>
              </w:rPr>
            </w:pPr>
            <w:r>
              <w:rPr>
                <w:rFonts w:hint="default" w:ascii="Times New Roman" w:hAnsi="Times New Roman" w:eastAsia="Times New Roman"/>
                <w:color w:val="auto"/>
                <w:sz w:val="21"/>
              </w:rPr>
              <w:t>M1</w:t>
            </w:r>
            <w:r>
              <w:rPr>
                <w:rFonts w:hint="default" w:ascii="Times New Roman" w:hAnsi="Times New Roman" w:eastAsia="Times New Roman"/>
                <w:color w:val="auto"/>
                <w:sz w:val="21"/>
              </w:rPr>
              <w:sym w:font="Wingdings 2" w:char="0052"/>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0"/>
              <w:ind w:left="474"/>
              <w:jc w:val="left"/>
              <w:rPr>
                <w:rFonts w:hint="default" w:ascii="Times New Roman" w:hAnsi="Times New Roman" w:eastAsia="Times New Roman"/>
                <w:color w:val="auto"/>
                <w:sz w:val="21"/>
              </w:rPr>
            </w:pPr>
            <w:r>
              <w:rPr>
                <w:rFonts w:hint="default" w:ascii="Times New Roman" w:hAnsi="Times New Roman" w:eastAsia="Times New Roman"/>
                <w:color w:val="auto"/>
                <w:sz w:val="21"/>
              </w:rPr>
              <w:t>M2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0"/>
              <w:ind w:left="54"/>
              <w:rPr>
                <w:rFonts w:hint="default" w:ascii="Times New Roman" w:hAnsi="Times New Roman" w:eastAsia="Times New Roman"/>
                <w:color w:val="auto"/>
                <w:sz w:val="21"/>
              </w:rPr>
            </w:pPr>
            <w:r>
              <w:rPr>
                <w:rFonts w:hint="default" w:ascii="Times New Roman" w:hAnsi="Times New Roman" w:eastAsia="Times New Roman"/>
                <w:color w:val="auto"/>
                <w:sz w:val="21"/>
              </w:rPr>
              <w:t>M3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0"/>
              <w:ind w:left="533"/>
              <w:jc w:val="left"/>
              <w:rPr>
                <w:rFonts w:hint="default" w:ascii="Times New Roman" w:hAnsi="Times New Roman" w:eastAsia="Times New Roman"/>
                <w:color w:val="auto"/>
                <w:sz w:val="21"/>
              </w:rPr>
            </w:pPr>
            <w:r>
              <w:rPr>
                <w:rFonts w:hint="default" w:ascii="Times New Roman" w:hAnsi="Times New Roman" w:eastAsia="Times New Roman"/>
                <w:color w:val="auto"/>
                <w:sz w:val="21"/>
              </w:rPr>
              <w:t xml:space="preserve">M4 </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540" w:type="dxa"/>
            <w:gridSpan w:val="2"/>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363"/>
              <w:jc w:val="left"/>
              <w:rPr>
                <w:rFonts w:hint="eastAsia"/>
                <w:color w:val="auto"/>
                <w:sz w:val="21"/>
              </w:rPr>
            </w:pPr>
            <w:r>
              <w:rPr>
                <w:rFonts w:hint="default" w:ascii="Times New Roman" w:hAnsi="Times New Roman" w:eastAsia="Times New Roman"/>
                <w:color w:val="auto"/>
                <w:sz w:val="21"/>
              </w:rPr>
              <w:t xml:space="preserve">P </w:t>
            </w:r>
            <w:r>
              <w:rPr>
                <w:rFonts w:hint="eastAsia"/>
                <w:color w:val="auto"/>
                <w:sz w:val="21"/>
              </w:rPr>
              <w:t>值</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78" w:right="43"/>
              <w:rPr>
                <w:rFonts w:hint="eastAsia" w:ascii="MS Gothic" w:hAnsi="MS Gothic" w:eastAsia="MS Gothic"/>
                <w:color w:val="auto"/>
                <w:sz w:val="21"/>
              </w:rPr>
            </w:pPr>
            <w:r>
              <w:rPr>
                <w:rFonts w:hint="default" w:ascii="Times New Roman" w:hAnsi="Times New Roman" w:eastAsia="Times New Roman"/>
                <w:color w:val="auto"/>
                <w:sz w:val="21"/>
              </w:rPr>
              <w:t>P1 □</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ind w:right="315"/>
              <w:jc w:val="center"/>
              <w:rPr>
                <w:rFonts w:hint="default" w:ascii="Times New Roman" w:hAnsi="Times New Roman" w:eastAsia="Times New Roman"/>
                <w:color w:val="auto"/>
                <w:sz w:val="21"/>
              </w:rPr>
            </w:pPr>
            <w:r>
              <w:rPr>
                <w:rFonts w:hint="default" w:ascii="Times New Roman" w:hAnsi="Times New Roman" w:eastAsia="Times New Roman"/>
                <w:color w:val="auto"/>
                <w:sz w:val="21"/>
              </w:rPr>
              <w:t>P2 □</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7"/>
              <w:ind w:left="56"/>
              <w:rPr>
                <w:rFonts w:hint="default" w:ascii="Times New Roman" w:hAnsi="Times New Roman" w:eastAsia="Times New Roman"/>
                <w:color w:val="auto"/>
                <w:sz w:val="21"/>
              </w:rPr>
            </w:pPr>
            <w:r>
              <w:rPr>
                <w:rFonts w:hint="default" w:ascii="Times New Roman" w:hAnsi="Times New Roman" w:eastAsia="Times New Roman"/>
                <w:color w:val="auto"/>
                <w:sz w:val="21"/>
              </w:rPr>
              <w:t>P3 □</w:t>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7"/>
              <w:ind w:left="62"/>
              <w:rPr>
                <w:rFonts w:hint="default" w:ascii="Times New Roman" w:hAnsi="Times New Roman" w:eastAsia="Times New Roman"/>
                <w:color w:val="auto"/>
                <w:sz w:val="21"/>
              </w:rPr>
            </w:pPr>
            <w:r>
              <w:rPr>
                <w:rFonts w:hint="default" w:ascii="Times New Roman" w:hAnsi="Times New Roman" w:eastAsia="Times New Roman"/>
                <w:color w:val="auto"/>
                <w:sz w:val="21"/>
              </w:rPr>
              <w:t xml:space="preserve">P4 </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2"/>
              <w:jc w:val="left"/>
              <w:rPr>
                <w:rFonts w:hint="eastAsia" w:ascii="楷体" w:hAnsi="楷体" w:eastAsia="楷体"/>
                <w:b/>
                <w:color w:val="auto"/>
                <w:sz w:val="22"/>
              </w:rPr>
            </w:pPr>
          </w:p>
          <w:p>
            <w:pPr>
              <w:pStyle w:val="247"/>
              <w:kinsoku w:val="0"/>
              <w:overflowPunct w:val="0"/>
              <w:jc w:val="left"/>
              <w:rPr>
                <w:rFonts w:hint="eastAsia"/>
                <w:color w:val="auto"/>
                <w:sz w:val="21"/>
              </w:rPr>
            </w:pPr>
            <w:r>
              <w:rPr>
                <w:rFonts w:hint="eastAsia"/>
                <w:color w:val="auto"/>
                <w:sz w:val="21"/>
              </w:rPr>
              <w:t>环境敏感程度</w:t>
            </w: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370"/>
              <w:jc w:val="left"/>
              <w:rPr>
                <w:rFonts w:hint="eastAsia"/>
                <w:color w:val="auto"/>
                <w:sz w:val="21"/>
              </w:rPr>
            </w:pPr>
            <w:r>
              <w:rPr>
                <w:rFonts w:hint="eastAsia"/>
                <w:color w:val="auto"/>
                <w:sz w:val="21"/>
              </w:rPr>
              <w:t>大气</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994"/>
              </w:tabs>
              <w:kinsoku w:val="0"/>
              <w:overflowPunct w:val="0"/>
              <w:spacing w:before="10"/>
              <w:ind w:left="548"/>
              <w:jc w:val="left"/>
              <w:rPr>
                <w:rFonts w:hint="default" w:ascii="Times New Roman" w:hAnsi="Times New Roman" w:eastAsia="Times New Roman"/>
                <w:color w:val="auto"/>
                <w:sz w:val="21"/>
              </w:rPr>
            </w:pPr>
            <w:r>
              <w:rPr>
                <w:rFonts w:hint="default" w:ascii="Times New Roman" w:hAnsi="Times New Roman" w:eastAsia="Times New Roman"/>
                <w:color w:val="auto"/>
                <w:sz w:val="21"/>
              </w:rPr>
              <w:t>E1</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1177"/>
              </w:tabs>
              <w:kinsoku w:val="0"/>
              <w:overflowPunct w:val="0"/>
              <w:spacing w:before="1" w:line="252" w:lineRule="exact"/>
              <w:ind w:left="733"/>
              <w:jc w:val="left"/>
              <w:rPr>
                <w:rFonts w:hint="eastAsia" w:ascii="MS Gothic" w:hAnsi="MS Gothic" w:eastAsia="MS Gothic"/>
                <w:color w:val="auto"/>
                <w:sz w:val="21"/>
              </w:rPr>
            </w:pPr>
            <w:r>
              <w:rPr>
                <w:rFonts w:hint="default" w:ascii="Times New Roman" w:hAnsi="Times New Roman" w:eastAsia="Times New Roman"/>
                <w:color w:val="auto"/>
                <w:sz w:val="21"/>
              </w:rPr>
              <w:t>E2</w:t>
            </w:r>
            <w:r>
              <w:rPr>
                <w:rFonts w:hint="default" w:ascii="Times New Roman" w:hAnsi="Times New Roman" w:eastAsia="Times New Roman"/>
                <w:color w:val="auto"/>
                <w:sz w:val="21"/>
              </w:rPr>
              <w:tab/>
            </w:r>
            <w:r>
              <w:rPr>
                <w:rFonts w:hint="default" w:ascii="Times New Roman" w:hAnsi="Times New Roman" w:eastAsia="Times New Roman"/>
                <w:color w:val="auto"/>
                <w:sz w:val="21"/>
              </w:rPr>
              <w:sym w:font="Wingdings 2" w:char="0052"/>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tabs>
                <w:tab w:val="left" w:pos="503"/>
              </w:tabs>
              <w:kinsoku w:val="0"/>
              <w:overflowPunct w:val="0"/>
              <w:spacing w:before="10"/>
              <w:ind w:left="56"/>
              <w:rPr>
                <w:rFonts w:hint="default" w:ascii="Times New Roman" w:hAnsi="Times New Roman" w:eastAsia="Times New Roman"/>
                <w:color w:val="auto"/>
                <w:sz w:val="21"/>
              </w:rPr>
            </w:pPr>
            <w:r>
              <w:rPr>
                <w:rFonts w:hint="default" w:ascii="Times New Roman" w:hAnsi="Times New Roman" w:eastAsia="Times New Roman"/>
                <w:color w:val="auto"/>
                <w:sz w:val="21"/>
              </w:rPr>
              <w:t>E3</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264"/>
              <w:jc w:val="left"/>
              <w:rPr>
                <w:rFonts w:hint="eastAsia"/>
                <w:color w:val="auto"/>
                <w:sz w:val="21"/>
              </w:rPr>
            </w:pPr>
            <w:r>
              <w:rPr>
                <w:rFonts w:hint="eastAsia"/>
                <w:color w:val="auto"/>
                <w:sz w:val="21"/>
              </w:rPr>
              <w:t>地表水</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994"/>
              </w:tabs>
              <w:kinsoku w:val="0"/>
              <w:overflowPunct w:val="0"/>
              <w:spacing w:before="10"/>
              <w:ind w:left="548"/>
              <w:jc w:val="left"/>
              <w:rPr>
                <w:rFonts w:hint="default" w:ascii="Times New Roman" w:hAnsi="Times New Roman" w:eastAsia="Times New Roman"/>
                <w:color w:val="auto"/>
                <w:sz w:val="21"/>
              </w:rPr>
            </w:pPr>
            <w:r>
              <w:rPr>
                <w:rFonts w:hint="default" w:ascii="Times New Roman" w:hAnsi="Times New Roman" w:eastAsia="Times New Roman"/>
                <w:color w:val="auto"/>
                <w:sz w:val="21"/>
              </w:rPr>
              <w:t>E1</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498"/>
              </w:tabs>
              <w:kinsoku w:val="0"/>
              <w:overflowPunct w:val="0"/>
              <w:spacing w:before="10"/>
              <w:ind w:left="51"/>
              <w:rPr>
                <w:rFonts w:hint="default" w:ascii="Times New Roman" w:hAnsi="Times New Roman" w:eastAsia="Times New Roman"/>
                <w:color w:val="auto"/>
                <w:sz w:val="21"/>
              </w:rPr>
            </w:pPr>
            <w:r>
              <w:rPr>
                <w:rFonts w:hint="default" w:ascii="Times New Roman" w:hAnsi="Times New Roman" w:eastAsia="Times New Roman"/>
                <w:color w:val="auto"/>
                <w:sz w:val="21"/>
              </w:rPr>
              <w:t>E2</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tabs>
                <w:tab w:val="left" w:pos="500"/>
              </w:tabs>
              <w:kinsoku w:val="0"/>
              <w:overflowPunct w:val="0"/>
              <w:spacing w:before="1" w:line="252" w:lineRule="exact"/>
              <w:ind w:left="56"/>
              <w:rPr>
                <w:rFonts w:hint="eastAsia" w:ascii="MS Gothic" w:hAnsi="MS Gothic" w:eastAsia="MS Gothic"/>
                <w:color w:val="auto"/>
                <w:sz w:val="21"/>
              </w:rPr>
            </w:pPr>
            <w:r>
              <w:rPr>
                <w:rFonts w:hint="default" w:ascii="Times New Roman" w:hAnsi="Times New Roman" w:eastAsia="Times New Roman"/>
                <w:color w:val="auto"/>
                <w:sz w:val="21"/>
              </w:rPr>
              <w:t>E3</w:t>
            </w:r>
            <w:r>
              <w:rPr>
                <w:rFonts w:hint="default" w:ascii="Times New Roman" w:hAnsi="Times New Roman" w:eastAsia="Times New Roman"/>
                <w:color w:val="auto"/>
                <w:sz w:val="21"/>
              </w:rPr>
              <w:tab/>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1540" w:type="dxa"/>
            <w:gridSpan w:val="2"/>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143"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264"/>
              <w:jc w:val="left"/>
              <w:rPr>
                <w:rFonts w:hint="eastAsia"/>
                <w:color w:val="auto"/>
                <w:sz w:val="21"/>
              </w:rPr>
            </w:pPr>
            <w:r>
              <w:rPr>
                <w:rFonts w:hint="eastAsia"/>
                <w:color w:val="auto"/>
                <w:sz w:val="21"/>
              </w:rPr>
              <w:t>地下水</w:t>
            </w:r>
          </w:p>
        </w:tc>
        <w:tc>
          <w:tcPr>
            <w:tcW w:w="1770" w:type="dxa"/>
            <w:gridSpan w:val="4"/>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994"/>
              </w:tabs>
              <w:kinsoku w:val="0"/>
              <w:overflowPunct w:val="0"/>
              <w:spacing w:before="7"/>
              <w:ind w:left="548"/>
              <w:jc w:val="left"/>
              <w:rPr>
                <w:rFonts w:hint="default" w:ascii="Times New Roman" w:hAnsi="Times New Roman" w:eastAsia="Times New Roman"/>
                <w:color w:val="auto"/>
                <w:sz w:val="21"/>
              </w:rPr>
            </w:pPr>
            <w:r>
              <w:rPr>
                <w:rFonts w:hint="default" w:ascii="Times New Roman" w:hAnsi="Times New Roman" w:eastAsia="Times New Roman"/>
                <w:color w:val="auto"/>
                <w:sz w:val="21"/>
              </w:rPr>
              <w:t>E1</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498"/>
              </w:tabs>
              <w:kinsoku w:val="0"/>
              <w:overflowPunct w:val="0"/>
              <w:spacing w:before="7"/>
              <w:ind w:left="51"/>
              <w:rPr>
                <w:rFonts w:hint="default" w:ascii="Times New Roman" w:hAnsi="Times New Roman" w:eastAsia="Times New Roman"/>
                <w:color w:val="auto"/>
                <w:sz w:val="21"/>
              </w:rPr>
            </w:pPr>
            <w:r>
              <w:rPr>
                <w:rFonts w:hint="default" w:ascii="Times New Roman" w:hAnsi="Times New Roman" w:eastAsia="Times New Roman"/>
                <w:color w:val="auto"/>
                <w:sz w:val="21"/>
              </w:rPr>
              <w:t>E2</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tabs>
                <w:tab w:val="left" w:pos="500"/>
              </w:tabs>
              <w:kinsoku w:val="0"/>
              <w:overflowPunct w:val="0"/>
              <w:spacing w:before="1" w:line="250" w:lineRule="exact"/>
              <w:ind w:left="56"/>
              <w:rPr>
                <w:rFonts w:hint="eastAsia" w:ascii="MS Gothic" w:hAnsi="MS Gothic" w:eastAsia="MS Gothic"/>
                <w:color w:val="auto"/>
                <w:sz w:val="21"/>
              </w:rPr>
            </w:pPr>
            <w:r>
              <w:rPr>
                <w:rFonts w:hint="default" w:ascii="Times New Roman" w:hAnsi="Times New Roman" w:eastAsia="Times New Roman"/>
                <w:color w:val="auto"/>
                <w:sz w:val="21"/>
              </w:rPr>
              <w:t>E3</w:t>
            </w:r>
            <w:r>
              <w:rPr>
                <w:rFonts w:hint="default" w:ascii="Times New Roman" w:hAnsi="Times New Roman" w:eastAsia="Times New Roman"/>
                <w:color w:val="auto"/>
                <w:sz w:val="21"/>
              </w:rPr>
              <w:tab/>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 w:line="253" w:lineRule="exact"/>
              <w:jc w:val="left"/>
              <w:rPr>
                <w:rFonts w:hint="eastAsia"/>
                <w:color w:val="auto"/>
                <w:sz w:val="21"/>
              </w:rPr>
            </w:pPr>
            <w:r>
              <w:rPr>
                <w:rFonts w:hint="eastAsia"/>
                <w:color w:val="auto"/>
                <w:sz w:val="21"/>
              </w:rPr>
              <w:t>环境风险潜势</w:t>
            </w:r>
          </w:p>
        </w:tc>
        <w:tc>
          <w:tcPr>
            <w:tcW w:w="1506" w:type="dxa"/>
            <w:gridSpan w:val="3"/>
            <w:tcBorders>
              <w:top w:val="single" w:color="000000" w:sz="4" w:space="0"/>
              <w:left w:val="single" w:color="000000" w:sz="4" w:space="0"/>
              <w:bottom w:val="single" w:color="000000" w:sz="4" w:space="0"/>
              <w:right w:val="single" w:color="000000" w:sz="4" w:space="0"/>
              <w:tl2br w:val="nil"/>
              <w:tr2bl w:val="nil"/>
            </w:tcBorders>
            <w:vAlign w:val="center"/>
          </w:tcPr>
          <w:p>
            <w:pPr>
              <w:pStyle w:val="247"/>
              <w:kinsoku w:val="0"/>
              <w:overflowPunct w:val="0"/>
              <w:spacing w:before="19" w:line="129" w:lineRule="auto"/>
              <w:ind w:right="503"/>
              <w:jc w:val="center"/>
              <w:rPr>
                <w:rFonts w:hint="default" w:ascii="Times New Roman" w:hAnsi="Times New Roman" w:eastAsia="Times New Roman"/>
                <w:color w:val="auto"/>
                <w:w w:val="120"/>
                <w:sz w:val="14"/>
              </w:rPr>
            </w:pPr>
            <w:r>
              <w:rPr>
                <w:rFonts w:hint="default" w:ascii="Times New Roman" w:hAnsi="Times New Roman" w:eastAsia="Times New Roman"/>
                <w:color w:val="auto"/>
                <w:w w:val="120"/>
                <w:sz w:val="21"/>
              </w:rPr>
              <w:t>Ⅳ</w:t>
            </w:r>
            <w:r>
              <w:rPr>
                <w:rFonts w:hint="default" w:ascii="Times New Roman" w:hAnsi="Times New Roman" w:eastAsia="Times New Roman"/>
                <w:color w:val="auto"/>
                <w:w w:val="120"/>
                <w:sz w:val="21"/>
                <w:vertAlign w:val="superscript"/>
              </w:rPr>
              <w:t>+</w:t>
            </w:r>
            <w:r>
              <w:rPr>
                <w:rFonts w:hint="default" w:ascii="Times New Roman" w:hAnsi="Times New Roman" w:eastAsia="Times New Roman"/>
                <w:color w:val="auto"/>
                <w:w w:val="115"/>
                <w:sz w:val="21"/>
              </w:rPr>
              <w:t>□</w:t>
            </w:r>
          </w:p>
        </w:tc>
        <w:tc>
          <w:tcPr>
            <w:tcW w:w="1407"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805"/>
              </w:tabs>
              <w:kinsoku w:val="0"/>
              <w:overflowPunct w:val="0"/>
              <w:spacing w:before="1" w:line="253" w:lineRule="exact"/>
              <w:ind w:left="373"/>
              <w:jc w:val="left"/>
              <w:rPr>
                <w:rFonts w:hint="eastAsia" w:ascii="MS Gothic" w:hAnsi="MS Gothic" w:eastAsia="MS Gothic"/>
                <w:color w:val="auto"/>
                <w:w w:val="120"/>
                <w:sz w:val="21"/>
              </w:rPr>
            </w:pPr>
            <w:r>
              <w:rPr>
                <w:rFonts w:hint="default" w:ascii="Times New Roman" w:hAnsi="Times New Roman" w:eastAsia="Times New Roman"/>
                <w:color w:val="auto"/>
                <w:w w:val="120"/>
                <w:sz w:val="21"/>
              </w:rPr>
              <w:t>Ⅳ</w:t>
            </w:r>
            <w:r>
              <w:rPr>
                <w:rFonts w:hint="default" w:ascii="Times New Roman" w:hAnsi="Times New Roman" w:eastAsia="Times New Roman"/>
                <w:color w:val="auto"/>
                <w:w w:val="120"/>
                <w:sz w:val="21"/>
              </w:rPr>
              <w:tab/>
            </w:r>
            <w:r>
              <w:rPr>
                <w:rFonts w:hint="default" w:ascii="Times New Roman" w:hAnsi="Times New Roman" w:eastAsia="Times New Roman"/>
                <w:color w:val="auto"/>
                <w:w w:val="115"/>
                <w:sz w:val="21"/>
              </w:rPr>
              <w:t>□</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852"/>
              </w:tabs>
              <w:kinsoku w:val="0"/>
              <w:overflowPunct w:val="0"/>
              <w:spacing w:before="10"/>
              <w:ind w:left="440"/>
              <w:jc w:val="left"/>
              <w:rPr>
                <w:rFonts w:hint="default" w:ascii="Times New Roman" w:hAnsi="Times New Roman" w:eastAsia="Times New Roman"/>
                <w:color w:val="auto"/>
                <w:w w:val="115"/>
                <w:sz w:val="21"/>
              </w:rPr>
            </w:pPr>
            <w:r>
              <w:rPr>
                <w:rFonts w:hint="default" w:ascii="Times New Roman" w:hAnsi="Times New Roman" w:eastAsia="Times New Roman"/>
                <w:color w:val="auto"/>
                <w:w w:val="115"/>
                <w:sz w:val="21"/>
              </w:rPr>
              <w:t>Ⅲ</w:t>
            </w:r>
            <w:r>
              <w:rPr>
                <w:rFonts w:hint="default" w:ascii="Times New Roman" w:hAnsi="Times New Roman" w:eastAsia="Times New Roman"/>
                <w:color w:val="auto"/>
                <w:w w:val="115"/>
                <w:sz w:val="21"/>
              </w:rPr>
              <w:tab/>
            </w:r>
            <w:r>
              <w:rPr>
                <w:rFonts w:hint="default" w:ascii="Times New Roman" w:hAnsi="Times New Roman" w:eastAsia="Times New Roman"/>
                <w:color w:val="auto"/>
                <w:w w:val="115"/>
                <w:sz w:val="21"/>
              </w:rPr>
              <w:t>□</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403"/>
              </w:tabs>
              <w:kinsoku w:val="0"/>
              <w:overflowPunct w:val="0"/>
              <w:spacing w:before="10"/>
              <w:ind w:left="56"/>
              <w:rPr>
                <w:rFonts w:hint="default" w:ascii="Times New Roman" w:hAnsi="Times New Roman" w:eastAsia="Times New Roman"/>
                <w:color w:val="auto"/>
                <w:w w:val="120"/>
                <w:sz w:val="21"/>
              </w:rPr>
            </w:pPr>
            <w:r>
              <w:rPr>
                <w:rFonts w:hint="default" w:ascii="Times New Roman" w:hAnsi="Times New Roman" w:eastAsia="Times New Roman"/>
                <w:color w:val="auto"/>
                <w:w w:val="140"/>
                <w:sz w:val="21"/>
              </w:rPr>
              <w:fldChar w:fldCharType="begin"/>
            </w:r>
            <w:r>
              <w:rPr>
                <w:rFonts w:hint="default" w:ascii="Times New Roman" w:hAnsi="Times New Roman" w:eastAsia="Times New Roman"/>
                <w:color w:val="auto"/>
                <w:w w:val="140"/>
                <w:sz w:val="21"/>
              </w:rPr>
              <w:instrText xml:space="preserve"> = 2 \* ROMAN \* MERGEFORMAT </w:instrText>
            </w:r>
            <w:r>
              <w:rPr>
                <w:rFonts w:hint="default" w:ascii="Times New Roman" w:hAnsi="Times New Roman" w:eastAsia="Times New Roman"/>
                <w:color w:val="auto"/>
                <w:w w:val="140"/>
                <w:sz w:val="21"/>
              </w:rPr>
              <w:fldChar w:fldCharType="separate"/>
            </w:r>
            <w:r>
              <w:rPr>
                <w:color w:val="auto"/>
              </w:rPr>
              <w:t>II</w:t>
            </w:r>
            <w:r>
              <w:rPr>
                <w:rFonts w:hint="default" w:ascii="Times New Roman" w:hAnsi="Times New Roman" w:eastAsia="Times New Roman"/>
                <w:color w:val="auto"/>
                <w:w w:val="140"/>
                <w:sz w:val="21"/>
              </w:rPr>
              <w:fldChar w:fldCharType="end"/>
            </w:r>
            <w:r>
              <w:rPr>
                <w:rFonts w:hint="default" w:ascii="Times New Roman" w:hAnsi="Times New Roman" w:eastAsia="Times New Roman"/>
                <w:color w:val="auto"/>
                <w:w w:val="140"/>
                <w:sz w:val="21"/>
              </w:rPr>
              <w:tab/>
            </w:r>
            <w:r>
              <w:rPr>
                <w:rFonts w:hint="default" w:ascii="Times New Roman" w:hAnsi="Times New Roman" w:eastAsia="Times New Roman"/>
                <w:color w:val="auto"/>
                <w:sz w:val="21"/>
              </w:rPr>
              <w:sym w:font="Wingdings 2" w:char="0052"/>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tabs>
                <w:tab w:val="left" w:pos="332"/>
              </w:tabs>
              <w:kinsoku w:val="0"/>
              <w:overflowPunct w:val="0"/>
              <w:spacing w:before="10"/>
              <w:ind w:left="54"/>
              <w:rPr>
                <w:rFonts w:hint="default" w:ascii="Times New Roman" w:hAnsi="Times New Roman" w:eastAsia="Times New Roman"/>
                <w:color w:val="auto"/>
                <w:sz w:val="21"/>
              </w:rPr>
            </w:pPr>
            <w:r>
              <w:rPr>
                <w:rFonts w:hint="default" w:ascii="Times New Roman" w:hAnsi="Times New Roman" w:eastAsia="Times New Roman"/>
                <w:color w:val="auto"/>
                <w:sz w:val="21"/>
              </w:rPr>
              <w:t>I</w:t>
            </w:r>
            <w:r>
              <w:rPr>
                <w:rFonts w:hint="default" w:ascii="Times New Roman" w:hAnsi="Times New Roman" w:eastAsia="Times New Roman"/>
                <w:color w:val="auto"/>
                <w:sz w:val="21"/>
              </w:rPr>
              <w:tab/>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 w:line="252" w:lineRule="exact"/>
              <w:ind w:left="328"/>
              <w:jc w:val="left"/>
              <w:rPr>
                <w:rFonts w:hint="eastAsia"/>
                <w:color w:val="auto"/>
                <w:sz w:val="21"/>
              </w:rPr>
            </w:pPr>
            <w:r>
              <w:rPr>
                <w:rFonts w:hint="eastAsia"/>
                <w:color w:val="auto"/>
                <w:sz w:val="21"/>
              </w:rPr>
              <w:t>评价等级</w:t>
            </w:r>
          </w:p>
        </w:tc>
        <w:tc>
          <w:tcPr>
            <w:tcW w:w="2913" w:type="dxa"/>
            <w:gridSpan w:val="6"/>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1019" w:right="983"/>
              <w:rPr>
                <w:rFonts w:hint="eastAsia" w:ascii="MS Gothic" w:hAnsi="MS Gothic" w:eastAsia="MS Gothic"/>
                <w:color w:val="auto"/>
                <w:sz w:val="21"/>
              </w:rPr>
            </w:pPr>
            <w:r>
              <w:rPr>
                <w:rFonts w:hint="eastAsia"/>
                <w:color w:val="auto"/>
                <w:sz w:val="21"/>
              </w:rPr>
              <w:t>一 级</w:t>
            </w:r>
            <w:r>
              <w:rPr>
                <w:rFonts w:hint="default" w:ascii="Times New Roman" w:hAnsi="Times New Roman" w:eastAsia="Times New Roman"/>
                <w:color w:val="auto"/>
                <w:sz w:val="21"/>
              </w:rPr>
              <w:t>□</w:t>
            </w:r>
          </w:p>
        </w:tc>
        <w:tc>
          <w:tcPr>
            <w:tcW w:w="1257"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jc w:val="left"/>
              <w:rPr>
                <w:rFonts w:hint="default" w:ascii="Times New Roman" w:hAnsi="Times New Roman" w:eastAsia="Times New Roman"/>
                <w:color w:val="auto"/>
                <w:sz w:val="21"/>
              </w:rPr>
            </w:pPr>
            <w:r>
              <w:rPr>
                <w:rFonts w:hint="eastAsia"/>
                <w:color w:val="auto"/>
                <w:sz w:val="21"/>
              </w:rPr>
              <w:t xml:space="preserve">二 级 </w:t>
            </w:r>
            <w:r>
              <w:rPr>
                <w:rFonts w:hint="default" w:ascii="Times New Roman" w:hAnsi="Times New Roman" w:eastAsia="Times New Roman"/>
                <w:color w:val="auto"/>
                <w:sz w:val="21"/>
              </w:rPr>
              <w:t>□</w:t>
            </w:r>
          </w:p>
        </w:tc>
        <w:tc>
          <w:tcPr>
            <w:tcW w:w="1616" w:type="dxa"/>
            <w:gridSpan w:val="2"/>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451"/>
              <w:jc w:val="left"/>
              <w:rPr>
                <w:rFonts w:hint="default" w:ascii="Times New Roman" w:hAnsi="Times New Roman" w:eastAsia="Times New Roman"/>
                <w:color w:val="auto"/>
                <w:sz w:val="21"/>
              </w:rPr>
            </w:pPr>
            <w:r>
              <w:rPr>
                <w:rFonts w:hint="eastAsia"/>
                <w:color w:val="auto"/>
                <w:sz w:val="21"/>
              </w:rPr>
              <w:t xml:space="preserve">三 级 </w:t>
            </w:r>
            <w:r>
              <w:rPr>
                <w:rFonts w:hint="default" w:ascii="Times New Roman" w:hAnsi="Times New Roman" w:eastAsia="Times New Roman"/>
                <w:color w:val="auto"/>
                <w:sz w:val="21"/>
              </w:rPr>
              <w:sym w:font="Wingdings 2" w:char="0052"/>
            </w:r>
          </w:p>
        </w:tc>
        <w:tc>
          <w:tcPr>
            <w:tcW w:w="1485" w:type="dxa"/>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line="252" w:lineRule="exact"/>
              <w:jc w:val="left"/>
              <w:rPr>
                <w:rFonts w:hint="default" w:ascii="Times New Roman" w:hAnsi="Times New Roman" w:eastAsia="Times New Roman"/>
                <w:color w:val="auto"/>
                <w:sz w:val="21"/>
              </w:rPr>
            </w:pPr>
            <w:r>
              <w:rPr>
                <w:rFonts w:hint="eastAsia"/>
                <w:color w:val="auto"/>
                <w:sz w:val="21"/>
              </w:rPr>
              <w:t xml:space="preserve">简单分析 </w:t>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456" w:type="dxa"/>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0" w:line="242" w:lineRule="auto"/>
              <w:ind w:right="56"/>
              <w:jc w:val="both"/>
              <w:rPr>
                <w:rFonts w:hint="eastAsia"/>
                <w:color w:val="auto"/>
                <w:sz w:val="21"/>
              </w:rPr>
            </w:pPr>
            <w:r>
              <w:rPr>
                <w:rFonts w:hint="eastAsia"/>
                <w:color w:val="auto"/>
                <w:sz w:val="21"/>
              </w:rPr>
              <w:t>风险识</w:t>
            </w:r>
          </w:p>
          <w:p>
            <w:pPr>
              <w:pStyle w:val="247"/>
              <w:kinsoku w:val="0"/>
              <w:overflowPunct w:val="0"/>
              <w:spacing w:before="1" w:line="262" w:lineRule="exact"/>
              <w:jc w:val="both"/>
              <w:rPr>
                <w:rFonts w:hint="eastAsia"/>
                <w:color w:val="auto"/>
                <w:sz w:val="21"/>
              </w:rPr>
            </w:pPr>
            <w:r>
              <w:rPr>
                <w:rFonts w:hint="eastAsia"/>
                <w:color w:val="auto"/>
                <w:sz w:val="21"/>
              </w:rPr>
              <w:t>别</w:t>
            </w:r>
          </w:p>
        </w:tc>
        <w:tc>
          <w:tcPr>
            <w:tcW w:w="108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24" w:right="-15"/>
              <w:jc w:val="both"/>
              <w:rPr>
                <w:rFonts w:hint="eastAsia"/>
                <w:color w:val="auto"/>
                <w:spacing w:val="-1"/>
                <w:sz w:val="21"/>
              </w:rPr>
            </w:pPr>
            <w:r>
              <w:rPr>
                <w:rFonts w:hint="eastAsia"/>
                <w:color w:val="auto"/>
                <w:spacing w:val="-1"/>
                <w:sz w:val="21"/>
              </w:rPr>
              <w:t>物质危险性</w:t>
            </w:r>
          </w:p>
        </w:tc>
        <w:tc>
          <w:tcPr>
            <w:tcW w:w="3408" w:type="dxa"/>
            <w:gridSpan w:val="7"/>
            <w:tcBorders>
              <w:top w:val="single" w:color="000000" w:sz="4" w:space="0"/>
              <w:left w:val="single" w:color="000000" w:sz="4" w:space="0"/>
              <w:bottom w:val="single" w:color="000000" w:sz="4" w:space="0"/>
              <w:right w:val="single" w:color="000000" w:sz="4" w:space="0"/>
              <w:tl2br w:val="nil"/>
              <w:tr2bl w:val="nil"/>
            </w:tcBorders>
            <w:vAlign w:val="top"/>
          </w:tcPr>
          <w:p>
            <w:pPr>
              <w:pStyle w:val="247"/>
              <w:tabs>
                <w:tab w:val="left" w:pos="2137"/>
              </w:tabs>
              <w:kinsoku w:val="0"/>
              <w:overflowPunct w:val="0"/>
              <w:spacing w:before="1" w:line="250" w:lineRule="exact"/>
              <w:ind w:left="1086"/>
              <w:jc w:val="left"/>
              <w:rPr>
                <w:rFonts w:hint="eastAsia" w:ascii="MS Gothic" w:hAnsi="MS Gothic" w:eastAsia="MS Gothic"/>
                <w:color w:val="auto"/>
                <w:sz w:val="21"/>
              </w:rPr>
            </w:pPr>
            <w:r>
              <w:rPr>
                <w:rFonts w:hint="eastAsia"/>
                <w:color w:val="auto"/>
                <w:sz w:val="21"/>
              </w:rPr>
              <w:t>有毒</w:t>
            </w:r>
            <w:r>
              <w:rPr>
                <w:rFonts w:hint="eastAsia"/>
                <w:color w:val="auto"/>
                <w:spacing w:val="-3"/>
                <w:sz w:val="21"/>
              </w:rPr>
              <w:t>有</w:t>
            </w:r>
            <w:r>
              <w:rPr>
                <w:rFonts w:hint="eastAsia"/>
                <w:color w:val="auto"/>
                <w:sz w:val="21"/>
              </w:rPr>
              <w:t>害</w:t>
            </w:r>
            <w:r>
              <w:rPr>
                <w:rFonts w:hint="eastAsia"/>
                <w:color w:val="auto"/>
                <w:sz w:val="21"/>
              </w:rPr>
              <w:tab/>
            </w:r>
            <w:r>
              <w:rPr>
                <w:rFonts w:hint="default" w:ascii="Times New Roman" w:hAnsi="Times New Roman" w:eastAsia="Times New Roman"/>
                <w:color w:val="auto"/>
                <w:sz w:val="21"/>
              </w:rPr>
              <w:sym w:font="Wingdings 2" w:char="0052"/>
            </w:r>
          </w:p>
        </w:tc>
        <w:tc>
          <w:tcPr>
            <w:tcW w:w="3863" w:type="dxa"/>
            <w:gridSpan w:val="4"/>
            <w:tcBorders>
              <w:top w:val="single" w:color="000000" w:sz="4" w:space="0"/>
              <w:left w:val="single" w:color="000000" w:sz="4" w:space="0"/>
              <w:bottom w:val="single" w:color="000000" w:sz="4" w:space="0"/>
              <w:right w:val="nil"/>
              <w:tl2br w:val="nil"/>
              <w:tr2bl w:val="nil"/>
            </w:tcBorders>
            <w:vAlign w:val="top"/>
          </w:tcPr>
          <w:p>
            <w:pPr>
              <w:pStyle w:val="247"/>
              <w:tabs>
                <w:tab w:val="left" w:pos="2376"/>
              </w:tabs>
              <w:kinsoku w:val="0"/>
              <w:overflowPunct w:val="0"/>
              <w:spacing w:before="1" w:line="250" w:lineRule="exact"/>
              <w:ind w:left="1324"/>
              <w:jc w:val="left"/>
              <w:rPr>
                <w:rFonts w:hint="eastAsia" w:ascii="MS Gothic" w:hAnsi="MS Gothic" w:eastAsia="MS Gothic"/>
                <w:color w:val="auto"/>
                <w:sz w:val="21"/>
              </w:rPr>
            </w:pPr>
            <w:r>
              <w:rPr>
                <w:rFonts w:hint="eastAsia"/>
                <w:color w:val="auto"/>
                <w:sz w:val="21"/>
              </w:rPr>
              <w:t>易燃</w:t>
            </w:r>
            <w:r>
              <w:rPr>
                <w:rFonts w:hint="eastAsia"/>
                <w:color w:val="auto"/>
                <w:spacing w:val="-3"/>
                <w:sz w:val="21"/>
              </w:rPr>
              <w:t>易</w:t>
            </w:r>
            <w:r>
              <w:rPr>
                <w:rFonts w:hint="eastAsia"/>
                <w:color w:val="auto"/>
                <w:sz w:val="21"/>
              </w:rPr>
              <w:t>爆</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4"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ind w:left="110" w:right="83"/>
              <w:jc w:val="both"/>
              <w:rPr>
                <w:rFonts w:hint="eastAsia"/>
                <w:color w:val="auto"/>
                <w:sz w:val="21"/>
              </w:rPr>
            </w:pPr>
            <w:r>
              <w:rPr>
                <w:rFonts w:hint="eastAsia"/>
                <w:color w:val="auto"/>
                <w:sz w:val="21"/>
              </w:rPr>
              <w:t>环境风险类型</w:t>
            </w:r>
          </w:p>
        </w:tc>
        <w:tc>
          <w:tcPr>
            <w:tcW w:w="2913" w:type="dxa"/>
            <w:gridSpan w:val="6"/>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37"/>
              <w:ind w:right="983"/>
              <w:jc w:val="center"/>
              <w:rPr>
                <w:rFonts w:hint="eastAsia" w:ascii="MS Gothic" w:hAnsi="MS Gothic" w:eastAsia="MS Gothic"/>
                <w:color w:val="auto"/>
                <w:sz w:val="21"/>
              </w:rPr>
            </w:pPr>
            <w:r>
              <w:rPr>
                <w:rFonts w:hint="eastAsia"/>
                <w:color w:val="auto"/>
                <w:sz w:val="21"/>
              </w:rPr>
              <w:t>泄 漏</w:t>
            </w:r>
            <w:r>
              <w:rPr>
                <w:rFonts w:hint="default" w:ascii="Times New Roman" w:hAnsi="Times New Roman" w:eastAsia="Times New Roman"/>
                <w:color w:val="auto"/>
                <w:sz w:val="21"/>
              </w:rPr>
              <w:sym w:font="Wingdings 2" w:char="0052"/>
            </w:r>
          </w:p>
        </w:tc>
        <w:tc>
          <w:tcPr>
            <w:tcW w:w="4358" w:type="dxa"/>
            <w:gridSpan w:val="5"/>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37"/>
              <w:ind w:left="450"/>
              <w:jc w:val="left"/>
              <w:rPr>
                <w:rFonts w:hint="eastAsia" w:ascii="MS Gothic" w:hAnsi="MS Gothic" w:eastAsia="MS Gothic"/>
                <w:color w:val="auto"/>
                <w:sz w:val="21"/>
              </w:rPr>
            </w:pPr>
            <w:r>
              <w:rPr>
                <w:rFonts w:hint="eastAsia"/>
                <w:color w:val="auto"/>
                <w:sz w:val="21"/>
              </w:rPr>
              <w:t>火灾、爆炸引发伴生</w:t>
            </w:r>
            <w:r>
              <w:rPr>
                <w:rFonts w:hint="default" w:ascii="Times New Roman" w:hAnsi="Times New Roman" w:eastAsia="Times New Roman"/>
                <w:color w:val="auto"/>
                <w:sz w:val="21"/>
              </w:rPr>
              <w:t>/</w:t>
            </w:r>
            <w:r>
              <w:rPr>
                <w:rFonts w:hint="eastAsia"/>
                <w:color w:val="auto"/>
                <w:sz w:val="21"/>
              </w:rPr>
              <w:t>次生污染物排放</w:t>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right="83"/>
              <w:jc w:val="both"/>
              <w:rPr>
                <w:rFonts w:hint="eastAsia"/>
                <w:color w:val="auto"/>
                <w:sz w:val="21"/>
              </w:rPr>
            </w:pPr>
            <w:r>
              <w:rPr>
                <w:rFonts w:hint="eastAsia"/>
                <w:color w:val="auto"/>
                <w:sz w:val="21"/>
              </w:rPr>
              <w:t>影响途径</w:t>
            </w:r>
          </w:p>
        </w:tc>
        <w:tc>
          <w:tcPr>
            <w:tcW w:w="2913" w:type="dxa"/>
            <w:gridSpan w:val="6"/>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right="983"/>
              <w:jc w:val="center"/>
              <w:rPr>
                <w:rFonts w:hint="eastAsia" w:ascii="MS Gothic" w:hAnsi="MS Gothic" w:eastAsia="MS Gothic"/>
                <w:color w:val="auto"/>
                <w:sz w:val="21"/>
              </w:rPr>
            </w:pPr>
            <w:r>
              <w:rPr>
                <w:rFonts w:hint="eastAsia"/>
                <w:color w:val="auto"/>
                <w:sz w:val="21"/>
              </w:rPr>
              <w:t>大 气</w:t>
            </w:r>
            <w:r>
              <w:rPr>
                <w:rFonts w:hint="default" w:ascii="Times New Roman" w:hAnsi="Times New Roman" w:eastAsia="Times New Roman"/>
                <w:color w:val="auto"/>
                <w:sz w:val="21"/>
              </w:rPr>
              <w:sym w:font="Wingdings 2" w:char="0052"/>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639"/>
              <w:jc w:val="left"/>
              <w:rPr>
                <w:rFonts w:hint="eastAsia" w:ascii="MS Gothic" w:hAnsi="MS Gothic" w:eastAsia="MS Gothic"/>
                <w:color w:val="auto"/>
                <w:sz w:val="21"/>
              </w:rPr>
            </w:pPr>
            <w:r>
              <w:rPr>
                <w:rFonts w:hint="eastAsia"/>
                <w:color w:val="auto"/>
                <w:sz w:val="21"/>
              </w:rPr>
              <w:t>地表水</w:t>
            </w:r>
            <w:r>
              <w:rPr>
                <w:rFonts w:hint="default" w:ascii="Times New Roman" w:hAnsi="Times New Roman" w:eastAsia="Times New Roman"/>
                <w:color w:val="auto"/>
                <w:sz w:val="21"/>
              </w:rPr>
              <w:sym w:font="Wingdings 2" w:char="0052"/>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tabs>
                <w:tab w:val="left" w:pos="1543"/>
              </w:tabs>
              <w:kinsoku w:val="0"/>
              <w:overflowPunct w:val="0"/>
              <w:spacing w:before="1" w:line="252" w:lineRule="exact"/>
              <w:ind w:left="701"/>
              <w:jc w:val="left"/>
              <w:rPr>
                <w:rFonts w:hint="eastAsia" w:ascii="MS Gothic" w:hAnsi="MS Gothic" w:eastAsia="MS Gothic"/>
                <w:color w:val="auto"/>
                <w:sz w:val="21"/>
              </w:rPr>
            </w:pPr>
            <w:r>
              <w:rPr>
                <w:rFonts w:hint="eastAsia"/>
                <w:color w:val="auto"/>
                <w:sz w:val="21"/>
              </w:rPr>
              <w:t>地下水</w:t>
            </w:r>
            <w:r>
              <w:rPr>
                <w:rFonts w:hint="eastAsia"/>
                <w:color w:val="auto"/>
                <w:sz w:val="21"/>
              </w:rPr>
              <w:tab/>
            </w:r>
            <w:r>
              <w:rPr>
                <w:rFonts w:hint="default" w:ascii="Times New Roman" w:hAnsi="Times New Roman" w:eastAsia="Times New Roman"/>
                <w:color w:val="auto"/>
                <w:sz w:val="21"/>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1540" w:type="dxa"/>
            <w:gridSpan w:val="2"/>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 w:line="252" w:lineRule="exact"/>
              <w:jc w:val="left"/>
              <w:rPr>
                <w:rFonts w:hint="eastAsia"/>
                <w:color w:val="auto"/>
                <w:sz w:val="21"/>
              </w:rPr>
            </w:pPr>
            <w:r>
              <w:rPr>
                <w:rFonts w:hint="eastAsia"/>
                <w:color w:val="auto"/>
                <w:sz w:val="21"/>
              </w:rPr>
              <w:t>事故情形</w:t>
            </w:r>
            <w:r>
              <w:rPr>
                <w:rFonts w:hint="eastAsia" w:eastAsia="宋体"/>
                <w:color w:val="auto"/>
                <w:sz w:val="21"/>
                <w:lang w:eastAsia="zh-CN"/>
              </w:rPr>
              <w:t>分</w:t>
            </w:r>
            <w:r>
              <w:rPr>
                <w:rFonts w:hint="eastAsia"/>
                <w:color w:val="auto"/>
                <w:sz w:val="21"/>
              </w:rPr>
              <w:t>析</w:t>
            </w:r>
          </w:p>
        </w:tc>
        <w:tc>
          <w:tcPr>
            <w:tcW w:w="1506"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jc w:val="left"/>
              <w:rPr>
                <w:rFonts w:hint="eastAsia"/>
                <w:color w:val="auto"/>
                <w:sz w:val="21"/>
              </w:rPr>
            </w:pPr>
            <w:r>
              <w:rPr>
                <w:rFonts w:hint="eastAsia"/>
                <w:color w:val="auto"/>
                <w:sz w:val="21"/>
              </w:rPr>
              <w:t>源强设定方法</w:t>
            </w:r>
          </w:p>
        </w:tc>
        <w:tc>
          <w:tcPr>
            <w:tcW w:w="1407"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263"/>
              <w:jc w:val="left"/>
              <w:rPr>
                <w:rFonts w:hint="default" w:ascii="Times New Roman" w:hAnsi="Times New Roman" w:eastAsia="Times New Roman"/>
                <w:color w:val="auto"/>
                <w:sz w:val="21"/>
              </w:rPr>
            </w:pPr>
            <w:r>
              <w:rPr>
                <w:rFonts w:hint="eastAsia"/>
                <w:color w:val="auto"/>
                <w:sz w:val="21"/>
              </w:rPr>
              <w:t xml:space="preserve">计算法 </w:t>
            </w:r>
            <w:r>
              <w:rPr>
                <w:rFonts w:hint="default" w:ascii="Times New Roman" w:hAnsi="Times New Roman" w:eastAsia="Times New Roman"/>
                <w:color w:val="auto"/>
                <w:sz w:val="21"/>
              </w:rPr>
              <w:t>□</w:t>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2" w:lineRule="exact"/>
              <w:ind w:left="428"/>
              <w:jc w:val="left"/>
              <w:rPr>
                <w:rFonts w:hint="eastAsia" w:ascii="MS Gothic" w:hAnsi="MS Gothic" w:eastAsia="MS Gothic"/>
                <w:color w:val="auto"/>
                <w:sz w:val="21"/>
              </w:rPr>
            </w:pPr>
            <w:r>
              <w:rPr>
                <w:rFonts w:hint="eastAsia"/>
                <w:color w:val="auto"/>
                <w:sz w:val="21"/>
              </w:rPr>
              <w:t>经验估算法</w:t>
            </w:r>
            <w:r>
              <w:rPr>
                <w:rFonts w:hint="default" w:ascii="Times New Roman" w:hAnsi="Times New Roman" w:eastAsia="Times New Roman"/>
                <w:color w:val="auto"/>
                <w:sz w:val="21"/>
              </w:rPr>
              <w:sym w:font="Wingdings 2" w:char="0052"/>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line="252" w:lineRule="exact"/>
              <w:ind w:left="585"/>
              <w:jc w:val="left"/>
              <w:rPr>
                <w:rFonts w:hint="default" w:ascii="Times New Roman" w:hAnsi="Times New Roman" w:eastAsia="Times New Roman"/>
                <w:color w:val="auto"/>
                <w:sz w:val="21"/>
              </w:rPr>
            </w:pPr>
            <w:r>
              <w:rPr>
                <w:rFonts w:hint="eastAsia"/>
                <w:color w:val="auto"/>
                <w:sz w:val="21"/>
              </w:rPr>
              <w:t xml:space="preserve">其他估算法 </w:t>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456" w:type="dxa"/>
            <w:vMerge w:val="restart"/>
            <w:tcBorders>
              <w:top w:val="single" w:color="000000" w:sz="4" w:space="0"/>
              <w:left w:val="nil"/>
              <w:bottom w:val="single" w:color="000000" w:sz="4" w:space="0"/>
              <w:right w:val="single" w:color="000000" w:sz="4" w:space="0"/>
              <w:tl2br w:val="nil"/>
              <w:tr2bl w:val="nil"/>
            </w:tcBorders>
            <w:vAlign w:val="top"/>
          </w:tcPr>
          <w:p>
            <w:pPr>
              <w:pStyle w:val="247"/>
              <w:kinsoku w:val="0"/>
              <w:overflowPunct w:val="0"/>
              <w:spacing w:before="1" w:line="242" w:lineRule="auto"/>
              <w:ind w:right="56"/>
              <w:jc w:val="both"/>
              <w:rPr>
                <w:rFonts w:hint="eastAsia"/>
                <w:color w:val="auto"/>
                <w:sz w:val="21"/>
              </w:rPr>
            </w:pPr>
            <w:r>
              <w:rPr>
                <w:rFonts w:hint="eastAsia"/>
                <w:color w:val="auto"/>
                <w:sz w:val="21"/>
              </w:rPr>
              <w:t>风险预测与评</w:t>
            </w:r>
          </w:p>
          <w:p>
            <w:pPr>
              <w:pStyle w:val="247"/>
              <w:kinsoku w:val="0"/>
              <w:overflowPunct w:val="0"/>
              <w:spacing w:before="4" w:line="250" w:lineRule="exact"/>
              <w:jc w:val="both"/>
              <w:rPr>
                <w:rFonts w:hint="eastAsia"/>
                <w:color w:val="auto"/>
                <w:sz w:val="21"/>
              </w:rPr>
            </w:pPr>
            <w:r>
              <w:rPr>
                <w:rFonts w:hint="eastAsia"/>
                <w:color w:val="auto"/>
                <w:sz w:val="21"/>
              </w:rPr>
              <w:t>价</w:t>
            </w:r>
          </w:p>
        </w:tc>
        <w:tc>
          <w:tcPr>
            <w:tcW w:w="1084"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2"/>
              <w:jc w:val="left"/>
              <w:rPr>
                <w:rFonts w:hint="eastAsia" w:ascii="楷体" w:hAnsi="楷体" w:eastAsia="楷体"/>
                <w:b/>
                <w:color w:val="auto"/>
                <w:sz w:val="21"/>
              </w:rPr>
            </w:pPr>
          </w:p>
          <w:p>
            <w:pPr>
              <w:pStyle w:val="247"/>
              <w:kinsoku w:val="0"/>
              <w:overflowPunct w:val="0"/>
              <w:ind w:left="340"/>
              <w:jc w:val="left"/>
              <w:rPr>
                <w:rFonts w:hint="eastAsia"/>
                <w:color w:val="auto"/>
                <w:sz w:val="21"/>
              </w:rPr>
            </w:pPr>
            <w:r>
              <w:rPr>
                <w:rFonts w:hint="eastAsia"/>
                <w:color w:val="auto"/>
                <w:sz w:val="21"/>
              </w:rPr>
              <w:t>大气</w:t>
            </w:r>
          </w:p>
        </w:tc>
        <w:tc>
          <w:tcPr>
            <w:tcW w:w="1506"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303"/>
              <w:jc w:val="left"/>
              <w:rPr>
                <w:rFonts w:hint="eastAsia"/>
                <w:color w:val="auto"/>
                <w:sz w:val="21"/>
              </w:rPr>
            </w:pPr>
            <w:r>
              <w:rPr>
                <w:rFonts w:hint="eastAsia"/>
                <w:color w:val="auto"/>
                <w:sz w:val="21"/>
              </w:rPr>
              <w:t>预测模型</w:t>
            </w:r>
          </w:p>
        </w:tc>
        <w:tc>
          <w:tcPr>
            <w:tcW w:w="1407"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294"/>
              <w:jc w:val="left"/>
              <w:rPr>
                <w:rFonts w:hint="eastAsia" w:ascii="MS Gothic" w:hAnsi="MS Gothic" w:eastAsia="MS Gothic"/>
                <w:color w:val="auto"/>
                <w:sz w:val="21"/>
              </w:rPr>
            </w:pPr>
            <w:r>
              <w:rPr>
                <w:rFonts w:hint="default" w:ascii="Times New Roman" w:hAnsi="Times New Roman" w:eastAsia="Times New Roman"/>
                <w:color w:val="auto"/>
                <w:sz w:val="21"/>
              </w:rPr>
              <w:t xml:space="preserve">SLAB </w:t>
            </w:r>
            <w:r>
              <w:rPr>
                <w:rFonts w:hint="eastAsia"/>
                <w:color w:val="auto"/>
                <w:sz w:val="21"/>
              </w:rPr>
              <w:t xml:space="preserve"> </w:t>
            </w:r>
            <w:r>
              <w:rPr>
                <w:rFonts w:hint="default" w:ascii="Times New Roman" w:hAnsi="Times New Roman" w:eastAsia="Times New Roman"/>
                <w:color w:val="auto"/>
                <w:sz w:val="21"/>
              </w:rPr>
              <w:t>□</w:t>
            </w:r>
          </w:p>
        </w:tc>
        <w:tc>
          <w:tcPr>
            <w:tcW w:w="1954"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 w:line="250" w:lineRule="exact"/>
              <w:ind w:left="577"/>
              <w:jc w:val="left"/>
              <w:rPr>
                <w:rFonts w:hint="eastAsia" w:ascii="MS Gothic" w:hAnsi="MS Gothic" w:eastAsia="MS Gothic"/>
                <w:color w:val="auto"/>
                <w:sz w:val="21"/>
              </w:rPr>
            </w:pPr>
            <w:r>
              <w:rPr>
                <w:rFonts w:hint="default" w:ascii="Times New Roman" w:hAnsi="Times New Roman" w:eastAsia="Times New Roman"/>
                <w:color w:val="auto"/>
                <w:sz w:val="21"/>
              </w:rPr>
              <w:t xml:space="preserve">AFTOX </w:t>
            </w:r>
            <w:r>
              <w:rPr>
                <w:rFonts w:hint="default" w:ascii="Times New Roman" w:hAnsi="Times New Roman" w:eastAsia="Times New Roman"/>
                <w:color w:val="auto"/>
                <w:sz w:val="21"/>
              </w:rPr>
              <w:sym w:font="Wingdings 2" w:char="0052"/>
            </w:r>
          </w:p>
        </w:tc>
        <w:tc>
          <w:tcPr>
            <w:tcW w:w="2404" w:type="dxa"/>
            <w:gridSpan w:val="2"/>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line="250" w:lineRule="exact"/>
              <w:ind w:left="849"/>
              <w:jc w:val="left"/>
              <w:rPr>
                <w:rFonts w:hint="default" w:ascii="Times New Roman" w:hAnsi="Times New Roman" w:eastAsia="Times New Roman"/>
                <w:color w:val="auto"/>
                <w:sz w:val="21"/>
              </w:rPr>
            </w:pPr>
            <w:r>
              <w:rPr>
                <w:rFonts w:hint="eastAsia"/>
                <w:color w:val="auto"/>
                <w:sz w:val="21"/>
              </w:rPr>
              <w:t xml:space="preserve">其 他 </w:t>
            </w:r>
            <w:r>
              <w:rPr>
                <w:rFonts w:hint="default" w:ascii="Times New Roman" w:hAnsi="Times New Roman" w:eastAsia="Times New Roman"/>
                <w:color w:val="auto"/>
                <w:sz w:val="21"/>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506" w:type="dxa"/>
            <w:gridSpan w:val="3"/>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142"/>
              <w:ind w:left="303"/>
              <w:jc w:val="left"/>
              <w:rPr>
                <w:rFonts w:hint="eastAsia"/>
                <w:color w:val="auto"/>
                <w:sz w:val="21"/>
              </w:rPr>
            </w:pPr>
            <w:r>
              <w:rPr>
                <w:rFonts w:hint="eastAsia"/>
                <w:color w:val="auto"/>
                <w:sz w:val="21"/>
              </w:rPr>
              <w:t>预测结果</w:t>
            </w:r>
          </w:p>
        </w:tc>
        <w:tc>
          <w:tcPr>
            <w:tcW w:w="5765" w:type="dxa"/>
            <w:gridSpan w:val="8"/>
            <w:tcBorders>
              <w:top w:val="single" w:color="000000" w:sz="4" w:space="0"/>
              <w:left w:val="single" w:color="000000" w:sz="4" w:space="0"/>
              <w:bottom w:val="single" w:color="000000" w:sz="4" w:space="0"/>
              <w:right w:val="nil"/>
              <w:tl2br w:val="nil"/>
              <w:tr2bl w:val="nil"/>
            </w:tcBorders>
            <w:vAlign w:val="top"/>
          </w:tcPr>
          <w:p>
            <w:pPr>
              <w:pStyle w:val="247"/>
              <w:tabs>
                <w:tab w:val="left" w:pos="3002"/>
              </w:tabs>
              <w:kinsoku w:val="0"/>
              <w:overflowPunct w:val="0"/>
              <w:spacing w:before="1" w:line="252" w:lineRule="exact"/>
              <w:ind w:left="935"/>
              <w:jc w:val="left"/>
              <w:rPr>
                <w:rFonts w:hint="default" w:ascii="Times New Roman" w:hAnsi="Times New Roman" w:eastAsia="Times New Roman"/>
                <w:color w:val="auto"/>
                <w:sz w:val="21"/>
              </w:rPr>
            </w:pPr>
            <w:r>
              <w:rPr>
                <w:rFonts w:hint="eastAsia"/>
                <w:color w:val="auto"/>
                <w:sz w:val="21"/>
              </w:rPr>
              <w:t>大气</w:t>
            </w:r>
            <w:r>
              <w:rPr>
                <w:rFonts w:hint="eastAsia"/>
                <w:color w:val="auto"/>
                <w:spacing w:val="-3"/>
                <w:sz w:val="21"/>
              </w:rPr>
              <w:t>毒</w:t>
            </w:r>
            <w:r>
              <w:rPr>
                <w:rFonts w:hint="eastAsia"/>
                <w:color w:val="auto"/>
                <w:sz w:val="21"/>
              </w:rPr>
              <w:t>性</w:t>
            </w:r>
            <w:r>
              <w:rPr>
                <w:rFonts w:hint="eastAsia"/>
                <w:color w:val="auto"/>
                <w:spacing w:val="-3"/>
                <w:sz w:val="21"/>
              </w:rPr>
              <w:t>终</w:t>
            </w:r>
            <w:r>
              <w:rPr>
                <w:rFonts w:hint="eastAsia"/>
                <w:color w:val="auto"/>
                <w:sz w:val="21"/>
              </w:rPr>
              <w:t>点</w:t>
            </w:r>
            <w:r>
              <w:rPr>
                <w:rFonts w:hint="eastAsia"/>
                <w:color w:val="auto"/>
                <w:spacing w:val="-3"/>
                <w:sz w:val="21"/>
              </w:rPr>
              <w:t>浓</w:t>
            </w:r>
            <w:r>
              <w:rPr>
                <w:rFonts w:hint="eastAsia"/>
                <w:color w:val="auto"/>
                <w:sz w:val="21"/>
              </w:rPr>
              <w:t>度</w:t>
            </w:r>
            <w:r>
              <w:rPr>
                <w:rFonts w:hint="default" w:ascii="Times New Roman" w:hAnsi="Times New Roman" w:eastAsia="Times New Roman"/>
                <w:color w:val="auto"/>
                <w:sz w:val="21"/>
              </w:rPr>
              <w:t>-1</w:t>
            </w:r>
            <w:r>
              <w:rPr>
                <w:rFonts w:hint="default" w:ascii="Times New Roman" w:hAnsi="Times New Roman" w:eastAsia="Times New Roman"/>
                <w:color w:val="auto"/>
                <w:sz w:val="21"/>
              </w:rPr>
              <w:tab/>
            </w:r>
            <w:r>
              <w:rPr>
                <w:rFonts w:hint="eastAsia"/>
                <w:color w:val="auto"/>
                <w:spacing w:val="-3"/>
                <w:sz w:val="21"/>
              </w:rPr>
              <w:t>最</w:t>
            </w:r>
            <w:r>
              <w:rPr>
                <w:rFonts w:hint="eastAsia"/>
                <w:color w:val="auto"/>
                <w:sz w:val="21"/>
              </w:rPr>
              <w:t>大影</w:t>
            </w:r>
            <w:r>
              <w:rPr>
                <w:rFonts w:hint="eastAsia"/>
                <w:color w:val="auto"/>
                <w:spacing w:val="-3"/>
                <w:sz w:val="21"/>
              </w:rPr>
              <w:t>响</w:t>
            </w:r>
            <w:r>
              <w:rPr>
                <w:rFonts w:hint="eastAsia"/>
                <w:color w:val="auto"/>
                <w:sz w:val="21"/>
              </w:rPr>
              <w:t>范围</w:t>
            </w:r>
            <w:r>
              <w:rPr>
                <w:rFonts w:hint="eastAsia"/>
                <w:color w:val="auto"/>
                <w:sz w:val="21"/>
                <w:u w:val="single" w:color="000000"/>
              </w:rPr>
              <w:t xml:space="preserve"> </w:t>
            </w:r>
            <w:r>
              <w:rPr>
                <w:rFonts w:hint="default" w:ascii="Times New Roman" w:hAnsi="Times New Roman" w:eastAsia="Times New Roman"/>
                <w:color w:val="auto"/>
                <w:sz w:val="21"/>
                <w:u w:val="single" w:color="000000"/>
              </w:rPr>
              <w:t>4960</w:t>
            </w:r>
            <w:r>
              <w:rPr>
                <w:rFonts w:hint="default" w:ascii="Times New Roman" w:hAnsi="Times New Roman" w:eastAsia="Times New Roman"/>
                <w:color w:val="auto"/>
                <w:sz w:val="21"/>
              </w:rPr>
              <w:t>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506" w:type="dxa"/>
            <w:gridSpan w:val="3"/>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5765" w:type="dxa"/>
            <w:gridSpan w:val="8"/>
            <w:tcBorders>
              <w:top w:val="single" w:color="000000" w:sz="4" w:space="0"/>
              <w:left w:val="single" w:color="000000" w:sz="4" w:space="0"/>
              <w:bottom w:val="single" w:color="000000" w:sz="4" w:space="0"/>
              <w:right w:val="nil"/>
              <w:tl2br w:val="nil"/>
              <w:tr2bl w:val="nil"/>
            </w:tcBorders>
            <w:vAlign w:val="top"/>
          </w:tcPr>
          <w:p>
            <w:pPr>
              <w:pStyle w:val="247"/>
              <w:tabs>
                <w:tab w:val="left" w:pos="3002"/>
              </w:tabs>
              <w:kinsoku w:val="0"/>
              <w:overflowPunct w:val="0"/>
              <w:spacing w:before="1" w:line="250" w:lineRule="exact"/>
              <w:ind w:left="935"/>
              <w:jc w:val="left"/>
              <w:rPr>
                <w:rFonts w:hint="default" w:ascii="Times New Roman" w:hAnsi="Times New Roman" w:eastAsia="Times New Roman"/>
                <w:color w:val="auto"/>
                <w:sz w:val="21"/>
              </w:rPr>
            </w:pPr>
            <w:r>
              <w:rPr>
                <w:rFonts w:hint="eastAsia"/>
                <w:color w:val="auto"/>
                <w:sz w:val="21"/>
              </w:rPr>
              <w:t>大气</w:t>
            </w:r>
            <w:r>
              <w:rPr>
                <w:rFonts w:hint="eastAsia"/>
                <w:color w:val="auto"/>
                <w:spacing w:val="-3"/>
                <w:sz w:val="21"/>
              </w:rPr>
              <w:t>毒</w:t>
            </w:r>
            <w:r>
              <w:rPr>
                <w:rFonts w:hint="eastAsia"/>
                <w:color w:val="auto"/>
                <w:sz w:val="21"/>
              </w:rPr>
              <w:t>性</w:t>
            </w:r>
            <w:r>
              <w:rPr>
                <w:rFonts w:hint="eastAsia"/>
                <w:color w:val="auto"/>
                <w:spacing w:val="-3"/>
                <w:sz w:val="21"/>
              </w:rPr>
              <w:t>终</w:t>
            </w:r>
            <w:r>
              <w:rPr>
                <w:rFonts w:hint="eastAsia"/>
                <w:color w:val="auto"/>
                <w:sz w:val="21"/>
              </w:rPr>
              <w:t>点</w:t>
            </w:r>
            <w:r>
              <w:rPr>
                <w:rFonts w:hint="eastAsia"/>
                <w:color w:val="auto"/>
                <w:spacing w:val="-3"/>
                <w:sz w:val="21"/>
              </w:rPr>
              <w:t>浓</w:t>
            </w:r>
            <w:r>
              <w:rPr>
                <w:rFonts w:hint="eastAsia"/>
                <w:color w:val="auto"/>
                <w:sz w:val="21"/>
              </w:rPr>
              <w:t>度</w:t>
            </w:r>
            <w:r>
              <w:rPr>
                <w:rFonts w:hint="default" w:ascii="Times New Roman" w:hAnsi="Times New Roman" w:eastAsia="Times New Roman"/>
                <w:color w:val="auto"/>
                <w:sz w:val="21"/>
              </w:rPr>
              <w:t>-2</w:t>
            </w:r>
            <w:r>
              <w:rPr>
                <w:rFonts w:hint="default" w:ascii="Times New Roman" w:hAnsi="Times New Roman" w:eastAsia="Times New Roman"/>
                <w:color w:val="auto"/>
                <w:sz w:val="21"/>
              </w:rPr>
              <w:tab/>
            </w:r>
            <w:r>
              <w:rPr>
                <w:rFonts w:hint="eastAsia"/>
                <w:color w:val="auto"/>
                <w:spacing w:val="-3"/>
                <w:sz w:val="21"/>
              </w:rPr>
              <w:t>最</w:t>
            </w:r>
            <w:r>
              <w:rPr>
                <w:rFonts w:hint="eastAsia"/>
                <w:color w:val="auto"/>
                <w:sz w:val="21"/>
              </w:rPr>
              <w:t>大影</w:t>
            </w:r>
            <w:r>
              <w:rPr>
                <w:rFonts w:hint="eastAsia"/>
                <w:color w:val="auto"/>
                <w:spacing w:val="-3"/>
                <w:sz w:val="21"/>
              </w:rPr>
              <w:t>响</w:t>
            </w:r>
            <w:r>
              <w:rPr>
                <w:rFonts w:hint="eastAsia"/>
                <w:color w:val="auto"/>
                <w:sz w:val="21"/>
              </w:rPr>
              <w:t>范围</w:t>
            </w:r>
            <w:r>
              <w:rPr>
                <w:rFonts w:hint="eastAsia"/>
                <w:color w:val="auto"/>
                <w:sz w:val="21"/>
                <w:u w:val="single" w:color="000000"/>
              </w:rPr>
              <w:t xml:space="preserve"> </w:t>
            </w:r>
            <w:r>
              <w:rPr>
                <w:rFonts w:hint="default" w:ascii="Times New Roman" w:hAnsi="Times New Roman" w:eastAsia="Times New Roman"/>
                <w:color w:val="auto"/>
                <w:sz w:val="21"/>
                <w:u w:val="single" w:color="000000"/>
              </w:rPr>
              <w:t>4060</w:t>
            </w:r>
            <w:r>
              <w:rPr>
                <w:rFonts w:hint="default" w:ascii="Times New Roman" w:hAnsi="Times New Roman" w:eastAsia="Times New Roman"/>
                <w:color w:val="auto"/>
                <w:sz w:val="21"/>
              </w:rPr>
              <w:t>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3" w:line="250" w:lineRule="exact"/>
              <w:ind w:left="110" w:right="80"/>
              <w:rPr>
                <w:rFonts w:hint="eastAsia"/>
                <w:color w:val="auto"/>
                <w:sz w:val="21"/>
              </w:rPr>
            </w:pPr>
            <w:r>
              <w:rPr>
                <w:rFonts w:hint="eastAsia"/>
                <w:color w:val="auto"/>
                <w:sz w:val="21"/>
              </w:rPr>
              <w:t>地表水</w:t>
            </w:r>
          </w:p>
        </w:tc>
        <w:tc>
          <w:tcPr>
            <w:tcW w:w="7271" w:type="dxa"/>
            <w:gridSpan w:val="11"/>
            <w:tcBorders>
              <w:top w:val="single" w:color="000000" w:sz="4" w:space="0"/>
              <w:left w:val="single" w:color="000000" w:sz="4" w:space="0"/>
              <w:bottom w:val="single" w:color="000000" w:sz="4" w:space="0"/>
              <w:right w:val="nil"/>
              <w:tl2br w:val="nil"/>
              <w:tr2bl w:val="nil"/>
            </w:tcBorders>
            <w:vAlign w:val="top"/>
          </w:tcPr>
          <w:p>
            <w:pPr>
              <w:pStyle w:val="247"/>
              <w:tabs>
                <w:tab w:val="left" w:pos="3126"/>
                <w:tab w:val="left" w:pos="3918"/>
                <w:tab w:val="left" w:pos="5596"/>
                <w:tab w:val="left" w:pos="6391"/>
              </w:tabs>
              <w:kinsoku w:val="0"/>
              <w:overflowPunct w:val="0"/>
              <w:spacing w:before="3" w:line="250" w:lineRule="exact"/>
              <w:ind w:left="812"/>
              <w:jc w:val="left"/>
              <w:rPr>
                <w:rFonts w:hint="default" w:ascii="Times New Roman" w:hAnsi="Times New Roman" w:eastAsia="Times New Roman"/>
                <w:color w:val="auto"/>
                <w:sz w:val="21"/>
              </w:rPr>
            </w:pPr>
            <w:r>
              <w:rPr>
                <w:rFonts w:hint="eastAsia"/>
                <w:color w:val="auto"/>
                <w:sz w:val="21"/>
              </w:rPr>
              <w:t>最近</w:t>
            </w:r>
            <w:r>
              <w:rPr>
                <w:rFonts w:hint="eastAsia"/>
                <w:color w:val="auto"/>
                <w:spacing w:val="-3"/>
                <w:sz w:val="21"/>
              </w:rPr>
              <w:t>环</w:t>
            </w:r>
            <w:r>
              <w:rPr>
                <w:rFonts w:hint="eastAsia"/>
                <w:color w:val="auto"/>
                <w:sz w:val="21"/>
              </w:rPr>
              <w:t>境</w:t>
            </w:r>
            <w:r>
              <w:rPr>
                <w:rFonts w:hint="eastAsia"/>
                <w:color w:val="auto"/>
                <w:spacing w:val="-3"/>
                <w:sz w:val="21"/>
              </w:rPr>
              <w:t>敏</w:t>
            </w:r>
            <w:r>
              <w:rPr>
                <w:rFonts w:hint="eastAsia"/>
                <w:color w:val="auto"/>
                <w:sz w:val="21"/>
              </w:rPr>
              <w:t>感</w:t>
            </w:r>
            <w:r>
              <w:rPr>
                <w:rFonts w:hint="eastAsia"/>
                <w:color w:val="auto"/>
                <w:spacing w:val="-3"/>
                <w:sz w:val="21"/>
              </w:rPr>
              <w:t>目</w:t>
            </w:r>
            <w:r>
              <w:rPr>
                <w:rFonts w:hint="eastAsia"/>
                <w:color w:val="auto"/>
                <w:sz w:val="21"/>
              </w:rPr>
              <w:t>标</w:t>
            </w:r>
            <w:r>
              <w:rPr>
                <w:rFonts w:hint="eastAsia"/>
                <w:color w:val="auto"/>
                <w:sz w:val="21"/>
                <w:u w:val="single" w:color="000000"/>
              </w:rPr>
              <w:t xml:space="preserve"> </w:t>
            </w:r>
            <w:r>
              <w:rPr>
                <w:rFonts w:hint="eastAsia"/>
                <w:color w:val="auto"/>
                <w:sz w:val="21"/>
                <w:u w:val="single" w:color="000000"/>
              </w:rPr>
              <w:tab/>
            </w:r>
            <w:r>
              <w:rPr>
                <w:rFonts w:hint="default" w:ascii="Times New Roman" w:hAnsi="Times New Roman" w:eastAsia="Times New Roman"/>
                <w:color w:val="auto"/>
                <w:sz w:val="21"/>
                <w:u w:val="single" w:color="000000"/>
              </w:rPr>
              <w:t>/</w:t>
            </w:r>
            <w:r>
              <w:rPr>
                <w:rFonts w:hint="default" w:ascii="Times New Roman" w:hAnsi="Times New Roman" w:eastAsia="Times New Roman"/>
                <w:color w:val="auto"/>
                <w:sz w:val="21"/>
                <w:u w:val="single" w:color="000000"/>
              </w:rPr>
              <w:tab/>
            </w:r>
            <w:r>
              <w:rPr>
                <w:rFonts w:hint="eastAsia"/>
                <w:color w:val="auto"/>
                <w:spacing w:val="-3"/>
                <w:sz w:val="21"/>
              </w:rPr>
              <w:t>，</w:t>
            </w:r>
            <w:r>
              <w:rPr>
                <w:rFonts w:hint="eastAsia"/>
                <w:color w:val="auto"/>
                <w:sz w:val="21"/>
              </w:rPr>
              <w:t>到</w:t>
            </w:r>
            <w:r>
              <w:rPr>
                <w:rFonts w:hint="eastAsia"/>
                <w:color w:val="auto"/>
                <w:spacing w:val="-3"/>
                <w:sz w:val="21"/>
              </w:rPr>
              <w:t>达</w:t>
            </w:r>
            <w:r>
              <w:rPr>
                <w:rFonts w:hint="eastAsia"/>
                <w:color w:val="auto"/>
                <w:sz w:val="21"/>
              </w:rPr>
              <w:t>时间</w:t>
            </w:r>
            <w:r>
              <w:rPr>
                <w:rFonts w:hint="eastAsia"/>
                <w:color w:val="auto"/>
                <w:sz w:val="21"/>
                <w:u w:val="single" w:color="000000"/>
              </w:rPr>
              <w:t xml:space="preserve"> </w:t>
            </w:r>
            <w:r>
              <w:rPr>
                <w:rFonts w:hint="eastAsia"/>
                <w:color w:val="auto"/>
                <w:sz w:val="21"/>
                <w:u w:val="single" w:color="000000"/>
              </w:rPr>
              <w:tab/>
            </w:r>
            <w:r>
              <w:rPr>
                <w:rFonts w:hint="default" w:ascii="Times New Roman" w:hAnsi="Times New Roman" w:eastAsia="Times New Roman"/>
                <w:color w:val="auto"/>
                <w:sz w:val="21"/>
                <w:u w:val="single" w:color="000000"/>
              </w:rPr>
              <w:t>/</w:t>
            </w:r>
            <w:r>
              <w:rPr>
                <w:rFonts w:hint="default" w:ascii="Times New Roman" w:hAnsi="Times New Roman" w:eastAsia="Times New Roman"/>
                <w:color w:val="auto"/>
                <w:sz w:val="21"/>
                <w:u w:val="single" w:color="000000"/>
              </w:rPr>
              <w:tab/>
            </w:r>
            <w:r>
              <w:rPr>
                <w:rFonts w:hint="default" w:ascii="Times New Roman" w:hAnsi="Times New Roman" w:eastAsia="Times New Roman"/>
                <w:color w:val="auto"/>
                <w:sz w:val="21"/>
              </w:rPr>
              <w:t>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restart"/>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jc w:val="left"/>
              <w:rPr>
                <w:rFonts w:hint="eastAsia" w:ascii="楷体" w:hAnsi="楷体" w:eastAsia="楷体"/>
                <w:b/>
                <w:color w:val="auto"/>
                <w:sz w:val="19"/>
              </w:rPr>
            </w:pPr>
          </w:p>
          <w:p>
            <w:pPr>
              <w:pStyle w:val="247"/>
              <w:kinsoku w:val="0"/>
              <w:overflowPunct w:val="0"/>
              <w:spacing w:before="1"/>
              <w:ind w:left="235"/>
              <w:jc w:val="left"/>
              <w:rPr>
                <w:rFonts w:hint="eastAsia"/>
                <w:color w:val="auto"/>
                <w:sz w:val="21"/>
              </w:rPr>
            </w:pPr>
            <w:r>
              <w:rPr>
                <w:rFonts w:hint="eastAsia"/>
                <w:color w:val="auto"/>
                <w:sz w:val="21"/>
              </w:rPr>
              <w:t>地下水</w:t>
            </w:r>
          </w:p>
        </w:tc>
        <w:tc>
          <w:tcPr>
            <w:tcW w:w="7271" w:type="dxa"/>
            <w:gridSpan w:val="11"/>
            <w:tcBorders>
              <w:top w:val="single" w:color="000000" w:sz="4" w:space="0"/>
              <w:left w:val="single" w:color="000000" w:sz="4" w:space="0"/>
              <w:bottom w:val="single" w:color="000000" w:sz="4" w:space="0"/>
              <w:right w:val="nil"/>
              <w:tl2br w:val="nil"/>
              <w:tr2bl w:val="nil"/>
            </w:tcBorders>
            <w:vAlign w:val="top"/>
          </w:tcPr>
          <w:p>
            <w:pPr>
              <w:pStyle w:val="247"/>
              <w:tabs>
                <w:tab w:val="left" w:pos="4571"/>
                <w:tab w:val="left" w:pos="5365"/>
              </w:tabs>
              <w:kinsoku w:val="0"/>
              <w:overflowPunct w:val="0"/>
              <w:spacing w:before="1" w:line="252" w:lineRule="exact"/>
              <w:ind w:left="1839"/>
              <w:jc w:val="left"/>
              <w:rPr>
                <w:rFonts w:hint="default" w:ascii="Times New Roman" w:hAnsi="Times New Roman" w:eastAsia="Times New Roman"/>
                <w:color w:val="auto"/>
                <w:sz w:val="21"/>
              </w:rPr>
            </w:pPr>
            <w:r>
              <w:rPr>
                <w:rFonts w:hint="eastAsia"/>
                <w:color w:val="auto"/>
                <w:sz w:val="21"/>
              </w:rPr>
              <w:t>下游</w:t>
            </w:r>
            <w:r>
              <w:rPr>
                <w:rFonts w:hint="eastAsia"/>
                <w:color w:val="auto"/>
                <w:spacing w:val="-3"/>
                <w:sz w:val="21"/>
              </w:rPr>
              <w:t>厂</w:t>
            </w:r>
            <w:r>
              <w:rPr>
                <w:rFonts w:hint="eastAsia"/>
                <w:color w:val="auto"/>
                <w:sz w:val="21"/>
              </w:rPr>
              <w:t>区</w:t>
            </w:r>
            <w:r>
              <w:rPr>
                <w:rFonts w:hint="eastAsia"/>
                <w:color w:val="auto"/>
                <w:spacing w:val="-3"/>
                <w:sz w:val="21"/>
              </w:rPr>
              <w:t>边</w:t>
            </w:r>
            <w:r>
              <w:rPr>
                <w:rFonts w:hint="eastAsia"/>
                <w:color w:val="auto"/>
                <w:sz w:val="21"/>
              </w:rPr>
              <w:t>界</w:t>
            </w:r>
            <w:r>
              <w:rPr>
                <w:rFonts w:hint="eastAsia"/>
                <w:color w:val="auto"/>
                <w:spacing w:val="-3"/>
                <w:sz w:val="21"/>
              </w:rPr>
              <w:t>到</w:t>
            </w:r>
            <w:r>
              <w:rPr>
                <w:rFonts w:hint="eastAsia"/>
                <w:color w:val="auto"/>
                <w:sz w:val="21"/>
              </w:rPr>
              <w:t>达</w:t>
            </w:r>
            <w:r>
              <w:rPr>
                <w:rFonts w:hint="eastAsia"/>
                <w:color w:val="auto"/>
                <w:spacing w:val="-3"/>
                <w:sz w:val="21"/>
              </w:rPr>
              <w:t>时</w:t>
            </w:r>
            <w:r>
              <w:rPr>
                <w:rFonts w:hint="eastAsia"/>
                <w:color w:val="auto"/>
                <w:sz w:val="21"/>
              </w:rPr>
              <w:t>间</w:t>
            </w:r>
            <w:r>
              <w:rPr>
                <w:rFonts w:hint="eastAsia"/>
                <w:color w:val="auto"/>
                <w:sz w:val="21"/>
                <w:u w:val="single" w:color="000000"/>
              </w:rPr>
              <w:t xml:space="preserve"> </w:t>
            </w:r>
            <w:r>
              <w:rPr>
                <w:rFonts w:hint="eastAsia"/>
                <w:color w:val="auto"/>
                <w:sz w:val="21"/>
                <w:u w:val="single" w:color="000000"/>
              </w:rPr>
              <w:tab/>
            </w:r>
            <w:r>
              <w:rPr>
                <w:rFonts w:hint="default" w:ascii="Times New Roman" w:hAnsi="Times New Roman" w:eastAsia="Times New Roman"/>
                <w:color w:val="auto"/>
                <w:sz w:val="21"/>
                <w:u w:val="single" w:color="000000"/>
              </w:rPr>
              <w:t>/</w:t>
            </w:r>
            <w:r>
              <w:rPr>
                <w:rFonts w:hint="default" w:ascii="Times New Roman" w:hAnsi="Times New Roman" w:eastAsia="Times New Roman"/>
                <w:color w:val="auto"/>
                <w:sz w:val="21"/>
                <w:u w:val="single" w:color="000000"/>
              </w:rPr>
              <w:tab/>
            </w:r>
            <w:r>
              <w:rPr>
                <w:rFonts w:hint="default" w:ascii="Times New Roman" w:hAnsi="Times New Roman" w:eastAsia="Times New Roman"/>
                <w:color w:val="auto"/>
                <w:sz w:val="21"/>
              </w:rPr>
              <w:t>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4" w:hRule="atLeast"/>
        </w:trPr>
        <w:tc>
          <w:tcPr>
            <w:tcW w:w="456" w:type="dxa"/>
            <w:vMerge w:val="continue"/>
            <w:tcBorders>
              <w:top w:val="nil"/>
              <w:left w:val="nil"/>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1084" w:type="dxa"/>
            <w:vMerge w:val="continue"/>
            <w:tcBorders>
              <w:top w:val="nil"/>
              <w:left w:val="single" w:color="000000" w:sz="4" w:space="0"/>
              <w:bottom w:val="single" w:color="000000" w:sz="4" w:space="0"/>
              <w:right w:val="single" w:color="000000" w:sz="4" w:space="0"/>
              <w:tl2br w:val="nil"/>
              <w:tr2bl w:val="nil"/>
            </w:tcBorders>
            <w:vAlign w:val="top"/>
          </w:tcPr>
          <w:p>
            <w:pPr>
              <w:pStyle w:val="22"/>
              <w:kinsoku w:val="0"/>
              <w:overflowPunct w:val="0"/>
              <w:spacing w:before="194" w:after="37"/>
              <w:ind w:left="2825" w:right="2663"/>
              <w:jc w:val="center"/>
              <w:rPr>
                <w:rFonts w:hint="eastAsia"/>
                <w:b/>
                <w:color w:val="auto"/>
                <w:spacing w:val="-1"/>
                <w:sz w:val="2"/>
              </w:rPr>
            </w:pPr>
          </w:p>
        </w:tc>
        <w:tc>
          <w:tcPr>
            <w:tcW w:w="7271" w:type="dxa"/>
            <w:gridSpan w:val="11"/>
            <w:tcBorders>
              <w:top w:val="single" w:color="000000" w:sz="4" w:space="0"/>
              <w:left w:val="single" w:color="000000" w:sz="4" w:space="0"/>
              <w:bottom w:val="single" w:color="000000" w:sz="4" w:space="0"/>
              <w:right w:val="nil"/>
              <w:tl2br w:val="nil"/>
              <w:tr2bl w:val="nil"/>
            </w:tcBorders>
            <w:vAlign w:val="top"/>
          </w:tcPr>
          <w:p>
            <w:pPr>
              <w:pStyle w:val="247"/>
              <w:tabs>
                <w:tab w:val="left" w:pos="3126"/>
                <w:tab w:val="left" w:pos="3918"/>
                <w:tab w:val="left" w:pos="5596"/>
                <w:tab w:val="left" w:pos="6391"/>
              </w:tabs>
              <w:kinsoku w:val="0"/>
              <w:overflowPunct w:val="0"/>
              <w:spacing w:before="112"/>
              <w:ind w:left="812"/>
              <w:jc w:val="left"/>
              <w:rPr>
                <w:rFonts w:hint="eastAsia"/>
                <w:color w:val="auto"/>
                <w:sz w:val="21"/>
              </w:rPr>
            </w:pPr>
            <w:r>
              <w:rPr>
                <w:rFonts w:hint="eastAsia"/>
                <w:color w:val="auto"/>
                <w:sz w:val="21"/>
              </w:rPr>
              <w:t>最近</w:t>
            </w:r>
            <w:r>
              <w:rPr>
                <w:rFonts w:hint="eastAsia"/>
                <w:color w:val="auto"/>
                <w:spacing w:val="-3"/>
                <w:sz w:val="21"/>
              </w:rPr>
              <w:t>环</w:t>
            </w:r>
            <w:r>
              <w:rPr>
                <w:rFonts w:hint="eastAsia"/>
                <w:color w:val="auto"/>
                <w:sz w:val="21"/>
              </w:rPr>
              <w:t>境</w:t>
            </w:r>
            <w:r>
              <w:rPr>
                <w:rFonts w:hint="eastAsia"/>
                <w:color w:val="auto"/>
                <w:spacing w:val="-3"/>
                <w:sz w:val="21"/>
              </w:rPr>
              <w:t>敏</w:t>
            </w:r>
            <w:r>
              <w:rPr>
                <w:rFonts w:hint="eastAsia"/>
                <w:color w:val="auto"/>
                <w:sz w:val="21"/>
              </w:rPr>
              <w:t>感</w:t>
            </w:r>
            <w:r>
              <w:rPr>
                <w:rFonts w:hint="eastAsia"/>
                <w:color w:val="auto"/>
                <w:spacing w:val="-3"/>
                <w:sz w:val="21"/>
              </w:rPr>
              <w:t>目</w:t>
            </w:r>
            <w:r>
              <w:rPr>
                <w:rFonts w:hint="eastAsia"/>
                <w:color w:val="auto"/>
                <w:sz w:val="21"/>
              </w:rPr>
              <w:t>标</w:t>
            </w:r>
            <w:r>
              <w:rPr>
                <w:rFonts w:hint="eastAsia"/>
                <w:color w:val="auto"/>
                <w:sz w:val="21"/>
                <w:u w:val="single" w:color="000000"/>
              </w:rPr>
              <w:t xml:space="preserve"> </w:t>
            </w:r>
            <w:r>
              <w:rPr>
                <w:rFonts w:hint="eastAsia"/>
                <w:color w:val="auto"/>
                <w:sz w:val="21"/>
                <w:u w:val="single" w:color="000000"/>
              </w:rPr>
              <w:tab/>
            </w:r>
            <w:r>
              <w:rPr>
                <w:rFonts w:hint="default" w:ascii="Times New Roman" w:hAnsi="Times New Roman" w:eastAsia="Times New Roman"/>
                <w:color w:val="auto"/>
                <w:sz w:val="21"/>
                <w:u w:val="single" w:color="000000"/>
              </w:rPr>
              <w:t>/</w:t>
            </w:r>
            <w:r>
              <w:rPr>
                <w:rFonts w:hint="default" w:ascii="Times New Roman" w:hAnsi="Times New Roman" w:eastAsia="Times New Roman"/>
                <w:color w:val="auto"/>
                <w:sz w:val="21"/>
                <w:u w:val="single" w:color="000000"/>
              </w:rPr>
              <w:tab/>
            </w:r>
            <w:r>
              <w:rPr>
                <w:rFonts w:hint="eastAsia"/>
                <w:color w:val="auto"/>
                <w:spacing w:val="-3"/>
                <w:sz w:val="21"/>
              </w:rPr>
              <w:t>，</w:t>
            </w:r>
            <w:r>
              <w:rPr>
                <w:rFonts w:hint="eastAsia"/>
                <w:color w:val="auto"/>
                <w:sz w:val="21"/>
              </w:rPr>
              <w:t>到</w:t>
            </w:r>
            <w:r>
              <w:rPr>
                <w:rFonts w:hint="eastAsia"/>
                <w:color w:val="auto"/>
                <w:spacing w:val="-3"/>
                <w:sz w:val="21"/>
              </w:rPr>
              <w:t>达</w:t>
            </w:r>
            <w:r>
              <w:rPr>
                <w:rFonts w:hint="eastAsia"/>
                <w:color w:val="auto"/>
                <w:sz w:val="21"/>
              </w:rPr>
              <w:t>时间</w:t>
            </w:r>
            <w:r>
              <w:rPr>
                <w:rFonts w:hint="eastAsia"/>
                <w:color w:val="auto"/>
                <w:sz w:val="21"/>
                <w:u w:val="single" w:color="000000"/>
              </w:rPr>
              <w:t xml:space="preserve"> </w:t>
            </w:r>
            <w:r>
              <w:rPr>
                <w:rFonts w:hint="eastAsia"/>
                <w:color w:val="auto"/>
                <w:sz w:val="21"/>
                <w:u w:val="single" w:color="000000"/>
              </w:rPr>
              <w:tab/>
            </w:r>
            <w:r>
              <w:rPr>
                <w:rFonts w:hint="default" w:ascii="Times New Roman" w:hAnsi="Times New Roman" w:eastAsia="Times New Roman"/>
                <w:color w:val="auto"/>
                <w:sz w:val="21"/>
                <w:u w:val="single" w:color="000000"/>
              </w:rPr>
              <w:t>/</w:t>
            </w:r>
            <w:r>
              <w:rPr>
                <w:rFonts w:hint="default" w:ascii="Times New Roman" w:hAnsi="Times New Roman" w:eastAsia="Times New Roman"/>
                <w:color w:val="auto"/>
                <w:sz w:val="21"/>
                <w:u w:val="single" w:color="000000"/>
              </w:rPr>
              <w:tab/>
            </w:r>
            <w:r>
              <w:rPr>
                <w:rFonts w:hint="default" w:ascii="Times New Roman" w:hAnsi="Times New Roman" w:eastAsia="Times New Roman"/>
                <w:color w:val="auto"/>
                <w:sz w:val="21"/>
                <w:u w:val="single" w:color="000000"/>
              </w:rPr>
              <w:t>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1" w:hRule="atLeast"/>
        </w:trPr>
        <w:tc>
          <w:tcPr>
            <w:tcW w:w="1540" w:type="dxa"/>
            <w:gridSpan w:val="2"/>
            <w:vMerge w:val="restart"/>
            <w:tcBorders>
              <w:top w:val="single" w:color="000000" w:sz="4" w:space="0"/>
              <w:left w:val="nil"/>
              <w:right w:val="single" w:color="000000" w:sz="4" w:space="0"/>
              <w:tl2br w:val="nil"/>
              <w:tr2bl w:val="nil"/>
            </w:tcBorders>
            <w:vAlign w:val="top"/>
          </w:tcPr>
          <w:p>
            <w:pPr>
              <w:pStyle w:val="247"/>
              <w:kinsoku w:val="0"/>
              <w:overflowPunct w:val="0"/>
              <w:spacing w:before="30" w:line="242" w:lineRule="auto"/>
              <w:ind w:left="537" w:right="70" w:hanging="420"/>
              <w:jc w:val="left"/>
              <w:rPr>
                <w:rFonts w:hint="eastAsia"/>
                <w:color w:val="auto"/>
                <w:sz w:val="21"/>
              </w:rPr>
            </w:pPr>
            <w:r>
              <w:rPr>
                <w:rFonts w:hint="eastAsia"/>
                <w:color w:val="auto"/>
                <w:sz w:val="21"/>
              </w:rPr>
              <w:t>重点风险防范措施</w:t>
            </w:r>
          </w:p>
        </w:tc>
        <w:tc>
          <w:tcPr>
            <w:tcW w:w="71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300" w:lineRule="exact"/>
              <w:ind w:right="88"/>
              <w:jc w:val="left"/>
              <w:rPr>
                <w:rFonts w:hint="eastAsia"/>
                <w:color w:val="auto"/>
                <w:sz w:val="21"/>
              </w:rPr>
            </w:pPr>
            <w:r>
              <w:rPr>
                <w:rFonts w:hint="eastAsia"/>
                <w:color w:val="auto"/>
                <w:sz w:val="21"/>
              </w:rPr>
              <w:t>危险物质</w:t>
            </w:r>
          </w:p>
        </w:tc>
        <w:tc>
          <w:tcPr>
            <w:tcW w:w="810"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300" w:lineRule="exact"/>
              <w:ind w:left="218" w:right="129"/>
              <w:jc w:val="left"/>
              <w:rPr>
                <w:rFonts w:hint="eastAsia"/>
                <w:color w:val="auto"/>
                <w:sz w:val="21"/>
              </w:rPr>
            </w:pPr>
            <w:r>
              <w:rPr>
                <w:rFonts w:hint="eastAsia"/>
                <w:color w:val="auto"/>
                <w:sz w:val="21"/>
              </w:rPr>
              <w:t>事故类型</w:t>
            </w:r>
          </w:p>
        </w:tc>
        <w:tc>
          <w:tcPr>
            <w:tcW w:w="11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line="300" w:lineRule="exact"/>
              <w:ind w:left="370" w:right="316"/>
              <w:jc w:val="left"/>
              <w:rPr>
                <w:rFonts w:hint="eastAsia"/>
                <w:color w:val="auto"/>
                <w:sz w:val="21"/>
              </w:rPr>
            </w:pPr>
            <w:r>
              <w:rPr>
                <w:rFonts w:hint="eastAsia"/>
                <w:color w:val="auto"/>
                <w:sz w:val="21"/>
              </w:rPr>
              <w:t>直接污染</w:t>
            </w:r>
          </w:p>
        </w:tc>
        <w:tc>
          <w:tcPr>
            <w:tcW w:w="4595" w:type="dxa"/>
            <w:gridSpan w:val="6"/>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1"/>
              <w:jc w:val="left"/>
              <w:rPr>
                <w:rFonts w:hint="eastAsia" w:ascii="楷体" w:hAnsi="楷体" w:eastAsia="楷体"/>
                <w:b/>
                <w:color w:val="auto"/>
                <w:sz w:val="14"/>
              </w:rPr>
            </w:pPr>
          </w:p>
          <w:p>
            <w:pPr>
              <w:pStyle w:val="247"/>
              <w:kinsoku w:val="0"/>
              <w:overflowPunct w:val="0"/>
              <w:ind w:right="1639"/>
              <w:jc w:val="center"/>
              <w:rPr>
                <w:rFonts w:hint="eastAsia"/>
                <w:color w:val="auto"/>
                <w:sz w:val="21"/>
              </w:rPr>
            </w:pPr>
            <w:r>
              <w:rPr>
                <w:rFonts w:hint="eastAsia"/>
                <w:color w:val="auto"/>
                <w:sz w:val="21"/>
              </w:rPr>
              <w:t>应急处理措施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1" w:hRule="atLeast"/>
        </w:trPr>
        <w:tc>
          <w:tcPr>
            <w:tcW w:w="1540" w:type="dxa"/>
            <w:gridSpan w:val="2"/>
            <w:vMerge w:val="continue"/>
            <w:tcBorders>
              <w:left w:val="nil"/>
              <w:right w:val="single" w:color="000000" w:sz="4" w:space="0"/>
              <w:tl2br w:val="nil"/>
              <w:tr2bl w:val="nil"/>
            </w:tcBorders>
            <w:vAlign w:val="top"/>
          </w:tcPr>
          <w:p>
            <w:pPr>
              <w:pStyle w:val="247"/>
              <w:kinsoku w:val="0"/>
              <w:overflowPunct w:val="0"/>
              <w:spacing w:before="30" w:line="242" w:lineRule="auto"/>
              <w:ind w:left="537" w:right="70" w:hanging="420"/>
              <w:jc w:val="left"/>
              <w:rPr>
                <w:rFonts w:hint="eastAsia"/>
                <w:color w:val="auto"/>
                <w:sz w:val="21"/>
              </w:rPr>
            </w:pPr>
          </w:p>
        </w:tc>
        <w:tc>
          <w:tcPr>
            <w:tcW w:w="717"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jc w:val="left"/>
              <w:rPr>
                <w:rFonts w:hint="eastAsia"/>
                <w:color w:val="auto"/>
                <w:sz w:val="20"/>
              </w:rPr>
            </w:pPr>
          </w:p>
          <w:p>
            <w:pPr>
              <w:pStyle w:val="247"/>
              <w:kinsoku w:val="0"/>
              <w:overflowPunct w:val="0"/>
              <w:spacing w:before="1"/>
              <w:jc w:val="left"/>
              <w:rPr>
                <w:rFonts w:hint="eastAsia"/>
                <w:color w:val="auto"/>
                <w:sz w:val="29"/>
              </w:rPr>
            </w:pPr>
          </w:p>
          <w:p>
            <w:pPr>
              <w:pStyle w:val="247"/>
              <w:kinsoku w:val="0"/>
              <w:overflowPunct w:val="0"/>
              <w:spacing w:before="1"/>
              <w:ind w:left="165" w:leftChars="0"/>
              <w:jc w:val="left"/>
              <w:rPr>
                <w:rFonts w:hint="eastAsia"/>
                <w:color w:val="auto"/>
                <w:sz w:val="21"/>
              </w:rPr>
            </w:pPr>
            <w:r>
              <w:rPr>
                <w:rFonts w:hint="eastAsia"/>
                <w:color w:val="auto"/>
                <w:sz w:val="21"/>
              </w:rPr>
              <w:t>液氨</w:t>
            </w:r>
          </w:p>
        </w:tc>
        <w:tc>
          <w:tcPr>
            <w:tcW w:w="810" w:type="dxa"/>
            <w:gridSpan w:val="3"/>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jc w:val="left"/>
              <w:rPr>
                <w:rFonts w:hint="eastAsia"/>
                <w:color w:val="auto"/>
                <w:sz w:val="25"/>
              </w:rPr>
            </w:pPr>
          </w:p>
          <w:p>
            <w:pPr>
              <w:pStyle w:val="247"/>
              <w:kinsoku w:val="0"/>
              <w:overflowPunct w:val="0"/>
              <w:spacing w:line="266" w:lineRule="auto"/>
              <w:ind w:left="215" w:leftChars="0" w:right="182" w:rightChars="0"/>
              <w:jc w:val="both"/>
              <w:rPr>
                <w:rFonts w:hint="eastAsia"/>
                <w:color w:val="auto"/>
                <w:sz w:val="21"/>
              </w:rPr>
            </w:pPr>
            <w:r>
              <w:rPr>
                <w:rFonts w:hint="eastAsia"/>
                <w:color w:val="auto"/>
                <w:spacing w:val="-10"/>
                <w:sz w:val="21"/>
              </w:rPr>
              <w:t>泄漏扩散中毒</w:t>
            </w:r>
          </w:p>
        </w:tc>
        <w:tc>
          <w:tcPr>
            <w:tcW w:w="1149" w:type="dxa"/>
            <w:tcBorders>
              <w:top w:val="single" w:color="000000" w:sz="4" w:space="0"/>
              <w:left w:val="single" w:color="000000" w:sz="4" w:space="0"/>
              <w:bottom w:val="single" w:color="000000" w:sz="4" w:space="0"/>
              <w:right w:val="single" w:color="000000" w:sz="4" w:space="0"/>
              <w:tl2br w:val="nil"/>
              <w:tr2bl w:val="nil"/>
            </w:tcBorders>
            <w:vAlign w:val="top"/>
          </w:tcPr>
          <w:p>
            <w:pPr>
              <w:pStyle w:val="247"/>
              <w:kinsoku w:val="0"/>
              <w:overflowPunct w:val="0"/>
              <w:spacing w:before="9"/>
              <w:jc w:val="left"/>
              <w:rPr>
                <w:rFonts w:hint="eastAsia"/>
                <w:color w:val="auto"/>
                <w:sz w:val="25"/>
              </w:rPr>
            </w:pPr>
          </w:p>
          <w:p>
            <w:pPr>
              <w:pStyle w:val="247"/>
              <w:kinsoku w:val="0"/>
              <w:overflowPunct w:val="0"/>
              <w:spacing w:line="266" w:lineRule="auto"/>
              <w:ind w:left="163" w:leftChars="0" w:right="136" w:rightChars="0"/>
              <w:jc w:val="both"/>
              <w:rPr>
                <w:rFonts w:hint="eastAsia"/>
                <w:color w:val="auto"/>
                <w:sz w:val="21"/>
              </w:rPr>
            </w:pPr>
            <w:r>
              <w:rPr>
                <w:rFonts w:hint="eastAsia"/>
                <w:color w:val="auto"/>
                <w:spacing w:val="-10"/>
                <w:sz w:val="21"/>
              </w:rPr>
              <w:t>氨扩散对周围环境的污染</w:t>
            </w:r>
          </w:p>
        </w:tc>
        <w:tc>
          <w:tcPr>
            <w:tcW w:w="4595" w:type="dxa"/>
            <w:gridSpan w:val="6"/>
            <w:tcBorders>
              <w:top w:val="single" w:color="000000" w:sz="4" w:space="0"/>
              <w:left w:val="single" w:color="000000" w:sz="4" w:space="0"/>
              <w:bottom w:val="single" w:color="000000" w:sz="4" w:space="0"/>
              <w:right w:val="nil"/>
              <w:tl2br w:val="nil"/>
              <w:tr2bl w:val="nil"/>
            </w:tcBorders>
            <w:vAlign w:val="top"/>
          </w:tcPr>
          <w:p>
            <w:pPr>
              <w:pStyle w:val="247"/>
              <w:kinsoku w:val="0"/>
              <w:overflowPunct w:val="0"/>
              <w:spacing w:before="29" w:line="266" w:lineRule="auto"/>
              <w:ind w:left="118" w:right="-15"/>
              <w:jc w:val="left"/>
              <w:rPr>
                <w:rFonts w:hint="eastAsia"/>
                <w:color w:val="auto"/>
                <w:spacing w:val="-15"/>
                <w:sz w:val="21"/>
              </w:rPr>
            </w:pPr>
            <w:r>
              <w:rPr>
                <w:rFonts w:hint="eastAsia"/>
                <w:color w:val="auto"/>
                <w:spacing w:val="-15"/>
                <w:sz w:val="21"/>
              </w:rPr>
              <w:t xml:space="preserve">疏散泄漏污染区人员至安全区，并立即隔离 </w:t>
            </w:r>
            <w:r>
              <w:rPr>
                <w:rFonts w:hint="default" w:ascii="Times New Roman" w:hAnsi="Times New Roman" w:eastAsia="Times New Roman"/>
                <w:color w:val="auto"/>
                <w:spacing w:val="-5"/>
                <w:sz w:val="21"/>
              </w:rPr>
              <w:t>150m</w:t>
            </w:r>
            <w:r>
              <w:rPr>
                <w:rFonts w:hint="eastAsia"/>
                <w:color w:val="auto"/>
                <w:spacing w:val="-5"/>
                <w:sz w:val="21"/>
              </w:rPr>
              <w:t xml:space="preserve">， </w:t>
            </w:r>
            <w:r>
              <w:rPr>
                <w:rFonts w:hint="eastAsia"/>
                <w:color w:val="auto"/>
                <w:spacing w:val="-12"/>
                <w:sz w:val="21"/>
              </w:rPr>
              <w:t>禁止无关人员进入污染区，切断火源。建议应急处</w:t>
            </w:r>
            <w:r>
              <w:rPr>
                <w:rFonts w:hint="eastAsia"/>
                <w:color w:val="auto"/>
                <w:spacing w:val="-13"/>
                <w:sz w:val="21"/>
              </w:rPr>
              <w:t>理人员戴自给式呼吸器，穿防毒服。尽可能切断泄</w:t>
            </w:r>
            <w:r>
              <w:rPr>
                <w:rFonts w:hint="eastAsia"/>
                <w:color w:val="auto"/>
                <w:spacing w:val="-15"/>
                <w:sz w:val="21"/>
              </w:rPr>
              <w:t>漏源。高浓度泄漏区，喷含盐酸的雾状水中和、稀</w:t>
            </w:r>
          </w:p>
          <w:p>
            <w:pPr>
              <w:pStyle w:val="247"/>
              <w:kinsoku w:val="0"/>
              <w:overflowPunct w:val="0"/>
              <w:spacing w:before="6" w:line="250" w:lineRule="exact"/>
              <w:ind w:left="118" w:leftChars="0"/>
              <w:jc w:val="left"/>
              <w:rPr>
                <w:rFonts w:hint="eastAsia" w:eastAsia="宋体"/>
                <w:color w:val="auto"/>
                <w:sz w:val="21"/>
                <w:lang w:eastAsia="zh-CN"/>
              </w:rPr>
            </w:pPr>
            <w:r>
              <w:rPr>
                <w:rFonts w:hint="eastAsia"/>
                <w:color w:val="auto"/>
                <w:sz w:val="21"/>
              </w:rPr>
              <w:t>释、溶解。</w:t>
            </w:r>
            <w:r>
              <w:rPr>
                <w:rFonts w:hint="eastAsia" w:eastAsia="宋体"/>
                <w:color w:val="auto"/>
                <w:sz w:val="21"/>
                <w:lang w:eastAsia="zh-CN"/>
              </w:rPr>
              <w:t>将</w:t>
            </w:r>
            <w:r>
              <w:rPr>
                <w:rFonts w:hint="eastAsia"/>
                <w:color w:val="auto"/>
                <w:sz w:val="21"/>
              </w:rPr>
              <w:t>产生的大量废水</w:t>
            </w:r>
            <w:r>
              <w:rPr>
                <w:rFonts w:hint="eastAsia" w:eastAsia="宋体"/>
                <w:color w:val="auto"/>
                <w:sz w:val="21"/>
                <w:lang w:eastAsia="zh-CN"/>
              </w:rPr>
              <w:t>引入公司事故池。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1" w:hRule="atLeast"/>
        </w:trPr>
        <w:tc>
          <w:tcPr>
            <w:tcW w:w="1540" w:type="dxa"/>
            <w:gridSpan w:val="2"/>
            <w:tcBorders>
              <w:left w:val="nil"/>
              <w:bottom w:val="single" w:color="000000" w:sz="12" w:space="0"/>
              <w:right w:val="single" w:color="000000" w:sz="4" w:space="0"/>
              <w:tl2br w:val="nil"/>
              <w:tr2bl w:val="nil"/>
            </w:tcBorders>
            <w:vAlign w:val="top"/>
          </w:tcPr>
          <w:p>
            <w:pPr>
              <w:pStyle w:val="247"/>
              <w:kinsoku w:val="0"/>
              <w:overflowPunct w:val="0"/>
              <w:spacing w:before="30" w:line="242" w:lineRule="auto"/>
              <w:ind w:left="537" w:right="70" w:hanging="420"/>
              <w:jc w:val="left"/>
              <w:rPr>
                <w:rFonts w:hint="eastAsia" w:eastAsia="宋体"/>
                <w:color w:val="auto"/>
                <w:sz w:val="21"/>
                <w:lang w:eastAsia="zh-CN"/>
              </w:rPr>
            </w:pPr>
            <w:r>
              <w:rPr>
                <w:rFonts w:hint="eastAsia" w:eastAsia="宋体"/>
                <w:color w:val="auto"/>
                <w:sz w:val="21"/>
                <w:lang w:eastAsia="zh-CN"/>
              </w:rPr>
              <w:t>评价结论与建议</w:t>
            </w:r>
          </w:p>
        </w:tc>
        <w:tc>
          <w:tcPr>
            <w:tcW w:w="7271" w:type="dxa"/>
            <w:gridSpan w:val="11"/>
            <w:tcBorders>
              <w:top w:val="single" w:color="000000" w:sz="4" w:space="0"/>
              <w:left w:val="single" w:color="000000" w:sz="4" w:space="0"/>
              <w:bottom w:val="single" w:color="000000" w:sz="12" w:space="0"/>
              <w:right w:val="nil"/>
              <w:tl2br w:val="nil"/>
              <w:tr2bl w:val="nil"/>
            </w:tcBorders>
            <w:vAlign w:val="top"/>
          </w:tcPr>
          <w:p>
            <w:pPr>
              <w:pStyle w:val="247"/>
              <w:kinsoku w:val="0"/>
              <w:overflowPunct w:val="0"/>
              <w:spacing w:before="6" w:line="250" w:lineRule="exact"/>
              <w:ind w:left="118" w:leftChars="0"/>
              <w:jc w:val="left"/>
              <w:rPr>
                <w:rFonts w:hint="eastAsia"/>
                <w:color w:val="auto"/>
                <w:sz w:val="21"/>
              </w:rPr>
            </w:pPr>
            <w:r>
              <w:rPr>
                <w:rFonts w:hint="eastAsia"/>
                <w:color w:val="auto"/>
                <w:spacing w:val="-15"/>
                <w:sz w:val="21"/>
              </w:rPr>
              <w:t>根据预测结果，在最不利气象条件下，</w:t>
            </w:r>
            <w:r>
              <w:rPr>
                <w:rFonts w:hint="eastAsia"/>
                <w:color w:val="auto"/>
                <w:spacing w:val="-15"/>
                <w:sz w:val="21"/>
                <w:lang w:eastAsia="zh-CN"/>
              </w:rPr>
              <w:t>液氨</w:t>
            </w:r>
            <w:r>
              <w:rPr>
                <w:rFonts w:hint="eastAsia"/>
                <w:color w:val="auto"/>
                <w:spacing w:val="-15"/>
                <w:sz w:val="21"/>
              </w:rPr>
              <w:t xml:space="preserve">泄漏下风向 </w:t>
            </w:r>
            <w:r>
              <w:rPr>
                <w:rFonts w:hint="eastAsia"/>
                <w:color w:val="auto"/>
                <w:spacing w:val="-15"/>
                <w:sz w:val="21"/>
                <w:lang w:eastAsia="zh-CN"/>
              </w:rPr>
              <w:t>氨</w:t>
            </w:r>
            <w:r>
              <w:rPr>
                <w:rFonts w:hint="eastAsia"/>
                <w:color w:val="auto"/>
                <w:spacing w:val="-15"/>
                <w:sz w:val="21"/>
              </w:rPr>
              <w:t xml:space="preserve">达到 </w:t>
            </w:r>
            <w:r>
              <w:rPr>
                <w:rFonts w:hint="default"/>
                <w:color w:val="auto"/>
                <w:spacing w:val="-15"/>
                <w:sz w:val="21"/>
              </w:rPr>
              <w:t xml:space="preserve">1 </w:t>
            </w:r>
            <w:r>
              <w:rPr>
                <w:rFonts w:hint="eastAsia"/>
                <w:color w:val="auto"/>
                <w:spacing w:val="-15"/>
                <w:sz w:val="21"/>
              </w:rPr>
              <w:t xml:space="preserve">级毒性重点浓度的最大影响范围为 </w:t>
            </w:r>
            <w:r>
              <w:rPr>
                <w:rFonts w:hint="eastAsia"/>
                <w:color w:val="auto"/>
                <w:spacing w:val="-15"/>
                <w:sz w:val="21"/>
                <w:lang w:val="en-US" w:eastAsia="zh-CN"/>
              </w:rPr>
              <w:t>612</w:t>
            </w:r>
            <w:r>
              <w:rPr>
                <w:rFonts w:hint="default"/>
                <w:color w:val="auto"/>
                <w:spacing w:val="-15"/>
                <w:sz w:val="21"/>
              </w:rPr>
              <w:t>m</w:t>
            </w:r>
            <w:r>
              <w:rPr>
                <w:rFonts w:hint="eastAsia"/>
                <w:color w:val="auto"/>
                <w:spacing w:val="-15"/>
                <w:sz w:val="21"/>
              </w:rPr>
              <w:t xml:space="preserve">，达到 </w:t>
            </w:r>
            <w:r>
              <w:rPr>
                <w:rFonts w:hint="default"/>
                <w:color w:val="auto"/>
                <w:spacing w:val="-15"/>
                <w:sz w:val="21"/>
              </w:rPr>
              <w:t xml:space="preserve">2 </w:t>
            </w:r>
            <w:r>
              <w:rPr>
                <w:rFonts w:hint="eastAsia"/>
                <w:color w:val="auto"/>
                <w:spacing w:val="-15"/>
                <w:sz w:val="21"/>
              </w:rPr>
              <w:t xml:space="preserve">级毒性重点浓度的最大影响范围为 </w:t>
            </w:r>
            <w:r>
              <w:rPr>
                <w:rFonts w:hint="eastAsia"/>
                <w:color w:val="auto"/>
                <w:spacing w:val="-15"/>
                <w:sz w:val="21"/>
                <w:lang w:val="en-US" w:eastAsia="zh-CN"/>
              </w:rPr>
              <w:t>384</w:t>
            </w:r>
            <w:r>
              <w:rPr>
                <w:rFonts w:hint="default"/>
                <w:color w:val="auto"/>
                <w:spacing w:val="-15"/>
                <w:sz w:val="21"/>
              </w:rPr>
              <w:t>m</w:t>
            </w:r>
            <w:r>
              <w:rPr>
                <w:rFonts w:hint="eastAsia"/>
                <w:color w:val="auto"/>
                <w:spacing w:val="-15"/>
                <w:sz w:val="21"/>
              </w:rPr>
              <w:t>。根据预测，本项目周边</w:t>
            </w:r>
            <w:r>
              <w:rPr>
                <w:rFonts w:hint="eastAsia"/>
                <w:color w:val="auto"/>
                <w:spacing w:val="-15"/>
                <w:sz w:val="21"/>
                <w:lang w:eastAsia="zh-CN"/>
              </w:rPr>
              <w:t>居民点或医院离项目地大于</w:t>
            </w:r>
            <w:r>
              <w:rPr>
                <w:rFonts w:hint="eastAsia"/>
                <w:color w:val="auto"/>
                <w:spacing w:val="-15"/>
                <w:sz w:val="21"/>
                <w:lang w:val="en-US" w:eastAsia="zh-CN"/>
              </w:rPr>
              <w:t>612米，故不会对</w:t>
            </w:r>
            <w:r>
              <w:rPr>
                <w:rFonts w:hint="eastAsia"/>
                <w:color w:val="auto"/>
                <w:spacing w:val="-15"/>
                <w:sz w:val="21"/>
              </w:rPr>
              <w:t>关注点人群健康产生影响。因此本项目环境风险可接受。</w:t>
            </w:r>
          </w:p>
        </w:tc>
      </w:tr>
    </w:tbl>
    <w:p>
      <w:pPr>
        <w:pStyle w:val="5"/>
        <w:ind w:left="0" w:leftChars="0" w:firstLine="0" w:firstLineChars="0"/>
        <w:jc w:val="left"/>
        <w:rPr>
          <w:rFonts w:hint="eastAsia" w:ascii="Times New Roman" w:hAnsi="Times New Roman" w:cs="Times New Roman"/>
          <w:color w:val="auto"/>
          <w:sz w:val="24"/>
          <w:szCs w:val="24"/>
          <w:lang w:eastAsia="zh-CN"/>
        </w:rPr>
      </w:pPr>
    </w:p>
    <w:p>
      <w:pPr>
        <w:pStyle w:val="5"/>
        <w:ind w:left="0" w:leftChars="0" w:firstLine="0" w:firstLineChars="0"/>
        <w:jc w:val="left"/>
        <w:rPr>
          <w:rFonts w:hint="eastAsia" w:ascii="Times New Roman" w:hAnsi="Times New Roman" w:cs="Times New Roman"/>
          <w:color w:val="auto"/>
          <w:sz w:val="24"/>
          <w:szCs w:val="24"/>
          <w:lang w:eastAsia="zh-CN"/>
        </w:rPr>
        <w:sectPr>
          <w:pgSz w:w="11907" w:h="16840"/>
          <w:pgMar w:top="1474" w:right="1531" w:bottom="1418" w:left="1474" w:header="1020" w:footer="992" w:gutter="0"/>
          <w:pgNumType w:fmt="decimal"/>
          <w:cols w:space="0" w:num="1"/>
          <w:rtlGutter w:val="0"/>
          <w:docGrid w:linePitch="312" w:charSpace="0"/>
        </w:sectPr>
      </w:pPr>
    </w:p>
    <w:tbl>
      <w:tblPr>
        <w:tblStyle w:val="45"/>
        <w:tblW w:w="20523" w:type="dxa"/>
        <w:jc w:val="center"/>
        <w:tblInd w:w="3106" w:type="dxa"/>
        <w:shd w:val="clear" w:color="auto" w:fill="auto"/>
        <w:tblLayout w:type="fixed"/>
        <w:tblCellMar>
          <w:top w:w="0" w:type="dxa"/>
          <w:left w:w="0" w:type="dxa"/>
          <w:bottom w:w="0" w:type="dxa"/>
          <w:right w:w="0" w:type="dxa"/>
        </w:tblCellMar>
      </w:tblPr>
      <w:tblGrid>
        <w:gridCol w:w="1307"/>
        <w:gridCol w:w="472"/>
        <w:gridCol w:w="1312"/>
        <w:gridCol w:w="1380"/>
        <w:gridCol w:w="1710"/>
        <w:gridCol w:w="1113"/>
        <w:gridCol w:w="1485"/>
        <w:gridCol w:w="2060"/>
        <w:gridCol w:w="1470"/>
        <w:gridCol w:w="1089"/>
        <w:gridCol w:w="2235"/>
        <w:gridCol w:w="3489"/>
        <w:gridCol w:w="702"/>
        <w:gridCol w:w="699"/>
      </w:tblGrid>
      <w:tr>
        <w:tblPrEx>
          <w:shd w:val="clear" w:color="auto" w:fill="auto"/>
          <w:tblLayout w:type="fixed"/>
          <w:tblCellMar>
            <w:top w:w="0" w:type="dxa"/>
            <w:left w:w="0" w:type="dxa"/>
            <w:bottom w:w="0" w:type="dxa"/>
            <w:right w:w="0" w:type="dxa"/>
          </w:tblCellMar>
        </w:tblPrEx>
        <w:trPr>
          <w:trHeight w:val="450" w:hRule="atLeast"/>
          <w:jc w:val="center"/>
        </w:trPr>
        <w:tc>
          <w:tcPr>
            <w:tcW w:w="20523" w:type="dxa"/>
            <w:gridSpan w:val="14"/>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36"/>
                <w:szCs w:val="36"/>
                <w:u w:val="none"/>
              </w:rPr>
            </w:pPr>
            <w:r>
              <w:rPr>
                <w:rFonts w:hint="eastAsia" w:ascii="Times New Roman" w:hAnsi="黑体" w:eastAsia="黑体" w:cs="Times New Roman"/>
                <w:color w:val="auto"/>
                <w:spacing w:val="0"/>
                <w:kern w:val="2"/>
                <w:sz w:val="24"/>
                <w:szCs w:val="24"/>
                <w:lang w:val="en-US" w:eastAsia="zh-CN" w:bidi="ar-SA"/>
              </w:rPr>
              <w:t>附表3：建设项目环评审批基础信息表</w:t>
            </w:r>
          </w:p>
        </w:tc>
      </w:tr>
      <w:tr>
        <w:tblPrEx>
          <w:tblLayout w:type="fixed"/>
          <w:tblCellMar>
            <w:top w:w="0" w:type="dxa"/>
            <w:left w:w="0" w:type="dxa"/>
            <w:bottom w:w="0" w:type="dxa"/>
            <w:right w:w="0" w:type="dxa"/>
          </w:tblCellMar>
        </w:tblPrEx>
        <w:trPr>
          <w:trHeight w:val="300" w:hRule="atLeast"/>
          <w:jc w:val="center"/>
        </w:trPr>
        <w:tc>
          <w:tcPr>
            <w:tcW w:w="3091" w:type="dxa"/>
            <w:gridSpan w:val="3"/>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Style w:val="250"/>
                <w:rFonts w:ascii="宋体" w:hAnsi="宋体" w:eastAsia="宋体" w:cs="宋体"/>
                <w:color w:val="auto"/>
                <w:sz w:val="24"/>
                <w:szCs w:val="24"/>
                <w:lang w:val="en-US" w:eastAsia="zh-CN" w:bidi="ar"/>
              </w:rPr>
              <w:t>填表单位（盖章）：</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中国石油化工股份有限公司长岭分公司</w:t>
            </w:r>
          </w:p>
        </w:tc>
        <w:tc>
          <w:tcPr>
            <w:tcW w:w="206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 xml:space="preserve"> </w:t>
            </w:r>
            <w:r>
              <w:rPr>
                <w:rStyle w:val="250"/>
                <w:rFonts w:ascii="宋体" w:hAnsi="宋体" w:eastAsia="宋体" w:cs="宋体"/>
                <w:color w:val="auto"/>
                <w:sz w:val="24"/>
                <w:szCs w:val="24"/>
                <w:lang w:val="en-US" w:eastAsia="zh-CN" w:bidi="ar"/>
              </w:rPr>
              <w:t>填表人（签字）：</w:t>
            </w:r>
          </w:p>
        </w:tc>
        <w:tc>
          <w:tcPr>
            <w:tcW w:w="2559"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李杏</w:t>
            </w:r>
          </w:p>
        </w:tc>
        <w:tc>
          <w:tcPr>
            <w:tcW w:w="572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 xml:space="preserve"> </w:t>
            </w:r>
            <w:r>
              <w:rPr>
                <w:rStyle w:val="250"/>
                <w:rFonts w:ascii="宋体" w:hAnsi="宋体" w:eastAsia="宋体" w:cs="宋体"/>
                <w:color w:val="auto"/>
                <w:sz w:val="24"/>
                <w:szCs w:val="24"/>
                <w:lang w:val="en-US" w:eastAsia="zh-CN" w:bidi="ar"/>
              </w:rPr>
              <w:t>项目经办人（签字）：</w:t>
            </w:r>
          </w:p>
        </w:tc>
        <w:tc>
          <w:tcPr>
            <w:tcW w:w="14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何德湘</w:t>
            </w:r>
          </w:p>
        </w:tc>
      </w:tr>
      <w:tr>
        <w:tblPrEx>
          <w:tblLayout w:type="fixed"/>
          <w:tblCellMar>
            <w:top w:w="0" w:type="dxa"/>
            <w:left w:w="0" w:type="dxa"/>
            <w:bottom w:w="0" w:type="dxa"/>
            <w:right w:w="0" w:type="dxa"/>
          </w:tblCellMar>
        </w:tblPrEx>
        <w:trPr>
          <w:trHeight w:val="270" w:hRule="atLeast"/>
          <w:jc w:val="center"/>
        </w:trPr>
        <w:tc>
          <w:tcPr>
            <w:tcW w:w="1307"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建</w:t>
            </w:r>
            <w:r>
              <w:rPr>
                <w:rStyle w:val="251"/>
                <w:rFonts w:eastAsia="宋体"/>
                <w:color w:val="auto"/>
                <w:lang w:val="en-US" w:eastAsia="zh-CN" w:bidi="ar"/>
              </w:rPr>
              <w:t xml:space="preserve"> </w:t>
            </w:r>
            <w:r>
              <w:rPr>
                <w:rFonts w:hint="eastAsia" w:ascii="宋体" w:hAnsi="宋体" w:eastAsia="宋体" w:cs="宋体"/>
                <w:b/>
                <w:i w:val="0"/>
                <w:color w:val="auto"/>
                <w:kern w:val="0"/>
                <w:sz w:val="22"/>
                <w:szCs w:val="22"/>
                <w:u w:val="none"/>
                <w:lang w:val="en-US" w:eastAsia="zh-CN" w:bidi="ar"/>
              </w:rPr>
              <w:t>设</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项</w:t>
            </w:r>
            <w:r>
              <w:rPr>
                <w:rStyle w:val="251"/>
                <w:rFonts w:eastAsia="宋体"/>
                <w:color w:val="auto"/>
                <w:lang w:val="en-US" w:eastAsia="zh-CN" w:bidi="ar"/>
              </w:rPr>
              <w:t xml:space="preserve"> </w:t>
            </w:r>
            <w:r>
              <w:rPr>
                <w:rFonts w:hint="eastAsia" w:ascii="宋体" w:hAnsi="宋体" w:eastAsia="宋体" w:cs="宋体"/>
                <w:b/>
                <w:i w:val="0"/>
                <w:color w:val="auto"/>
                <w:kern w:val="0"/>
                <w:sz w:val="22"/>
                <w:szCs w:val="22"/>
                <w:u w:val="none"/>
                <w:lang w:val="en-US" w:eastAsia="zh-CN" w:bidi="ar"/>
              </w:rPr>
              <w:t>目</w:t>
            </w: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项目名称</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液氨装车安全隐患治理项目</w:t>
            </w:r>
          </w:p>
        </w:tc>
        <w:tc>
          <w:tcPr>
            <w:tcW w:w="3530" w:type="dxa"/>
            <w:gridSpan w:val="2"/>
            <w:vMerge w:val="restart"/>
            <w:tcBorders>
              <w:top w:val="single" w:color="000000" w:sz="4" w:space="0"/>
              <w:left w:val="single" w:color="000000" w:sz="4" w:space="0"/>
              <w:bottom w:val="single" w:color="000000" w:sz="4" w:space="0"/>
              <w:right w:val="nil"/>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建设内容、规模</w:t>
            </w:r>
          </w:p>
        </w:tc>
        <w:tc>
          <w:tcPr>
            <w:tcW w:w="8214" w:type="dxa"/>
            <w:gridSpan w:val="5"/>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Style w:val="253"/>
                <w:color w:val="auto"/>
                <w:lang w:val="en-US" w:eastAsia="zh-CN" w:bidi="ar"/>
              </w:rPr>
              <w:t>（建设内容：</w:t>
            </w:r>
            <w:r>
              <w:rPr>
                <w:rStyle w:val="254"/>
                <w:color w:val="auto"/>
                <w:lang w:val="en-US" w:eastAsia="zh-CN" w:bidi="ar"/>
              </w:rPr>
              <w:t>新敷至液化气站装车管道及气相返回管道等。</w:t>
            </w:r>
            <w:r>
              <w:rPr>
                <w:rStyle w:val="255"/>
                <w:rFonts w:eastAsia="宋体"/>
                <w:color w:val="auto"/>
                <w:lang w:val="en-US" w:eastAsia="zh-CN" w:bidi="ar"/>
              </w:rPr>
              <w:t xml:space="preserve">   </w:t>
            </w:r>
            <w:r>
              <w:rPr>
                <w:rStyle w:val="253"/>
                <w:color w:val="auto"/>
                <w:lang w:val="en-US" w:eastAsia="zh-CN" w:bidi="ar"/>
              </w:rPr>
              <w:t>规模：</w:t>
            </w:r>
            <w:r>
              <w:rPr>
                <w:rStyle w:val="254"/>
                <w:color w:val="auto"/>
                <w:lang w:val="en-US" w:eastAsia="zh-CN" w:bidi="ar"/>
              </w:rPr>
              <w:t>4000吨/年。</w:t>
            </w:r>
            <w:r>
              <w:rPr>
                <w:rStyle w:val="255"/>
                <w:rFonts w:eastAsia="宋体"/>
                <w:color w:val="auto"/>
                <w:lang w:val="en-US" w:eastAsia="zh-CN" w:bidi="ar"/>
              </w:rPr>
              <w:t xml:space="preserve">   </w:t>
            </w:r>
            <w:r>
              <w:rPr>
                <w:rStyle w:val="253"/>
                <w:color w:val="auto"/>
                <w:lang w:val="en-US" w:eastAsia="zh-CN" w:bidi="ar"/>
              </w:rPr>
              <w:t>计量单位：</w:t>
            </w:r>
            <w:r>
              <w:rPr>
                <w:rStyle w:val="254"/>
                <w:color w:val="auto"/>
                <w:lang w:val="en-US" w:eastAsia="zh-CN" w:bidi="ar"/>
              </w:rPr>
              <w:t>吨</w:t>
            </w:r>
            <w:r>
              <w:rPr>
                <w:rStyle w:val="253"/>
                <w:color w:val="auto"/>
                <w:lang w:val="en-US" w:eastAsia="zh-CN" w:bidi="ar"/>
              </w:rPr>
              <w:t>）</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项目代码</w:t>
            </w:r>
            <w:r>
              <w:rPr>
                <w:rFonts w:hint="default" w:ascii="Times New Roman" w:hAnsi="Times New Roman" w:eastAsia="宋体" w:cs="Times New Roman"/>
                <w:b/>
                <w:i w:val="0"/>
                <w:color w:val="auto"/>
                <w:kern w:val="0"/>
                <w:sz w:val="18"/>
                <w:szCs w:val="18"/>
                <w:u w:val="none"/>
                <w:vertAlign w:val="superscript"/>
                <w:lang w:val="en-US" w:eastAsia="zh-CN" w:bidi="ar"/>
              </w:rPr>
              <w:t>1</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无</w:t>
            </w:r>
          </w:p>
        </w:tc>
        <w:tc>
          <w:tcPr>
            <w:tcW w:w="3530" w:type="dxa"/>
            <w:gridSpan w:val="2"/>
            <w:vMerge w:val="continue"/>
            <w:tcBorders>
              <w:top w:val="single" w:color="000000" w:sz="4" w:space="0"/>
              <w:left w:val="single" w:color="000000" w:sz="4" w:space="0"/>
              <w:bottom w:val="single" w:color="000000" w:sz="4" w:space="0"/>
              <w:right w:val="nil"/>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18"/>
                <w:szCs w:val="18"/>
                <w:u w:val="none"/>
              </w:rPr>
            </w:pPr>
          </w:p>
        </w:tc>
        <w:tc>
          <w:tcPr>
            <w:tcW w:w="8214"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sz w:val="18"/>
                <w:szCs w:val="18"/>
                <w:u w:val="none"/>
              </w:rPr>
            </w:pP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建设地点</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中国石化股份有限公司长岭分公司厂内</w:t>
            </w:r>
          </w:p>
        </w:tc>
        <w:tc>
          <w:tcPr>
            <w:tcW w:w="3530" w:type="dxa"/>
            <w:gridSpan w:val="2"/>
            <w:vMerge w:val="continue"/>
            <w:tcBorders>
              <w:top w:val="single" w:color="000000" w:sz="4" w:space="0"/>
              <w:left w:val="single" w:color="000000" w:sz="4" w:space="0"/>
              <w:bottom w:val="single" w:color="000000" w:sz="4" w:space="0"/>
              <w:right w:val="nil"/>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18"/>
                <w:szCs w:val="18"/>
                <w:u w:val="none"/>
              </w:rPr>
            </w:pPr>
          </w:p>
        </w:tc>
        <w:tc>
          <w:tcPr>
            <w:tcW w:w="8214"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sz w:val="18"/>
                <w:szCs w:val="18"/>
                <w:u w:val="none"/>
              </w:rPr>
            </w:pP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18"/>
                <w:szCs w:val="18"/>
                <w:u w:val="none"/>
              </w:rPr>
            </w:pPr>
            <w:r>
              <w:rPr>
                <w:rFonts w:hint="eastAsia" w:ascii="宋体" w:hAnsi="宋体" w:eastAsia="宋体" w:cs="宋体"/>
                <w:b/>
                <w:i w:val="0"/>
                <w:color w:val="auto"/>
                <w:kern w:val="0"/>
                <w:sz w:val="18"/>
                <w:szCs w:val="18"/>
                <w:u w:val="none"/>
                <w:lang w:val="en-US" w:eastAsia="zh-CN" w:bidi="ar"/>
              </w:rPr>
              <w:t>项目建设周期（月）</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 xml:space="preserve">6.0 </w:t>
            </w: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计划开工时间</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2019年8月</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环境影响评价行业类别</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十九、非金属矿物制品业、56其他非金属矿物制品</w:t>
            </w: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预计投产时间</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2020年2月</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建设性质</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cs="宋体"/>
                <w:i w:val="0"/>
                <w:color w:val="auto"/>
                <w:kern w:val="0"/>
                <w:sz w:val="18"/>
                <w:szCs w:val="18"/>
                <w:u w:val="single"/>
                <w:lang w:val="en-US" w:eastAsia="zh-CN" w:bidi="ar"/>
              </w:rPr>
              <w:t>技改</w:t>
            </w: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18"/>
                <w:szCs w:val="18"/>
                <w:u w:val="none"/>
              </w:rPr>
            </w:pPr>
            <w:r>
              <w:rPr>
                <w:rStyle w:val="252"/>
                <w:color w:val="auto"/>
                <w:lang w:val="en-US" w:eastAsia="zh-CN" w:bidi="ar"/>
              </w:rPr>
              <w:t>国民经济行业类型</w:t>
            </w:r>
            <w:r>
              <w:rPr>
                <w:rFonts w:hint="default" w:ascii="Times New Roman" w:hAnsi="Times New Roman" w:eastAsia="宋体" w:cs="Times New Roman"/>
                <w:b/>
                <w:i w:val="0"/>
                <w:color w:val="auto"/>
                <w:kern w:val="0"/>
                <w:sz w:val="18"/>
                <w:szCs w:val="18"/>
                <w:u w:val="none"/>
                <w:vertAlign w:val="superscript"/>
                <w:lang w:val="en-US" w:eastAsia="zh-CN" w:bidi="ar"/>
              </w:rPr>
              <w:t>2</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G5700</w:t>
            </w:r>
            <w:r>
              <w:rPr>
                <w:rStyle w:val="253"/>
                <w:color w:val="auto"/>
                <w:lang w:val="en-US" w:eastAsia="zh-CN" w:bidi="ar"/>
              </w:rPr>
              <w:t>管道运输业</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现有工程排污许可证编号</w:t>
            </w:r>
            <w:r>
              <w:rPr>
                <w:rStyle w:val="252"/>
                <w:color w:val="auto"/>
                <w:lang w:val="en-US" w:eastAsia="zh-CN" w:bidi="ar"/>
              </w:rPr>
              <w:br w:type="textWrapping"/>
            </w:r>
            <w:r>
              <w:rPr>
                <w:rStyle w:val="252"/>
                <w:color w:val="auto"/>
                <w:lang w:val="en-US" w:eastAsia="zh-CN" w:bidi="ar"/>
              </w:rPr>
              <w:t>（改、扩建项目）</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914306007170523427001P</w:t>
            </w:r>
          </w:p>
        </w:tc>
        <w:tc>
          <w:tcPr>
            <w:tcW w:w="3530" w:type="dxa"/>
            <w:gridSpan w:val="2"/>
            <w:tcBorders>
              <w:top w:val="single" w:color="000000" w:sz="4" w:space="0"/>
              <w:left w:val="single" w:color="000000" w:sz="4" w:space="0"/>
              <w:bottom w:val="nil"/>
              <w:right w:val="nil"/>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252"/>
                <w:color w:val="auto"/>
                <w:lang w:val="en-US" w:eastAsia="zh-CN" w:bidi="ar"/>
              </w:rPr>
              <w:t>项目申请类别</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编制报告书</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规划环评开展情况</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sz w:val="18"/>
                <w:szCs w:val="18"/>
                <w:u w:val="none"/>
              </w:rPr>
            </w:pP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规划环评文件名</w:t>
            </w:r>
          </w:p>
        </w:tc>
        <w:tc>
          <w:tcPr>
            <w:tcW w:w="1089" w:type="dxa"/>
            <w:tcBorders>
              <w:top w:val="nil"/>
              <w:left w:val="nil"/>
              <w:bottom w:val="nil"/>
              <w:right w:val="nil"/>
            </w:tcBorders>
            <w:shd w:val="clear" w:color="auto" w:fill="auto"/>
            <w:tcMar>
              <w:top w:w="15" w:type="dxa"/>
              <w:left w:w="15" w:type="dxa"/>
              <w:right w:w="15" w:type="dxa"/>
            </w:tcMar>
            <w:vAlign w:val="center"/>
          </w:tcPr>
          <w:p>
            <w:pPr>
              <w:rPr>
                <w:rFonts w:hint="eastAsia" w:ascii="宋体" w:hAnsi="宋体" w:eastAsia="宋体" w:cs="宋体"/>
                <w:i w:val="0"/>
                <w:color w:val="auto"/>
                <w:sz w:val="22"/>
                <w:szCs w:val="22"/>
                <w:u w:val="none"/>
              </w:rPr>
            </w:pPr>
          </w:p>
        </w:tc>
        <w:tc>
          <w:tcPr>
            <w:tcW w:w="2235" w:type="dxa"/>
            <w:tcBorders>
              <w:top w:val="nil"/>
              <w:left w:val="nil"/>
              <w:bottom w:val="nil"/>
              <w:right w:val="nil"/>
            </w:tcBorders>
            <w:shd w:val="clear" w:color="auto" w:fill="auto"/>
            <w:tcMar>
              <w:top w:w="15" w:type="dxa"/>
              <w:left w:w="15" w:type="dxa"/>
              <w:right w:w="15" w:type="dxa"/>
            </w:tcMar>
            <w:vAlign w:val="center"/>
          </w:tcPr>
          <w:p>
            <w:pPr>
              <w:rPr>
                <w:rFonts w:hint="eastAsia" w:ascii="宋体" w:hAnsi="宋体" w:eastAsia="宋体" w:cs="宋体"/>
                <w:i w:val="0"/>
                <w:color w:val="auto"/>
                <w:sz w:val="22"/>
                <w:szCs w:val="22"/>
                <w:u w:val="none"/>
              </w:rPr>
            </w:pPr>
          </w:p>
        </w:tc>
        <w:tc>
          <w:tcPr>
            <w:tcW w:w="3489" w:type="dxa"/>
            <w:tcBorders>
              <w:top w:val="nil"/>
              <w:left w:val="nil"/>
              <w:bottom w:val="nil"/>
              <w:right w:val="nil"/>
            </w:tcBorders>
            <w:shd w:val="clear" w:color="auto" w:fill="auto"/>
            <w:tcMar>
              <w:top w:w="15" w:type="dxa"/>
              <w:left w:w="15" w:type="dxa"/>
              <w:right w:w="15" w:type="dxa"/>
            </w:tcMar>
            <w:vAlign w:val="center"/>
          </w:tcPr>
          <w:p>
            <w:pPr>
              <w:rPr>
                <w:rFonts w:hint="eastAsia" w:ascii="宋体" w:hAnsi="宋体" w:eastAsia="宋体" w:cs="宋体"/>
                <w:i w:val="0"/>
                <w:color w:val="auto"/>
                <w:sz w:val="22"/>
                <w:szCs w:val="22"/>
                <w:u w:val="none"/>
              </w:rPr>
            </w:pPr>
          </w:p>
        </w:tc>
        <w:tc>
          <w:tcPr>
            <w:tcW w:w="702" w:type="dxa"/>
            <w:tcBorders>
              <w:top w:val="nil"/>
              <w:left w:val="nil"/>
              <w:bottom w:val="nil"/>
              <w:right w:val="nil"/>
            </w:tcBorders>
            <w:shd w:val="clear" w:color="auto" w:fill="auto"/>
            <w:tcMar>
              <w:top w:w="15" w:type="dxa"/>
              <w:left w:w="15" w:type="dxa"/>
              <w:right w:w="15" w:type="dxa"/>
            </w:tcMar>
            <w:vAlign w:val="center"/>
          </w:tcPr>
          <w:p>
            <w:pPr>
              <w:rPr>
                <w:rFonts w:hint="eastAsia" w:ascii="宋体" w:hAnsi="宋体" w:eastAsia="宋体" w:cs="宋体"/>
                <w:i w:val="0"/>
                <w:color w:val="auto"/>
                <w:sz w:val="22"/>
                <w:szCs w:val="22"/>
                <w:u w:val="none"/>
              </w:rPr>
            </w:pPr>
          </w:p>
        </w:tc>
        <w:tc>
          <w:tcPr>
            <w:tcW w:w="699" w:type="dxa"/>
            <w:tcBorders>
              <w:top w:val="nil"/>
              <w:left w:val="nil"/>
              <w:bottom w:val="nil"/>
              <w:right w:val="nil"/>
            </w:tcBorders>
            <w:shd w:val="clear" w:color="auto" w:fill="auto"/>
            <w:tcMar>
              <w:top w:w="15" w:type="dxa"/>
              <w:left w:w="15" w:type="dxa"/>
              <w:right w:w="15" w:type="dxa"/>
            </w:tcMar>
            <w:vAlign w:val="center"/>
          </w:tcPr>
          <w:p>
            <w:pPr>
              <w:rPr>
                <w:rFonts w:hint="eastAsia" w:ascii="宋体" w:hAnsi="宋体" w:eastAsia="宋体" w:cs="宋体"/>
                <w:i w:val="0"/>
                <w:color w:val="auto"/>
                <w:sz w:val="22"/>
                <w:szCs w:val="22"/>
                <w:u w:val="none"/>
              </w:rPr>
            </w:pP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规划环评审查机关</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sz w:val="18"/>
                <w:szCs w:val="18"/>
                <w:u w:val="none"/>
              </w:rPr>
            </w:pP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规划环评审查意见文号</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sz w:val="18"/>
                <w:szCs w:val="18"/>
                <w:u w:val="none"/>
              </w:rPr>
            </w:pPr>
          </w:p>
        </w:tc>
      </w:tr>
      <w:tr>
        <w:tblPrEx>
          <w:tblLayout w:type="fixed"/>
          <w:tblCellMar>
            <w:top w:w="0" w:type="dxa"/>
            <w:left w:w="0" w:type="dxa"/>
            <w:bottom w:w="0" w:type="dxa"/>
            <w:right w:w="0" w:type="dxa"/>
          </w:tblCellMar>
        </w:tblPrEx>
        <w:trPr>
          <w:trHeight w:val="28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建设地点中心坐标</w:t>
            </w:r>
            <w:r>
              <w:rPr>
                <w:rFonts w:hint="default" w:ascii="Times New Roman" w:hAnsi="Times New Roman" w:eastAsia="宋体" w:cs="Times New Roman"/>
                <w:b/>
                <w:i w:val="0"/>
                <w:color w:val="auto"/>
                <w:kern w:val="0"/>
                <w:sz w:val="18"/>
                <w:szCs w:val="18"/>
                <w:u w:val="none"/>
                <w:vertAlign w:val="superscript"/>
                <w:lang w:val="en-US" w:eastAsia="zh-CN" w:bidi="ar"/>
              </w:rPr>
              <w:t>3</w:t>
            </w:r>
            <w:r>
              <w:rPr>
                <w:rFonts w:hint="default" w:ascii="Times New Roman" w:hAnsi="Times New Roman" w:eastAsia="宋体" w:cs="Times New Roman"/>
                <w:b/>
                <w:i w:val="0"/>
                <w:color w:val="auto"/>
                <w:kern w:val="0"/>
                <w:sz w:val="18"/>
                <w:szCs w:val="18"/>
                <w:u w:val="none"/>
                <w:vertAlign w:val="superscript"/>
                <w:lang w:val="en-US" w:eastAsia="zh-CN" w:bidi="ar"/>
              </w:rPr>
              <w:br w:type="textWrapping"/>
            </w:r>
            <w:r>
              <w:rPr>
                <w:rStyle w:val="252"/>
                <w:color w:val="auto"/>
                <w:lang w:val="en-US" w:eastAsia="zh-CN" w:bidi="ar"/>
              </w:rPr>
              <w:t>（非线性工程）</w:t>
            </w:r>
          </w:p>
        </w:tc>
        <w:tc>
          <w:tcPr>
            <w:tcW w:w="138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经度</w:t>
            </w:r>
          </w:p>
        </w:tc>
        <w:tc>
          <w:tcPr>
            <w:tcW w:w="1710" w:type="dxa"/>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ascii="Calibri" w:hAnsi="Calibri" w:eastAsia="宋体" w:cs="Calibri"/>
                <w:i w:val="0"/>
                <w:color w:val="auto"/>
                <w:sz w:val="21"/>
                <w:szCs w:val="21"/>
                <w:u w:val="none"/>
              </w:rPr>
            </w:pPr>
            <w:r>
              <w:rPr>
                <w:rFonts w:hint="default" w:ascii="Calibri" w:hAnsi="Calibri" w:eastAsia="宋体" w:cs="Calibri"/>
                <w:i w:val="0"/>
                <w:color w:val="auto"/>
                <w:kern w:val="0"/>
                <w:sz w:val="21"/>
                <w:szCs w:val="21"/>
                <w:u w:val="none"/>
                <w:lang w:val="en-US" w:eastAsia="zh-CN" w:bidi="ar"/>
              </w:rPr>
              <w:t>113.37244</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纬度</w:t>
            </w:r>
          </w:p>
        </w:tc>
        <w:tc>
          <w:tcPr>
            <w:tcW w:w="1485" w:type="dxa"/>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default" w:ascii="Calibri" w:hAnsi="Calibri" w:eastAsia="宋体" w:cs="Calibri"/>
                <w:i w:val="0"/>
                <w:color w:val="auto"/>
                <w:sz w:val="21"/>
                <w:szCs w:val="21"/>
                <w:u w:val="none"/>
              </w:rPr>
            </w:pPr>
            <w:r>
              <w:rPr>
                <w:rFonts w:hint="default" w:ascii="Calibri" w:hAnsi="Calibri" w:eastAsia="宋体" w:cs="Calibri"/>
                <w:i w:val="0"/>
                <w:color w:val="auto"/>
                <w:kern w:val="0"/>
                <w:sz w:val="21"/>
                <w:szCs w:val="21"/>
                <w:u w:val="none"/>
                <w:lang w:val="en-US" w:eastAsia="zh-CN" w:bidi="ar"/>
              </w:rPr>
              <w:t>29.541476</w:t>
            </w:r>
          </w:p>
        </w:tc>
        <w:tc>
          <w:tcPr>
            <w:tcW w:w="353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环境影响评价文件类别</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18"/>
                <w:szCs w:val="18"/>
                <w:u w:val="none"/>
              </w:rPr>
            </w:pPr>
            <w:r>
              <w:rPr>
                <w:rFonts w:hint="eastAsia" w:ascii="宋体" w:hAnsi="宋体" w:eastAsia="宋体" w:cs="宋体"/>
                <w:b/>
                <w:i w:val="0"/>
                <w:color w:val="auto"/>
                <w:kern w:val="0"/>
                <w:sz w:val="18"/>
                <w:szCs w:val="18"/>
                <w:u w:val="none"/>
                <w:lang w:val="en-US" w:eastAsia="zh-CN" w:bidi="ar"/>
              </w:rPr>
              <w:t>报告书</w:t>
            </w:r>
          </w:p>
        </w:tc>
      </w:tr>
      <w:tr>
        <w:tblPrEx>
          <w:tblLayout w:type="fixed"/>
          <w:tblCellMar>
            <w:top w:w="0" w:type="dxa"/>
            <w:left w:w="0" w:type="dxa"/>
            <w:bottom w:w="0" w:type="dxa"/>
            <w:right w:w="0" w:type="dxa"/>
          </w:tblCellMar>
        </w:tblPrEx>
        <w:trPr>
          <w:trHeight w:val="45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建设地点坐标（线性工程）</w:t>
            </w:r>
          </w:p>
        </w:tc>
        <w:tc>
          <w:tcPr>
            <w:tcW w:w="138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起点经度</w:t>
            </w: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Fonts w:hint="default" w:ascii="Times New Roman" w:hAnsi="Times New Roman" w:eastAsia="宋体" w:cs="Times New Roman"/>
                <w:b/>
                <w:i w:val="0"/>
                <w:color w:val="auto"/>
                <w:kern w:val="0"/>
                <w:sz w:val="18"/>
                <w:szCs w:val="18"/>
                <w:u w:val="none"/>
                <w:lang w:val="en-US" w:eastAsia="zh-CN" w:bidi="ar"/>
              </w:rPr>
              <w:t xml:space="preserve">113.379600 </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起点纬度</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default" w:ascii="Times New Roman" w:hAnsi="Times New Roman" w:eastAsia="宋体" w:cs="Times New Roman"/>
                <w:b/>
                <w:i w:val="0"/>
                <w:color w:val="auto"/>
                <w:sz w:val="18"/>
                <w:szCs w:val="18"/>
                <w:u w:val="none"/>
              </w:rPr>
            </w:pPr>
            <w:r>
              <w:rPr>
                <w:rFonts w:hint="default" w:ascii="Times New Roman" w:hAnsi="Times New Roman" w:eastAsia="宋体" w:cs="Times New Roman"/>
                <w:b/>
                <w:i w:val="0"/>
                <w:color w:val="auto"/>
                <w:kern w:val="0"/>
                <w:sz w:val="18"/>
                <w:szCs w:val="18"/>
                <w:u w:val="none"/>
                <w:lang w:val="en-US" w:eastAsia="zh-CN" w:bidi="ar"/>
              </w:rPr>
              <w:t xml:space="preserve">29.543000 </w:t>
            </w:r>
          </w:p>
        </w:tc>
        <w:tc>
          <w:tcPr>
            <w:tcW w:w="206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终点经度</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both"/>
              <w:textAlignment w:val="center"/>
              <w:rPr>
                <w:rFonts w:hint="default" w:ascii="Times New Roman" w:hAnsi="Times New Roman" w:eastAsia="宋体" w:cs="Times New Roman"/>
                <w:b/>
                <w:i w:val="0"/>
                <w:color w:val="auto"/>
                <w:sz w:val="18"/>
                <w:szCs w:val="18"/>
                <w:u w:val="none"/>
              </w:rPr>
            </w:pPr>
            <w:r>
              <w:rPr>
                <w:rFonts w:hint="default" w:ascii="Times New Roman" w:hAnsi="Times New Roman" w:eastAsia="宋体" w:cs="Times New Roman"/>
                <w:b/>
                <w:i w:val="0"/>
                <w:color w:val="auto"/>
                <w:kern w:val="0"/>
                <w:sz w:val="18"/>
                <w:szCs w:val="18"/>
                <w:u w:val="none"/>
                <w:lang w:val="en-US" w:eastAsia="zh-CN" w:bidi="ar"/>
              </w:rPr>
              <w:t xml:space="preserve">113.371500 </w:t>
            </w:r>
          </w:p>
        </w:tc>
        <w:tc>
          <w:tcPr>
            <w:tcW w:w="10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终点纬度</w:t>
            </w:r>
          </w:p>
        </w:tc>
        <w:tc>
          <w:tcPr>
            <w:tcW w:w="2235" w:type="dxa"/>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 xml:space="preserve">29.543300 </w:t>
            </w:r>
          </w:p>
        </w:tc>
        <w:tc>
          <w:tcPr>
            <w:tcW w:w="34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工程长度（千米）</w:t>
            </w:r>
          </w:p>
        </w:tc>
        <w:tc>
          <w:tcPr>
            <w:tcW w:w="14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 xml:space="preserve">1.90 </w:t>
            </w:r>
          </w:p>
        </w:tc>
      </w:tr>
      <w:tr>
        <w:tblPrEx>
          <w:tblLayout w:type="fixed"/>
          <w:tblCellMar>
            <w:top w:w="0" w:type="dxa"/>
            <w:left w:w="0" w:type="dxa"/>
            <w:bottom w:w="0" w:type="dxa"/>
            <w:right w:w="0" w:type="dxa"/>
          </w:tblCellMar>
        </w:tblPrEx>
        <w:trPr>
          <w:trHeight w:val="46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总投资（万元）</w:t>
            </w:r>
          </w:p>
        </w:tc>
        <w:tc>
          <w:tcPr>
            <w:tcW w:w="56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 xml:space="preserve">237.66 </w:t>
            </w:r>
          </w:p>
        </w:tc>
        <w:tc>
          <w:tcPr>
            <w:tcW w:w="3530" w:type="dxa"/>
            <w:gridSpan w:val="2"/>
            <w:tcBorders>
              <w:top w:val="single" w:color="000000" w:sz="4" w:space="0"/>
              <w:left w:val="single" w:color="000000" w:sz="4" w:space="0"/>
              <w:bottom w:val="nil"/>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环保投资（万元）</w:t>
            </w:r>
          </w:p>
        </w:tc>
        <w:tc>
          <w:tcPr>
            <w:tcW w:w="332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 xml:space="preserve">35.00 </w:t>
            </w:r>
          </w:p>
        </w:tc>
        <w:tc>
          <w:tcPr>
            <w:tcW w:w="34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所占比例（</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w:t>
            </w:r>
          </w:p>
        </w:tc>
        <w:tc>
          <w:tcPr>
            <w:tcW w:w="14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1.50%</w:t>
            </w:r>
          </w:p>
        </w:tc>
      </w:tr>
      <w:tr>
        <w:tblPrEx>
          <w:tblLayout w:type="fixed"/>
          <w:tblCellMar>
            <w:top w:w="0" w:type="dxa"/>
            <w:left w:w="0" w:type="dxa"/>
            <w:bottom w:w="0" w:type="dxa"/>
            <w:right w:w="0" w:type="dxa"/>
          </w:tblCellMar>
        </w:tblPrEx>
        <w:trPr>
          <w:trHeight w:val="270" w:hRule="atLeast"/>
          <w:jc w:val="center"/>
        </w:trPr>
        <w:tc>
          <w:tcPr>
            <w:tcW w:w="1307"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建</w:t>
            </w:r>
            <w:r>
              <w:rPr>
                <w:rStyle w:val="251"/>
                <w:rFonts w:eastAsia="宋体"/>
                <w:color w:val="auto"/>
                <w:lang w:val="en-US" w:eastAsia="zh-CN" w:bidi="ar"/>
              </w:rPr>
              <w:t xml:space="preserve"> </w:t>
            </w:r>
            <w:r>
              <w:rPr>
                <w:rFonts w:hint="eastAsia" w:ascii="宋体" w:hAnsi="宋体" w:eastAsia="宋体" w:cs="宋体"/>
                <w:b/>
                <w:i w:val="0"/>
                <w:color w:val="auto"/>
                <w:kern w:val="0"/>
                <w:sz w:val="22"/>
                <w:szCs w:val="22"/>
                <w:u w:val="none"/>
                <w:lang w:val="en-US" w:eastAsia="zh-CN" w:bidi="ar"/>
              </w:rPr>
              <w:t>设</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单</w:t>
            </w:r>
            <w:r>
              <w:rPr>
                <w:rStyle w:val="251"/>
                <w:rFonts w:eastAsia="宋体"/>
                <w:color w:val="auto"/>
                <w:lang w:val="en-US" w:eastAsia="zh-CN" w:bidi="ar"/>
              </w:rPr>
              <w:t xml:space="preserve"> </w:t>
            </w:r>
            <w:r>
              <w:rPr>
                <w:rFonts w:hint="eastAsia" w:ascii="宋体" w:hAnsi="宋体" w:eastAsia="宋体" w:cs="宋体"/>
                <w:b/>
                <w:i w:val="0"/>
                <w:color w:val="auto"/>
                <w:kern w:val="0"/>
                <w:sz w:val="22"/>
                <w:szCs w:val="22"/>
                <w:u w:val="none"/>
                <w:lang w:val="en-US" w:eastAsia="zh-CN" w:bidi="ar"/>
              </w:rPr>
              <w:t>位</w:t>
            </w: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单位名称</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中国石油化工股份有限公司长岭分公司</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法人代表</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王妙云</w:t>
            </w:r>
          </w:p>
        </w:tc>
        <w:tc>
          <w:tcPr>
            <w:tcW w:w="2060"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评价</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单位</w:t>
            </w:r>
          </w:p>
        </w:tc>
        <w:tc>
          <w:tcPr>
            <w:tcW w:w="147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单位名称</w:t>
            </w:r>
          </w:p>
        </w:tc>
        <w:tc>
          <w:tcPr>
            <w:tcW w:w="332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湖南旌旗环保科技有限公司</w:t>
            </w:r>
          </w:p>
        </w:tc>
        <w:tc>
          <w:tcPr>
            <w:tcW w:w="34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证书编号</w:t>
            </w:r>
          </w:p>
        </w:tc>
        <w:tc>
          <w:tcPr>
            <w:tcW w:w="14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w:t>
            </w:r>
          </w:p>
        </w:tc>
      </w:tr>
      <w:tr>
        <w:tblPrEx>
          <w:tblLayout w:type="fixed"/>
          <w:tblCellMar>
            <w:top w:w="0" w:type="dxa"/>
            <w:left w:w="0" w:type="dxa"/>
            <w:bottom w:w="0" w:type="dxa"/>
            <w:right w:w="0" w:type="dxa"/>
          </w:tblCellMar>
        </w:tblPrEx>
        <w:trPr>
          <w:trHeight w:val="45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统一社会信用代码</w:t>
            </w:r>
            <w:r>
              <w:rPr>
                <w:rStyle w:val="252"/>
                <w:color w:val="auto"/>
                <w:lang w:val="en-US" w:eastAsia="zh-CN" w:bidi="ar"/>
              </w:rPr>
              <w:br w:type="textWrapping"/>
            </w:r>
            <w:r>
              <w:rPr>
                <w:rStyle w:val="252"/>
                <w:color w:val="auto"/>
                <w:lang w:val="en-US" w:eastAsia="zh-CN" w:bidi="ar"/>
              </w:rPr>
              <w:t>（组织机构代码）</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914306007170523427</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技术负责人</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何德湘</w:t>
            </w:r>
          </w:p>
        </w:tc>
        <w:tc>
          <w:tcPr>
            <w:tcW w:w="2060"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环评文件项目负责人</w:t>
            </w:r>
          </w:p>
        </w:tc>
        <w:tc>
          <w:tcPr>
            <w:tcW w:w="332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李杏</w:t>
            </w:r>
          </w:p>
        </w:tc>
        <w:tc>
          <w:tcPr>
            <w:tcW w:w="34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联系电话</w:t>
            </w:r>
          </w:p>
        </w:tc>
        <w:tc>
          <w:tcPr>
            <w:tcW w:w="14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15842899467</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通讯地址</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湖南省云溪区路口铺</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联系电话</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15173011313</w:t>
            </w:r>
          </w:p>
        </w:tc>
        <w:tc>
          <w:tcPr>
            <w:tcW w:w="2060"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通讯地址</w:t>
            </w:r>
          </w:p>
        </w:tc>
        <w:tc>
          <w:tcPr>
            <w:tcW w:w="8214"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18"/>
                <w:szCs w:val="18"/>
                <w:u w:val="none"/>
              </w:rPr>
            </w:pPr>
            <w:r>
              <w:rPr>
                <w:rFonts w:hint="eastAsia" w:ascii="宋体" w:hAnsi="宋体" w:eastAsia="宋体" w:cs="宋体"/>
                <w:i w:val="0"/>
                <w:color w:val="auto"/>
                <w:kern w:val="0"/>
                <w:sz w:val="18"/>
                <w:szCs w:val="18"/>
                <w:u w:val="none"/>
                <w:lang w:val="en-US" w:eastAsia="zh-CN" w:bidi="ar"/>
              </w:rPr>
              <w:t>湖南岳阳楼区亮山花园1栋202</w:t>
            </w:r>
          </w:p>
        </w:tc>
      </w:tr>
      <w:tr>
        <w:tblPrEx>
          <w:tblLayout w:type="fixed"/>
          <w:tblCellMar>
            <w:top w:w="0" w:type="dxa"/>
            <w:left w:w="0" w:type="dxa"/>
            <w:bottom w:w="0" w:type="dxa"/>
            <w:right w:w="0" w:type="dxa"/>
          </w:tblCellMar>
        </w:tblPrEx>
        <w:trPr>
          <w:trHeight w:val="675" w:hRule="atLeast"/>
          <w:jc w:val="center"/>
        </w:trPr>
        <w:tc>
          <w:tcPr>
            <w:tcW w:w="1307"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污</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染</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物</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排</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放</w:t>
            </w:r>
            <w:r>
              <w:rPr>
                <w:rFonts w:hint="eastAsia" w:ascii="宋体" w:hAnsi="宋体" w:eastAsia="宋体" w:cs="宋体"/>
                <w:b/>
                <w:i w:val="0"/>
                <w:color w:val="auto"/>
                <w:kern w:val="0"/>
                <w:sz w:val="22"/>
                <w:szCs w:val="22"/>
                <w:u w:val="none"/>
                <w:lang w:val="en-US" w:eastAsia="zh-CN" w:bidi="ar"/>
              </w:rPr>
              <w:br w:type="textWrapping"/>
            </w:r>
            <w:r>
              <w:rPr>
                <w:rFonts w:hint="eastAsia" w:ascii="宋体" w:hAnsi="宋体" w:eastAsia="宋体" w:cs="宋体"/>
                <w:b/>
                <w:i w:val="0"/>
                <w:color w:val="auto"/>
                <w:kern w:val="0"/>
                <w:sz w:val="22"/>
                <w:szCs w:val="22"/>
                <w:u w:val="none"/>
                <w:lang w:val="en-US" w:eastAsia="zh-CN" w:bidi="ar"/>
              </w:rPr>
              <w:t>量</w:t>
            </w:r>
          </w:p>
        </w:tc>
        <w:tc>
          <w:tcPr>
            <w:tcW w:w="1784"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污染物</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现有工程</w:t>
            </w:r>
            <w:r>
              <w:rPr>
                <w:rStyle w:val="252"/>
                <w:color w:val="auto"/>
                <w:lang w:val="en-US" w:eastAsia="zh-CN" w:bidi="ar"/>
              </w:rPr>
              <w:br w:type="textWrapping"/>
            </w:r>
            <w:r>
              <w:rPr>
                <w:rStyle w:val="252"/>
                <w:color w:val="auto"/>
                <w:lang w:val="en-US" w:eastAsia="zh-CN" w:bidi="ar"/>
              </w:rPr>
              <w:t>（已建</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在建）</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本工程</w:t>
            </w:r>
            <w:r>
              <w:rPr>
                <w:rStyle w:val="252"/>
                <w:color w:val="auto"/>
                <w:lang w:val="en-US" w:eastAsia="zh-CN" w:bidi="ar"/>
              </w:rPr>
              <w:br w:type="textWrapping"/>
            </w:r>
            <w:r>
              <w:rPr>
                <w:rStyle w:val="252"/>
                <w:color w:val="auto"/>
                <w:lang w:val="en-US" w:eastAsia="zh-CN" w:bidi="ar"/>
              </w:rPr>
              <w:t>（拟建或调整变更）</w:t>
            </w:r>
          </w:p>
        </w:tc>
        <w:tc>
          <w:tcPr>
            <w:tcW w:w="6104" w:type="dxa"/>
            <w:gridSpan w:val="4"/>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总体工程</w:t>
            </w:r>
            <w:r>
              <w:rPr>
                <w:rStyle w:val="256"/>
                <w:color w:val="auto"/>
                <w:lang w:val="en-US" w:eastAsia="zh-CN" w:bidi="ar"/>
              </w:rPr>
              <w:br w:type="textWrapping"/>
            </w:r>
            <w:r>
              <w:rPr>
                <w:rStyle w:val="256"/>
                <w:color w:val="auto"/>
                <w:lang w:val="en-US" w:eastAsia="zh-CN" w:bidi="ar"/>
              </w:rPr>
              <w:t>（已建</w:t>
            </w:r>
            <w:r>
              <w:rPr>
                <w:rStyle w:val="257"/>
                <w:rFonts w:eastAsia="宋体"/>
                <w:color w:val="auto"/>
                <w:lang w:val="en-US" w:eastAsia="zh-CN" w:bidi="ar"/>
              </w:rPr>
              <w:t>+</w:t>
            </w:r>
            <w:r>
              <w:rPr>
                <w:rStyle w:val="256"/>
                <w:color w:val="auto"/>
                <w:lang w:val="en-US" w:eastAsia="zh-CN" w:bidi="ar"/>
              </w:rPr>
              <w:t>在建</w:t>
            </w:r>
            <w:r>
              <w:rPr>
                <w:rStyle w:val="257"/>
                <w:rFonts w:eastAsia="宋体"/>
                <w:color w:val="auto"/>
                <w:lang w:val="en-US" w:eastAsia="zh-CN" w:bidi="ar"/>
              </w:rPr>
              <w:t>+</w:t>
            </w:r>
            <w:r>
              <w:rPr>
                <w:rStyle w:val="256"/>
                <w:color w:val="auto"/>
                <w:lang w:val="en-US" w:eastAsia="zh-CN" w:bidi="ar"/>
              </w:rPr>
              <w:t>拟建或调整变更）</w:t>
            </w:r>
          </w:p>
        </w:tc>
        <w:tc>
          <w:tcPr>
            <w:tcW w:w="7125" w:type="dxa"/>
            <w:gridSpan w:val="4"/>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排放方式</w:t>
            </w:r>
          </w:p>
        </w:tc>
      </w:tr>
      <w:tr>
        <w:tblPrEx>
          <w:tblLayout w:type="fixed"/>
          <w:tblCellMar>
            <w:top w:w="0" w:type="dxa"/>
            <w:left w:w="0" w:type="dxa"/>
            <w:bottom w:w="0" w:type="dxa"/>
            <w:right w:w="0" w:type="dxa"/>
          </w:tblCellMar>
        </w:tblPrEx>
        <w:trPr>
          <w:trHeight w:val="69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78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8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①实际排放量</w:t>
            </w:r>
            <w:r>
              <w:rPr>
                <w:rStyle w:val="252"/>
                <w:color w:val="auto"/>
                <w:lang w:val="en-US" w:eastAsia="zh-CN" w:bidi="ar"/>
              </w:rPr>
              <w:br w:type="textWrapping"/>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71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②许可排放量</w:t>
            </w:r>
            <w:r>
              <w:rPr>
                <w:rStyle w:val="252"/>
                <w:color w:val="auto"/>
                <w:lang w:val="en-US" w:eastAsia="zh-CN" w:bidi="ar"/>
              </w:rPr>
              <w:br w:type="textWrapping"/>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113"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③预测排放量</w:t>
            </w:r>
            <w:r>
              <w:rPr>
                <w:rStyle w:val="252"/>
                <w:color w:val="auto"/>
                <w:lang w:val="en-US" w:eastAsia="zh-CN" w:bidi="ar"/>
              </w:rPr>
              <w:br w:type="textWrapping"/>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485"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④</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以新带老</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削减量（吨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206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⑤区域</w:t>
            </w:r>
            <w:r>
              <w:rPr>
                <w:rStyle w:val="256"/>
                <w:color w:val="auto"/>
                <w:lang w:val="en-US" w:eastAsia="zh-CN" w:bidi="ar"/>
              </w:rPr>
              <w:t>平衡替代本工程</w:t>
            </w:r>
            <w:r>
              <w:rPr>
                <w:rStyle w:val="252"/>
                <w:color w:val="auto"/>
                <w:lang w:val="en-US" w:eastAsia="zh-CN" w:bidi="ar"/>
              </w:rPr>
              <w:t>削减量</w:t>
            </w:r>
            <w:r>
              <w:rPr>
                <w:rFonts w:hint="default" w:ascii="Times New Roman" w:hAnsi="Times New Roman" w:eastAsia="宋体" w:cs="Times New Roman"/>
                <w:b/>
                <w:i w:val="0"/>
                <w:color w:val="auto"/>
                <w:kern w:val="0"/>
                <w:sz w:val="18"/>
                <w:szCs w:val="18"/>
                <w:u w:val="none"/>
                <w:vertAlign w:val="superscript"/>
                <w:lang w:val="en-US" w:eastAsia="zh-CN" w:bidi="ar"/>
              </w:rPr>
              <w:t>4</w:t>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47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⑥预测排放总量</w:t>
            </w:r>
            <w:r>
              <w:rPr>
                <w:rStyle w:val="252"/>
                <w:color w:val="auto"/>
                <w:lang w:val="en-US" w:eastAsia="zh-CN" w:bidi="ar"/>
              </w:rPr>
              <w:br w:type="textWrapping"/>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0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⑦排放增减量</w:t>
            </w:r>
            <w:r>
              <w:rPr>
                <w:rStyle w:val="252"/>
                <w:color w:val="auto"/>
                <w:lang w:val="en-US" w:eastAsia="zh-CN" w:bidi="ar"/>
              </w:rPr>
              <w:br w:type="textWrapping"/>
            </w:r>
            <w:r>
              <w:rPr>
                <w:rStyle w:val="252"/>
                <w:color w:val="auto"/>
                <w:lang w:val="en-US" w:eastAsia="zh-CN" w:bidi="ar"/>
              </w:rPr>
              <w:t>（吨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7125" w:type="dxa"/>
            <w:gridSpan w:val="4"/>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18"/>
                <w:szCs w:val="18"/>
                <w:u w:val="none"/>
              </w:rPr>
            </w:pPr>
          </w:p>
        </w:tc>
      </w:tr>
      <w:tr>
        <w:tblPrEx>
          <w:tblLayout w:type="fixed"/>
          <w:tblCellMar>
            <w:top w:w="0" w:type="dxa"/>
            <w:left w:w="0" w:type="dxa"/>
            <w:bottom w:w="0" w:type="dxa"/>
            <w:right w:w="0" w:type="dxa"/>
          </w:tblCellMar>
        </w:tblPrEx>
        <w:trPr>
          <w:trHeight w:val="28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废水</w:t>
            </w: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废水量</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万吨</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r>
              <w:rPr>
                <w:rFonts w:hint="default" w:ascii="Times New Roman" w:hAnsi="Times New Roman" w:eastAsia="宋体" w:cs="Times New Roman"/>
                <w:b/>
                <w:i w:val="0"/>
                <w:color w:val="auto"/>
                <w:kern w:val="0"/>
                <w:sz w:val="18"/>
                <w:szCs w:val="18"/>
                <w:u w:val="none"/>
                <w:lang w:val="en-US" w:eastAsia="zh-CN" w:bidi="ar"/>
              </w:rPr>
              <w:t>)</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keepNext w:val="0"/>
              <w:keepLines w:val="0"/>
              <w:widowControl/>
              <w:suppressLineNumbers w:val="0"/>
              <w:jc w:val="right"/>
              <w:textAlignment w:val="bottom"/>
              <w:rPr>
                <w:rFonts w:hint="default" w:ascii="Calibri" w:hAnsi="Calibri" w:eastAsia="宋体" w:cs="Calibri"/>
                <w:i w:val="0"/>
                <w:color w:val="auto"/>
                <w:sz w:val="21"/>
                <w:szCs w:val="21"/>
                <w:u w:val="none"/>
              </w:rPr>
            </w:pPr>
            <w:r>
              <w:rPr>
                <w:rFonts w:hint="default" w:ascii="Calibri" w:hAnsi="Calibri" w:eastAsia="宋体" w:cs="Calibri"/>
                <w:i w:val="0"/>
                <w:color w:val="auto"/>
                <w:kern w:val="0"/>
                <w:sz w:val="21"/>
                <w:szCs w:val="21"/>
                <w:u w:val="none"/>
                <w:lang w:val="en-US" w:eastAsia="zh-CN" w:bidi="ar"/>
              </w:rPr>
              <w:t>504.98</w:t>
            </w: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b/>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0.000 </w:t>
            </w: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2235" w:type="dxa"/>
            <w:tcBorders>
              <w:top w:val="single" w:color="000000" w:sz="4" w:space="0"/>
              <w:left w:val="single" w:color="000000" w:sz="4" w:space="0"/>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不排放</w:t>
            </w:r>
          </w:p>
        </w:tc>
        <w:tc>
          <w:tcPr>
            <w:tcW w:w="3489" w:type="dxa"/>
            <w:tcBorders>
              <w:top w:val="single" w:color="000000" w:sz="4" w:space="0"/>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p>
        </w:tc>
        <w:tc>
          <w:tcPr>
            <w:tcW w:w="702" w:type="dxa"/>
            <w:tcBorders>
              <w:top w:val="single" w:color="000000" w:sz="4" w:space="0"/>
              <w:left w:val="nil"/>
              <w:bottom w:val="nil"/>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699" w:type="dxa"/>
            <w:tcBorders>
              <w:top w:val="single" w:color="000000" w:sz="4" w:space="0"/>
              <w:left w:val="nil"/>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r>
      <w:tr>
        <w:tblPrEx>
          <w:tblLayout w:type="fixed"/>
          <w:tblCellMar>
            <w:top w:w="0" w:type="dxa"/>
            <w:left w:w="0" w:type="dxa"/>
            <w:bottom w:w="0" w:type="dxa"/>
            <w:right w:w="0" w:type="dxa"/>
          </w:tblCellMar>
        </w:tblPrEx>
        <w:trPr>
          <w:trHeight w:val="28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Fonts w:hint="default" w:ascii="Times New Roman" w:hAnsi="Times New Roman" w:eastAsia="宋体" w:cs="Times New Roman"/>
                <w:b/>
                <w:i w:val="0"/>
                <w:color w:val="auto"/>
                <w:kern w:val="0"/>
                <w:sz w:val="18"/>
                <w:szCs w:val="18"/>
                <w:u w:val="none"/>
                <w:lang w:val="en-US" w:eastAsia="zh-CN" w:bidi="ar"/>
              </w:rPr>
              <w:t>COD</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keepNext w:val="0"/>
              <w:keepLines w:val="0"/>
              <w:widowControl/>
              <w:suppressLineNumbers w:val="0"/>
              <w:jc w:val="right"/>
              <w:textAlignment w:val="bottom"/>
              <w:rPr>
                <w:rFonts w:hint="default" w:ascii="Calibri" w:hAnsi="Calibri" w:eastAsia="宋体" w:cs="Calibri"/>
                <w:i w:val="0"/>
                <w:color w:val="auto"/>
                <w:sz w:val="21"/>
                <w:szCs w:val="21"/>
                <w:u w:val="none"/>
              </w:rPr>
            </w:pPr>
            <w:r>
              <w:rPr>
                <w:rFonts w:hint="default" w:ascii="Calibri" w:hAnsi="Calibri" w:eastAsia="宋体" w:cs="Calibri"/>
                <w:i w:val="0"/>
                <w:color w:val="auto"/>
                <w:kern w:val="0"/>
                <w:sz w:val="21"/>
                <w:szCs w:val="21"/>
                <w:u w:val="none"/>
                <w:lang w:val="en-US" w:eastAsia="zh-CN" w:bidi="ar"/>
              </w:rPr>
              <w:t>309.27</w:t>
            </w: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700.000 </w:t>
            </w: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0.000 </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0.000 </w:t>
            </w: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Calibri" w:hAnsi="Calibri" w:eastAsia="宋体" w:cs="Calibri"/>
                <w:i w:val="0"/>
                <w:color w:val="auto"/>
                <w:kern w:val="0"/>
                <w:sz w:val="21"/>
                <w:szCs w:val="21"/>
                <w:u w:val="none"/>
                <w:lang w:val="en-US" w:eastAsia="zh-CN" w:bidi="ar"/>
              </w:rPr>
              <w:t>309.27</w:t>
            </w:r>
            <w:r>
              <w:rPr>
                <w:rFonts w:hint="default" w:ascii="Times New Roman" w:hAnsi="Times New Roman" w:eastAsia="宋体" w:cs="Times New Roman"/>
                <w:b/>
                <w:i w:val="0"/>
                <w:color w:val="auto"/>
                <w:kern w:val="0"/>
                <w:sz w:val="20"/>
                <w:szCs w:val="20"/>
                <w:u w:val="none"/>
                <w:lang w:val="en-US" w:eastAsia="zh-CN" w:bidi="ar"/>
              </w:rPr>
              <w:t xml:space="preserve">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2235" w:type="dxa"/>
            <w:tcBorders>
              <w:top w:val="nil"/>
              <w:left w:val="single" w:color="000000" w:sz="4" w:space="0"/>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间接排放：</w:t>
            </w:r>
          </w:p>
        </w:tc>
        <w:tc>
          <w:tcPr>
            <w:tcW w:w="3489" w:type="dxa"/>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市政管网</w:t>
            </w:r>
          </w:p>
        </w:tc>
        <w:tc>
          <w:tcPr>
            <w:tcW w:w="702" w:type="dxa"/>
            <w:tcBorders>
              <w:top w:val="nil"/>
              <w:left w:val="nil"/>
              <w:bottom w:val="nil"/>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699" w:type="dxa"/>
            <w:tcBorders>
              <w:top w:val="nil"/>
              <w:left w:val="nil"/>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氨氮</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3.234 </w:t>
            </w: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200.000 </w:t>
            </w: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0.000 </w:t>
            </w: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 xml:space="preserve">0.000 </w:t>
            </w: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i w:val="0"/>
                <w:color w:val="auto"/>
                <w:kern w:val="0"/>
                <w:sz w:val="20"/>
                <w:szCs w:val="20"/>
                <w:u w:val="none"/>
                <w:lang w:val="en-US" w:eastAsia="zh-CN" w:bidi="ar"/>
              </w:rPr>
              <w:t>3.234</w:t>
            </w:r>
            <w:r>
              <w:rPr>
                <w:rFonts w:hint="default" w:ascii="Times New Roman" w:hAnsi="Times New Roman" w:eastAsia="宋体" w:cs="Times New Roman"/>
                <w:b/>
                <w:i w:val="0"/>
                <w:color w:val="auto"/>
                <w:kern w:val="0"/>
                <w:sz w:val="20"/>
                <w:szCs w:val="20"/>
                <w:u w:val="none"/>
                <w:lang w:val="en-US" w:eastAsia="zh-CN" w:bidi="ar"/>
              </w:rPr>
              <w:t xml:space="preserve">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2235" w:type="dxa"/>
            <w:tcBorders>
              <w:top w:val="nil"/>
              <w:left w:val="single" w:color="000000" w:sz="4" w:space="0"/>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p>
        </w:tc>
        <w:tc>
          <w:tcPr>
            <w:tcW w:w="3489" w:type="dxa"/>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集中式工业污水处理厂</w:t>
            </w:r>
          </w:p>
        </w:tc>
        <w:tc>
          <w:tcPr>
            <w:tcW w:w="702" w:type="dxa"/>
            <w:tcBorders>
              <w:top w:val="nil"/>
              <w:left w:val="nil"/>
              <w:bottom w:val="nil"/>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699" w:type="dxa"/>
            <w:tcBorders>
              <w:top w:val="nil"/>
              <w:left w:val="nil"/>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总磷</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2235" w:type="dxa"/>
            <w:tcBorders>
              <w:top w:val="nil"/>
              <w:left w:val="single" w:color="000000" w:sz="4" w:space="0"/>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直接排放：</w:t>
            </w:r>
          </w:p>
        </w:tc>
        <w:tc>
          <w:tcPr>
            <w:tcW w:w="4890" w:type="dxa"/>
            <w:gridSpan w:val="3"/>
            <w:tcBorders>
              <w:top w:val="nil"/>
              <w:left w:val="nil"/>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3"/>
                <w:color w:val="auto"/>
                <w:lang w:val="en-US" w:eastAsia="zh-CN" w:bidi="ar"/>
              </w:rPr>
              <w:t>受纳水体__</w:t>
            </w:r>
            <w:r>
              <w:rPr>
                <w:rStyle w:val="254"/>
                <w:color w:val="auto"/>
                <w:lang w:val="en-US" w:eastAsia="zh-CN" w:bidi="ar"/>
              </w:rPr>
              <w:t>_         _</w:t>
            </w:r>
            <w:r>
              <w:rPr>
                <w:rStyle w:val="255"/>
                <w:rFonts w:eastAsia="宋体"/>
                <w:color w:val="auto"/>
                <w:lang w:val="en-US" w:eastAsia="zh-CN" w:bidi="ar"/>
              </w:rPr>
              <w:t xml:space="preserve">    </w:t>
            </w:r>
          </w:p>
        </w:tc>
      </w:tr>
      <w:tr>
        <w:tblPrEx>
          <w:tblLayout w:type="fixed"/>
          <w:tblCellMar>
            <w:top w:w="0" w:type="dxa"/>
            <w:left w:w="0" w:type="dxa"/>
            <w:bottom w:w="0" w:type="dxa"/>
            <w:right w:w="0" w:type="dxa"/>
          </w:tblCellMar>
        </w:tblPrEx>
        <w:trPr>
          <w:trHeight w:val="270"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总氮</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2235" w:type="dxa"/>
            <w:tcBorders>
              <w:top w:val="nil"/>
              <w:left w:val="single" w:color="000000" w:sz="4" w:space="0"/>
              <w:bottom w:val="single" w:color="000000" w:sz="4" w:space="0"/>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3489" w:type="dxa"/>
            <w:tcBorders>
              <w:top w:val="nil"/>
              <w:left w:val="nil"/>
              <w:bottom w:val="single" w:color="000000" w:sz="4" w:space="0"/>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702" w:type="dxa"/>
            <w:tcBorders>
              <w:top w:val="nil"/>
              <w:left w:val="nil"/>
              <w:bottom w:val="single" w:color="000000" w:sz="4" w:space="0"/>
              <w:right w:val="nil"/>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699" w:type="dxa"/>
            <w:tcBorders>
              <w:top w:val="nil"/>
              <w:left w:val="nil"/>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r>
      <w:tr>
        <w:tblPrEx>
          <w:tblLayout w:type="fixed"/>
          <w:tblCellMar>
            <w:top w:w="0" w:type="dxa"/>
            <w:left w:w="0" w:type="dxa"/>
            <w:bottom w:w="0" w:type="dxa"/>
            <w:right w:w="0" w:type="dxa"/>
          </w:tblCellMar>
        </w:tblPrEx>
        <w:trPr>
          <w:trHeight w:val="46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废气</w:t>
            </w: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废气量（万标立方米</w:t>
            </w:r>
            <w:r>
              <w:rPr>
                <w:rFonts w:hint="default" w:ascii="Times New Roman" w:hAnsi="Times New Roman" w:eastAsia="宋体" w:cs="Times New Roman"/>
                <w:b/>
                <w:i w:val="0"/>
                <w:color w:val="auto"/>
                <w:kern w:val="0"/>
                <w:sz w:val="18"/>
                <w:szCs w:val="18"/>
                <w:u w:val="none"/>
                <w:lang w:val="en-US" w:eastAsia="zh-CN" w:bidi="ar"/>
              </w:rPr>
              <w:t>/</w:t>
            </w:r>
            <w:r>
              <w:rPr>
                <w:rStyle w:val="252"/>
                <w:color w:val="auto"/>
                <w:lang w:val="en-US" w:eastAsia="zh-CN" w:bidi="ar"/>
              </w:rPr>
              <w:t>年）</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7125"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w:t>
            </w:r>
          </w:p>
        </w:tc>
      </w:tr>
      <w:tr>
        <w:tblPrEx>
          <w:tblLayout w:type="fixed"/>
          <w:tblCellMar>
            <w:top w:w="0" w:type="dxa"/>
            <w:left w:w="0" w:type="dxa"/>
            <w:bottom w:w="0" w:type="dxa"/>
            <w:right w:w="0" w:type="dxa"/>
          </w:tblCellMar>
        </w:tblPrEx>
        <w:trPr>
          <w:trHeight w:val="31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二氧化硫</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7125"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w:t>
            </w:r>
          </w:p>
        </w:tc>
      </w:tr>
      <w:tr>
        <w:tblPrEx>
          <w:tblLayout w:type="fixed"/>
          <w:tblCellMar>
            <w:top w:w="0" w:type="dxa"/>
            <w:left w:w="0" w:type="dxa"/>
            <w:bottom w:w="0" w:type="dxa"/>
            <w:right w:w="0" w:type="dxa"/>
          </w:tblCellMar>
        </w:tblPrEx>
        <w:trPr>
          <w:trHeight w:val="31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氮氧化物</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7125"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w:t>
            </w:r>
          </w:p>
        </w:tc>
      </w:tr>
      <w:tr>
        <w:tblPrEx>
          <w:tblLayout w:type="fixed"/>
          <w:tblCellMar>
            <w:top w:w="0" w:type="dxa"/>
            <w:left w:w="0" w:type="dxa"/>
            <w:bottom w:w="0" w:type="dxa"/>
            <w:right w:w="0" w:type="dxa"/>
          </w:tblCellMar>
        </w:tblPrEx>
        <w:trPr>
          <w:trHeight w:val="31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颗粒物</w:t>
            </w:r>
          </w:p>
        </w:tc>
        <w:tc>
          <w:tcPr>
            <w:tcW w:w="138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0.860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7125"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w:t>
            </w:r>
          </w:p>
        </w:tc>
      </w:tr>
      <w:tr>
        <w:tblPrEx>
          <w:tblLayout w:type="fixed"/>
          <w:tblCellMar>
            <w:top w:w="0" w:type="dxa"/>
            <w:left w:w="0" w:type="dxa"/>
            <w:bottom w:w="0" w:type="dxa"/>
            <w:right w:w="0" w:type="dxa"/>
          </w:tblCellMar>
        </w:tblPrEx>
        <w:trPr>
          <w:trHeight w:val="315" w:hRule="atLeast"/>
          <w:jc w:val="center"/>
        </w:trPr>
        <w:tc>
          <w:tcPr>
            <w:tcW w:w="1307"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472" w:type="dxa"/>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1312"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挥发性有机物</w:t>
            </w:r>
          </w:p>
        </w:tc>
        <w:tc>
          <w:tcPr>
            <w:tcW w:w="1380"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710"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113"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85"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2060" w:type="dxa"/>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20"/>
                <w:szCs w:val="20"/>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b/>
                <w:i w:val="0"/>
                <w:color w:val="auto"/>
                <w:sz w:val="20"/>
                <w:szCs w:val="20"/>
                <w:u w:val="none"/>
              </w:rPr>
            </w:pPr>
            <w:r>
              <w:rPr>
                <w:rFonts w:hint="default" w:ascii="Times New Roman" w:hAnsi="Times New Roman" w:eastAsia="宋体" w:cs="Times New Roman"/>
                <w:b/>
                <w:i w:val="0"/>
                <w:color w:val="auto"/>
                <w:kern w:val="0"/>
                <w:sz w:val="20"/>
                <w:szCs w:val="20"/>
                <w:u w:val="none"/>
                <w:lang w:val="en-US" w:eastAsia="zh-CN" w:bidi="ar"/>
              </w:rPr>
              <w:t xml:space="preserve">0.000 </w:t>
            </w:r>
          </w:p>
        </w:tc>
        <w:tc>
          <w:tcPr>
            <w:tcW w:w="7125" w:type="dxa"/>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w:t>
            </w:r>
          </w:p>
        </w:tc>
      </w:tr>
      <w:tr>
        <w:tblPrEx>
          <w:tblLayout w:type="fixed"/>
          <w:tblCellMar>
            <w:top w:w="0" w:type="dxa"/>
            <w:left w:w="0" w:type="dxa"/>
            <w:bottom w:w="0" w:type="dxa"/>
            <w:right w:w="0" w:type="dxa"/>
          </w:tblCellMar>
        </w:tblPrEx>
        <w:trPr>
          <w:trHeight w:val="450" w:hRule="atLeast"/>
          <w:jc w:val="center"/>
        </w:trPr>
        <w:tc>
          <w:tcPr>
            <w:tcW w:w="1779"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eastAsia" w:ascii="宋体" w:hAnsi="宋体" w:eastAsia="宋体" w:cs="宋体"/>
                <w:b/>
                <w:i w:val="0"/>
                <w:color w:val="auto"/>
                <w:kern w:val="0"/>
                <w:sz w:val="22"/>
                <w:szCs w:val="22"/>
                <w:u w:val="none"/>
                <w:lang w:val="en-US" w:eastAsia="zh-CN" w:bidi="ar"/>
              </w:rPr>
              <w:t>项目涉及保护区与风景名胜区的情况</w:t>
            </w:r>
          </w:p>
        </w:tc>
        <w:tc>
          <w:tcPr>
            <w:tcW w:w="2692" w:type="dxa"/>
            <w:gridSpan w:val="2"/>
            <w:tcBorders>
              <w:top w:val="single" w:color="000000" w:sz="4" w:space="0"/>
              <w:left w:val="single" w:color="000000" w:sz="4" w:space="0"/>
              <w:bottom w:val="single" w:color="000000" w:sz="4" w:space="0"/>
              <w:right w:val="single" w:color="000000" w:sz="4" w:space="0"/>
              <w:tl2br w:val="single" w:color="000000" w:sz="8" w:space="0"/>
            </w:tcBorders>
            <w:shd w:val="clear" w:color="auto" w:fill="BFBFBF"/>
            <w:tcMar>
              <w:top w:w="15" w:type="dxa"/>
              <w:left w:w="15" w:type="dxa"/>
              <w:right w:w="15" w:type="dxa"/>
            </w:tcMar>
            <w:vAlign w:val="top"/>
          </w:tcPr>
          <w:p>
            <w:pPr>
              <w:keepNext w:val="0"/>
              <w:keepLines w:val="0"/>
              <w:widowControl/>
              <w:suppressLineNumbers w:val="0"/>
              <w:jc w:val="left"/>
              <w:textAlignment w:val="top"/>
              <w:rPr>
                <w:rFonts w:hint="default" w:ascii="Times New Roman" w:hAnsi="Times New Roman" w:eastAsia="宋体" w:cs="Times New Roman"/>
                <w:b/>
                <w:i w:val="0"/>
                <w:color w:val="auto"/>
                <w:sz w:val="18"/>
                <w:szCs w:val="18"/>
                <w:u w:val="none"/>
              </w:rPr>
            </w:pPr>
            <w:r>
              <w:rPr>
                <w:rStyle w:val="257"/>
                <w:rFonts w:eastAsia="宋体"/>
                <w:color w:val="auto"/>
                <w:lang w:val="en-US" w:eastAsia="zh-CN" w:bidi="ar"/>
              </w:rPr>
              <w:t xml:space="preserve">                                               </w:t>
            </w:r>
            <w:r>
              <w:rPr>
                <w:rStyle w:val="256"/>
                <w:color w:val="auto"/>
                <w:lang w:val="en-US" w:eastAsia="zh-CN" w:bidi="ar"/>
              </w:rPr>
              <w:t>影响及主要措施</w:t>
            </w:r>
            <w:r>
              <w:rPr>
                <w:rStyle w:val="256"/>
                <w:color w:val="auto"/>
                <w:lang w:val="en-US" w:eastAsia="zh-CN" w:bidi="ar"/>
              </w:rPr>
              <w:br w:type="textWrapping"/>
            </w:r>
            <w:r>
              <w:rPr>
                <w:rStyle w:val="256"/>
                <w:color w:val="auto"/>
                <w:lang w:val="en-US" w:eastAsia="zh-CN" w:bidi="ar"/>
              </w:rPr>
              <w:t>生态保护目标</w:t>
            </w:r>
          </w:p>
        </w:tc>
        <w:tc>
          <w:tcPr>
            <w:tcW w:w="2823"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名称</w:t>
            </w:r>
          </w:p>
        </w:tc>
        <w:tc>
          <w:tcPr>
            <w:tcW w:w="1485"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级别</w:t>
            </w:r>
          </w:p>
        </w:tc>
        <w:tc>
          <w:tcPr>
            <w:tcW w:w="206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主要保护对象</w:t>
            </w:r>
            <w:r>
              <w:rPr>
                <w:rStyle w:val="252"/>
                <w:color w:val="auto"/>
                <w:lang w:val="en-US" w:eastAsia="zh-CN" w:bidi="ar"/>
              </w:rPr>
              <w:br w:type="textWrapping"/>
            </w:r>
            <w:r>
              <w:rPr>
                <w:rStyle w:val="252"/>
                <w:color w:val="auto"/>
                <w:lang w:val="en-US" w:eastAsia="zh-CN" w:bidi="ar"/>
              </w:rPr>
              <w:t>（目标）</w:t>
            </w:r>
          </w:p>
        </w:tc>
        <w:tc>
          <w:tcPr>
            <w:tcW w:w="1470"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工程影响情况</w:t>
            </w:r>
          </w:p>
        </w:tc>
        <w:tc>
          <w:tcPr>
            <w:tcW w:w="1089"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是否占用</w:t>
            </w:r>
          </w:p>
        </w:tc>
        <w:tc>
          <w:tcPr>
            <w:tcW w:w="2235" w:type="dxa"/>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2"/>
                <w:color w:val="auto"/>
                <w:lang w:val="en-US" w:eastAsia="zh-CN" w:bidi="ar"/>
              </w:rPr>
              <w:t>占用面积</w:t>
            </w:r>
            <w:r>
              <w:rPr>
                <w:rStyle w:val="252"/>
                <w:color w:val="auto"/>
                <w:lang w:val="en-US" w:eastAsia="zh-CN" w:bidi="ar"/>
              </w:rPr>
              <w:br w:type="textWrapping"/>
            </w:r>
            <w:r>
              <w:rPr>
                <w:rStyle w:val="252"/>
                <w:color w:val="auto"/>
                <w:lang w:val="en-US" w:eastAsia="zh-CN" w:bidi="ar"/>
              </w:rPr>
              <w:t>（公顷）</w:t>
            </w:r>
          </w:p>
        </w:tc>
        <w:tc>
          <w:tcPr>
            <w:tcW w:w="4890" w:type="dxa"/>
            <w:gridSpan w:val="3"/>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生态防护措施</w:t>
            </w:r>
          </w:p>
        </w:tc>
      </w:tr>
      <w:tr>
        <w:tblPrEx>
          <w:tblLayout w:type="fixed"/>
          <w:tblCellMar>
            <w:top w:w="0" w:type="dxa"/>
            <w:left w:w="0" w:type="dxa"/>
            <w:bottom w:w="0" w:type="dxa"/>
            <w:right w:w="0" w:type="dxa"/>
          </w:tblCellMar>
        </w:tblPrEx>
        <w:trPr>
          <w:trHeight w:val="270" w:hRule="atLeast"/>
          <w:jc w:val="center"/>
        </w:trPr>
        <w:tc>
          <w:tcPr>
            <w:tcW w:w="1779"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2692"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自然保护区</w:t>
            </w:r>
          </w:p>
        </w:tc>
        <w:tc>
          <w:tcPr>
            <w:tcW w:w="282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18"/>
                <w:szCs w:val="18"/>
                <w:u w:val="none"/>
              </w:rPr>
            </w:pP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23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4890"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避让</w:t>
            </w:r>
            <w:r>
              <w:rPr>
                <w:rStyle w:val="255"/>
                <w:rFonts w:eastAsia="宋体"/>
                <w:color w:val="auto"/>
                <w:lang w:val="en-US" w:eastAsia="zh-CN" w:bidi="ar"/>
              </w:rPr>
              <w:t xml:space="preserve">       </w:t>
            </w:r>
            <w:r>
              <w:rPr>
                <w:rStyle w:val="253"/>
                <w:color w:val="auto"/>
                <w:lang w:val="en-US" w:eastAsia="zh-CN" w:bidi="ar"/>
              </w:rPr>
              <w:t>减缓</w:t>
            </w:r>
            <w:r>
              <w:rPr>
                <w:rStyle w:val="255"/>
                <w:rFonts w:eastAsia="宋体"/>
                <w:color w:val="auto"/>
                <w:lang w:val="en-US" w:eastAsia="zh-CN" w:bidi="ar"/>
              </w:rPr>
              <w:t xml:space="preserve">         </w:t>
            </w:r>
            <w:r>
              <w:rPr>
                <w:rStyle w:val="253"/>
                <w:color w:val="auto"/>
                <w:lang w:val="en-US" w:eastAsia="zh-CN" w:bidi="ar"/>
              </w:rPr>
              <w:t>补偿</w:t>
            </w:r>
            <w:r>
              <w:rPr>
                <w:rStyle w:val="255"/>
                <w:rFonts w:eastAsia="宋体"/>
                <w:color w:val="auto"/>
                <w:lang w:val="en-US" w:eastAsia="zh-CN" w:bidi="ar"/>
              </w:rPr>
              <w:t xml:space="preserve">        </w:t>
            </w:r>
            <w:r>
              <w:rPr>
                <w:rStyle w:val="253"/>
                <w:color w:val="auto"/>
                <w:lang w:val="en-US" w:eastAsia="zh-CN" w:bidi="ar"/>
              </w:rPr>
              <w:t>重建（多选）</w:t>
            </w:r>
          </w:p>
        </w:tc>
      </w:tr>
      <w:tr>
        <w:tblPrEx>
          <w:tblLayout w:type="fixed"/>
          <w:tblCellMar>
            <w:top w:w="0" w:type="dxa"/>
            <w:left w:w="0" w:type="dxa"/>
            <w:bottom w:w="0" w:type="dxa"/>
            <w:right w:w="0" w:type="dxa"/>
          </w:tblCellMar>
        </w:tblPrEx>
        <w:trPr>
          <w:trHeight w:val="270" w:hRule="atLeast"/>
          <w:jc w:val="center"/>
        </w:trPr>
        <w:tc>
          <w:tcPr>
            <w:tcW w:w="1779"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2692"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饮用水水源保护区（地表）</w:t>
            </w:r>
          </w:p>
        </w:tc>
        <w:tc>
          <w:tcPr>
            <w:tcW w:w="282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23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4890"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避让</w:t>
            </w:r>
            <w:r>
              <w:rPr>
                <w:rStyle w:val="255"/>
                <w:rFonts w:eastAsia="宋体"/>
                <w:color w:val="auto"/>
                <w:lang w:val="en-US" w:eastAsia="zh-CN" w:bidi="ar"/>
              </w:rPr>
              <w:t xml:space="preserve">       </w:t>
            </w:r>
            <w:r>
              <w:rPr>
                <w:rStyle w:val="253"/>
                <w:color w:val="auto"/>
                <w:lang w:val="en-US" w:eastAsia="zh-CN" w:bidi="ar"/>
              </w:rPr>
              <w:t>减缓</w:t>
            </w:r>
            <w:r>
              <w:rPr>
                <w:rStyle w:val="255"/>
                <w:rFonts w:eastAsia="宋体"/>
                <w:color w:val="auto"/>
                <w:lang w:val="en-US" w:eastAsia="zh-CN" w:bidi="ar"/>
              </w:rPr>
              <w:t xml:space="preserve">         </w:t>
            </w:r>
            <w:r>
              <w:rPr>
                <w:rStyle w:val="253"/>
                <w:color w:val="auto"/>
                <w:lang w:val="en-US" w:eastAsia="zh-CN" w:bidi="ar"/>
              </w:rPr>
              <w:t>补偿</w:t>
            </w:r>
            <w:r>
              <w:rPr>
                <w:rStyle w:val="255"/>
                <w:rFonts w:eastAsia="宋体"/>
                <w:color w:val="auto"/>
                <w:lang w:val="en-US" w:eastAsia="zh-CN" w:bidi="ar"/>
              </w:rPr>
              <w:t xml:space="preserve">        </w:t>
            </w:r>
            <w:r>
              <w:rPr>
                <w:rStyle w:val="253"/>
                <w:color w:val="auto"/>
                <w:lang w:val="en-US" w:eastAsia="zh-CN" w:bidi="ar"/>
              </w:rPr>
              <w:t>重建（多选）</w:t>
            </w:r>
          </w:p>
        </w:tc>
      </w:tr>
      <w:tr>
        <w:tblPrEx>
          <w:tblLayout w:type="fixed"/>
          <w:tblCellMar>
            <w:top w:w="0" w:type="dxa"/>
            <w:left w:w="0" w:type="dxa"/>
            <w:bottom w:w="0" w:type="dxa"/>
            <w:right w:w="0" w:type="dxa"/>
          </w:tblCellMar>
        </w:tblPrEx>
        <w:trPr>
          <w:trHeight w:val="270" w:hRule="atLeast"/>
          <w:jc w:val="center"/>
        </w:trPr>
        <w:tc>
          <w:tcPr>
            <w:tcW w:w="1779"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2692"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饮用水水源保护区（地下）</w:t>
            </w:r>
          </w:p>
        </w:tc>
        <w:tc>
          <w:tcPr>
            <w:tcW w:w="282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23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4890"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避让</w:t>
            </w:r>
            <w:r>
              <w:rPr>
                <w:rStyle w:val="255"/>
                <w:rFonts w:eastAsia="宋体"/>
                <w:color w:val="auto"/>
                <w:lang w:val="en-US" w:eastAsia="zh-CN" w:bidi="ar"/>
              </w:rPr>
              <w:t xml:space="preserve">       </w:t>
            </w:r>
            <w:r>
              <w:rPr>
                <w:rStyle w:val="253"/>
                <w:color w:val="auto"/>
                <w:lang w:val="en-US" w:eastAsia="zh-CN" w:bidi="ar"/>
              </w:rPr>
              <w:t>减缓</w:t>
            </w:r>
            <w:r>
              <w:rPr>
                <w:rStyle w:val="255"/>
                <w:rFonts w:eastAsia="宋体"/>
                <w:color w:val="auto"/>
                <w:lang w:val="en-US" w:eastAsia="zh-CN" w:bidi="ar"/>
              </w:rPr>
              <w:t xml:space="preserve">         </w:t>
            </w:r>
            <w:r>
              <w:rPr>
                <w:rStyle w:val="253"/>
                <w:color w:val="auto"/>
                <w:lang w:val="en-US" w:eastAsia="zh-CN" w:bidi="ar"/>
              </w:rPr>
              <w:t>补偿</w:t>
            </w:r>
            <w:r>
              <w:rPr>
                <w:rStyle w:val="255"/>
                <w:rFonts w:eastAsia="宋体"/>
                <w:color w:val="auto"/>
                <w:lang w:val="en-US" w:eastAsia="zh-CN" w:bidi="ar"/>
              </w:rPr>
              <w:t xml:space="preserve">        </w:t>
            </w:r>
            <w:r>
              <w:rPr>
                <w:rStyle w:val="253"/>
                <w:color w:val="auto"/>
                <w:lang w:val="en-US" w:eastAsia="zh-CN" w:bidi="ar"/>
              </w:rPr>
              <w:t>重建（多选）</w:t>
            </w:r>
          </w:p>
        </w:tc>
      </w:tr>
      <w:tr>
        <w:tblPrEx>
          <w:tblLayout w:type="fixed"/>
          <w:tblCellMar>
            <w:top w:w="0" w:type="dxa"/>
            <w:left w:w="0" w:type="dxa"/>
            <w:bottom w:w="0" w:type="dxa"/>
            <w:right w:w="0" w:type="dxa"/>
          </w:tblCellMar>
        </w:tblPrEx>
        <w:trPr>
          <w:trHeight w:val="270" w:hRule="atLeast"/>
          <w:jc w:val="center"/>
        </w:trPr>
        <w:tc>
          <w:tcPr>
            <w:tcW w:w="1779"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jc w:val="center"/>
              <w:rPr>
                <w:rFonts w:hint="default" w:ascii="Times New Roman" w:hAnsi="Times New Roman" w:eastAsia="宋体" w:cs="Times New Roman"/>
                <w:b/>
                <w:i w:val="0"/>
                <w:color w:val="auto"/>
                <w:sz w:val="22"/>
                <w:szCs w:val="22"/>
                <w:u w:val="none"/>
              </w:rPr>
            </w:pPr>
          </w:p>
        </w:tc>
        <w:tc>
          <w:tcPr>
            <w:tcW w:w="2692" w:type="dxa"/>
            <w:gridSpan w:val="2"/>
            <w:tcBorders>
              <w:top w:val="single" w:color="000000" w:sz="4" w:space="0"/>
              <w:left w:val="single" w:color="000000" w:sz="4" w:space="0"/>
              <w:bottom w:val="single" w:color="000000" w:sz="4" w:space="0"/>
              <w:right w:val="single" w:color="000000" w:sz="4" w:space="0"/>
            </w:tcBorders>
            <w:shd w:val="clear" w:color="auto" w:fill="BFBFBF"/>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18"/>
                <w:szCs w:val="18"/>
                <w:u w:val="none"/>
              </w:rPr>
            </w:pPr>
            <w:r>
              <w:rPr>
                <w:rStyle w:val="256"/>
                <w:color w:val="auto"/>
                <w:lang w:val="en-US" w:eastAsia="zh-CN" w:bidi="ar"/>
              </w:rPr>
              <w:t>风景名胜区</w:t>
            </w:r>
          </w:p>
        </w:tc>
        <w:tc>
          <w:tcPr>
            <w:tcW w:w="282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18"/>
                <w:szCs w:val="18"/>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0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8"/>
                <w:szCs w:val="18"/>
                <w:u w:val="none"/>
                <w:lang w:val="en-US" w:eastAsia="zh-CN" w:bidi="ar"/>
              </w:rPr>
              <w:t>/</w:t>
            </w:r>
          </w:p>
        </w:tc>
        <w:tc>
          <w:tcPr>
            <w:tcW w:w="147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108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223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default" w:ascii="Times New Roman" w:hAnsi="Times New Roman" w:eastAsia="宋体" w:cs="Times New Roman"/>
                <w:i w:val="0"/>
                <w:color w:val="auto"/>
                <w:sz w:val="18"/>
                <w:szCs w:val="18"/>
                <w:u w:val="none"/>
              </w:rPr>
            </w:pPr>
          </w:p>
        </w:tc>
        <w:tc>
          <w:tcPr>
            <w:tcW w:w="4890"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18"/>
                <w:szCs w:val="18"/>
                <w:u w:val="none"/>
              </w:rPr>
            </w:pPr>
            <w:r>
              <w:rPr>
                <w:rStyle w:val="255"/>
                <w:rFonts w:eastAsia="宋体"/>
                <w:color w:val="auto"/>
                <w:lang w:val="en-US" w:eastAsia="zh-CN" w:bidi="ar"/>
              </w:rPr>
              <w:t xml:space="preserve">      </w:t>
            </w:r>
            <w:r>
              <w:rPr>
                <w:rStyle w:val="253"/>
                <w:color w:val="auto"/>
                <w:lang w:val="en-US" w:eastAsia="zh-CN" w:bidi="ar"/>
              </w:rPr>
              <w:t>避让</w:t>
            </w:r>
            <w:r>
              <w:rPr>
                <w:rStyle w:val="255"/>
                <w:rFonts w:eastAsia="宋体"/>
                <w:color w:val="auto"/>
                <w:lang w:val="en-US" w:eastAsia="zh-CN" w:bidi="ar"/>
              </w:rPr>
              <w:t xml:space="preserve">       </w:t>
            </w:r>
            <w:r>
              <w:rPr>
                <w:rStyle w:val="253"/>
                <w:color w:val="auto"/>
                <w:lang w:val="en-US" w:eastAsia="zh-CN" w:bidi="ar"/>
              </w:rPr>
              <w:t>减缓</w:t>
            </w:r>
            <w:r>
              <w:rPr>
                <w:rStyle w:val="255"/>
                <w:rFonts w:eastAsia="宋体"/>
                <w:color w:val="auto"/>
                <w:lang w:val="en-US" w:eastAsia="zh-CN" w:bidi="ar"/>
              </w:rPr>
              <w:t xml:space="preserve">         </w:t>
            </w:r>
            <w:r>
              <w:rPr>
                <w:rStyle w:val="253"/>
                <w:color w:val="auto"/>
                <w:lang w:val="en-US" w:eastAsia="zh-CN" w:bidi="ar"/>
              </w:rPr>
              <w:t>补偿</w:t>
            </w:r>
            <w:r>
              <w:rPr>
                <w:rStyle w:val="255"/>
                <w:rFonts w:eastAsia="宋体"/>
                <w:color w:val="auto"/>
                <w:lang w:val="en-US" w:eastAsia="zh-CN" w:bidi="ar"/>
              </w:rPr>
              <w:t xml:space="preserve">        </w:t>
            </w:r>
            <w:r>
              <w:rPr>
                <w:rStyle w:val="253"/>
                <w:color w:val="auto"/>
                <w:lang w:val="en-US" w:eastAsia="zh-CN" w:bidi="ar"/>
              </w:rPr>
              <w:t>重建（多选）</w:t>
            </w:r>
          </w:p>
        </w:tc>
      </w:tr>
      <w:tr>
        <w:tblPrEx>
          <w:tblLayout w:type="fixed"/>
          <w:tblCellMar>
            <w:top w:w="0" w:type="dxa"/>
            <w:left w:w="0" w:type="dxa"/>
            <w:bottom w:w="0" w:type="dxa"/>
            <w:right w:w="0" w:type="dxa"/>
          </w:tblCellMar>
        </w:tblPrEx>
        <w:trPr>
          <w:trHeight w:val="295" w:hRule="atLeast"/>
          <w:jc w:val="center"/>
        </w:trPr>
        <w:tc>
          <w:tcPr>
            <w:tcW w:w="20523" w:type="dxa"/>
            <w:gridSpan w:val="14"/>
            <w:tcBorders>
              <w:top w:val="nil"/>
              <w:left w:val="nil"/>
              <w:bottom w:val="nil"/>
              <w:right w:val="nil"/>
            </w:tcBorders>
            <w:shd w:val="clear" w:color="auto" w:fill="auto"/>
            <w:tcMar>
              <w:top w:w="15" w:type="dxa"/>
              <w:left w:w="15" w:type="dxa"/>
              <w:right w:w="15" w:type="dxa"/>
            </w:tcMar>
            <w:vAlign w:val="center"/>
          </w:tcPr>
          <w:p>
            <w:pPr>
              <w:rPr>
                <w:rStyle w:val="258"/>
                <w:color w:val="auto"/>
                <w:lang w:val="en-US" w:eastAsia="zh-CN" w:bidi="ar"/>
              </w:rPr>
            </w:pPr>
            <w:r>
              <w:rPr>
                <w:rStyle w:val="258"/>
                <w:color w:val="auto"/>
                <w:lang w:val="en-US" w:eastAsia="zh-CN" w:bidi="ar"/>
              </w:rPr>
              <w:t>注：</w:t>
            </w:r>
            <w:r>
              <w:rPr>
                <w:rFonts w:hint="default" w:ascii="Times New Roman" w:hAnsi="Times New Roman" w:eastAsia="宋体" w:cs="Times New Roman"/>
                <w:i w:val="0"/>
                <w:color w:val="auto"/>
                <w:kern w:val="0"/>
                <w:sz w:val="16"/>
                <w:szCs w:val="16"/>
                <w:u w:val="none"/>
                <w:lang w:val="en-US" w:eastAsia="zh-CN" w:bidi="ar"/>
              </w:rPr>
              <w:t>1</w:t>
            </w:r>
            <w:r>
              <w:rPr>
                <w:rStyle w:val="258"/>
                <w:color w:val="auto"/>
                <w:lang w:val="en-US" w:eastAsia="zh-CN" w:bidi="ar"/>
              </w:rPr>
              <w:t>、同级经济部门审批核发的唯一项目代码</w:t>
            </w:r>
          </w:p>
          <w:p>
            <w:pP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6"/>
                <w:szCs w:val="16"/>
                <w:u w:val="none"/>
                <w:lang w:val="en-US" w:eastAsia="zh-CN" w:bidi="ar"/>
              </w:rPr>
              <w:t>2</w:t>
            </w:r>
            <w:r>
              <w:rPr>
                <w:rStyle w:val="258"/>
                <w:color w:val="auto"/>
                <w:lang w:val="en-US" w:eastAsia="zh-CN" w:bidi="ar"/>
              </w:rPr>
              <w:t>、分类依据：国民经济行业分类</w:t>
            </w:r>
            <w:r>
              <w:rPr>
                <w:rFonts w:hint="default" w:ascii="Times New Roman" w:hAnsi="Times New Roman" w:eastAsia="宋体" w:cs="Times New Roman"/>
                <w:i w:val="0"/>
                <w:color w:val="auto"/>
                <w:kern w:val="0"/>
                <w:sz w:val="16"/>
                <w:szCs w:val="16"/>
                <w:u w:val="none"/>
                <w:lang w:val="en-US" w:eastAsia="zh-CN" w:bidi="ar"/>
              </w:rPr>
              <w:t>(GB/T 4754-2011)</w:t>
            </w:r>
          </w:p>
          <w:p>
            <w:pP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6"/>
                <w:szCs w:val="16"/>
                <w:u w:val="none"/>
                <w:lang w:val="en-US" w:eastAsia="zh-CN" w:bidi="ar"/>
              </w:rPr>
              <w:t>3</w:t>
            </w:r>
            <w:r>
              <w:rPr>
                <w:rStyle w:val="258"/>
                <w:color w:val="auto"/>
                <w:lang w:val="en-US" w:eastAsia="zh-CN" w:bidi="ar"/>
              </w:rPr>
              <w:t>、对多点项目仅提供主体工程的中心坐标</w:t>
            </w:r>
          </w:p>
          <w:p>
            <w:pP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6"/>
                <w:szCs w:val="16"/>
                <w:u w:val="none"/>
                <w:lang w:val="en-US" w:eastAsia="zh-CN" w:bidi="ar"/>
              </w:rPr>
              <w:t>4</w:t>
            </w:r>
            <w:r>
              <w:rPr>
                <w:rStyle w:val="258"/>
                <w:color w:val="auto"/>
                <w:lang w:val="en-US" w:eastAsia="zh-CN" w:bidi="ar"/>
              </w:rPr>
              <w:t>、指该项目所在区域通过</w:t>
            </w:r>
            <w:r>
              <w:rPr>
                <w:rFonts w:hint="default" w:ascii="Times New Roman" w:hAnsi="Times New Roman" w:eastAsia="宋体" w:cs="Times New Roman"/>
                <w:i w:val="0"/>
                <w:color w:val="auto"/>
                <w:kern w:val="0"/>
                <w:sz w:val="16"/>
                <w:szCs w:val="16"/>
                <w:u w:val="none"/>
                <w:lang w:val="en-US" w:eastAsia="zh-CN" w:bidi="ar"/>
              </w:rPr>
              <w:t>“</w:t>
            </w:r>
            <w:r>
              <w:rPr>
                <w:rStyle w:val="258"/>
                <w:color w:val="auto"/>
                <w:lang w:val="en-US" w:eastAsia="zh-CN" w:bidi="ar"/>
              </w:rPr>
              <w:t>区域平衡</w:t>
            </w:r>
            <w:r>
              <w:rPr>
                <w:rFonts w:hint="default" w:ascii="Times New Roman" w:hAnsi="Times New Roman" w:eastAsia="宋体" w:cs="Times New Roman"/>
                <w:i w:val="0"/>
                <w:color w:val="auto"/>
                <w:kern w:val="0"/>
                <w:sz w:val="16"/>
                <w:szCs w:val="16"/>
                <w:u w:val="none"/>
                <w:lang w:val="en-US" w:eastAsia="zh-CN" w:bidi="ar"/>
              </w:rPr>
              <w:t>”</w:t>
            </w:r>
            <w:r>
              <w:rPr>
                <w:rStyle w:val="258"/>
                <w:color w:val="auto"/>
                <w:lang w:val="en-US" w:eastAsia="zh-CN" w:bidi="ar"/>
              </w:rPr>
              <w:t>专为本工程替代削减的量</w:t>
            </w:r>
          </w:p>
          <w:p>
            <w:pPr>
              <w:rPr>
                <w:rFonts w:hint="default" w:ascii="Times New Roman" w:hAnsi="Times New Roman" w:eastAsia="宋体" w:cs="Times New Roman"/>
                <w:i w:val="0"/>
                <w:color w:val="auto"/>
                <w:sz w:val="18"/>
                <w:szCs w:val="18"/>
                <w:u w:val="none"/>
              </w:rPr>
            </w:pPr>
            <w:r>
              <w:rPr>
                <w:rFonts w:hint="default" w:ascii="Times New Roman" w:hAnsi="Times New Roman" w:eastAsia="宋体" w:cs="Times New Roman"/>
                <w:i w:val="0"/>
                <w:color w:val="auto"/>
                <w:kern w:val="0"/>
                <w:sz w:val="16"/>
                <w:szCs w:val="16"/>
                <w:u w:val="none"/>
                <w:lang w:val="en-US" w:eastAsia="zh-CN" w:bidi="ar"/>
              </w:rPr>
              <w:t>5</w:t>
            </w:r>
            <w:r>
              <w:rPr>
                <w:rStyle w:val="258"/>
                <w:color w:val="auto"/>
                <w:lang w:val="en-US" w:eastAsia="zh-CN" w:bidi="ar"/>
              </w:rPr>
              <w:t>、⑦＝③－④－⑤，⑥＝②－④＋③</w:t>
            </w:r>
          </w:p>
        </w:tc>
      </w:tr>
    </w:tbl>
    <w:p>
      <w:pPr>
        <w:pStyle w:val="5"/>
        <w:ind w:left="0" w:leftChars="0" w:firstLine="0" w:firstLineChars="0"/>
        <w:jc w:val="left"/>
        <w:rPr>
          <w:rFonts w:hint="eastAsia" w:ascii="Times New Roman" w:hAnsi="Times New Roman" w:cs="Times New Roman"/>
          <w:color w:val="auto"/>
          <w:sz w:val="24"/>
          <w:szCs w:val="24"/>
          <w:lang w:eastAsia="zh-CN"/>
        </w:rPr>
      </w:pPr>
    </w:p>
    <w:sectPr>
      <w:pgSz w:w="23757" w:h="16783" w:orient="landscape"/>
      <w:pgMar w:top="1474" w:right="1474" w:bottom="1531" w:left="1418" w:header="1020" w:footer="992"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新宋体-18030">
    <w:altName w:val="宋体"/>
    <w:panose1 w:val="00000000000000000000"/>
    <w:charset w:val="00"/>
    <w:family w:val="auto"/>
    <w:pitch w:val="default"/>
    <w:sig w:usb0="00000000" w:usb1="00000000" w:usb2="00000000" w:usb3="00000000" w:csb0="00040001" w:csb1="00000000"/>
  </w:font>
  <w:font w:name="monospace">
    <w:altName w:val="Arial"/>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黑体_GBK">
    <w:altName w:val="黑体"/>
    <w:panose1 w:val="00000000000000000000"/>
    <w:charset w:val="86"/>
    <w:family w:val="auto"/>
    <w:pitch w:val="default"/>
    <w:sig w:usb0="00000000" w:usb1="00000000" w:usb2="00000010" w:usb3="00000000" w:csb0="00040000" w:csb1="00000000"/>
  </w:font>
  <w:font w:name="CG Times (WN)">
    <w:altName w:val="Times New Roman"/>
    <w:panose1 w:val="00000000000000000000"/>
    <w:charset w:val="00"/>
    <w:family w:val="auto"/>
    <w:pitch w:val="default"/>
    <w:sig w:usb0="00000000" w:usb1="00000000" w:usb2="00000000" w:usb3="00000000" w:csb0="00000001" w:csb1="00000000"/>
  </w:font>
  <w:font w:name="Arial Unicode MS">
    <w:altName w:val="宋体"/>
    <w:panose1 w:val="020B0604020202020204"/>
    <w:charset w:val="86"/>
    <w:family w:val="roman"/>
    <w:pitch w:val="default"/>
    <w:sig w:usb0="00000000" w:usb1="00000000" w:usb2="0000003F" w:usb3="00000000" w:csb0="603F01FF" w:csb1="FFFF0000"/>
  </w:font>
  <w:font w:name="楷体_GB2312">
    <w:altName w:val="楷体"/>
    <w:panose1 w:val="02010609030101010101"/>
    <w:charset w:val="86"/>
    <w:family w:val="auto"/>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TimesNewRomanPSMT">
    <w:altName w:val="Times New Roman"/>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0"/>
    <w:family w:val="auto"/>
    <w:pitch w:val="default"/>
    <w:sig w:usb0="00000000" w:usb1="00000000" w:usb2="00000000" w:usb3="00000000" w:csb0="80000000" w:csb1="00000000"/>
  </w:font>
  <w:font w:name="MS Mincho">
    <w:panose1 w:val="02020609040205080304"/>
    <w:charset w:val="80"/>
    <w:family w:val="modern"/>
    <w:pitch w:val="default"/>
    <w:sig w:usb0="E00002FF" w:usb1="6AC7FDFB" w:usb2="00000012" w:usb3="00000000" w:csb0="4002009F" w:csb1="DFD70000"/>
  </w:font>
  <w:font w:name="MS Gothic">
    <w:panose1 w:val="020B0609070205080204"/>
    <w:charset w:val="80"/>
    <w:family w:val="modern"/>
    <w:pitch w:val="default"/>
    <w:sig w:usb0="E00002FF" w:usb1="6AC7FDFB" w:usb2="00000012" w:usb3="00000000" w:csb0="4002009F" w:csb1="DFD70000"/>
  </w:font>
  <w:font w:name="微软雅黑">
    <w:panose1 w:val="020B0503020204020204"/>
    <w:charset w:val="86"/>
    <w:family w:val="auto"/>
    <w:pitch w:val="default"/>
    <w:sig w:usb0="80000287" w:usb1="280F3C52" w:usb2="00000016" w:usb3="00000000" w:csb0="0004001F"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rPr>
        <w:rFonts w:hint="default"/>
        <w:sz w:val="20"/>
      </w:rPr>
    </w:pPr>
    <w:r>
      <w:rPr>
        <w:rFonts w:hint="eastAsia" w:ascii="楷体" w:hAnsi="楷体" w:eastAsia="楷体"/>
        <w:b/>
        <w:sz w:val="21"/>
      </w:rPr>
      <mc:AlternateContent>
        <mc:Choice Requires="wps">
          <w:drawing>
            <wp:anchor distT="0" distB="0" distL="114300" distR="114300" simplePos="0" relativeHeight="253538304" behindDoc="1" locked="0" layoutInCell="1" allowOverlap="1">
              <wp:simplePos x="0" y="0"/>
              <wp:positionH relativeFrom="page">
                <wp:posOffset>996315</wp:posOffset>
              </wp:positionH>
              <wp:positionV relativeFrom="page">
                <wp:posOffset>9615170</wp:posOffset>
              </wp:positionV>
              <wp:extent cx="5630545" cy="285750"/>
              <wp:effectExtent l="0" t="0" r="0" b="0"/>
              <wp:wrapNone/>
              <wp:docPr id="419" name="文本框 419"/>
              <wp:cNvGraphicFramePr/>
              <a:graphic xmlns:a="http://schemas.openxmlformats.org/drawingml/2006/main">
                <a:graphicData uri="http://schemas.microsoft.com/office/word/2010/wordprocessingShape">
                  <wps:wsp>
                    <wps:cNvSpPr txBox="1"/>
                    <wps:spPr>
                      <a:xfrm>
                        <a:off x="0" y="0"/>
                        <a:ext cx="5630545" cy="285750"/>
                      </a:xfrm>
                      <a:prstGeom prst="rect">
                        <a:avLst/>
                      </a:prstGeom>
                      <a:noFill/>
                      <a:ln>
                        <a:noFill/>
                      </a:ln>
                    </wps:spPr>
                    <wps:txbx>
                      <w:txbxContent>
                        <w:p>
                          <w:pPr>
                            <w:pStyle w:val="22"/>
                            <w:tabs>
                              <w:tab w:val="left" w:pos="8846"/>
                            </w:tabs>
                            <w:kinsoku w:val="0"/>
                            <w:overflowPunct w:val="0"/>
                            <w:spacing w:beforeLines="0" w:afterLines="0" w:line="225"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wps:txbx>
                    <wps:bodyPr lIns="0" tIns="0" rIns="0" bIns="0" upright="1"/>
                  </wps:wsp>
                </a:graphicData>
              </a:graphic>
            </wp:anchor>
          </w:drawing>
        </mc:Choice>
        <mc:Fallback>
          <w:pict>
            <v:shape id="_x0000_s1026" o:spid="_x0000_s1026" o:spt="202" type="#_x0000_t202" style="position:absolute;left:0pt;margin-left:78.45pt;margin-top:757.1pt;height:22.5pt;width:443.35pt;mso-position-horizontal-relative:page;mso-position-vertical-relative:page;z-index:-249778176;mso-width-relative:page;mso-height-relative:page;" filled="f" stroked="f" coordsize="21600,21600" o:gfxdata="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DG/chbaAAAADgEAAA8A&#10;AAAAAAAAAQAgAAAAIgAAAGRycy9kb3ducmV2LnhtbFBLAQIUABQAAAAIAIdO4kAp9qxkowEAACgD&#10;AAAOAAAAAAAAAAEAIAAAACkBAABkcnMvZTJvRG9jLnhtbFBLBQYAAAAABgAGAFkBAAA+BQAAAAA=&#10;">
              <v:fill on="f" focussize="0,0"/>
              <v:stroke on="f"/>
              <v:imagedata o:title=""/>
              <o:lock v:ext="edit" aspectratio="f"/>
              <v:textbox inset="0mm,0mm,0mm,0mm">
                <w:txbxContent>
                  <w:p>
                    <w:pPr>
                      <w:pStyle w:val="22"/>
                      <w:tabs>
                        <w:tab w:val="left" w:pos="8846"/>
                      </w:tabs>
                      <w:kinsoku w:val="0"/>
                      <w:overflowPunct w:val="0"/>
                      <w:spacing w:beforeLines="0" w:afterLines="0" w:line="225"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v:textbox>
            </v:shape>
          </w:pict>
        </mc:Fallback>
      </mc:AlternateContent>
    </w:r>
    <w:r>
      <w:rPr>
        <w:rFonts w:hint="eastAsia" w:ascii="楷体" w:hAnsi="楷体" w:eastAsia="楷体"/>
        <w:b/>
        <w:sz w:val="21"/>
      </w:rPr>
      <mc:AlternateContent>
        <mc:Choice Requires="wps">
          <w:drawing>
            <wp:anchor distT="0" distB="0" distL="114300" distR="114300" simplePos="0" relativeHeight="253539328" behindDoc="0" locked="0" layoutInCell="1" allowOverlap="1">
              <wp:simplePos x="0" y="0"/>
              <wp:positionH relativeFrom="margin">
                <wp:align>center</wp:align>
              </wp:positionH>
              <wp:positionV relativeFrom="page">
                <wp:posOffset>9748520</wp:posOffset>
              </wp:positionV>
              <wp:extent cx="224790" cy="152400"/>
              <wp:effectExtent l="0" t="0" r="0" b="0"/>
              <wp:wrapNone/>
              <wp:docPr id="417" name="文本框 417"/>
              <wp:cNvGraphicFramePr/>
              <a:graphic xmlns:a="http://schemas.openxmlformats.org/drawingml/2006/main">
                <a:graphicData uri="http://schemas.microsoft.com/office/word/2010/wordprocessingShape">
                  <wps:wsp>
                    <wps:cNvSpPr txBox="1"/>
                    <wps:spPr>
                      <a:xfrm>
                        <a:off x="0" y="0"/>
                        <a:ext cx="224790" cy="152400"/>
                      </a:xfrm>
                      <a:prstGeom prst="rect">
                        <a:avLst/>
                      </a:prstGeom>
                      <a:noFill/>
                      <a:ln>
                        <a:noFill/>
                      </a:ln>
                    </wps:spPr>
                    <wps:txbx>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wps:txbx>
                    <wps:bodyPr lIns="0" tIns="0" rIns="0" bIns="0" upright="1"/>
                  </wps:wsp>
                </a:graphicData>
              </a:graphic>
            </wp:anchor>
          </w:drawing>
        </mc:Choice>
        <mc:Fallback>
          <w:pict>
            <v:shape id="_x0000_s1026" o:spid="_x0000_s1026" o:spt="202" type="#_x0000_t202" style="position:absolute;left:0pt;margin-top:767.6pt;height:12pt;width:17.7pt;mso-position-horizontal:center;mso-position-horizontal-relative:margin;mso-position-vertical-relative:page;z-index:253539328;mso-width-relative:page;mso-height-relative:page;" filled="f" stroked="f" coordsize="21600,21600" o:gfxdata="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QYbT5NgAAAAJAQAADwAAAAAA&#10;AAABACAAAAAiAAAAZHJzL2Rvd25yZXYueG1sUEsBAhQAFAAAAAgAh07iQKMg7MChAQAAJwMAAA4A&#10;AAAAAAAAAQAgAAAAJwEAAGRycy9lMm9Eb2MueG1sUEsFBgAAAAAGAAYAWQEAADoFAAAAAA==&#10;">
              <v:fill on="f" focussize="0,0"/>
              <v:stroke on="f"/>
              <v:imagedata o:title=""/>
              <o:lock v:ext="edit" aspectratio="f"/>
              <v:textbox inset="0mm,0mm,0mm,0mm">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jc w:val="center"/>
                          </w:pPr>
                          <w:r>
                            <w:rPr>
                              <w:lang w:val="zh-CN"/>
                            </w:rPr>
                            <w:t xml:space="preserve"> </w:t>
                          </w:r>
                          <w:r>
                            <w:rPr>
                              <w:b/>
                              <w:bCs/>
                            </w:rPr>
                            <w:fldChar w:fldCharType="begin"/>
                          </w:r>
                          <w:r>
                            <w:rPr>
                              <w:b/>
                              <w:bCs/>
                            </w:rPr>
                            <w:instrText xml:space="preserve">PAGE</w:instrText>
                          </w:r>
                          <w:r>
                            <w:rPr>
                              <w:b/>
                              <w:bCs/>
                              <w:sz w:val="24"/>
                              <w:szCs w:val="24"/>
                            </w:rPr>
                            <w:fldChar w:fldCharType="separate"/>
                          </w:r>
                          <w:r>
                            <w:rPr>
                              <w:b/>
                              <w:bCs/>
                            </w:rPr>
                            <w:t>37</w:t>
                          </w:r>
                          <w:r>
                            <w:rPr>
                              <w:b/>
                              <w:bCs/>
                              <w:sz w:val="24"/>
                              <w:szCs w:val="24"/>
                            </w:rPr>
                            <w:fldChar w:fldCharType="end"/>
                          </w:r>
                          <w:r>
                            <w:rPr>
                              <w:lang w:val="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WC3IVAgAAFQQAAA4AAABkcnMvZTJvRG9jLnhtbK1Ty47TMBTdI/EP&#10;lvc0aUd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KtWC3IVAgAAFQQAAA4AAAAAAAAA&#10;AQAgAAAAHwEAAGRycy9lMm9Eb2MueG1sUEsFBgAAAAAGAAYAWQEAAKYFAAAAAA==&#10;">
              <v:fill on="f" focussize="0,0"/>
              <v:stroke on="f" weight="0.5pt"/>
              <v:imagedata o:title=""/>
              <o:lock v:ext="edit" aspectratio="f"/>
              <v:textbox inset="0mm,0mm,0mm,0mm" style="mso-fit-shape-to-text:t;">
                <w:txbxContent>
                  <w:p>
                    <w:pPr>
                      <w:pStyle w:val="32"/>
                      <w:jc w:val="center"/>
                    </w:pPr>
                    <w:r>
                      <w:rPr>
                        <w:lang w:val="zh-CN"/>
                      </w:rPr>
                      <w:t xml:space="preserve"> </w:t>
                    </w:r>
                    <w:r>
                      <w:rPr>
                        <w:b/>
                        <w:bCs/>
                      </w:rPr>
                      <w:fldChar w:fldCharType="begin"/>
                    </w:r>
                    <w:r>
                      <w:rPr>
                        <w:b/>
                        <w:bCs/>
                      </w:rPr>
                      <w:instrText xml:space="preserve">PAGE</w:instrText>
                    </w:r>
                    <w:r>
                      <w:rPr>
                        <w:b/>
                        <w:bCs/>
                        <w:sz w:val="24"/>
                        <w:szCs w:val="24"/>
                      </w:rPr>
                      <w:fldChar w:fldCharType="separate"/>
                    </w:r>
                    <w:r>
                      <w:rPr>
                        <w:b/>
                        <w:bCs/>
                      </w:rPr>
                      <w:t>37</w:t>
                    </w:r>
                    <w:r>
                      <w:rPr>
                        <w:b/>
                        <w:bCs/>
                        <w:sz w:val="24"/>
                        <w:szCs w:val="24"/>
                      </w:rPr>
                      <w:fldChar w:fldCharType="end"/>
                    </w:r>
                    <w:r>
                      <w:rPr>
                        <w:lang w:val="zh-CN"/>
                      </w:rPr>
                      <w:t xml:space="preserve"> </w:t>
                    </w:r>
                  </w:p>
                </w:txbxContent>
              </v:textbox>
            </v:shape>
          </w:pict>
        </mc:Fallback>
      </mc:AlternateContent>
    </w:r>
  </w:p>
  <w:p>
    <w:pPr>
      <w:pStyle w:val="32"/>
      <w:tabs>
        <w:tab w:val="left" w:pos="6405"/>
        <w:tab w:val="right" w:pos="8036"/>
        <w:tab w:val="clear" w:pos="4153"/>
        <w:tab w:val="clear" w:pos="8306"/>
      </w:tabs>
      <w:ind w:firstLine="270" w:firstLineChars="150"/>
      <w:jc w:val="both"/>
      <w:rPr>
        <w:rFonts w:ascii="楷体" w:eastAsia="楷体"/>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left" w:pos="6405"/>
      </w:tabs>
      <w:jc w:val="both"/>
    </w:pPr>
    <w:r>
      <mc:AlternateContent>
        <mc:Choice Requires="wps">
          <w:drawing>
            <wp:anchor distT="0" distB="0" distL="114300" distR="114300" simplePos="0" relativeHeight="251656192" behindDoc="0" locked="0" layoutInCell="1" allowOverlap="1">
              <wp:simplePos x="0" y="0"/>
              <wp:positionH relativeFrom="margin">
                <wp:align>outside</wp:align>
              </wp:positionH>
              <wp:positionV relativeFrom="paragraph">
                <wp:posOffset>0</wp:posOffset>
              </wp:positionV>
              <wp:extent cx="135255" cy="163195"/>
              <wp:effectExtent l="0" t="0" r="0" b="0"/>
              <wp:wrapNone/>
              <wp:docPr id="2" name="文本框 7"/>
              <wp:cNvGraphicFramePr/>
              <a:graphic xmlns:a="http://schemas.openxmlformats.org/drawingml/2006/main">
                <a:graphicData uri="http://schemas.microsoft.com/office/word/2010/wordprocessingShape">
                  <wps:wsp>
                    <wps:cNvSpPr>
                      <a:spLocks noChangeArrowheads="1"/>
                    </wps:cNvSpPr>
                    <wps:spPr bwMode="auto">
                      <a:xfrm>
                        <a:off x="0" y="0"/>
                        <a:ext cx="135255" cy="163195"/>
                      </a:xfrm>
                      <a:prstGeom prst="rect">
                        <a:avLst/>
                      </a:prstGeom>
                      <a:noFill/>
                      <a:ln>
                        <a:noFill/>
                      </a:ln>
                    </wps:spPr>
                    <wps:txbx>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64</w:t>
                          </w:r>
                          <w:r>
                            <w:rPr>
                              <w:rFonts w:hint="eastAsia"/>
                            </w:rPr>
                            <w:fldChar w:fldCharType="end"/>
                          </w:r>
                        </w:p>
                      </w:txbxContent>
                    </wps:txbx>
                    <wps:bodyPr rot="0" vert="horz" wrap="none" lIns="0" tIns="0" rIns="0" bIns="0" anchor="t" anchorCtr="0" upright="1">
                      <a:spAutoFit/>
                    </wps:bodyPr>
                  </wps:wsp>
                </a:graphicData>
              </a:graphic>
            </wp:anchor>
          </w:drawing>
        </mc:Choice>
        <mc:Fallback>
          <w:pict>
            <v:rect id="文本框 7" o:spid="_x0000_s1026" o:spt="1" style="position:absolute;left:0pt;margin-top:0pt;height:12.85pt;width:10.65pt;mso-position-horizontal:outside;mso-position-horizontal-relative:margin;mso-wrap-style:none;z-index:251656192;mso-width-relative:page;mso-height-relative:page;" filled="f" stroked="f" coordsize="21600,21600" o:gfxdata="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CdSndEAAAAD&#10;AQAADwAAAAAAAAABACAAAAAiAAAAZHJzL2Rvd25yZXYueG1sUEsBAhQAFAAAAAgAh07iQJDgFbHq&#10;AQAAqgMAAA4AAAAAAAAAAQAgAAAAIAEAAGRycy9lMm9Eb2MueG1sUEsFBgAAAAAGAAYAWQEAAHwF&#10;AAAAAA==&#10;">
              <v:fill on="f" focussize="0,0"/>
              <v:stroke on="f"/>
              <v:imagedata o:title=""/>
              <o:lock v:ext="edit" aspectratio="f"/>
              <v:textbox inset="0mm,0mm,0mm,0mm" style="mso-fit-shape-to-text:t;">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64</w:t>
                    </w:r>
                    <w:r>
                      <w:rPr>
                        <w:rFonts w:hint="eastAsia"/>
                      </w:rPr>
                      <w:fldChar w:fldCharType="end"/>
                    </w:r>
                  </w:p>
                </w:txbxContent>
              </v:textbox>
            </v:rect>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spacing w:line="14" w:lineRule="auto"/>
    </w:pPr>
    <w:r>
      <mc:AlternateContent>
        <mc:Choice Requires="wps">
          <w:drawing>
            <wp:anchor distT="0" distB="0" distL="114300" distR="114300" simplePos="0" relativeHeight="503054336" behindDoc="0" locked="0" layoutInCell="1" allowOverlap="1">
              <wp:simplePos x="0" y="0"/>
              <wp:positionH relativeFrom="margin">
                <wp:align>center</wp:align>
              </wp:positionH>
              <wp:positionV relativeFrom="page">
                <wp:posOffset>9932670</wp:posOffset>
              </wp:positionV>
              <wp:extent cx="167005" cy="1397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a:noFill/>
                      </a:ln>
                    </wps:spPr>
                    <wps:txbx>
                      <w:txbxContent>
                        <w:p>
                          <w:pPr>
                            <w:spacing w:line="203" w:lineRule="exact"/>
                            <w:ind w:left="40"/>
                            <w:jc w:val="left"/>
                            <w:rPr>
                              <w:sz w:val="18"/>
                            </w:rPr>
                          </w:pPr>
                          <w:r>
                            <w:fldChar w:fldCharType="begin"/>
                          </w:r>
                          <w:r>
                            <w:rPr>
                              <w:sz w:val="18"/>
                            </w:rPr>
                            <w:instrText xml:space="preserve"> PAGE </w:instrText>
                          </w:r>
                          <w:r>
                            <w:fldChar w:fldCharType="separate"/>
                          </w:r>
                          <w:r>
                            <w:rPr>
                              <w:sz w:val="18"/>
                            </w:rPr>
                            <w:t>55</w:t>
                          </w:r>
                          <w:r>
                            <w:fldChar w:fldCharType="end"/>
                          </w:r>
                        </w:p>
                      </w:txbxContent>
                    </wps:txbx>
                    <wps:bodyPr lIns="0" tIns="0" rIns="0" bIns="0" upright="1"/>
                  </wps:wsp>
                </a:graphicData>
              </a:graphic>
            </wp:anchor>
          </w:drawing>
        </mc:Choice>
        <mc:Fallback>
          <w:pict>
            <v:shape id="_x0000_s1026" o:spid="_x0000_s1026" o:spt="202" type="#_x0000_t202" style="position:absolute;left:0pt;margin-top:782.1pt;height:11pt;width:13.15pt;mso-position-horizontal:center;mso-position-horizontal-relative:margin;mso-position-vertical-relative:page;z-index:503054336;mso-width-relative:page;mso-height-relative:page;" filled="f" stroked="f" coordsize="21600,21600" o:gfxdata="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Oli6arXAAAACQEAAA8AAAAAAAAAAQAg&#10;AAAAIgAAAGRycy9kb3ducmV2LnhtbFBLAQIUABQAAAAIAIdO4kCPc3TWnQEAACcDAAAOAAAAAAAA&#10;AAEAIAAAACYBAABkcnMvZTJvRG9jLnhtbFBLBQYAAAAABgAGAFkBAAA1BQAAAAA=&#10;">
              <v:fill on="f" focussize="0,0"/>
              <v:stroke on="f"/>
              <v:imagedata o:title=""/>
              <o:lock v:ext="edit" aspectratio="f"/>
              <v:textbox inset="0mm,0mm,0mm,0mm">
                <w:txbxContent>
                  <w:p>
                    <w:pPr>
                      <w:spacing w:line="203" w:lineRule="exact"/>
                      <w:ind w:left="40"/>
                      <w:jc w:val="left"/>
                      <w:rPr>
                        <w:sz w:val="18"/>
                      </w:rPr>
                    </w:pPr>
                    <w:r>
                      <w:fldChar w:fldCharType="begin"/>
                    </w:r>
                    <w:r>
                      <w:rPr>
                        <w:sz w:val="18"/>
                      </w:rPr>
                      <w:instrText xml:space="preserve"> PAGE </w:instrText>
                    </w:r>
                    <w:r>
                      <w:fldChar w:fldCharType="separate"/>
                    </w:r>
                    <w:r>
                      <w:rPr>
                        <w:sz w:val="18"/>
                      </w:rPr>
                      <w:t>55</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rPr>
        <w:rFonts w:hint="default"/>
        <w:sz w:val="20"/>
      </w:rPr>
    </w:pPr>
    <w:r>
      <w:rPr>
        <w:rFonts w:hint="eastAsia"/>
        <w:b/>
        <w:sz w:val="15"/>
      </w:rPr>
      <mc:AlternateContent>
        <mc:Choice Requires="wps">
          <w:drawing>
            <wp:anchor distT="0" distB="0" distL="114300" distR="114300" simplePos="0" relativeHeight="255489024" behindDoc="1" locked="0" layoutInCell="1" allowOverlap="1">
              <wp:simplePos x="0" y="0"/>
              <wp:positionH relativeFrom="page">
                <wp:posOffset>3721100</wp:posOffset>
              </wp:positionH>
              <wp:positionV relativeFrom="page">
                <wp:posOffset>9855200</wp:posOffset>
              </wp:positionV>
              <wp:extent cx="114300" cy="215900"/>
              <wp:effectExtent l="0" t="0" r="0" b="0"/>
              <wp:wrapNone/>
              <wp:docPr id="114" name="矩形 114"/>
              <wp:cNvGraphicFramePr/>
              <a:graphic xmlns:a="http://schemas.openxmlformats.org/drawingml/2006/main">
                <a:graphicData uri="http://schemas.microsoft.com/office/word/2010/wordprocessingShape">
                  <wps:wsp>
                    <wps:cNvSpPr/>
                    <wps:spPr>
                      <a:xfrm>
                        <a:off x="0" y="0"/>
                        <a:ext cx="114300" cy="215900"/>
                      </a:xfrm>
                      <a:prstGeom prst="rect">
                        <a:avLst/>
                      </a:prstGeom>
                      <a:noFill/>
                      <a:ln>
                        <a:noFill/>
                      </a:ln>
                    </wps:spPr>
                    <wps:txbx>
                      <w:txbxContent>
                        <w:p>
                          <w:pPr>
                            <w:widowControl/>
                            <w:autoSpaceDE/>
                            <w:autoSpaceDN/>
                            <w:adjustRightInd/>
                            <w:spacing w:beforeLines="0" w:afterLines="0" w:line="340" w:lineRule="atLeast"/>
                            <w:rPr>
                              <w:rFonts w:hint="default"/>
                              <w:sz w:val="24"/>
                            </w:rPr>
                          </w:pPr>
                          <w:r>
                            <w:rPr>
                              <w:rFonts w:hint="default"/>
                              <w:sz w:val="24"/>
                            </w:rPr>
                            <w:drawing>
                              <wp:inline distT="0" distB="0" distL="114300" distR="114300">
                                <wp:extent cx="116840" cy="210185"/>
                                <wp:effectExtent l="0" t="0" r="0" b="0"/>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1"/>
                                        <a:stretch>
                                          <a:fillRect/>
                                        </a:stretch>
                                      </pic:blipFill>
                                      <pic:spPr>
                                        <a:xfrm>
                                          <a:off x="0" y="0"/>
                                          <a:ext cx="116840" cy="210185"/>
                                        </a:xfrm>
                                        <a:prstGeom prst="rect">
                                          <a:avLst/>
                                        </a:prstGeom>
                                        <a:noFill/>
                                        <a:ln>
                                          <a:noFill/>
                                        </a:ln>
                                      </pic:spPr>
                                    </pic:pic>
                                  </a:graphicData>
                                </a:graphic>
                              </wp:inline>
                            </w:drawing>
                          </w:r>
                        </w:p>
                        <w:p>
                          <w:pPr>
                            <w:spacing w:beforeLines="0" w:afterLines="0"/>
                            <w:rPr>
                              <w:rFonts w:hint="default"/>
                              <w:sz w:val="24"/>
                            </w:rPr>
                          </w:pPr>
                        </w:p>
                      </w:txbxContent>
                    </wps:txbx>
                    <wps:bodyPr lIns="0" tIns="0" rIns="0" bIns="0" upright="1"/>
                  </wps:wsp>
                </a:graphicData>
              </a:graphic>
            </wp:anchor>
          </w:drawing>
        </mc:Choice>
        <mc:Fallback>
          <w:pict>
            <v:rect id="_x0000_s1026" o:spid="_x0000_s1026" o:spt="1" style="position:absolute;left:0pt;margin-left:293pt;margin-top:776pt;height:17pt;width:9pt;mso-position-horizontal-relative:page;mso-position-vertical-relative:page;z-index:-247827456;mso-width-relative:page;mso-height-relative:page;" filled="f" stroked="f" coordsize="21600,21600" o:gfxdata="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emjHp9kAAAANAQAADwAAAAAAAAABACAAAAAiAAAA&#10;ZHJzL2Rvd25yZXYueG1sUEsBAhQAFAAAAAgAh07iQOMIqsaUAQAAGgMAAA4AAAAAAAAAAQAgAAAA&#10;KAEAAGRycy9lMm9Eb2MueG1sUEsFBgAAAAAGAAYAWQEAAC4FAAAAAA==&#10;">
              <v:fill on="f" focussize="0,0"/>
              <v:stroke on="f"/>
              <v:imagedata o:title=""/>
              <o:lock v:ext="edit" aspectratio="f"/>
              <v:textbox inset="0mm,0mm,0mm,0mm">
                <w:txbxContent>
                  <w:p>
                    <w:pPr>
                      <w:widowControl/>
                      <w:autoSpaceDE/>
                      <w:autoSpaceDN/>
                      <w:adjustRightInd/>
                      <w:spacing w:beforeLines="0" w:afterLines="0" w:line="340" w:lineRule="atLeast"/>
                      <w:rPr>
                        <w:rFonts w:hint="default"/>
                        <w:sz w:val="24"/>
                      </w:rPr>
                    </w:pPr>
                    <w:r>
                      <w:rPr>
                        <w:rFonts w:hint="default"/>
                        <w:sz w:val="24"/>
                      </w:rPr>
                      <w:drawing>
                        <wp:inline distT="0" distB="0" distL="114300" distR="114300">
                          <wp:extent cx="116840" cy="210185"/>
                          <wp:effectExtent l="0" t="0" r="0" b="0"/>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1"/>
                                  <a:stretch>
                                    <a:fillRect/>
                                  </a:stretch>
                                </pic:blipFill>
                                <pic:spPr>
                                  <a:xfrm>
                                    <a:off x="0" y="0"/>
                                    <a:ext cx="116840" cy="210185"/>
                                  </a:xfrm>
                                  <a:prstGeom prst="rect">
                                    <a:avLst/>
                                  </a:prstGeom>
                                  <a:noFill/>
                                  <a:ln>
                                    <a:noFill/>
                                  </a:ln>
                                </pic:spPr>
                              </pic:pic>
                            </a:graphicData>
                          </a:graphic>
                        </wp:inline>
                      </w:drawing>
                    </w:r>
                  </w:p>
                  <w:p>
                    <w:pPr>
                      <w:spacing w:beforeLines="0" w:afterLines="0"/>
                      <w:rPr>
                        <w:rFonts w:hint="default"/>
                        <w:sz w:val="24"/>
                      </w:rPr>
                    </w:pPr>
                  </w:p>
                </w:txbxContent>
              </v:textbox>
            </v:rect>
          </w:pict>
        </mc:Fallback>
      </mc:AlternateContent>
    </w:r>
    <w:r>
      <w:rPr>
        <w:rFonts w:hint="eastAsia"/>
        <w:b/>
        <w:sz w:val="15"/>
      </w:rPr>
      <mc:AlternateContent>
        <mc:Choice Requires="wps">
          <w:drawing>
            <wp:anchor distT="0" distB="0" distL="114300" distR="114300" simplePos="0" relativeHeight="255490048" behindDoc="0" locked="0" layoutInCell="1" allowOverlap="1">
              <wp:simplePos x="0" y="0"/>
              <wp:positionH relativeFrom="margin">
                <wp:align>center</wp:align>
              </wp:positionH>
              <wp:positionV relativeFrom="page">
                <wp:posOffset>9865995</wp:posOffset>
              </wp:positionV>
              <wp:extent cx="167640" cy="1397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67640" cy="139700"/>
                      </a:xfrm>
                      <a:prstGeom prst="rect">
                        <a:avLst/>
                      </a:prstGeom>
                      <a:noFill/>
                      <a:ln>
                        <a:noFill/>
                      </a:ln>
                    </wps:spPr>
                    <wps:txbx>
                      <w:txbxContent>
                        <w:p>
                          <w:pPr>
                            <w:pStyle w:val="22"/>
                            <w:kinsoku w:val="0"/>
                            <w:overflowPunct w:val="0"/>
                            <w:spacing w:beforeLines="0" w:afterLines="0" w:line="203" w:lineRule="exact"/>
                            <w:ind w:left="40"/>
                            <w:rPr>
                              <w:rFonts w:hint="default" w:ascii="Calibri" w:hAnsi="Calibri" w:eastAsia="Calibri"/>
                              <w:sz w:val="18"/>
                            </w:rPr>
                          </w:pPr>
                          <w:r>
                            <w:rPr>
                              <w:rFonts w:hint="default" w:ascii="Calibri" w:hAnsi="Calibri" w:eastAsia="Calibri"/>
                              <w:sz w:val="18"/>
                            </w:rPr>
                            <w:fldChar w:fldCharType="begin"/>
                          </w:r>
                          <w:r>
                            <w:rPr>
                              <w:rFonts w:hint="default" w:ascii="Calibri" w:hAnsi="Calibri" w:eastAsia="Calibri"/>
                              <w:sz w:val="18"/>
                            </w:rPr>
                            <w:instrText xml:space="preserve"> PAGE </w:instrText>
                          </w:r>
                          <w:r>
                            <w:rPr>
                              <w:rFonts w:hint="default" w:ascii="Calibri" w:hAnsi="Calibri" w:eastAsia="Calibri"/>
                              <w:sz w:val="18"/>
                            </w:rPr>
                            <w:fldChar w:fldCharType="separate"/>
                          </w:r>
                          <w:r>
                            <w:rPr>
                              <w:rFonts w:hint="default" w:ascii="Calibri" w:hAnsi="Calibri" w:eastAsia="Calibri"/>
                              <w:sz w:val="18"/>
                            </w:rPr>
                            <w:fldChar w:fldCharType="end"/>
                          </w:r>
                        </w:p>
                      </w:txbxContent>
                    </wps:txbx>
                    <wps:bodyPr lIns="0" tIns="0" rIns="0" bIns="0" upright="1"/>
                  </wps:wsp>
                </a:graphicData>
              </a:graphic>
            </wp:anchor>
          </w:drawing>
        </mc:Choice>
        <mc:Fallback>
          <w:pict>
            <v:shape id="_x0000_s1026" o:spid="_x0000_s1026" o:spt="202" type="#_x0000_t202" style="position:absolute;left:0pt;margin-top:776.85pt;height:11pt;width:13.2pt;mso-position-horizontal:center;mso-position-horizontal-relative:margin;mso-position-vertical-relative:page;z-index:255490048;mso-width-relative:page;mso-height-relative:page;" filled="f" stroked="f" coordsize="21600,21600" o:gfxdata="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H2E2a7YAAAACQEAAA8AAAAAAAAA&#10;AQAgAAAAIgAAAGRycy9kb3ducmV2LnhtbFBLAQIUABQAAAAIAIdO4kBL+z6gnwEAACcDAAAOAAAA&#10;AAAAAAEAIAAAACcBAABkcnMvZTJvRG9jLnhtbFBLBQYAAAAABgAGAFkBAAA4BQAAAAA=&#10;">
              <v:fill on="f" focussize="0,0"/>
              <v:stroke on="f"/>
              <v:imagedata o:title=""/>
              <o:lock v:ext="edit" aspectratio="f"/>
              <v:textbox inset="0mm,0mm,0mm,0mm">
                <w:txbxContent>
                  <w:p>
                    <w:pPr>
                      <w:pStyle w:val="22"/>
                      <w:kinsoku w:val="0"/>
                      <w:overflowPunct w:val="0"/>
                      <w:spacing w:beforeLines="0" w:afterLines="0" w:line="203" w:lineRule="exact"/>
                      <w:ind w:left="40"/>
                      <w:rPr>
                        <w:rFonts w:hint="default" w:ascii="Calibri" w:hAnsi="Calibri" w:eastAsia="Calibri"/>
                        <w:sz w:val="18"/>
                      </w:rPr>
                    </w:pPr>
                    <w:r>
                      <w:rPr>
                        <w:rFonts w:hint="default" w:ascii="Calibri" w:hAnsi="Calibri" w:eastAsia="Calibri"/>
                        <w:sz w:val="18"/>
                      </w:rPr>
                      <w:fldChar w:fldCharType="begin"/>
                    </w:r>
                    <w:r>
                      <w:rPr>
                        <w:rFonts w:hint="default" w:ascii="Calibri" w:hAnsi="Calibri" w:eastAsia="Calibri"/>
                        <w:sz w:val="18"/>
                      </w:rPr>
                      <w:instrText xml:space="preserve"> PAGE </w:instrText>
                    </w:r>
                    <w:r>
                      <w:rPr>
                        <w:rFonts w:hint="default" w:ascii="Calibri" w:hAnsi="Calibri" w:eastAsia="Calibri"/>
                        <w:sz w:val="18"/>
                      </w:rPr>
                      <w:fldChar w:fldCharType="separate"/>
                    </w:r>
                    <w:r>
                      <w:rPr>
                        <w:rFonts w:hint="default" w:ascii="Calibri" w:hAnsi="Calibri" w:eastAsia="Calibri"/>
                        <w:sz w:val="18"/>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rPr>
        <w:rFonts w:hint="default"/>
        <w:sz w:val="20"/>
      </w:rPr>
    </w:pPr>
    <w:r>
      <w:rPr>
        <w:rFonts w:hint="eastAsia"/>
        <w:sz w:val="28"/>
      </w:rPr>
      <mc:AlternateContent>
        <mc:Choice Requires="wps">
          <w:drawing>
            <wp:anchor distT="0" distB="0" distL="114300" distR="114300" simplePos="0" relativeHeight="252559360" behindDoc="1" locked="0" layoutInCell="1" allowOverlap="1">
              <wp:simplePos x="0" y="0"/>
              <wp:positionH relativeFrom="page">
                <wp:posOffset>1130300</wp:posOffset>
              </wp:positionH>
              <wp:positionV relativeFrom="page">
                <wp:posOffset>9615170</wp:posOffset>
              </wp:positionV>
              <wp:extent cx="5631180" cy="28575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5631180" cy="285750"/>
                      </a:xfrm>
                      <a:prstGeom prst="rect">
                        <a:avLst/>
                      </a:prstGeom>
                      <a:noFill/>
                      <a:ln>
                        <a:noFill/>
                      </a:ln>
                    </wps:spPr>
                    <wps:txbx>
                      <w:txbxContent>
                        <w:p>
                          <w:pPr>
                            <w:pStyle w:val="22"/>
                            <w:tabs>
                              <w:tab w:val="left" w:pos="8846"/>
                            </w:tabs>
                            <w:kinsoku w:val="0"/>
                            <w:overflowPunct w:val="0"/>
                            <w:spacing w:beforeLines="0" w:afterLines="0" w:line="225"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wps:txbx>
                    <wps:bodyPr lIns="0" tIns="0" rIns="0" bIns="0" upright="1"/>
                  </wps:wsp>
                </a:graphicData>
              </a:graphic>
            </wp:anchor>
          </w:drawing>
        </mc:Choice>
        <mc:Fallback>
          <w:pict>
            <v:shape id="_x0000_s1026" o:spid="_x0000_s1026" o:spt="202" type="#_x0000_t202" style="position:absolute;left:0pt;margin-left:89pt;margin-top:757.1pt;height:22.5pt;width:443.4pt;mso-position-horizontal-relative:page;mso-position-vertical-relative:page;z-index:-250757120;mso-width-relative:page;mso-height-relative:page;" filled="f" stroked="f" coordsize="21600,21600" o:gfxdata="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UPN7tNsAAAAOAQAADwAA&#10;AAAAAAABACAAAAAiAAAAZHJzL2Rvd25yZXYueG1sUEsBAhQAFAAAAAgAh07iQF7WYCahAQAAKAMA&#10;AA4AAAAAAAAAAQAgAAAAKgEAAGRycy9lMm9Eb2MueG1sUEsFBgAAAAAGAAYAWQEAAD0FAAAAAA==&#10;">
              <v:fill on="f" focussize="0,0"/>
              <v:stroke on="f"/>
              <v:imagedata o:title=""/>
              <o:lock v:ext="edit" aspectratio="f"/>
              <v:textbox inset="0mm,0mm,0mm,0mm">
                <w:txbxContent>
                  <w:p>
                    <w:pPr>
                      <w:pStyle w:val="22"/>
                      <w:tabs>
                        <w:tab w:val="left" w:pos="8846"/>
                      </w:tabs>
                      <w:kinsoku w:val="0"/>
                      <w:overflowPunct w:val="0"/>
                      <w:spacing w:beforeLines="0" w:afterLines="0" w:line="225"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v:textbox>
            </v:shape>
          </w:pict>
        </mc:Fallback>
      </mc:AlternateContent>
    </w:r>
    <w:r>
      <w:rPr>
        <w:rFonts w:hint="eastAsia"/>
        <w:sz w:val="28"/>
      </w:rPr>
      <mc:AlternateContent>
        <mc:Choice Requires="wps">
          <w:drawing>
            <wp:anchor distT="0" distB="0" distL="114300" distR="114300" simplePos="0" relativeHeight="252560384" behindDoc="0" locked="0" layoutInCell="1" allowOverlap="1">
              <wp:simplePos x="0" y="0"/>
              <wp:positionH relativeFrom="margin">
                <wp:align>center</wp:align>
              </wp:positionH>
              <wp:positionV relativeFrom="page">
                <wp:posOffset>9748520</wp:posOffset>
              </wp:positionV>
              <wp:extent cx="224790" cy="1524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224790" cy="152400"/>
                      </a:xfrm>
                      <a:prstGeom prst="rect">
                        <a:avLst/>
                      </a:prstGeom>
                      <a:noFill/>
                      <a:ln>
                        <a:noFill/>
                      </a:ln>
                    </wps:spPr>
                    <wps:txbx>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wps:txbx>
                    <wps:bodyPr lIns="0" tIns="0" rIns="0" bIns="0" upright="1"/>
                  </wps:wsp>
                </a:graphicData>
              </a:graphic>
            </wp:anchor>
          </w:drawing>
        </mc:Choice>
        <mc:Fallback>
          <w:pict>
            <v:shape id="_x0000_s1026" o:spid="_x0000_s1026" o:spt="202" type="#_x0000_t202" style="position:absolute;left:0pt;margin-top:767.6pt;height:12pt;width:17.7pt;mso-position-horizontal:center;mso-position-horizontal-relative:margin;mso-position-vertical-relative:page;z-index:252560384;mso-width-relative:page;mso-height-relative:page;" filled="f" stroked="f" coordsize="21600,21600" o:gfxdata="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EGG0+TYAAAACQEAAA8AAAAAAAAA&#10;AQAgAAAAIgAAAGRycy9kb3ducmV2LnhtbFBLAQIUABQAAAAIAIdO4kBomfEAnwEAACcDAAAOAAAA&#10;AAAAAAEAIAAAACcBAABkcnMvZTJvRG9jLnhtbFBLBQYAAAAABgAGAFkBAAA4BQAAAAA=&#10;">
              <v:fill on="f" focussize="0,0"/>
              <v:stroke on="f"/>
              <v:imagedata o:title=""/>
              <o:lock v:ext="edit" aspectratio="f"/>
              <v:textbox inset="0mm,0mm,0mm,0mm">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v:textbox>
            </v:shape>
          </w:pict>
        </mc:Fallback>
      </mc:AlternateContent>
    </w:r>
    <w:r>
      <w:rPr>
        <w:rFonts w:hint="eastAsia"/>
        <w:sz w:val="28"/>
      </w:rPr>
      <mc:AlternateContent>
        <mc:Choice Requires="wps">
          <w:drawing>
            <wp:anchor distT="0" distB="0" distL="114300" distR="114300" simplePos="0" relativeHeight="252561408" behindDoc="1" locked="0" layoutInCell="1" allowOverlap="1">
              <wp:simplePos x="0" y="0"/>
              <wp:positionH relativeFrom="page">
                <wp:posOffset>1130300</wp:posOffset>
              </wp:positionH>
              <wp:positionV relativeFrom="page">
                <wp:posOffset>9765665</wp:posOffset>
              </wp:positionV>
              <wp:extent cx="1627505" cy="160020"/>
              <wp:effectExtent l="0" t="0" r="0" b="0"/>
              <wp:wrapNone/>
              <wp:docPr id="415" name="文本框 415"/>
              <wp:cNvGraphicFramePr/>
              <a:graphic xmlns:a="http://schemas.openxmlformats.org/drawingml/2006/main">
                <a:graphicData uri="http://schemas.microsoft.com/office/word/2010/wordprocessingShape">
                  <wps:wsp>
                    <wps:cNvSpPr txBox="1"/>
                    <wps:spPr>
                      <a:xfrm>
                        <a:off x="0" y="0"/>
                        <a:ext cx="1627505" cy="160020"/>
                      </a:xfrm>
                      <a:prstGeom prst="rect">
                        <a:avLst/>
                      </a:prstGeom>
                      <a:noFill/>
                      <a:ln>
                        <a:noFill/>
                      </a:ln>
                    </wps:spPr>
                    <wps:txbx>
                      <w:txbxContent>
                        <w:p>
                          <w:pPr>
                            <w:pStyle w:val="22"/>
                            <w:kinsoku w:val="0"/>
                            <w:overflowPunct w:val="0"/>
                            <w:spacing w:beforeLines="0" w:afterLines="0" w:line="251" w:lineRule="exact"/>
                            <w:rPr>
                              <w:rFonts w:hint="eastAsia" w:ascii="宋体" w:hAnsi="宋体" w:eastAsia="宋体"/>
                              <w:sz w:val="21"/>
                            </w:rPr>
                          </w:pPr>
                        </w:p>
                      </w:txbxContent>
                    </wps:txbx>
                    <wps:bodyPr lIns="0" tIns="0" rIns="0" bIns="0" upright="1"/>
                  </wps:wsp>
                </a:graphicData>
              </a:graphic>
            </wp:anchor>
          </w:drawing>
        </mc:Choice>
        <mc:Fallback>
          <w:pict>
            <v:shape id="_x0000_s1026" o:spid="_x0000_s1026" o:spt="202" type="#_x0000_t202" style="position:absolute;left:0pt;margin-left:89pt;margin-top:768.95pt;height:12.6pt;width:128.15pt;mso-position-horizontal-relative:page;mso-position-vertical-relative:page;z-index:-250755072;mso-width-relative:page;mso-height-relative:page;" filled="f" stroked="f" coordsize="21600,21600" o:gfxdata="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QYS/cdsAAAANAQAADwAA&#10;AAAAAAABACAAAAAiAAAAZHJzL2Rvd25yZXYueG1sUEsBAhQAFAAAAAgAh07iQKIJHW+hAQAAKAMA&#10;AA4AAAAAAAAAAQAgAAAAKgEAAGRycy9lMm9Eb2MueG1sUEsFBgAAAAAGAAYAWQEAAD0FAAAAAA==&#10;">
              <v:fill on="f" focussize="0,0"/>
              <v:stroke on="f"/>
              <v:imagedata o:title=""/>
              <o:lock v:ext="edit" aspectratio="f"/>
              <v:textbox inset="0mm,0mm,0mm,0mm">
                <w:txbxContent>
                  <w:p>
                    <w:pPr>
                      <w:pStyle w:val="22"/>
                      <w:kinsoku w:val="0"/>
                      <w:overflowPunct w:val="0"/>
                      <w:spacing w:beforeLines="0" w:afterLines="0" w:line="251" w:lineRule="exact"/>
                      <w:rPr>
                        <w:rFonts w:hint="eastAsia" w:ascii="宋体" w:hAnsi="宋体" w:eastAsia="宋体"/>
                        <w:sz w:val="21"/>
                      </w:rPr>
                    </w:pP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rPr>
        <w:rFonts w:hint="eastAsia"/>
        <w:sz w:val="20"/>
      </w:rPr>
    </w:pPr>
    <w:r>
      <w:rPr>
        <w:rFonts w:hint="default"/>
        <w:spacing w:val="-6"/>
        <w:sz w:val="28"/>
      </w:rPr>
      <mc:AlternateContent>
        <mc:Choice Requires="wps">
          <w:drawing>
            <wp:anchor distT="0" distB="0" distL="114300" distR="114300" simplePos="0" relativeHeight="256019456" behindDoc="1" locked="0" layoutInCell="1" allowOverlap="1">
              <wp:simplePos x="0" y="0"/>
              <wp:positionH relativeFrom="page">
                <wp:posOffset>1008380</wp:posOffset>
              </wp:positionH>
              <wp:positionV relativeFrom="page">
                <wp:posOffset>9803765</wp:posOffset>
              </wp:positionV>
              <wp:extent cx="5600700" cy="12700"/>
              <wp:effectExtent l="0" t="0" r="0" b="0"/>
              <wp:wrapNone/>
              <wp:docPr id="425" name="任意多边形 425"/>
              <wp:cNvGraphicFramePr/>
              <a:graphic xmlns:a="http://schemas.openxmlformats.org/drawingml/2006/main">
                <a:graphicData uri="http://schemas.microsoft.com/office/word/2010/wordprocessingShape">
                  <wps:wsp>
                    <wps:cNvSpPr/>
                    <wps:spPr>
                      <a:xfrm>
                        <a:off x="0" y="0"/>
                        <a:ext cx="5600700" cy="12700"/>
                      </a:xfrm>
                      <a:custGeom>
                        <a:avLst/>
                        <a:gdLst/>
                        <a:ahLst/>
                        <a:cxnLst/>
                        <a:pathLst>
                          <a:path w="8820" h="20">
                            <a:moveTo>
                              <a:pt x="0" y="0"/>
                            </a:moveTo>
                            <a:lnTo>
                              <a:pt x="8820" y="2"/>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79.4pt;margin-top:771.95pt;height:1pt;width:441pt;mso-position-horizontal-relative:page;mso-position-vertical-relative:page;z-index:-247297024;mso-width-relative:page;mso-height-relative:page;" filled="f" stroked="t" coordsize="8820,20" o:gfxdata="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WvaAAAADgEA&#10;AA8AAAAAAAAAAQAgAAAAIgAAAGRycy9kb3ducmV2LnhtbFBLAQIUABQAAAAIAIdO4kADIXvYGAIA&#10;AEMEAAAOAAAAAAAAAAEAIAAAACkBAABkcnMvZTJvRG9jLnhtbFBLBQYAAAAABgAGAFkBAACzBQAA&#10;AAA=&#10;" path="m0,0l8820,2e">
              <v:fill on="f" focussize="0,0"/>
              <v:stroke color="#000000" joinstyle="round"/>
              <v:imagedata o:title=""/>
              <o:lock v:ext="edit" aspectratio="f"/>
            </v:shape>
          </w:pict>
        </mc:Fallback>
      </mc:AlternateContent>
    </w:r>
    <w:r>
      <w:rPr>
        <w:rFonts w:hint="default"/>
        <w:spacing w:val="-6"/>
        <w:sz w:val="28"/>
      </w:rPr>
      <mc:AlternateContent>
        <mc:Choice Requires="wps">
          <w:drawing>
            <wp:anchor distT="0" distB="0" distL="114300" distR="114300" simplePos="0" relativeHeight="256020480" behindDoc="0" locked="0" layoutInCell="1" allowOverlap="1">
              <wp:simplePos x="0" y="0"/>
              <wp:positionH relativeFrom="margin">
                <wp:align>center</wp:align>
              </wp:positionH>
              <wp:positionV relativeFrom="page">
                <wp:posOffset>9879965</wp:posOffset>
              </wp:positionV>
              <wp:extent cx="224790" cy="152400"/>
              <wp:effectExtent l="0" t="0" r="0" b="0"/>
              <wp:wrapNone/>
              <wp:docPr id="432" name="文本框 432"/>
              <wp:cNvGraphicFramePr/>
              <a:graphic xmlns:a="http://schemas.openxmlformats.org/drawingml/2006/main">
                <a:graphicData uri="http://schemas.microsoft.com/office/word/2010/wordprocessingShape">
                  <wps:wsp>
                    <wps:cNvSpPr txBox="1"/>
                    <wps:spPr>
                      <a:xfrm>
                        <a:off x="0" y="0"/>
                        <a:ext cx="224790" cy="152400"/>
                      </a:xfrm>
                      <a:prstGeom prst="rect">
                        <a:avLst/>
                      </a:prstGeom>
                      <a:noFill/>
                      <a:ln>
                        <a:noFill/>
                      </a:ln>
                    </wps:spPr>
                    <wps:txbx>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wps:txbx>
                    <wps:bodyPr lIns="0" tIns="0" rIns="0" bIns="0" upright="1"/>
                  </wps:wsp>
                </a:graphicData>
              </a:graphic>
            </wp:anchor>
          </w:drawing>
        </mc:Choice>
        <mc:Fallback>
          <w:pict>
            <v:shape id="_x0000_s1026" o:spid="_x0000_s1026" o:spt="202" type="#_x0000_t202" style="position:absolute;left:0pt;margin-top:777.95pt;height:12pt;width:17.7pt;mso-position-horizontal:center;mso-position-horizontal-relative:margin;mso-position-vertical-relative:page;z-index:256020480;mso-width-relative:page;mso-height-relative:page;" filled="f" stroked="f" coordsize="21600,21600" o:gfxdata="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bFgUNgAAAAJAQAADwAAAAAA&#10;AAABACAAAAAiAAAAZHJzL2Rvd25yZXYueG1sUEsBAhQAFAAAAAgAh07iQGBqoeahAQAAJwMAAA4A&#10;AAAAAAAAAQAgAAAAJwEAAGRycy9lMm9Eb2MueG1sUEsFBgAAAAAGAAYAWQEAADoFAAAAAA==&#10;">
              <v:fill on="f" focussize="0,0"/>
              <v:stroke on="f"/>
              <v:imagedata o:title=""/>
              <o:lock v:ext="edit" aspectratio="f"/>
              <v:textbox inset="0mm,0mm,0mm,0mm">
                <w:txbxContent>
                  <w:p>
                    <w:pPr>
                      <w:pStyle w:val="22"/>
                      <w:kinsoku w:val="0"/>
                      <w:overflowPunct w:val="0"/>
                      <w:spacing w:before="12" w:beforeLines="0" w:afterLines="0"/>
                      <w:ind w:left="40"/>
                      <w:rPr>
                        <w:rFonts w:hint="default" w:ascii="Times New Roman" w:hAnsi="Times New Roman" w:eastAsia="Times New Roman"/>
                        <w:sz w:val="18"/>
                      </w:rPr>
                    </w:pPr>
                    <w:r>
                      <w:rPr>
                        <w:rFonts w:hint="default" w:ascii="Times New Roman" w:hAnsi="Times New Roman" w:eastAsia="Times New Roman"/>
                        <w:sz w:val="18"/>
                      </w:rPr>
                      <w:fldChar w:fldCharType="begin"/>
                    </w:r>
                    <w:r>
                      <w:rPr>
                        <w:rFonts w:hint="default" w:ascii="Times New Roman" w:hAnsi="Times New Roman" w:eastAsia="Times New Roman"/>
                        <w:sz w:val="18"/>
                      </w:rPr>
                      <w:instrText xml:space="preserve"> PAGE </w:instrText>
                    </w:r>
                    <w:r>
                      <w:rPr>
                        <w:rFonts w:hint="default" w:ascii="Times New Roman" w:hAnsi="Times New Roman" w:eastAsia="Times New Roman"/>
                        <w:sz w:val="18"/>
                      </w:rPr>
                      <w:fldChar w:fldCharType="separate"/>
                    </w:r>
                    <w:r>
                      <w:rPr>
                        <w:rFonts w:hint="default" w:ascii="Times New Roman" w:hAnsi="Times New Roman" w:eastAsia="Times New Roman"/>
                        <w:sz w:val="18"/>
                      </w:rPr>
                      <w:fldChar w:fldCharType="end"/>
                    </w:r>
                  </w:p>
                </w:txbxContent>
              </v:textbox>
            </v:shape>
          </w:pict>
        </mc:Fallback>
      </mc:AlternateContent>
    </w:r>
    <w:r>
      <w:rPr>
        <w:rFonts w:hint="default"/>
        <w:spacing w:val="-6"/>
        <w:sz w:val="28"/>
      </w:rPr>
      <mc:AlternateContent>
        <mc:Choice Requires="wps">
          <w:drawing>
            <wp:anchor distT="0" distB="0" distL="114300" distR="114300" simplePos="0" relativeHeight="256021504" behindDoc="1" locked="0" layoutInCell="1" allowOverlap="1">
              <wp:simplePos x="0" y="0"/>
              <wp:positionH relativeFrom="page">
                <wp:posOffset>996315</wp:posOffset>
              </wp:positionH>
              <wp:positionV relativeFrom="page">
                <wp:posOffset>9897110</wp:posOffset>
              </wp:positionV>
              <wp:extent cx="1627505" cy="160020"/>
              <wp:effectExtent l="0" t="0" r="0" b="0"/>
              <wp:wrapNone/>
              <wp:docPr id="433" name="文本框 433"/>
              <wp:cNvGraphicFramePr/>
              <a:graphic xmlns:a="http://schemas.openxmlformats.org/drawingml/2006/main">
                <a:graphicData uri="http://schemas.microsoft.com/office/word/2010/wordprocessingShape">
                  <wps:wsp>
                    <wps:cNvSpPr txBox="1"/>
                    <wps:spPr>
                      <a:xfrm>
                        <a:off x="0" y="0"/>
                        <a:ext cx="1627505" cy="160020"/>
                      </a:xfrm>
                      <a:prstGeom prst="rect">
                        <a:avLst/>
                      </a:prstGeom>
                      <a:noFill/>
                      <a:ln>
                        <a:noFill/>
                      </a:ln>
                    </wps:spPr>
                    <wps:txbx>
                      <w:txbxContent>
                        <w:p>
                          <w:pPr>
                            <w:pStyle w:val="22"/>
                            <w:kinsoku w:val="0"/>
                            <w:overflowPunct w:val="0"/>
                            <w:spacing w:beforeLines="0" w:afterLines="0" w:line="251" w:lineRule="exact"/>
                            <w:rPr>
                              <w:rFonts w:hint="eastAsia" w:ascii="宋体" w:hAnsi="宋体" w:eastAsia="宋体"/>
                              <w:sz w:val="21"/>
                            </w:rPr>
                          </w:pPr>
                        </w:p>
                      </w:txbxContent>
                    </wps:txbx>
                    <wps:bodyPr lIns="0" tIns="0" rIns="0" bIns="0" upright="1"/>
                  </wps:wsp>
                </a:graphicData>
              </a:graphic>
            </wp:anchor>
          </w:drawing>
        </mc:Choice>
        <mc:Fallback>
          <w:pict>
            <v:shape id="_x0000_s1026" o:spid="_x0000_s1026" o:spt="202" type="#_x0000_t202" style="position:absolute;left:0pt;margin-left:78.45pt;margin-top:779.3pt;height:12.6pt;width:128.15pt;mso-position-horizontal-relative:page;mso-position-vertical-relative:page;z-index:-247294976;mso-width-relative:page;mso-height-relative:page;" filled="f" stroked="f" coordsize="21600,21600" o:gfxdata="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hYsFhNoAAAANAQAADwAA&#10;AAAAAAABACAAAAAiAAAAZHJzL2Rvd25yZXYueG1sUEsBAhQAFAAAAAgAh07iQO0fjV6iAQAAKAMA&#10;AA4AAAAAAAAAAQAgAAAAKQEAAGRycy9lMm9Eb2MueG1sUEsFBgAAAAAGAAYAWQEAAD0FAAAAAA==&#10;">
              <v:fill on="f" focussize="0,0"/>
              <v:stroke on="f"/>
              <v:imagedata o:title=""/>
              <o:lock v:ext="edit" aspectratio="f"/>
              <v:textbox inset="0mm,0mm,0mm,0mm">
                <w:txbxContent>
                  <w:p>
                    <w:pPr>
                      <w:pStyle w:val="22"/>
                      <w:kinsoku w:val="0"/>
                      <w:overflowPunct w:val="0"/>
                      <w:spacing w:beforeLines="0" w:afterLines="0" w:line="251" w:lineRule="exact"/>
                      <w:rPr>
                        <w:rFonts w:hint="eastAsia" w:ascii="宋体" w:hAnsi="宋体" w:eastAsia="宋体"/>
                        <w:sz w:val="21"/>
                      </w:rPr>
                    </w:pP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ind w:left="0"/>
      <w:rPr>
        <w:rFonts w:hint="default"/>
        <w:sz w:val="20"/>
      </w:rPr>
    </w:pPr>
    <w:r>
      <w:rPr>
        <w:rFonts w:hint="eastAsia"/>
        <w:spacing w:val="-5"/>
        <w:sz w:val="24"/>
      </w:rPr>
      <mc:AlternateContent>
        <mc:Choice Requires="wps">
          <w:drawing>
            <wp:anchor distT="0" distB="0" distL="114300" distR="114300" simplePos="0" relativeHeight="255544320" behindDoc="0" locked="0" layoutInCell="1" allowOverlap="1">
              <wp:simplePos x="0" y="0"/>
              <wp:positionH relativeFrom="margin">
                <wp:align>center</wp:align>
              </wp:positionH>
              <wp:positionV relativeFrom="page">
                <wp:posOffset>9872980</wp:posOffset>
              </wp:positionV>
              <wp:extent cx="167640" cy="200660"/>
              <wp:effectExtent l="0" t="0" r="0" b="0"/>
              <wp:wrapNone/>
              <wp:docPr id="437" name="文本框 437"/>
              <wp:cNvGraphicFramePr/>
              <a:graphic xmlns:a="http://schemas.openxmlformats.org/drawingml/2006/main">
                <a:graphicData uri="http://schemas.microsoft.com/office/word/2010/wordprocessingShape">
                  <wps:wsp>
                    <wps:cNvSpPr txBox="1"/>
                    <wps:spPr>
                      <a:xfrm>
                        <a:off x="0" y="0"/>
                        <a:ext cx="167640" cy="200660"/>
                      </a:xfrm>
                      <a:prstGeom prst="rect">
                        <a:avLst/>
                      </a:prstGeom>
                      <a:noFill/>
                      <a:ln>
                        <a:noFill/>
                      </a:ln>
                    </wps:spPr>
                    <wps:txbx>
                      <w:txbxContent>
                        <w:p>
                          <w:pPr>
                            <w:pStyle w:val="22"/>
                            <w:kinsoku w:val="0"/>
                            <w:overflowPunct w:val="0"/>
                            <w:spacing w:before="78" w:beforeLines="0" w:afterLines="0"/>
                            <w:ind w:left="40"/>
                            <w:rPr>
                              <w:rFonts w:hint="default" w:ascii="Calibri" w:hAnsi="Calibri" w:eastAsia="Calibri"/>
                              <w:sz w:val="18"/>
                            </w:rPr>
                          </w:pPr>
                          <w:r>
                            <w:rPr>
                              <w:rFonts w:hint="default" w:ascii="Calibri" w:hAnsi="Calibri" w:eastAsia="Calibri"/>
                              <w:sz w:val="18"/>
                            </w:rPr>
                            <w:fldChar w:fldCharType="begin"/>
                          </w:r>
                          <w:r>
                            <w:rPr>
                              <w:rFonts w:hint="default" w:ascii="Calibri" w:hAnsi="Calibri" w:eastAsia="Calibri"/>
                              <w:sz w:val="18"/>
                            </w:rPr>
                            <w:instrText xml:space="preserve"> PAGE </w:instrText>
                          </w:r>
                          <w:r>
                            <w:rPr>
                              <w:rFonts w:hint="default" w:ascii="Calibri" w:hAnsi="Calibri" w:eastAsia="Calibri"/>
                              <w:sz w:val="18"/>
                            </w:rPr>
                            <w:fldChar w:fldCharType="separate"/>
                          </w:r>
                          <w:r>
                            <w:rPr>
                              <w:rFonts w:hint="default" w:ascii="Calibri" w:hAnsi="Calibri" w:eastAsia="Calibri"/>
                              <w:sz w:val="18"/>
                            </w:rPr>
                            <w:fldChar w:fldCharType="end"/>
                          </w:r>
                        </w:p>
                      </w:txbxContent>
                    </wps:txbx>
                    <wps:bodyPr lIns="0" tIns="0" rIns="0" bIns="0" upright="1"/>
                  </wps:wsp>
                </a:graphicData>
              </a:graphic>
            </wp:anchor>
          </w:drawing>
        </mc:Choice>
        <mc:Fallback>
          <w:pict>
            <v:shape id="_x0000_s1026" o:spid="_x0000_s1026" o:spt="202" type="#_x0000_t202" style="position:absolute;left:0pt;margin-top:777.4pt;height:15.8pt;width:13.2pt;mso-position-horizontal:center;mso-position-horizontal-relative:margin;mso-position-vertical-relative:page;z-index:255544320;mso-width-relative:page;mso-height-relative:page;" filled="f" stroked="f" coordsize="21600,21600" o:gfxdata="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C9+f8Q1wAAAAkBAAAPAAAAAAAAAAEA&#10;IAAAACIAAABkcnMvZG93bnJldi54bWxQSwECFAAUAAAACACHTuJAs9Ynwp4BAAAnAwAADgAAAAAA&#10;AAABACAAAAAmAQAAZHJzL2Uyb0RvYy54bWxQSwUGAAAAAAYABgBZAQAANgUAAAAA&#10;">
              <v:fill on="f" focussize="0,0"/>
              <v:stroke on="f"/>
              <v:imagedata o:title=""/>
              <o:lock v:ext="edit" aspectratio="f"/>
              <v:textbox inset="0mm,0mm,0mm,0mm">
                <w:txbxContent>
                  <w:p>
                    <w:pPr>
                      <w:pStyle w:val="22"/>
                      <w:kinsoku w:val="0"/>
                      <w:overflowPunct w:val="0"/>
                      <w:spacing w:before="78" w:beforeLines="0" w:afterLines="0"/>
                      <w:ind w:left="40"/>
                      <w:rPr>
                        <w:rFonts w:hint="default" w:ascii="Calibri" w:hAnsi="Calibri" w:eastAsia="Calibri"/>
                        <w:sz w:val="18"/>
                      </w:rPr>
                    </w:pPr>
                    <w:r>
                      <w:rPr>
                        <w:rFonts w:hint="default" w:ascii="Calibri" w:hAnsi="Calibri" w:eastAsia="Calibri"/>
                        <w:sz w:val="18"/>
                      </w:rPr>
                      <w:fldChar w:fldCharType="begin"/>
                    </w:r>
                    <w:r>
                      <w:rPr>
                        <w:rFonts w:hint="default" w:ascii="Calibri" w:hAnsi="Calibri" w:eastAsia="Calibri"/>
                        <w:sz w:val="18"/>
                      </w:rPr>
                      <w:instrText xml:space="preserve"> PAGE </w:instrText>
                    </w:r>
                    <w:r>
                      <w:rPr>
                        <w:rFonts w:hint="default" w:ascii="Calibri" w:hAnsi="Calibri" w:eastAsia="Calibri"/>
                        <w:sz w:val="18"/>
                      </w:rPr>
                      <w:fldChar w:fldCharType="separate"/>
                    </w:r>
                    <w:r>
                      <w:rPr>
                        <w:rFonts w:hint="default" w:ascii="Calibri" w:hAnsi="Calibri" w:eastAsia="Calibri"/>
                        <w:sz w:val="18"/>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left" w:pos="2542"/>
        <w:tab w:val="clear" w:pos="4153"/>
      </w:tabs>
    </w:pPr>
    <w:r>
      <mc:AlternateContent>
        <mc:Choice Requires="wps">
          <w:drawing>
            <wp:anchor distT="0" distB="0" distL="114300" distR="114300" simplePos="0" relativeHeight="255423488" behindDoc="0" locked="0" layoutInCell="1" allowOverlap="1">
              <wp:simplePos x="0" y="0"/>
              <wp:positionH relativeFrom="margin">
                <wp:align>center</wp:align>
              </wp:positionH>
              <wp:positionV relativeFrom="paragraph">
                <wp:posOffset>-90805</wp:posOffset>
              </wp:positionV>
              <wp:extent cx="171450" cy="131445"/>
              <wp:effectExtent l="0" t="0" r="0" b="0"/>
              <wp:wrapNone/>
              <wp:docPr id="128" name="矩形 153"/>
              <wp:cNvGraphicFramePr/>
              <a:graphic xmlns:a="http://schemas.openxmlformats.org/drawingml/2006/main">
                <a:graphicData uri="http://schemas.microsoft.com/office/word/2010/wordprocessingShape">
                  <wps:wsp>
                    <wps:cNvSpPr>
                      <a:spLocks noChangeArrowheads="1"/>
                    </wps:cNvSpPr>
                    <wps:spPr bwMode="auto">
                      <a:xfrm>
                        <a:off x="0" y="0"/>
                        <a:ext cx="171450" cy="131445"/>
                      </a:xfrm>
                      <a:prstGeom prst="rect">
                        <a:avLst/>
                      </a:prstGeom>
                      <a:noFill/>
                      <a:ln>
                        <a:noFill/>
                      </a:ln>
                    </wps:spPr>
                    <wps:txbx>
                      <w:txbxContent>
                        <w:p>
                          <w:pPr>
                            <w:pStyle w:val="32"/>
                          </w:pPr>
                          <w:r>
                            <w:rPr>
                              <w:rFonts w:hint="eastAsia"/>
                            </w:rPr>
                            <w:fldChar w:fldCharType="begin"/>
                          </w:r>
                          <w:r>
                            <w:rPr>
                              <w:rFonts w:hint="eastAsia"/>
                            </w:rPr>
                            <w:instrText xml:space="preserve"> PAGE  \* MERGEFORMAT </w:instrText>
                          </w:r>
                          <w:r>
                            <w:rPr>
                              <w:rFonts w:hint="eastAsia"/>
                            </w:rPr>
                            <w:fldChar w:fldCharType="separate"/>
                          </w:r>
                          <w:r>
                            <w:t>118</w:t>
                          </w:r>
                          <w:r>
                            <w:rPr>
                              <w:rFonts w:hint="eastAsia"/>
                            </w:rPr>
                            <w:fldChar w:fldCharType="end"/>
                          </w:r>
                        </w:p>
                      </w:txbxContent>
                    </wps:txbx>
                    <wps:bodyPr rot="0" vert="horz" wrap="none" lIns="0" tIns="0" rIns="0" bIns="0" anchor="t" anchorCtr="0" upright="1">
                      <a:spAutoFit/>
                    </wps:bodyPr>
                  </wps:wsp>
                </a:graphicData>
              </a:graphic>
            </wp:anchor>
          </w:drawing>
        </mc:Choice>
        <mc:Fallback>
          <w:pict>
            <v:rect id="矩形 153" o:spid="_x0000_s1026" o:spt="1" style="position:absolute;left:0pt;margin-top:-7.15pt;height:10.35pt;width:13.5pt;mso-position-horizontal:center;mso-position-horizontal-relative:margin;mso-wrap-style:none;z-index:255423488;mso-width-relative:page;mso-height-relative:page;" filled="f" stroked="f" coordsize="21600,21600" o:gfxdata="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ooN3bUAAAA&#10;BQEAAA8AAAAAAAAAAQAgAAAAIgAAAGRycy9kb3ducmV2LnhtbFBLAQIUABQAAAAIAIdO4kAyI9TB&#10;6AEAAKsDAAAOAAAAAAAAAAEAIAAAACMBAABkcnMvZTJvRG9jLnhtbFBLBQYAAAAABgAGAFkBAAB9&#10;BQAAAAA=&#10;">
              <v:fill on="f" focussize="0,0"/>
              <v:stroke on="f"/>
              <v:imagedata o:title=""/>
              <o:lock v:ext="edit" aspectratio="f"/>
              <v:textbox inset="0mm,0mm,0mm,0mm" style="mso-fit-shape-to-text:t;">
                <w:txbxContent>
                  <w:p>
                    <w:pPr>
                      <w:pStyle w:val="32"/>
                    </w:pPr>
                    <w:r>
                      <w:rPr>
                        <w:rFonts w:hint="eastAsia"/>
                      </w:rPr>
                      <w:fldChar w:fldCharType="begin"/>
                    </w:r>
                    <w:r>
                      <w:rPr>
                        <w:rFonts w:hint="eastAsia"/>
                      </w:rPr>
                      <w:instrText xml:space="preserve"> PAGE  \* MERGEFORMAT </w:instrText>
                    </w:r>
                    <w:r>
                      <w:rPr>
                        <w:rFonts w:hint="eastAsia"/>
                      </w:rPr>
                      <w:fldChar w:fldCharType="separate"/>
                    </w:r>
                    <w:r>
                      <w:t>118</w:t>
                    </w:r>
                    <w:r>
                      <w:rPr>
                        <w:rFonts w:hint="eastAsia"/>
                      </w:rPr>
                      <w:fldChar w:fldCharType="end"/>
                    </w:r>
                  </w:p>
                </w:txbxContent>
              </v:textbox>
            </v:rect>
          </w:pict>
        </mc:Fallback>
      </mc:AlternateContent>
    </w:r>
    <w:r>
      <w:rPr>
        <w:rFonts w:hint="eastAsia"/>
      </w:rPr>
      <w:t xml:space="preserve">                                      </w:t>
    </w:r>
    <w:r>
      <w:rPr>
        <w:rFonts w:hint="eastAsia"/>
      </w:rPr>
      <w:tab/>
    </w:r>
  </w:p>
  <w:p>
    <w:pPr>
      <w:pStyle w:val="32"/>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left" w:pos="2542"/>
        <w:tab w:val="clear" w:pos="4153"/>
      </w:tabs>
    </w:pPr>
    <w:r>
      <w:rPr>
        <w:rFonts w:hint="eastAsia"/>
      </w:rPr>
      <w:t xml:space="preserve">                                      </w:t>
    </w:r>
    <w:r>
      <w:rPr>
        <w:rFonts w:hint="eastAsia"/>
      </w:rPr>
      <w:tab/>
    </w:r>
  </w:p>
  <w:p>
    <w:pPr>
      <w:pStyle w:val="3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center" w:pos="4535"/>
        <w:tab w:val="clear" w:pos="4153"/>
        <w:tab w:val="clear" w:pos="8306"/>
      </w:tabs>
      <w:jc w:val="both"/>
      <w:rPr>
        <w:rFonts w:ascii="楷体" w:eastAsia="楷体"/>
      </w:rPr>
    </w:pPr>
    <w:r>
      <w:rPr>
        <w:rFonts w:hint="eastAsia" w:ascii="楷体" w:eastAsia="楷体"/>
      </w:rPr>
      <w:tab/>
    </w:r>
    <w:r>
      <w:rPr>
        <w:rFonts w:hint="eastAsia" w:ascii="楷体" w:eastAsia="楷体"/>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left" w:pos="6405"/>
      </w:tabs>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00965" cy="163195"/>
              <wp:effectExtent l="0" t="0" r="3810" b="0"/>
              <wp:wrapNone/>
              <wp:docPr id="4" name="文本框 4"/>
              <wp:cNvGraphicFramePr/>
              <a:graphic xmlns:a="http://schemas.openxmlformats.org/drawingml/2006/main">
                <a:graphicData uri="http://schemas.microsoft.com/office/word/2010/wordprocessingShape">
                  <wps:wsp>
                    <wps:cNvSpPr>
                      <a:spLocks noChangeArrowheads="1"/>
                    </wps:cNvSpPr>
                    <wps:spPr bwMode="auto">
                      <a:xfrm>
                        <a:off x="0" y="0"/>
                        <a:ext cx="100965" cy="163195"/>
                      </a:xfrm>
                      <a:prstGeom prst="rect">
                        <a:avLst/>
                      </a:prstGeom>
                      <a:noFill/>
                      <a:ln>
                        <a:noFill/>
                      </a:ln>
                    </wps:spPr>
                    <wps:txbx>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vert="horz" wrap="none" lIns="0" tIns="0" rIns="0" bIns="0" anchor="t" anchorCtr="0" upright="1">
                      <a:spAutoFit/>
                    </wps:bodyPr>
                  </wps:wsp>
                </a:graphicData>
              </a:graphic>
            </wp:anchor>
          </w:drawing>
        </mc:Choice>
        <mc:Fallback>
          <w:pict>
            <v:rect id="文本框 4" o:spid="_x0000_s1026" o:spt="1" style="position:absolute;left:0pt;margin-top:0pt;height:12.85pt;width:7.95pt;mso-position-horizontal:center;mso-position-horizontal-relative:margin;mso-wrap-style:none;z-index:251659264;mso-width-relative:page;mso-height-relative:page;" filled="f" stroked="f" coordsize="21600,21600" o:gfxdata="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BYFyHSAAAA&#10;AwEAAA8AAAAAAAAAAQAgAAAAIgAAAGRycy9kb3ducmV2LnhtbFBLAQIUABQAAAAIAIdO4kBn1kKs&#10;6gEAAKoDAAAOAAAAAAAAAAEAIAAAACEBAABkcnMvZTJvRG9jLnhtbFBLBQYAAAAABgAGAFkBAAB9&#10;BQAAAAA=&#10;">
              <v:fill on="f" focussize="0,0"/>
              <v:stroke on="f"/>
              <v:imagedata o:title=""/>
              <o:lock v:ext="edit" aspectratio="f"/>
              <v:textbox inset="0mm,0mm,0mm,0mm" style="mso-fit-shape-to-text:t;">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center" w:pos="4535"/>
        <w:tab w:val="clear" w:pos="4153"/>
        <w:tab w:val="clear" w:pos="8306"/>
      </w:tabs>
      <w:jc w:val="both"/>
      <w:rPr>
        <w:rFonts w:ascii="楷体" w:eastAsia="楷体"/>
      </w:rPr>
    </w:pPr>
    <w:r>
      <w:rPr>
        <w:rFonts w:hint="eastAsia" w:ascii="楷体" w:eastAsia="楷体"/>
      </w:rPr>
      <w:tab/>
    </w:r>
    <w:r>
      <w:rPr>
        <w:rFonts w:hint="eastAsia" w:ascii="楷体" w:eastAsia="楷体"/>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center" w:pos="4535"/>
        <w:tab w:val="clear" w:pos="4153"/>
        <w:tab w:val="clear" w:pos="8306"/>
      </w:tabs>
      <w:jc w:val="both"/>
      <w:rPr>
        <w:rFonts w:ascii="楷体" w:eastAsia="楷体"/>
      </w:rPr>
    </w:pPr>
    <w:r>
      <w:rPr>
        <w:rFonts w:hint="eastAsia" w:ascii="楷体" w:eastAsia="楷体"/>
      </w:rPr>
      <w:tab/>
    </w:r>
    <w:r>
      <w:rPr>
        <w:rFonts w:hint="eastAsia" w:ascii="楷体" w:eastAsia="楷体"/>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tabs>
        <w:tab w:val="center" w:pos="4535"/>
        <w:tab w:val="clear" w:pos="4153"/>
        <w:tab w:val="clear" w:pos="8306"/>
      </w:tabs>
      <w:jc w:val="both"/>
      <w:rPr>
        <w:rFonts w:ascii="楷体" w:eastAsia="楷体"/>
      </w:rPr>
    </w:pPr>
    <w:r>
      <mc:AlternateContent>
        <mc:Choice Requires="wps">
          <w:drawing>
            <wp:anchor distT="0" distB="0" distL="114300" distR="114300" simplePos="0" relativeHeight="754453504" behindDoc="0" locked="0" layoutInCell="1" allowOverlap="1">
              <wp:simplePos x="0" y="0"/>
              <wp:positionH relativeFrom="margin">
                <wp:align>center</wp:align>
              </wp:positionH>
              <wp:positionV relativeFrom="paragraph">
                <wp:posOffset>0</wp:posOffset>
              </wp:positionV>
              <wp:extent cx="82550" cy="131445"/>
              <wp:effectExtent l="0" t="0" r="0" b="0"/>
              <wp:wrapNone/>
              <wp:docPr id="38" name="Rectangle 1"/>
              <wp:cNvGraphicFramePr/>
              <a:graphic xmlns:a="http://schemas.openxmlformats.org/drawingml/2006/main">
                <a:graphicData uri="http://schemas.microsoft.com/office/word/2010/wordprocessingShape">
                  <wps:wsp>
                    <wps:cNvSpPr>
                      <a:spLocks noChangeArrowheads="1"/>
                    </wps:cNvSpPr>
                    <wps:spPr bwMode="auto">
                      <a:xfrm>
                        <a:off x="0" y="0"/>
                        <a:ext cx="82550" cy="131445"/>
                      </a:xfrm>
                      <a:prstGeom prst="rect">
                        <a:avLst/>
                      </a:prstGeom>
                      <a:noFill/>
                      <a:ln>
                        <a:noFill/>
                      </a:ln>
                    </wps:spPr>
                    <wps:txbx>
                      <w:txbxContent>
                        <w:p>
                          <w:pPr>
                            <w:pStyle w:val="32"/>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wps:txbx>
                    <wps:bodyPr rot="0" vert="horz" wrap="none" lIns="0" tIns="0" rIns="0" bIns="0" anchor="t" anchorCtr="0" upright="1">
                      <a:spAutoFit/>
                    </wps:bodyPr>
                  </wps:wsp>
                </a:graphicData>
              </a:graphic>
            </wp:anchor>
          </w:drawing>
        </mc:Choice>
        <mc:Fallback>
          <w:pict>
            <v:rect id="Rectangle 1" o:spid="_x0000_s1026" o:spt="1" style="position:absolute;left:0pt;margin-top:0pt;height:10.35pt;width:6.5pt;mso-position-horizontal:center;mso-position-horizontal-relative:margin;mso-wrap-style:none;z-index:754453504;mso-width-relative:page;mso-height-relative:page;" filled="f" stroked="f" coordsize="21600,21600" o:gfxdata="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6Sy+j0QAAAAMBAAAPAAAAAAAAAAEAIAAA&#10;ACIAAABkcnMvZG93bnJldi54bWxQSwECFAAUAAAACACHTuJAesLpodoBAACqAwAADgAAAAAAAAAB&#10;ACAAAAAgAQAAZHJzL2Uyb0RvYy54bWxQSwUGAAAAAAYABgBZAQAAbAUAAAAA&#10;">
              <v:fill on="f" focussize="0,0"/>
              <v:stroke on="f"/>
              <v:imagedata o:title=""/>
              <o:lock v:ext="edit" aspectratio="f"/>
              <v:textbox inset="0mm,0mm,0mm,0mm" style="mso-fit-shape-to-text:t;">
                <w:txbxContent>
                  <w:p>
                    <w:pPr>
                      <w:pStyle w:val="32"/>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v:textbox>
            </v:rect>
          </w:pict>
        </mc:Fallback>
      </mc:AlternateContent>
    </w:r>
    <w:r>
      <w:rPr>
        <w:rFonts w:hint="eastAsia" w:ascii="楷体" w:eastAsia="楷体"/>
      </w:rPr>
      <w:tab/>
    </w:r>
    <w:r>
      <w:rPr>
        <w:rFonts w:hint="eastAsia" w:ascii="楷体" w:eastAsia="楷体"/>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kinsoku w:val="0"/>
      <w:overflowPunct w:val="0"/>
      <w:spacing w:beforeLines="0" w:afterLines="0" w:line="14" w:lineRule="auto"/>
      <w:rPr>
        <w:rFonts w:hint="default"/>
        <w:sz w:val="20"/>
      </w:rPr>
    </w:pPr>
    <w:r>
      <w:rPr>
        <w:sz w:val="21"/>
      </w:rPr>
      <mc:AlternateContent>
        <mc:Choice Requires="wps">
          <w:drawing>
            <wp:anchor distT="0" distB="0" distL="114300" distR="114300" simplePos="0" relativeHeight="754458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754458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Uzd4VAgAAFw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ErUzd4VAgAAFwQAAA4AAAAAAAAA&#10;AQAgAAAAHwEAAGRycy9lMm9Eb2MueG1sUEsFBgAAAAAGAAYAWQEAAKYFAAAAAA==&#10;">
              <v:fill on="f" focussize="0,0"/>
              <v:stroke on="f" weight="0.5pt"/>
              <v:imagedata o:title=""/>
              <o:lock v:ext="edit" aspectratio="f"/>
              <v:textbox inset="0mm,0mm,0mm,0mm" style="mso-fit-shape-to-text:t;">
                <w:txbxContent>
                  <w:p>
                    <w:pPr>
                      <w:pStyle w:val="3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24</w:t>
                    </w:r>
                    <w:r>
                      <w:rPr>
                        <w:rFonts w:hint="eastAsia"/>
                        <w:lang w:eastAsia="zh-CN"/>
                      </w:rPr>
                      <w:fldChar w:fldCharType="end"/>
                    </w:r>
                  </w:p>
                </w:txbxContent>
              </v:textbox>
            </v:shape>
          </w:pict>
        </mc:Fallback>
      </mc:AlternateContent>
    </w:r>
    <w:r>
      <w:rPr>
        <w:rFonts w:hint="eastAsia" w:ascii="楷体" w:hAnsi="楷体" w:eastAsia="楷体"/>
        <w:b/>
        <w:sz w:val="21"/>
      </w:rPr>
      <mc:AlternateContent>
        <mc:Choice Requires="wps">
          <w:drawing>
            <wp:anchor distT="0" distB="0" distL="114300" distR="114300" simplePos="0" relativeHeight="253535232" behindDoc="1" locked="0" layoutInCell="1" allowOverlap="1">
              <wp:simplePos x="0" y="0"/>
              <wp:positionH relativeFrom="page">
                <wp:posOffset>996315</wp:posOffset>
              </wp:positionH>
              <wp:positionV relativeFrom="page">
                <wp:posOffset>9615170</wp:posOffset>
              </wp:positionV>
              <wp:extent cx="5630545" cy="139700"/>
              <wp:effectExtent l="0" t="0" r="0" b="0"/>
              <wp:wrapNone/>
              <wp:docPr id="418" name="文本框 418"/>
              <wp:cNvGraphicFramePr/>
              <a:graphic xmlns:a="http://schemas.openxmlformats.org/drawingml/2006/main">
                <a:graphicData uri="http://schemas.microsoft.com/office/word/2010/wordprocessingShape">
                  <wps:wsp>
                    <wps:cNvSpPr txBox="1"/>
                    <wps:spPr>
                      <a:xfrm>
                        <a:off x="0" y="0"/>
                        <a:ext cx="5630545" cy="139700"/>
                      </a:xfrm>
                      <a:prstGeom prst="rect">
                        <a:avLst/>
                      </a:prstGeom>
                      <a:noFill/>
                      <a:ln>
                        <a:noFill/>
                      </a:ln>
                    </wps:spPr>
                    <wps:txbx>
                      <w:txbxContent>
                        <w:p>
                          <w:pPr>
                            <w:pStyle w:val="22"/>
                            <w:tabs>
                              <w:tab w:val="left" w:pos="8846"/>
                            </w:tabs>
                            <w:kinsoku w:val="0"/>
                            <w:overflowPunct w:val="0"/>
                            <w:spacing w:beforeLines="0" w:afterLines="0" w:line="220"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wps:txbx>
                    <wps:bodyPr lIns="0" tIns="0" rIns="0" bIns="0" upright="1"/>
                  </wps:wsp>
                </a:graphicData>
              </a:graphic>
            </wp:anchor>
          </w:drawing>
        </mc:Choice>
        <mc:Fallback>
          <w:pict>
            <v:shape id="_x0000_s1026" o:spid="_x0000_s1026" o:spt="202" type="#_x0000_t202" style="position:absolute;left:0pt;margin-left:78.45pt;margin-top:757.1pt;height:11pt;width:443.35pt;mso-position-horizontal-relative:page;mso-position-vertical-relative:page;z-index:-249781248;mso-width-relative:page;mso-height-relative:page;" filled="f" stroked="f" coordsize="21600,21600" o:gfxdata="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WytCc2gAAAA4BAAAPAAAA&#10;AAAAAAEAIAAAACIAAABkcnMvZG93bnJldi54bWxQSwECFAAUAAAACACHTuJA6Y6htqEBAAAoAwAA&#10;DgAAAAAAAAABACAAAAApAQAAZHJzL2Uyb0RvYy54bWxQSwUGAAAAAAYABgBZAQAAPAUAAAAA&#10;">
              <v:fill on="f" focussize="0,0"/>
              <v:stroke on="f"/>
              <v:imagedata o:title=""/>
              <o:lock v:ext="edit" aspectratio="f"/>
              <v:textbox inset="0mm,0mm,0mm,0mm">
                <w:txbxContent>
                  <w:p>
                    <w:pPr>
                      <w:pStyle w:val="22"/>
                      <w:tabs>
                        <w:tab w:val="left" w:pos="8846"/>
                      </w:tabs>
                      <w:kinsoku w:val="0"/>
                      <w:overflowPunct w:val="0"/>
                      <w:spacing w:beforeLines="0" w:afterLines="0" w:line="220" w:lineRule="exact"/>
                      <w:ind w:left="20"/>
                      <w:rPr>
                        <w:rFonts w:hint="eastAsia" w:ascii="宋体" w:hAnsi="宋体" w:eastAsia="宋体"/>
                        <w:sz w:val="18"/>
                      </w:rPr>
                    </w:pPr>
                    <w:r>
                      <w:rPr>
                        <w:rFonts w:hint="eastAsia" w:ascii="宋体" w:hAnsi="宋体" w:eastAsia="宋体"/>
                        <w:strike/>
                        <w:sz w:val="18"/>
                      </w:rPr>
                      <w:t xml:space="preserve"> </w:t>
                    </w:r>
                    <w:r>
                      <w:rPr>
                        <w:rFonts w:hint="eastAsia" w:ascii="宋体" w:hAnsi="宋体" w:eastAsia="宋体"/>
                        <w:strike/>
                        <w:sz w:val="18"/>
                      </w:rPr>
                      <w:tab/>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1"/>
      </w:pBdr>
      <w:jc w:val="both"/>
      <w:rPr>
        <w:rFonts w:ascii="华文楷体" w:eastAsia="华文楷体" w:cs="华文楷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0"/>
      </w:pBdr>
      <w:jc w:val="both"/>
      <w:rPr>
        <w:rFonts w:hint="eastAsia" w:eastAsia="宋体"/>
        <w:lang w:val="en-US" w:eastAsia="zh-CN"/>
      </w:rPr>
    </w:pPr>
  </w:p>
  <w:p>
    <w:pPr>
      <w:pStyle w:val="33"/>
      <w:pBdr>
        <w:bottom w:val="none" w:color="auto" w:sz="0" w:space="0"/>
      </w:pBdr>
      <w:jc w:val="both"/>
      <w:rPr>
        <w:rFonts w:hint="eastAsia" w:eastAsia="宋体"/>
        <w:lang w:val="en-US" w:eastAsia="zh-CN"/>
      </w:rPr>
    </w:pPr>
    <w:r>
      <w:rPr>
        <w:sz w:val="18"/>
      </w:rPr>
      <mc:AlternateContent>
        <mc:Choice Requires="wps">
          <w:drawing>
            <wp:anchor distT="0" distB="0" distL="114300" distR="114300" simplePos="0" relativeHeight="754454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3"/>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754454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JeB4AVAgAAFQ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hRDOFHZ2+fzv9+HX6+ZVAB4Ba62fw21h4hu6t6bDoQe+hjHN3&#10;lVPxxkQEdkB9vMArukB4DJpOptMcJg7b8ED+7DHcOh/eCaNIFArqsL8EKzusfehdB5dYTZtVI2Xa&#10;odSkLej11e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JeB4AVAgAAFQQAAA4AAAAAAAAA&#10;AQAgAAAAHwEAAGRycy9lMm9Eb2MueG1sUEsFBgAAAAAGAAYAWQEAAKYFAAAAAA==&#10;">
              <v:fill on="f" focussize="0,0"/>
              <v:stroke on="f" weight="0.5pt"/>
              <v:imagedata o:title=""/>
              <o:lock v:ext="edit" aspectratio="f"/>
              <v:textbox inset="0mm,0mm,0mm,0mm" style="mso-fit-shape-to-text:t;">
                <w:txbxContent>
                  <w:p>
                    <w:pPr>
                      <w:pStyle w:val="33"/>
                      <w:rPr>
                        <w:rFonts w:hint="eastAsia" w:eastAsia="宋体"/>
                        <w:lang w:eastAsia="zh-CN"/>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0"/>
      </w:pBdr>
      <w:jc w:val="center"/>
      <w:rPr>
        <w:rFonts w:hint="eastAsia" w:eastAsia="宋体"/>
        <w:lang w:val="en-US" w:eastAsia="zh-CN"/>
      </w:rPr>
    </w:pPr>
    <w:r>
      <w:rPr>
        <w:rFonts w:hint="eastAsia"/>
        <w:lang w:val="en-US" w:eastAsia="zh-CN"/>
      </w:rPr>
      <w:t>中国石油化工股份有限公司长岭分公司液氨装车隐患治理项目环境影响报告书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tabs>
        <w:tab w:val="center" w:pos="4212"/>
      </w:tabs>
      <w:jc w:val="left"/>
      <w:rPr>
        <w:rFonts w:ascii="楷体" w:eastAsia="楷体"/>
        <w:sz w:val="21"/>
        <w:szCs w:val="21"/>
      </w:rPr>
    </w:pPr>
    <w:r>
      <w:rPr>
        <w:rFonts w:hint="eastAsia" w:ascii="楷体" w:eastAsia="楷体"/>
        <w:sz w:val="21"/>
        <w:szCs w:val="21"/>
      </w:rPr>
      <w:tab/>
    </w:r>
    <w:r>
      <w:rPr>
        <w:rFonts w:hint="eastAsia" w:ascii="华文楷体" w:eastAsia="华文楷体" w:cs="华文楷体"/>
      </w:rPr>
      <w:t xml:space="preserve">        </w:t>
    </w:r>
    <w:r>
      <w:rPr>
        <w:rFonts w:hint="eastAsia" w:ascii="华文楷体" w:eastAsia="华文楷体" w:cs="华文楷体"/>
        <w:lang w:val="en-US" w:eastAsia="zh-CN"/>
      </w:rPr>
      <w:t xml:space="preserve">                    </w:t>
    </w:r>
    <w:r>
      <w:rPr>
        <w:rFonts w:hint="eastAsia" w:ascii="华文楷体" w:eastAsia="华文楷体" w:cs="华文楷体"/>
      </w:rPr>
      <w:t xml:space="preserve">  </w:t>
    </w:r>
    <w:r>
      <w:rPr>
        <w:rFonts w:hint="eastAsia" w:ascii="华文楷体" w:eastAsia="华文楷体" w:cs="华文楷体"/>
        <w:lang w:eastAsia="zh-CN"/>
      </w:rPr>
      <w:t>中国石油化工股份有限公司长岭分公司液氨装车隐患治理项目环境影响报告书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rPr>
        <w:rFonts w:ascii="华文楷体" w:eastAsia="华文楷体" w:cs="华文楷体"/>
      </w:rPr>
    </w:pPr>
    <w:r>
      <w:rPr>
        <w:rFonts w:ascii="华文楷体" w:eastAsia="华文楷体" w:cs="华文楷体"/>
        <w:lang w:val="zh-CN"/>
      </w:rPr>
      <w:t>[键入文字]</w:t>
    </w:r>
    <w:r>
      <w:rPr>
        <w:rFonts w:ascii="华文楷体" w:eastAsia="华文楷体" w:cs="华文楷体"/>
      </w:rPr>
      <w:tab/>
    </w:r>
    <w:r>
      <w:rPr>
        <w:rFonts w:ascii="华文楷体" w:eastAsia="华文楷体" w:cs="华文楷体"/>
        <w:lang w:val="zh-CN"/>
      </w:rPr>
      <w:t>[键入文字]</w:t>
    </w:r>
    <w:r>
      <w:rPr>
        <w:rFonts w:ascii="华文楷体" w:eastAsia="华文楷体" w:cs="华文楷体"/>
      </w:rPr>
      <w:tab/>
    </w:r>
    <w:r>
      <w:rPr>
        <w:rFonts w:ascii="华文楷体" w:eastAsia="华文楷体" w:cs="华文楷体"/>
        <w:lang w:val="zh-CN"/>
      </w:rPr>
      <w:t>[键入文字]</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6" w:space="0"/>
      </w:pBdr>
      <w:rPr>
        <w:rFonts w:ascii="华文楷体" w:eastAsia="华文楷体" w:cs="华文楷体"/>
      </w:rPr>
    </w:pPr>
  </w:p>
  <w:p>
    <w:pPr>
      <w:pStyle w:val="33"/>
      <w:pBdr>
        <w:bottom w:val="single" w:color="auto" w:sz="6" w:space="0"/>
      </w:pBdr>
      <w:rPr>
        <w:rFonts w:ascii="华文楷体" w:eastAsia="华文楷体" w:cs="华文楷体"/>
      </w:rPr>
    </w:pPr>
  </w:p>
  <w:p>
    <w:pPr>
      <w:pStyle w:val="33"/>
      <w:pBdr>
        <w:bottom w:val="single" w:color="auto" w:sz="6" w:space="0"/>
      </w:pBdr>
      <w:rPr>
        <w:rFonts w:ascii="华文楷体" w:eastAsia="华文楷体" w:cs="华文楷体"/>
      </w:rPr>
    </w:pPr>
    <w:r>
      <w:rPr>
        <w:rFonts w:hint="eastAsia" w:ascii="华文楷体" w:eastAsia="华文楷体" w:cs="华文楷体"/>
        <w:lang w:val="en-US" w:eastAsia="zh-CN"/>
      </w:rPr>
      <w:t xml:space="preserve">                                    </w:t>
    </w:r>
    <w:r>
      <w:rPr>
        <w:rFonts w:hint="eastAsia" w:ascii="华文楷体" w:eastAsia="华文楷体" w:cs="华文楷体"/>
        <w:lang w:eastAsia="zh-CN"/>
      </w:rPr>
      <w:t>中国石油化工股份有限公司长岭分公司液氨装车隐患整治</w:t>
    </w:r>
    <w:r>
      <w:rPr>
        <w:rFonts w:hint="eastAsia" w:ascii="华文楷体" w:eastAsia="华文楷体" w:cs="华文楷体"/>
      </w:rPr>
      <w:t>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single" w:color="auto" w:sz="4" w:space="0"/>
      </w:pBdr>
      <w:kinsoku w:val="0"/>
      <w:overflowPunct w:val="0"/>
      <w:spacing w:beforeLines="0" w:afterLines="0" w:line="240" w:lineRule="auto"/>
      <w:jc w:val="center"/>
      <w:rPr>
        <w:rFonts w:hint="default"/>
        <w:sz w:val="20"/>
      </w:rPr>
    </w:pPr>
    <w:r>
      <w:rPr>
        <w:rFonts w:hint="eastAsia" w:ascii="华文楷体" w:eastAsia="华文楷体" w:cs="华文楷体"/>
        <w:lang w:eastAsia="zh-CN"/>
      </w:rPr>
      <w:t>中国石油化工股份有限公司长岭分公司液氨装车隐患治理项目环境影响报告书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rPr>
        <w:rFonts w:ascii="华文楷体" w:eastAsia="华文楷体" w:cs="华文楷体"/>
      </w:rPr>
    </w:pPr>
    <w:r>
      <w:rPr>
        <w:rFonts w:hint="eastAsia" w:ascii="华文楷体" w:eastAsia="华文楷体" w:cs="华文楷体"/>
        <w:lang w:eastAsia="zh-CN"/>
      </w:rPr>
      <w:t>中国石油化工股份有限公司长岭分公司液氨装车隐患治理项目环境影响报告书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single" w:color="auto" w:sz="4" w:space="1"/>
      </w:pBdr>
      <w:rPr>
        <w:rFonts w:ascii="华文楷体" w:eastAsia="华文楷体" w:cs="华文楷体"/>
      </w:rPr>
    </w:pPr>
    <w:r>
      <w:rPr>
        <w:rFonts w:hint="eastAsia" w:ascii="华文楷体" w:eastAsia="华文楷体" w:cs="华文楷体"/>
        <w:lang w:eastAsia="zh-CN"/>
      </w:rPr>
      <w:t>中国石油化工股份有限公司长岭分公司液氨装车安全隐患治理项目环境影响报告书</w:t>
    </w:r>
    <w:r>
      <w:rPr>
        <w:rFonts w:hint="eastAsia" w:ascii="华文楷体" w:eastAsia="华文楷体" w:cs="华文楷体"/>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6"/>
    <w:multiLevelType w:val="multilevel"/>
    <w:tmpl w:val="00000406"/>
    <w:lvl w:ilvl="0" w:tentative="0">
      <w:start w:val="5"/>
      <w:numFmt w:val="decimal"/>
      <w:lvlText w:val="%1"/>
      <w:lvlJc w:val="left"/>
      <w:pPr>
        <w:ind w:left="827" w:hanging="360"/>
      </w:pPr>
      <w:rPr>
        <w:rFonts w:hint="default"/>
        <w:u w:val="none" w:color="auto"/>
      </w:rPr>
    </w:lvl>
    <w:lvl w:ilvl="1" w:tentative="0">
      <w:start w:val="1"/>
      <w:numFmt w:val="decimal"/>
      <w:lvlText w:val="%1.%2"/>
      <w:lvlJc w:val="left"/>
      <w:pPr>
        <w:ind w:left="827" w:hanging="360"/>
      </w:pPr>
      <w:rPr>
        <w:rFonts w:hint="default" w:ascii="Times New Roman" w:hAnsi="Times New Roman" w:eastAsia="Times New Roman"/>
        <w:sz w:val="24"/>
        <w:u w:val="none" w:color="auto"/>
      </w:rPr>
    </w:lvl>
    <w:lvl w:ilvl="2" w:tentative="0">
      <w:start w:val="1"/>
      <w:numFmt w:val="bullet"/>
      <w:lvlText w:val="•"/>
      <w:lvlJc w:val="left"/>
      <w:pPr>
        <w:ind w:left="2569" w:hanging="360"/>
      </w:pPr>
      <w:rPr>
        <w:rFonts w:hint="default"/>
        <w:u w:val="none" w:color="auto"/>
      </w:rPr>
    </w:lvl>
    <w:lvl w:ilvl="3" w:tentative="0">
      <w:start w:val="1"/>
      <w:numFmt w:val="bullet"/>
      <w:lvlText w:val="•"/>
      <w:lvlJc w:val="left"/>
      <w:pPr>
        <w:ind w:left="3443" w:hanging="360"/>
      </w:pPr>
      <w:rPr>
        <w:rFonts w:hint="default"/>
        <w:u w:val="none" w:color="auto"/>
      </w:rPr>
    </w:lvl>
    <w:lvl w:ilvl="4" w:tentative="0">
      <w:start w:val="1"/>
      <w:numFmt w:val="bullet"/>
      <w:lvlText w:val="•"/>
      <w:lvlJc w:val="left"/>
      <w:pPr>
        <w:ind w:left="4318" w:hanging="360"/>
      </w:pPr>
      <w:rPr>
        <w:rFonts w:hint="default"/>
        <w:u w:val="none" w:color="auto"/>
      </w:rPr>
    </w:lvl>
    <w:lvl w:ilvl="5" w:tentative="0">
      <w:start w:val="1"/>
      <w:numFmt w:val="bullet"/>
      <w:lvlText w:val="•"/>
      <w:lvlJc w:val="left"/>
      <w:pPr>
        <w:ind w:left="5193" w:hanging="360"/>
      </w:pPr>
      <w:rPr>
        <w:rFonts w:hint="default"/>
        <w:u w:val="none" w:color="auto"/>
      </w:rPr>
    </w:lvl>
    <w:lvl w:ilvl="6" w:tentative="0">
      <w:start w:val="1"/>
      <w:numFmt w:val="bullet"/>
      <w:lvlText w:val="•"/>
      <w:lvlJc w:val="left"/>
      <w:pPr>
        <w:ind w:left="6067" w:hanging="360"/>
      </w:pPr>
      <w:rPr>
        <w:rFonts w:hint="default"/>
        <w:u w:val="none" w:color="auto"/>
      </w:rPr>
    </w:lvl>
    <w:lvl w:ilvl="7" w:tentative="0">
      <w:start w:val="1"/>
      <w:numFmt w:val="bullet"/>
      <w:lvlText w:val="•"/>
      <w:lvlJc w:val="left"/>
      <w:pPr>
        <w:ind w:left="6942" w:hanging="360"/>
      </w:pPr>
      <w:rPr>
        <w:rFonts w:hint="default"/>
        <w:u w:val="none" w:color="auto"/>
      </w:rPr>
    </w:lvl>
    <w:lvl w:ilvl="8" w:tentative="0">
      <w:start w:val="1"/>
      <w:numFmt w:val="bullet"/>
      <w:lvlText w:val="•"/>
      <w:lvlJc w:val="left"/>
      <w:pPr>
        <w:ind w:left="7816" w:hanging="360"/>
      </w:pPr>
      <w:rPr>
        <w:rFonts w:hint="default"/>
        <w:u w:val="none" w:color="auto"/>
      </w:rPr>
    </w:lvl>
  </w:abstractNum>
  <w:abstractNum w:abstractNumId="1">
    <w:nsid w:val="04CD5844"/>
    <w:multiLevelType w:val="multilevel"/>
    <w:tmpl w:val="04CD5844"/>
    <w:lvl w:ilvl="0" w:tentative="0">
      <w:start w:val="1"/>
      <w:numFmt w:val="decimal"/>
      <w:pStyle w:val="155"/>
      <w:lvlText w:val="第%1章"/>
      <w:lvlJc w:val="left"/>
      <w:pPr>
        <w:tabs>
          <w:tab w:val="left" w:pos="0"/>
        </w:tabs>
        <w:ind w:left="-56" w:firstLine="0"/>
      </w:pPr>
      <w:rPr>
        <w:rFonts w:hint="default" w:ascii="Times New Roman" w:hAnsi="Times New Roman" w:cs="Times New Roman"/>
        <w:color w:val="auto"/>
        <w:sz w:val="32"/>
        <w:szCs w:val="32"/>
      </w:rPr>
    </w:lvl>
    <w:lvl w:ilvl="1" w:tentative="0">
      <w:start w:val="1"/>
      <w:numFmt w:val="decimal"/>
      <w:suff w:val="space"/>
      <w:lvlText w:val="%1.%2"/>
      <w:lvlJc w:val="left"/>
      <w:pPr>
        <w:tabs>
          <w:tab w:val="left" w:pos="0"/>
        </w:tabs>
        <w:ind w:left="-56" w:firstLine="0"/>
      </w:pPr>
      <w:rPr>
        <w:rFonts w:hint="eastAsia" w:eastAsia="Times New Roman"/>
      </w:rPr>
    </w:lvl>
    <w:lvl w:ilvl="2" w:tentative="0">
      <w:start w:val="1"/>
      <w:numFmt w:val="decimal"/>
      <w:suff w:val="space"/>
      <w:lvlText w:val="%1.%2.%3"/>
      <w:lvlJc w:val="left"/>
      <w:pPr>
        <w:tabs>
          <w:tab w:val="left" w:pos="0"/>
        </w:tabs>
        <w:ind w:left="-56" w:firstLine="0"/>
      </w:pPr>
      <w:rPr>
        <w:rFonts w:hint="eastAsia" w:ascii="Times New Roman" w:hAnsi="Times New Roman" w:eastAsia="Times New Roman"/>
        <w:strike w:val="0"/>
        <w:dstrike w:val="0"/>
        <w:kern w:val="0"/>
        <w:sz w:val="24"/>
      </w:rPr>
    </w:lvl>
    <w:lvl w:ilvl="3" w:tentative="0">
      <w:start w:val="1"/>
      <w:numFmt w:val="decimal"/>
      <w:pStyle w:val="156"/>
      <w:lvlText w:val="%1.%2.%3.%4"/>
      <w:lvlJc w:val="left"/>
      <w:pPr>
        <w:tabs>
          <w:tab w:val="left" w:pos="0"/>
        </w:tabs>
        <w:ind w:left="2135" w:hanging="708"/>
      </w:pPr>
      <w:rPr>
        <w:rFonts w:hint="eastAsia"/>
      </w:rPr>
    </w:lvl>
    <w:lvl w:ilvl="4" w:tentative="0">
      <w:start w:val="1"/>
      <w:numFmt w:val="decimal"/>
      <w:lvlText w:val="%1.%2.%3.%4.%5"/>
      <w:lvlJc w:val="left"/>
      <w:pPr>
        <w:tabs>
          <w:tab w:val="left" w:pos="0"/>
        </w:tabs>
        <w:ind w:left="2702" w:hanging="850"/>
      </w:pPr>
      <w:rPr>
        <w:rFonts w:hint="eastAsia"/>
      </w:rPr>
    </w:lvl>
    <w:lvl w:ilvl="5" w:tentative="0">
      <w:start w:val="1"/>
      <w:numFmt w:val="decimal"/>
      <w:lvlText w:val="%1.%2.%3.%4.%5.%6"/>
      <w:lvlJc w:val="left"/>
      <w:pPr>
        <w:tabs>
          <w:tab w:val="left" w:pos="0"/>
        </w:tabs>
        <w:ind w:left="3411" w:hanging="1134"/>
      </w:pPr>
      <w:rPr>
        <w:rFonts w:hint="eastAsia"/>
      </w:rPr>
    </w:lvl>
    <w:lvl w:ilvl="6" w:tentative="0">
      <w:start w:val="1"/>
      <w:numFmt w:val="decimal"/>
      <w:lvlText w:val="%1.%2.%3.%4.%5.%6.%7"/>
      <w:lvlJc w:val="left"/>
      <w:pPr>
        <w:tabs>
          <w:tab w:val="left" w:pos="0"/>
        </w:tabs>
        <w:ind w:left="3978" w:hanging="1276"/>
      </w:pPr>
      <w:rPr>
        <w:rFonts w:hint="eastAsia"/>
      </w:rPr>
    </w:lvl>
    <w:lvl w:ilvl="7" w:tentative="0">
      <w:start w:val="1"/>
      <w:numFmt w:val="decimal"/>
      <w:lvlText w:val="%1.%2.%3.%4.%5.%6.%7.%8"/>
      <w:lvlJc w:val="left"/>
      <w:pPr>
        <w:tabs>
          <w:tab w:val="left" w:pos="0"/>
        </w:tabs>
        <w:ind w:left="4545" w:hanging="1418"/>
      </w:pPr>
      <w:rPr>
        <w:rFonts w:hint="eastAsia"/>
      </w:rPr>
    </w:lvl>
    <w:lvl w:ilvl="8" w:tentative="0">
      <w:start w:val="1"/>
      <w:numFmt w:val="decimal"/>
      <w:lvlText w:val="%1.%2.%3.%4.%5.%6.%7.%8.%9"/>
      <w:lvlJc w:val="left"/>
      <w:pPr>
        <w:tabs>
          <w:tab w:val="left" w:pos="0"/>
        </w:tabs>
        <w:ind w:left="5253" w:hanging="1700"/>
      </w:pPr>
      <w:rPr>
        <w:rFonts w:hint="eastAsia"/>
      </w:rPr>
    </w:lvl>
  </w:abstractNum>
  <w:abstractNum w:abstractNumId="2">
    <w:nsid w:val="05EBE536"/>
    <w:multiLevelType w:val="singleLevel"/>
    <w:tmpl w:val="05EBE536"/>
    <w:lvl w:ilvl="0" w:tentative="0">
      <w:start w:val="3"/>
      <w:numFmt w:val="decimal"/>
      <w:suff w:val="nothing"/>
      <w:lvlText w:val="%1、"/>
      <w:lvlJc w:val="left"/>
    </w:lvl>
  </w:abstractNum>
  <w:abstractNum w:abstractNumId="3">
    <w:nsid w:val="138164A3"/>
    <w:multiLevelType w:val="multilevel"/>
    <w:tmpl w:val="138164A3"/>
    <w:lvl w:ilvl="0" w:tentative="0">
      <w:start w:val="1"/>
      <w:numFmt w:val="decimal"/>
      <w:lvlText w:val="（%1）"/>
      <w:lvlJc w:val="left"/>
      <w:pPr>
        <w:tabs>
          <w:tab w:val="left" w:pos="0"/>
        </w:tabs>
        <w:ind w:left="1410" w:hanging="780"/>
      </w:pPr>
      <w:rPr>
        <w:rFonts w:hint="default"/>
      </w:rPr>
    </w:lvl>
    <w:lvl w:ilvl="1" w:tentative="0">
      <w:start w:val="0"/>
      <w:numFmt w:val="decimal"/>
      <w:lvlText w:val="%2"/>
      <w:lvlJc w:val="left"/>
      <w:pPr>
        <w:tabs>
          <w:tab w:val="left" w:pos="0"/>
        </w:tabs>
        <w:ind w:left="1260" w:hanging="360"/>
      </w:pPr>
      <w:rPr>
        <w:rFonts w:hint="default"/>
        <w:color w:val="auto"/>
        <w:sz w:val="21"/>
      </w:rPr>
    </w:lvl>
    <w:lvl w:ilvl="2" w:tentative="0">
      <w:start w:val="1"/>
      <w:numFmt w:val="lowerRoman"/>
      <w:lvlText w:val="%3."/>
      <w:lvlJc w:val="right"/>
      <w:pPr>
        <w:tabs>
          <w:tab w:val="left" w:pos="0"/>
        </w:tabs>
        <w:ind w:left="1740" w:hanging="420"/>
      </w:pPr>
    </w:lvl>
    <w:lvl w:ilvl="3" w:tentative="0">
      <w:start w:val="1"/>
      <w:numFmt w:val="decimal"/>
      <w:lvlText w:val="%4."/>
      <w:lvlJc w:val="left"/>
      <w:pPr>
        <w:tabs>
          <w:tab w:val="left" w:pos="0"/>
        </w:tabs>
        <w:ind w:left="2160" w:hanging="420"/>
      </w:pPr>
      <w:rPr>
        <w:rFonts w:hint="default"/>
      </w:rPr>
    </w:lvl>
    <w:lvl w:ilvl="4" w:tentative="0">
      <w:start w:val="1"/>
      <w:numFmt w:val="lowerLetter"/>
      <w:lvlText w:val="%5)"/>
      <w:lvlJc w:val="left"/>
      <w:pPr>
        <w:tabs>
          <w:tab w:val="left" w:pos="0"/>
        </w:tabs>
        <w:ind w:left="2580" w:hanging="420"/>
      </w:pPr>
    </w:lvl>
    <w:lvl w:ilvl="5" w:tentative="0">
      <w:start w:val="1"/>
      <w:numFmt w:val="lowerRoman"/>
      <w:lvlText w:val="%6."/>
      <w:lvlJc w:val="right"/>
      <w:pPr>
        <w:tabs>
          <w:tab w:val="left" w:pos="0"/>
        </w:tabs>
        <w:ind w:left="3000" w:hanging="420"/>
      </w:pPr>
    </w:lvl>
    <w:lvl w:ilvl="6" w:tentative="0">
      <w:start w:val="1"/>
      <w:numFmt w:val="decimal"/>
      <w:lvlText w:val="%7."/>
      <w:lvlJc w:val="left"/>
      <w:pPr>
        <w:tabs>
          <w:tab w:val="left" w:pos="0"/>
        </w:tabs>
        <w:ind w:left="3420" w:hanging="420"/>
      </w:pPr>
    </w:lvl>
    <w:lvl w:ilvl="7" w:tentative="0">
      <w:start w:val="1"/>
      <w:numFmt w:val="lowerLetter"/>
      <w:lvlText w:val="%8)"/>
      <w:lvlJc w:val="left"/>
      <w:pPr>
        <w:tabs>
          <w:tab w:val="left" w:pos="0"/>
        </w:tabs>
        <w:ind w:left="3840" w:hanging="420"/>
      </w:pPr>
    </w:lvl>
    <w:lvl w:ilvl="8" w:tentative="0">
      <w:start w:val="1"/>
      <w:numFmt w:val="lowerRoman"/>
      <w:lvlText w:val="%9."/>
      <w:lvlJc w:val="right"/>
      <w:pPr>
        <w:tabs>
          <w:tab w:val="left" w:pos="0"/>
        </w:tabs>
        <w:ind w:left="4260" w:hanging="420"/>
      </w:pPr>
    </w:lvl>
  </w:abstractNum>
  <w:abstractNum w:abstractNumId="4">
    <w:nsid w:val="21F230EC"/>
    <w:multiLevelType w:val="multilevel"/>
    <w:tmpl w:val="21F230EC"/>
    <w:lvl w:ilvl="0" w:tentative="0">
      <w:start w:val="1"/>
      <w:numFmt w:val="decimal"/>
      <w:pStyle w:val="4"/>
      <w:lvlText w:val="%1."/>
      <w:lvlJc w:val="left"/>
      <w:pPr>
        <w:tabs>
          <w:tab w:val="left" w:pos="0"/>
        </w:tabs>
        <w:ind w:left="432" w:hanging="432"/>
      </w:pPr>
      <w:rPr>
        <w:rFonts w:hint="default"/>
      </w:rPr>
    </w:lvl>
    <w:lvl w:ilvl="1" w:tentative="0">
      <w:start w:val="1"/>
      <w:numFmt w:val="decimal"/>
      <w:pStyle w:val="6"/>
      <w:lvlText w:val="%1.%2."/>
      <w:lvlJc w:val="left"/>
      <w:pPr>
        <w:tabs>
          <w:tab w:val="left" w:pos="0"/>
        </w:tabs>
        <w:ind w:left="575" w:hanging="575"/>
      </w:pPr>
      <w:rPr>
        <w:rFonts w:hint="default"/>
      </w:rPr>
    </w:lvl>
    <w:lvl w:ilvl="2" w:tentative="0">
      <w:start w:val="1"/>
      <w:numFmt w:val="decimal"/>
      <w:pStyle w:val="7"/>
      <w:lvlText w:val="%1.%2.%3."/>
      <w:lvlJc w:val="left"/>
      <w:pPr>
        <w:tabs>
          <w:tab w:val="left" w:pos="-1"/>
        </w:tabs>
        <w:ind w:left="1003" w:hanging="720"/>
      </w:pPr>
      <w:rPr>
        <w:rFonts w:hint="default"/>
      </w:rPr>
    </w:lvl>
    <w:lvl w:ilvl="3" w:tentative="0">
      <w:start w:val="1"/>
      <w:numFmt w:val="decimal"/>
      <w:pStyle w:val="8"/>
      <w:lvlText w:val="%1.%2.%3.%4."/>
      <w:lvlJc w:val="left"/>
      <w:pPr>
        <w:tabs>
          <w:tab w:val="left" w:pos="0"/>
        </w:tabs>
        <w:ind w:left="864" w:hanging="864"/>
      </w:pPr>
      <w:rPr>
        <w:rFonts w:hint="default"/>
      </w:rPr>
    </w:lvl>
    <w:lvl w:ilvl="4" w:tentative="0">
      <w:start w:val="1"/>
      <w:numFmt w:val="decimal"/>
      <w:pStyle w:val="9"/>
      <w:lvlText w:val="%1.%2.%3.%4.%5."/>
      <w:lvlJc w:val="left"/>
      <w:pPr>
        <w:tabs>
          <w:tab w:val="left" w:pos="0"/>
        </w:tabs>
        <w:ind w:left="1008" w:hanging="1008"/>
      </w:pPr>
      <w:rPr>
        <w:rFonts w:hint="default"/>
      </w:rPr>
    </w:lvl>
    <w:lvl w:ilvl="5" w:tentative="0">
      <w:start w:val="1"/>
      <w:numFmt w:val="decimal"/>
      <w:pStyle w:val="10"/>
      <w:lvlText w:val="%1.%2.%3.%4.%5.%6."/>
      <w:lvlJc w:val="left"/>
      <w:pPr>
        <w:tabs>
          <w:tab w:val="left" w:pos="0"/>
        </w:tabs>
        <w:ind w:left="1151" w:hanging="1151"/>
      </w:pPr>
      <w:rPr>
        <w:rFonts w:hint="default"/>
      </w:rPr>
    </w:lvl>
    <w:lvl w:ilvl="6" w:tentative="0">
      <w:start w:val="1"/>
      <w:numFmt w:val="decimal"/>
      <w:pStyle w:val="11"/>
      <w:lvlText w:val="%1.%2.%3.%4.%5.%6.%7."/>
      <w:lvlJc w:val="left"/>
      <w:pPr>
        <w:tabs>
          <w:tab w:val="left" w:pos="0"/>
        </w:tabs>
        <w:ind w:left="1296" w:hanging="1296"/>
      </w:pPr>
      <w:rPr>
        <w:rFonts w:hint="default"/>
      </w:rPr>
    </w:lvl>
    <w:lvl w:ilvl="7" w:tentative="0">
      <w:start w:val="1"/>
      <w:numFmt w:val="decimal"/>
      <w:pStyle w:val="12"/>
      <w:lvlText w:val="%1.%2.%3.%4.%5.%6.%7.%8."/>
      <w:lvlJc w:val="left"/>
      <w:pPr>
        <w:tabs>
          <w:tab w:val="left" w:pos="0"/>
        </w:tabs>
        <w:ind w:left="1440" w:hanging="1440"/>
      </w:pPr>
      <w:rPr>
        <w:rFonts w:hint="default"/>
      </w:rPr>
    </w:lvl>
    <w:lvl w:ilvl="8" w:tentative="0">
      <w:start w:val="1"/>
      <w:numFmt w:val="decimal"/>
      <w:pStyle w:val="13"/>
      <w:lvlText w:val="%1.%2.%3.%4.%5.%6.%7.%8.%9."/>
      <w:lvlJc w:val="left"/>
      <w:pPr>
        <w:tabs>
          <w:tab w:val="left" w:pos="0"/>
        </w:tabs>
        <w:ind w:left="1583" w:hanging="1583"/>
      </w:pPr>
      <w:rPr>
        <w:rFonts w:hint="default"/>
      </w:rPr>
    </w:lvl>
  </w:abstractNum>
  <w:abstractNum w:abstractNumId="5">
    <w:nsid w:val="46864D69"/>
    <w:multiLevelType w:val="multilevel"/>
    <w:tmpl w:val="46864D69"/>
    <w:lvl w:ilvl="0" w:tentative="0">
      <w:start w:val="1"/>
      <w:numFmt w:val="decimalEnclosedCircle"/>
      <w:lvlText w:val="%1"/>
      <w:lvlJc w:val="left"/>
      <w:pPr>
        <w:tabs>
          <w:tab w:val="left" w:pos="0"/>
        </w:tabs>
        <w:ind w:left="420" w:hanging="420"/>
      </w:pPr>
      <w:rPr>
        <w:rFonts w:hint="default" w:ascii="宋体" w:hAnsi="宋体"/>
      </w:rPr>
    </w:lvl>
    <w:lvl w:ilvl="1" w:tentative="0">
      <w:start w:val="1"/>
      <w:numFmt w:val="lowerLetter"/>
      <w:lvlText w:val="%2)"/>
      <w:lvlJc w:val="left"/>
      <w:pPr>
        <w:tabs>
          <w:tab w:val="left" w:pos="0"/>
        </w:tabs>
        <w:ind w:left="840" w:hanging="420"/>
      </w:pPr>
    </w:lvl>
    <w:lvl w:ilvl="2" w:tentative="0">
      <w:start w:val="1"/>
      <w:numFmt w:val="decimal"/>
      <w:lvlText w:val="（%3）"/>
      <w:lvlJc w:val="left"/>
      <w:pPr>
        <w:tabs>
          <w:tab w:val="left" w:pos="-415"/>
        </w:tabs>
        <w:ind w:left="845" w:hanging="420"/>
      </w:pPr>
      <w:rPr>
        <w:rFonts w:hint="eastAsia"/>
      </w:r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6">
    <w:nsid w:val="51B9698F"/>
    <w:multiLevelType w:val="multilevel"/>
    <w:tmpl w:val="51B9698F"/>
    <w:lvl w:ilvl="0" w:tentative="0">
      <w:start w:val="1"/>
      <w:numFmt w:val="decimal"/>
      <w:lvlText w:val="（%1）"/>
      <w:lvlJc w:val="left"/>
      <w:pPr>
        <w:tabs>
          <w:tab w:val="left" w:pos="0"/>
        </w:tabs>
        <w:ind w:left="420" w:hanging="420"/>
      </w:pPr>
      <w:rPr>
        <w:rFonts w:hint="eastAsia"/>
      </w:rPr>
    </w:lvl>
    <w:lvl w:ilvl="1" w:tentative="0">
      <w:start w:val="1"/>
      <w:numFmt w:val="lowerLetter"/>
      <w:lvlText w:val="%2)"/>
      <w:lvlJc w:val="left"/>
      <w:pPr>
        <w:tabs>
          <w:tab w:val="left" w:pos="0"/>
        </w:tabs>
        <w:ind w:left="840" w:hanging="420"/>
      </w:pPr>
    </w:lvl>
    <w:lvl w:ilvl="2" w:tentative="0">
      <w:start w:val="1"/>
      <w:numFmt w:val="decimal"/>
      <w:lvlText w:val="（%3）"/>
      <w:lvlJc w:val="left"/>
      <w:pPr>
        <w:tabs>
          <w:tab w:val="left" w:pos="0"/>
        </w:tabs>
        <w:ind w:left="1260" w:hanging="420"/>
      </w:pPr>
      <w:rPr>
        <w:rFonts w:hint="eastAsia"/>
      </w:rPr>
    </w:lvl>
    <w:lvl w:ilvl="3" w:tentative="0">
      <w:start w:val="1"/>
      <w:numFmt w:val="decimalEnclosedCircle"/>
      <w:lvlText w:val="%4"/>
      <w:lvlJc w:val="left"/>
      <w:pPr>
        <w:tabs>
          <w:tab w:val="left" w:pos="0"/>
        </w:tabs>
        <w:ind w:left="1620" w:hanging="360"/>
      </w:pPr>
      <w:rPr>
        <w:rFonts w:hint="default" w:ascii="宋体" w:hAnsi="宋体"/>
      </w:r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7">
    <w:nsid w:val="5C45064F"/>
    <w:multiLevelType w:val="multilevel"/>
    <w:tmpl w:val="5C45064F"/>
    <w:lvl w:ilvl="0" w:tentative="0">
      <w:start w:val="1"/>
      <w:numFmt w:val="decimal"/>
      <w:lvlText w:val="（%1）"/>
      <w:lvlJc w:val="left"/>
      <w:pPr>
        <w:tabs>
          <w:tab w:val="left" w:pos="0"/>
        </w:tabs>
        <w:ind w:left="900" w:hanging="420"/>
      </w:pPr>
    </w:lvl>
    <w:lvl w:ilvl="1" w:tentative="0">
      <w:start w:val="1"/>
      <w:numFmt w:val="lowerLetter"/>
      <w:lvlText w:val="%2)"/>
      <w:lvlJc w:val="left"/>
      <w:pPr>
        <w:tabs>
          <w:tab w:val="left" w:pos="0"/>
        </w:tabs>
        <w:ind w:left="1320" w:hanging="420"/>
      </w:pPr>
    </w:lvl>
    <w:lvl w:ilvl="2" w:tentative="0">
      <w:start w:val="1"/>
      <w:numFmt w:val="lowerRoman"/>
      <w:lvlText w:val="%3."/>
      <w:lvlJc w:val="right"/>
      <w:pPr>
        <w:tabs>
          <w:tab w:val="left" w:pos="0"/>
        </w:tabs>
        <w:ind w:left="1740" w:hanging="420"/>
      </w:pPr>
    </w:lvl>
    <w:lvl w:ilvl="3" w:tentative="0">
      <w:start w:val="1"/>
      <w:numFmt w:val="decimal"/>
      <w:lvlText w:val="%4."/>
      <w:lvlJc w:val="left"/>
      <w:pPr>
        <w:tabs>
          <w:tab w:val="left" w:pos="0"/>
        </w:tabs>
        <w:ind w:left="2160" w:hanging="420"/>
      </w:pPr>
    </w:lvl>
    <w:lvl w:ilvl="4" w:tentative="0">
      <w:start w:val="1"/>
      <w:numFmt w:val="lowerLetter"/>
      <w:lvlText w:val="%5)"/>
      <w:lvlJc w:val="left"/>
      <w:pPr>
        <w:tabs>
          <w:tab w:val="left" w:pos="0"/>
        </w:tabs>
        <w:ind w:left="2580" w:hanging="420"/>
      </w:pPr>
    </w:lvl>
    <w:lvl w:ilvl="5" w:tentative="0">
      <w:start w:val="1"/>
      <w:numFmt w:val="lowerRoman"/>
      <w:lvlText w:val="%6."/>
      <w:lvlJc w:val="right"/>
      <w:pPr>
        <w:tabs>
          <w:tab w:val="left" w:pos="0"/>
        </w:tabs>
        <w:ind w:left="3000" w:hanging="420"/>
      </w:pPr>
    </w:lvl>
    <w:lvl w:ilvl="6" w:tentative="0">
      <w:start w:val="1"/>
      <w:numFmt w:val="decimal"/>
      <w:lvlText w:val="%7."/>
      <w:lvlJc w:val="left"/>
      <w:pPr>
        <w:tabs>
          <w:tab w:val="left" w:pos="0"/>
        </w:tabs>
        <w:ind w:left="3420" w:hanging="420"/>
      </w:pPr>
    </w:lvl>
    <w:lvl w:ilvl="7" w:tentative="0">
      <w:start w:val="1"/>
      <w:numFmt w:val="lowerLetter"/>
      <w:lvlText w:val="%8)"/>
      <w:lvlJc w:val="left"/>
      <w:pPr>
        <w:tabs>
          <w:tab w:val="left" w:pos="0"/>
        </w:tabs>
        <w:ind w:left="3840" w:hanging="420"/>
      </w:pPr>
    </w:lvl>
    <w:lvl w:ilvl="8" w:tentative="0">
      <w:start w:val="1"/>
      <w:numFmt w:val="lowerRoman"/>
      <w:lvlText w:val="%9."/>
      <w:lvlJc w:val="right"/>
      <w:pPr>
        <w:tabs>
          <w:tab w:val="left" w:pos="0"/>
        </w:tabs>
        <w:ind w:left="4260" w:hanging="420"/>
      </w:pPr>
    </w:lvl>
  </w:abstractNum>
  <w:abstractNum w:abstractNumId="8">
    <w:nsid w:val="5EC15004"/>
    <w:multiLevelType w:val="multilevel"/>
    <w:tmpl w:val="5EC15004"/>
    <w:lvl w:ilvl="0" w:tentative="0">
      <w:start w:val="1"/>
      <w:numFmt w:val="decimal"/>
      <w:lvlText w:val="（%1）"/>
      <w:lvlJc w:val="left"/>
      <w:pPr>
        <w:tabs>
          <w:tab w:val="left" w:pos="-205"/>
        </w:tabs>
        <w:ind w:left="1205" w:hanging="780"/>
      </w:pPr>
      <w:rPr>
        <w:rFonts w:hint="default"/>
      </w:rPr>
    </w:lvl>
    <w:lvl w:ilvl="1" w:tentative="0">
      <w:start w:val="0"/>
      <w:numFmt w:val="decimal"/>
      <w:lvlText w:val="%2"/>
      <w:lvlJc w:val="left"/>
      <w:pPr>
        <w:tabs>
          <w:tab w:val="left" w:pos="0"/>
        </w:tabs>
        <w:ind w:left="1260" w:hanging="360"/>
      </w:pPr>
      <w:rPr>
        <w:rFonts w:hint="default"/>
        <w:color w:val="auto"/>
        <w:sz w:val="21"/>
      </w:rPr>
    </w:lvl>
    <w:lvl w:ilvl="2" w:tentative="0">
      <w:start w:val="1"/>
      <w:numFmt w:val="lowerRoman"/>
      <w:lvlText w:val="%3."/>
      <w:lvlJc w:val="right"/>
      <w:pPr>
        <w:tabs>
          <w:tab w:val="left" w:pos="0"/>
        </w:tabs>
        <w:ind w:left="1740" w:hanging="420"/>
      </w:pPr>
    </w:lvl>
    <w:lvl w:ilvl="3" w:tentative="0">
      <w:start w:val="1"/>
      <w:numFmt w:val="decimal"/>
      <w:lvlText w:val="%4."/>
      <w:lvlJc w:val="left"/>
      <w:pPr>
        <w:tabs>
          <w:tab w:val="left" w:pos="0"/>
        </w:tabs>
        <w:ind w:left="2160" w:hanging="420"/>
      </w:pPr>
      <w:rPr>
        <w:rFonts w:hint="default"/>
      </w:rPr>
    </w:lvl>
    <w:lvl w:ilvl="4" w:tentative="0">
      <w:start w:val="1"/>
      <w:numFmt w:val="lowerLetter"/>
      <w:lvlText w:val="%5)"/>
      <w:lvlJc w:val="left"/>
      <w:pPr>
        <w:tabs>
          <w:tab w:val="left" w:pos="0"/>
        </w:tabs>
        <w:ind w:left="2580" w:hanging="420"/>
      </w:pPr>
    </w:lvl>
    <w:lvl w:ilvl="5" w:tentative="0">
      <w:start w:val="1"/>
      <w:numFmt w:val="lowerRoman"/>
      <w:lvlText w:val="%6."/>
      <w:lvlJc w:val="right"/>
      <w:pPr>
        <w:tabs>
          <w:tab w:val="left" w:pos="0"/>
        </w:tabs>
        <w:ind w:left="3000" w:hanging="420"/>
      </w:pPr>
    </w:lvl>
    <w:lvl w:ilvl="6" w:tentative="0">
      <w:start w:val="1"/>
      <w:numFmt w:val="decimal"/>
      <w:lvlText w:val="%7."/>
      <w:lvlJc w:val="left"/>
      <w:pPr>
        <w:tabs>
          <w:tab w:val="left" w:pos="0"/>
        </w:tabs>
        <w:ind w:left="3420" w:hanging="420"/>
      </w:pPr>
    </w:lvl>
    <w:lvl w:ilvl="7" w:tentative="0">
      <w:start w:val="1"/>
      <w:numFmt w:val="lowerLetter"/>
      <w:lvlText w:val="%8)"/>
      <w:lvlJc w:val="left"/>
      <w:pPr>
        <w:tabs>
          <w:tab w:val="left" w:pos="0"/>
        </w:tabs>
        <w:ind w:left="3840" w:hanging="420"/>
      </w:pPr>
    </w:lvl>
    <w:lvl w:ilvl="8" w:tentative="0">
      <w:start w:val="1"/>
      <w:numFmt w:val="lowerRoman"/>
      <w:lvlText w:val="%9."/>
      <w:lvlJc w:val="right"/>
      <w:pPr>
        <w:tabs>
          <w:tab w:val="left" w:pos="0"/>
        </w:tabs>
        <w:ind w:left="4260" w:hanging="420"/>
      </w:pPr>
    </w:lvl>
  </w:abstractNum>
  <w:num w:numId="1">
    <w:abstractNumId w:val="4"/>
  </w:num>
  <w:num w:numId="2">
    <w:abstractNumId w:val="1"/>
  </w:num>
  <w:num w:numId="3">
    <w:abstractNumId w:val="3"/>
  </w:num>
  <w:num w:numId="4">
    <w:abstractNumId w:val="8"/>
  </w:num>
  <w:num w:numId="5">
    <w:abstractNumId w:val="6"/>
  </w:num>
  <w:num w:numId="6">
    <w:abstractNumId w:val="7"/>
  </w:num>
  <w:num w:numId="7">
    <w:abstractNumId w:val="5"/>
  </w:num>
  <w:num w:numId="8">
    <w:abstractNumId w:val="2"/>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documentProtection w:enforcement="0"/>
  <w:defaultTabStop w:val="420"/>
  <w:drawingGridHorizontalSpacing w:val="10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1172F"/>
    <w:rsid w:val="00024652"/>
    <w:rsid w:val="00044DFB"/>
    <w:rsid w:val="00053D00"/>
    <w:rsid w:val="00071904"/>
    <w:rsid w:val="00071A9B"/>
    <w:rsid w:val="00095094"/>
    <w:rsid w:val="000C50A9"/>
    <w:rsid w:val="000C6A19"/>
    <w:rsid w:val="000C7F89"/>
    <w:rsid w:val="000E4806"/>
    <w:rsid w:val="000E56AA"/>
    <w:rsid w:val="00134B41"/>
    <w:rsid w:val="0013772D"/>
    <w:rsid w:val="001501CF"/>
    <w:rsid w:val="00172656"/>
    <w:rsid w:val="00172A27"/>
    <w:rsid w:val="001A3246"/>
    <w:rsid w:val="001D2DE7"/>
    <w:rsid w:val="001E02D5"/>
    <w:rsid w:val="001E35F0"/>
    <w:rsid w:val="001F30CF"/>
    <w:rsid w:val="001F5380"/>
    <w:rsid w:val="00236C62"/>
    <w:rsid w:val="002434E1"/>
    <w:rsid w:val="00247353"/>
    <w:rsid w:val="00260797"/>
    <w:rsid w:val="00264DA9"/>
    <w:rsid w:val="002747F5"/>
    <w:rsid w:val="00275B77"/>
    <w:rsid w:val="00277651"/>
    <w:rsid w:val="00282DDB"/>
    <w:rsid w:val="00284C31"/>
    <w:rsid w:val="0029469F"/>
    <w:rsid w:val="002E6290"/>
    <w:rsid w:val="00300823"/>
    <w:rsid w:val="00306081"/>
    <w:rsid w:val="00333CE0"/>
    <w:rsid w:val="00337CD6"/>
    <w:rsid w:val="00340B33"/>
    <w:rsid w:val="00357DB2"/>
    <w:rsid w:val="00381E7C"/>
    <w:rsid w:val="003C6628"/>
    <w:rsid w:val="003D795C"/>
    <w:rsid w:val="003E1950"/>
    <w:rsid w:val="00407DCD"/>
    <w:rsid w:val="00411790"/>
    <w:rsid w:val="004173AC"/>
    <w:rsid w:val="00417724"/>
    <w:rsid w:val="00441998"/>
    <w:rsid w:val="00471646"/>
    <w:rsid w:val="004915EE"/>
    <w:rsid w:val="00492CAE"/>
    <w:rsid w:val="004A190D"/>
    <w:rsid w:val="004C0FC5"/>
    <w:rsid w:val="004C514A"/>
    <w:rsid w:val="004D1658"/>
    <w:rsid w:val="004D4B7F"/>
    <w:rsid w:val="004E550B"/>
    <w:rsid w:val="00500EF3"/>
    <w:rsid w:val="005222FC"/>
    <w:rsid w:val="005404B4"/>
    <w:rsid w:val="00543912"/>
    <w:rsid w:val="00543D6C"/>
    <w:rsid w:val="005523BD"/>
    <w:rsid w:val="00554BE9"/>
    <w:rsid w:val="005649E1"/>
    <w:rsid w:val="00565884"/>
    <w:rsid w:val="00573831"/>
    <w:rsid w:val="0058688C"/>
    <w:rsid w:val="005B023C"/>
    <w:rsid w:val="005B174F"/>
    <w:rsid w:val="005F310E"/>
    <w:rsid w:val="005F6A39"/>
    <w:rsid w:val="006101B7"/>
    <w:rsid w:val="006129F5"/>
    <w:rsid w:val="0063386E"/>
    <w:rsid w:val="00645287"/>
    <w:rsid w:val="00646B13"/>
    <w:rsid w:val="0065248C"/>
    <w:rsid w:val="00652A1D"/>
    <w:rsid w:val="00663951"/>
    <w:rsid w:val="00681679"/>
    <w:rsid w:val="0068388C"/>
    <w:rsid w:val="00683961"/>
    <w:rsid w:val="00691FE8"/>
    <w:rsid w:val="006948D0"/>
    <w:rsid w:val="006C6A59"/>
    <w:rsid w:val="006D0341"/>
    <w:rsid w:val="006E2024"/>
    <w:rsid w:val="007046D1"/>
    <w:rsid w:val="0071758A"/>
    <w:rsid w:val="00720573"/>
    <w:rsid w:val="00726521"/>
    <w:rsid w:val="0074605C"/>
    <w:rsid w:val="007548AF"/>
    <w:rsid w:val="007A793A"/>
    <w:rsid w:val="007B7793"/>
    <w:rsid w:val="007D3BA3"/>
    <w:rsid w:val="007D54A9"/>
    <w:rsid w:val="007F3A66"/>
    <w:rsid w:val="0081407F"/>
    <w:rsid w:val="00827DF0"/>
    <w:rsid w:val="00856B66"/>
    <w:rsid w:val="0086013D"/>
    <w:rsid w:val="00867AE5"/>
    <w:rsid w:val="008919AF"/>
    <w:rsid w:val="008C273F"/>
    <w:rsid w:val="008C49B9"/>
    <w:rsid w:val="008C7163"/>
    <w:rsid w:val="008D3FB8"/>
    <w:rsid w:val="008D4961"/>
    <w:rsid w:val="008D509D"/>
    <w:rsid w:val="008F46C7"/>
    <w:rsid w:val="009078E5"/>
    <w:rsid w:val="00923869"/>
    <w:rsid w:val="009277B2"/>
    <w:rsid w:val="0093031E"/>
    <w:rsid w:val="009320FD"/>
    <w:rsid w:val="00960A69"/>
    <w:rsid w:val="00972C8C"/>
    <w:rsid w:val="009B4BAF"/>
    <w:rsid w:val="009C23BB"/>
    <w:rsid w:val="009E16AB"/>
    <w:rsid w:val="009F1079"/>
    <w:rsid w:val="009F3A77"/>
    <w:rsid w:val="00A22127"/>
    <w:rsid w:val="00A254FD"/>
    <w:rsid w:val="00A266C6"/>
    <w:rsid w:val="00A41745"/>
    <w:rsid w:val="00A425B3"/>
    <w:rsid w:val="00A51AE3"/>
    <w:rsid w:val="00A54902"/>
    <w:rsid w:val="00A707FE"/>
    <w:rsid w:val="00A86895"/>
    <w:rsid w:val="00AB17D2"/>
    <w:rsid w:val="00AC65E6"/>
    <w:rsid w:val="00AC7492"/>
    <w:rsid w:val="00AE7A1D"/>
    <w:rsid w:val="00AF0F52"/>
    <w:rsid w:val="00AF6706"/>
    <w:rsid w:val="00B06F81"/>
    <w:rsid w:val="00B1713D"/>
    <w:rsid w:val="00B24B1A"/>
    <w:rsid w:val="00B33508"/>
    <w:rsid w:val="00B3667A"/>
    <w:rsid w:val="00B41388"/>
    <w:rsid w:val="00B4632D"/>
    <w:rsid w:val="00B552FE"/>
    <w:rsid w:val="00B73A3D"/>
    <w:rsid w:val="00BB73EA"/>
    <w:rsid w:val="00BD4AF2"/>
    <w:rsid w:val="00C16B15"/>
    <w:rsid w:val="00C20F4A"/>
    <w:rsid w:val="00C27924"/>
    <w:rsid w:val="00C318DA"/>
    <w:rsid w:val="00C348D1"/>
    <w:rsid w:val="00C35670"/>
    <w:rsid w:val="00C36A39"/>
    <w:rsid w:val="00C36B71"/>
    <w:rsid w:val="00C509F1"/>
    <w:rsid w:val="00C57364"/>
    <w:rsid w:val="00C77FB9"/>
    <w:rsid w:val="00C87382"/>
    <w:rsid w:val="00CB3E29"/>
    <w:rsid w:val="00CC14C2"/>
    <w:rsid w:val="00CD1741"/>
    <w:rsid w:val="00CD28A7"/>
    <w:rsid w:val="00CD5DBD"/>
    <w:rsid w:val="00CE368D"/>
    <w:rsid w:val="00CE6601"/>
    <w:rsid w:val="00D31F1C"/>
    <w:rsid w:val="00D35938"/>
    <w:rsid w:val="00D52497"/>
    <w:rsid w:val="00D57D67"/>
    <w:rsid w:val="00D62654"/>
    <w:rsid w:val="00D83615"/>
    <w:rsid w:val="00D92D7D"/>
    <w:rsid w:val="00DB07F2"/>
    <w:rsid w:val="00DB18BA"/>
    <w:rsid w:val="00DE624F"/>
    <w:rsid w:val="00E05CF5"/>
    <w:rsid w:val="00E14C52"/>
    <w:rsid w:val="00E23D08"/>
    <w:rsid w:val="00E35CF6"/>
    <w:rsid w:val="00E846AE"/>
    <w:rsid w:val="00F05FBC"/>
    <w:rsid w:val="00F14727"/>
    <w:rsid w:val="00F1766C"/>
    <w:rsid w:val="00F32A9E"/>
    <w:rsid w:val="00F33C0E"/>
    <w:rsid w:val="00F43892"/>
    <w:rsid w:val="00F46D6C"/>
    <w:rsid w:val="00F91707"/>
    <w:rsid w:val="00FA70B1"/>
    <w:rsid w:val="00FE2F7F"/>
    <w:rsid w:val="00FE37C5"/>
    <w:rsid w:val="00FF4C94"/>
    <w:rsid w:val="0179572B"/>
    <w:rsid w:val="01FB7BB0"/>
    <w:rsid w:val="027253B1"/>
    <w:rsid w:val="027A0339"/>
    <w:rsid w:val="02BC0153"/>
    <w:rsid w:val="031B1404"/>
    <w:rsid w:val="03B404A6"/>
    <w:rsid w:val="03FD3CA0"/>
    <w:rsid w:val="043D204D"/>
    <w:rsid w:val="04BE2706"/>
    <w:rsid w:val="04E375D1"/>
    <w:rsid w:val="0602035A"/>
    <w:rsid w:val="0611365C"/>
    <w:rsid w:val="062D7157"/>
    <w:rsid w:val="06A96A2B"/>
    <w:rsid w:val="073E44E9"/>
    <w:rsid w:val="08750699"/>
    <w:rsid w:val="08D870FD"/>
    <w:rsid w:val="0A05382F"/>
    <w:rsid w:val="0AE678B7"/>
    <w:rsid w:val="0BCC165F"/>
    <w:rsid w:val="0C296F76"/>
    <w:rsid w:val="0C637906"/>
    <w:rsid w:val="0D3D6CCB"/>
    <w:rsid w:val="0DE44D69"/>
    <w:rsid w:val="0E501B12"/>
    <w:rsid w:val="10381C52"/>
    <w:rsid w:val="10C20BC1"/>
    <w:rsid w:val="11093F2D"/>
    <w:rsid w:val="113526A3"/>
    <w:rsid w:val="11BB58CB"/>
    <w:rsid w:val="11FF0D74"/>
    <w:rsid w:val="12E97145"/>
    <w:rsid w:val="141A384A"/>
    <w:rsid w:val="146B3F02"/>
    <w:rsid w:val="148D761F"/>
    <w:rsid w:val="14DB4296"/>
    <w:rsid w:val="14E20616"/>
    <w:rsid w:val="156C330C"/>
    <w:rsid w:val="157B2389"/>
    <w:rsid w:val="161E1561"/>
    <w:rsid w:val="16892BF5"/>
    <w:rsid w:val="16EA2925"/>
    <w:rsid w:val="171A0042"/>
    <w:rsid w:val="17B956A0"/>
    <w:rsid w:val="184C7CA2"/>
    <w:rsid w:val="186164E1"/>
    <w:rsid w:val="18641690"/>
    <w:rsid w:val="19DA4F4F"/>
    <w:rsid w:val="1BA52540"/>
    <w:rsid w:val="1D9D5721"/>
    <w:rsid w:val="1E5A2269"/>
    <w:rsid w:val="1E8A0EA1"/>
    <w:rsid w:val="1E9861FC"/>
    <w:rsid w:val="1E9B5C18"/>
    <w:rsid w:val="1F01089D"/>
    <w:rsid w:val="1F28440E"/>
    <w:rsid w:val="1F2F1A3F"/>
    <w:rsid w:val="1F5E29CA"/>
    <w:rsid w:val="1FBB1752"/>
    <w:rsid w:val="1FD86451"/>
    <w:rsid w:val="207A2EB2"/>
    <w:rsid w:val="216E05C0"/>
    <w:rsid w:val="217F5C08"/>
    <w:rsid w:val="231B05AE"/>
    <w:rsid w:val="23FA503D"/>
    <w:rsid w:val="24185414"/>
    <w:rsid w:val="247C6164"/>
    <w:rsid w:val="254555BB"/>
    <w:rsid w:val="26692452"/>
    <w:rsid w:val="26FA7250"/>
    <w:rsid w:val="26FD20A2"/>
    <w:rsid w:val="275000A2"/>
    <w:rsid w:val="27936E1C"/>
    <w:rsid w:val="27A018EF"/>
    <w:rsid w:val="280D709D"/>
    <w:rsid w:val="283D2F74"/>
    <w:rsid w:val="296D2648"/>
    <w:rsid w:val="29906911"/>
    <w:rsid w:val="2A771E95"/>
    <w:rsid w:val="2B5D15D2"/>
    <w:rsid w:val="2BE113F5"/>
    <w:rsid w:val="2BED0FC3"/>
    <w:rsid w:val="2C927A37"/>
    <w:rsid w:val="2CC6227E"/>
    <w:rsid w:val="2E786353"/>
    <w:rsid w:val="2EDC0E80"/>
    <w:rsid w:val="301963B0"/>
    <w:rsid w:val="301B4BA2"/>
    <w:rsid w:val="303659D8"/>
    <w:rsid w:val="306A1D2B"/>
    <w:rsid w:val="30AC6E6B"/>
    <w:rsid w:val="30B032AD"/>
    <w:rsid w:val="313A6471"/>
    <w:rsid w:val="322E2089"/>
    <w:rsid w:val="32CB6961"/>
    <w:rsid w:val="33103E5A"/>
    <w:rsid w:val="33FF2127"/>
    <w:rsid w:val="34B1215B"/>
    <w:rsid w:val="3527633F"/>
    <w:rsid w:val="3586221D"/>
    <w:rsid w:val="35F230E1"/>
    <w:rsid w:val="3627203F"/>
    <w:rsid w:val="377A0946"/>
    <w:rsid w:val="379A42EF"/>
    <w:rsid w:val="37EB06C7"/>
    <w:rsid w:val="38FB44E7"/>
    <w:rsid w:val="3A2F0529"/>
    <w:rsid w:val="3BC25FE0"/>
    <w:rsid w:val="3CEA693B"/>
    <w:rsid w:val="3D0043F8"/>
    <w:rsid w:val="3D900DDD"/>
    <w:rsid w:val="3DC6779A"/>
    <w:rsid w:val="3E206C74"/>
    <w:rsid w:val="3F02556B"/>
    <w:rsid w:val="3F9C1B32"/>
    <w:rsid w:val="3FD70D47"/>
    <w:rsid w:val="3FDD0CC9"/>
    <w:rsid w:val="41DD3549"/>
    <w:rsid w:val="42214AF7"/>
    <w:rsid w:val="42EE48BB"/>
    <w:rsid w:val="43D52E80"/>
    <w:rsid w:val="45561394"/>
    <w:rsid w:val="46C57C51"/>
    <w:rsid w:val="46CC51EC"/>
    <w:rsid w:val="477D4449"/>
    <w:rsid w:val="47822ACD"/>
    <w:rsid w:val="47C57C25"/>
    <w:rsid w:val="482142BC"/>
    <w:rsid w:val="489708D2"/>
    <w:rsid w:val="49435118"/>
    <w:rsid w:val="4ACE579A"/>
    <w:rsid w:val="4D6C5F42"/>
    <w:rsid w:val="4DCA5A0B"/>
    <w:rsid w:val="4DD83FA7"/>
    <w:rsid w:val="4E4C3DE8"/>
    <w:rsid w:val="4E6D3738"/>
    <w:rsid w:val="4EBF0D4F"/>
    <w:rsid w:val="4F7325F1"/>
    <w:rsid w:val="4FA56987"/>
    <w:rsid w:val="4FB842A3"/>
    <w:rsid w:val="500F12BE"/>
    <w:rsid w:val="503C65EC"/>
    <w:rsid w:val="50FB0F45"/>
    <w:rsid w:val="527A6A21"/>
    <w:rsid w:val="52953DA9"/>
    <w:rsid w:val="52F2739F"/>
    <w:rsid w:val="52FF7F83"/>
    <w:rsid w:val="53776778"/>
    <w:rsid w:val="54464CAF"/>
    <w:rsid w:val="55527BEC"/>
    <w:rsid w:val="556744EC"/>
    <w:rsid w:val="560A455A"/>
    <w:rsid w:val="56D942A6"/>
    <w:rsid w:val="587636D7"/>
    <w:rsid w:val="58EA1AF5"/>
    <w:rsid w:val="59077C94"/>
    <w:rsid w:val="59205C21"/>
    <w:rsid w:val="594855DE"/>
    <w:rsid w:val="59660923"/>
    <w:rsid w:val="59D9363C"/>
    <w:rsid w:val="5A9058DC"/>
    <w:rsid w:val="5AB5222A"/>
    <w:rsid w:val="5B2E7AEC"/>
    <w:rsid w:val="5C23044C"/>
    <w:rsid w:val="5C8B0240"/>
    <w:rsid w:val="5F383DB0"/>
    <w:rsid w:val="5F791DB6"/>
    <w:rsid w:val="5FBE6322"/>
    <w:rsid w:val="607E64DB"/>
    <w:rsid w:val="609B0AFF"/>
    <w:rsid w:val="60E4040D"/>
    <w:rsid w:val="610E1D78"/>
    <w:rsid w:val="610F55F8"/>
    <w:rsid w:val="614314C5"/>
    <w:rsid w:val="62B87946"/>
    <w:rsid w:val="62D47C40"/>
    <w:rsid w:val="62F97C29"/>
    <w:rsid w:val="634D2449"/>
    <w:rsid w:val="638B0B59"/>
    <w:rsid w:val="65742E1D"/>
    <w:rsid w:val="6591061A"/>
    <w:rsid w:val="65A51D22"/>
    <w:rsid w:val="66D42C84"/>
    <w:rsid w:val="67407B38"/>
    <w:rsid w:val="67F05B91"/>
    <w:rsid w:val="67F861FE"/>
    <w:rsid w:val="680B4D18"/>
    <w:rsid w:val="694F2494"/>
    <w:rsid w:val="697622D1"/>
    <w:rsid w:val="69F707D7"/>
    <w:rsid w:val="6A740518"/>
    <w:rsid w:val="6A880452"/>
    <w:rsid w:val="6AE579D6"/>
    <w:rsid w:val="6BB562F5"/>
    <w:rsid w:val="6D06558D"/>
    <w:rsid w:val="6DB97480"/>
    <w:rsid w:val="6E22101A"/>
    <w:rsid w:val="6E402216"/>
    <w:rsid w:val="6F1F0901"/>
    <w:rsid w:val="708C0BA9"/>
    <w:rsid w:val="70C77FA1"/>
    <w:rsid w:val="70CD62B7"/>
    <w:rsid w:val="710B7334"/>
    <w:rsid w:val="715221A7"/>
    <w:rsid w:val="715A47D4"/>
    <w:rsid w:val="717937CD"/>
    <w:rsid w:val="730F2D7F"/>
    <w:rsid w:val="73907D81"/>
    <w:rsid w:val="73AD5353"/>
    <w:rsid w:val="73CB1930"/>
    <w:rsid w:val="73CD1D7C"/>
    <w:rsid w:val="7435081D"/>
    <w:rsid w:val="751843F4"/>
    <w:rsid w:val="75987DF4"/>
    <w:rsid w:val="759926FC"/>
    <w:rsid w:val="77765E08"/>
    <w:rsid w:val="778D5C77"/>
    <w:rsid w:val="77C862C8"/>
    <w:rsid w:val="77CF5CEA"/>
    <w:rsid w:val="77EA2F2F"/>
    <w:rsid w:val="77FE520B"/>
    <w:rsid w:val="79AC7226"/>
    <w:rsid w:val="79DA1CFA"/>
    <w:rsid w:val="7A1214B7"/>
    <w:rsid w:val="7C2E4D34"/>
    <w:rsid w:val="7D337AB2"/>
    <w:rsid w:val="7D8D26A2"/>
    <w:rsid w:val="7E1F1DA3"/>
    <w:rsid w:val="7EB423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nhideWhenUsed="0" w:uiPriority="0" w:semiHidden="0"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99"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99"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Arial"/>
      <w:kern w:val="2"/>
      <w:sz w:val="21"/>
      <w:szCs w:val="22"/>
      <w:lang w:val="en-US" w:eastAsia="zh-CN" w:bidi="ar-SA"/>
    </w:rPr>
  </w:style>
  <w:style w:type="paragraph" w:styleId="4">
    <w:name w:val="heading 1"/>
    <w:basedOn w:val="1"/>
    <w:next w:val="5"/>
    <w:qFormat/>
    <w:uiPriority w:val="0"/>
    <w:pPr>
      <w:keepNext/>
      <w:keepLines/>
      <w:pageBreakBefore/>
      <w:numPr>
        <w:ilvl w:val="0"/>
        <w:numId w:val="1"/>
      </w:numPr>
      <w:tabs>
        <w:tab w:val="left" w:pos="420"/>
        <w:tab w:val="left" w:pos="3332"/>
      </w:tabs>
      <w:adjustRightInd w:val="0"/>
      <w:snapToGrid w:val="0"/>
      <w:spacing w:before="300" w:after="300" w:line="360" w:lineRule="auto"/>
      <w:jc w:val="center"/>
      <w:outlineLvl w:val="0"/>
    </w:pPr>
    <w:rPr>
      <w:rFonts w:ascii="Times New Roman" w:hAnsi="Times New Roman" w:cs="Times New Roman"/>
      <w:b/>
      <w:bCs/>
      <w:kern w:val="44"/>
      <w:sz w:val="36"/>
      <w:szCs w:val="44"/>
    </w:rPr>
  </w:style>
  <w:style w:type="paragraph" w:styleId="6">
    <w:name w:val="heading 2"/>
    <w:basedOn w:val="1"/>
    <w:next w:val="1"/>
    <w:qFormat/>
    <w:uiPriority w:val="0"/>
    <w:pPr>
      <w:keepNext/>
      <w:keepLines/>
      <w:numPr>
        <w:ilvl w:val="1"/>
        <w:numId w:val="1"/>
      </w:numPr>
      <w:adjustRightInd w:val="0"/>
      <w:snapToGrid w:val="0"/>
      <w:spacing w:before="50" w:beforeLines="50" w:after="50" w:afterLines="50" w:line="360" w:lineRule="auto"/>
      <w:jc w:val="left"/>
      <w:outlineLvl w:val="1"/>
    </w:pPr>
    <w:rPr>
      <w:rFonts w:ascii="Times New Roman" w:hAnsi="Times New Roman" w:cs="Times New Roman"/>
      <w:b/>
      <w:bCs/>
      <w:sz w:val="30"/>
      <w:szCs w:val="32"/>
    </w:rPr>
  </w:style>
  <w:style w:type="paragraph" w:styleId="7">
    <w:name w:val="heading 3"/>
    <w:basedOn w:val="1"/>
    <w:next w:val="1"/>
    <w:qFormat/>
    <w:uiPriority w:val="0"/>
    <w:pPr>
      <w:keepNext/>
      <w:keepLines/>
      <w:numPr>
        <w:ilvl w:val="2"/>
        <w:numId w:val="1"/>
      </w:numPr>
      <w:tabs>
        <w:tab w:val="left" w:pos="-142"/>
        <w:tab w:val="clear" w:pos="-1"/>
      </w:tabs>
      <w:adjustRightInd w:val="0"/>
      <w:snapToGrid w:val="0"/>
      <w:spacing w:before="50" w:beforeLines="50" w:after="50" w:afterLines="50" w:line="360" w:lineRule="auto"/>
      <w:ind w:left="862"/>
      <w:jc w:val="left"/>
      <w:outlineLvl w:val="2"/>
    </w:pPr>
    <w:rPr>
      <w:rFonts w:ascii="Times New Roman" w:hAnsi="Times New Roman" w:cs="Times New Roman"/>
      <w:b/>
      <w:bCs/>
      <w:sz w:val="24"/>
      <w:szCs w:val="32"/>
    </w:rPr>
  </w:style>
  <w:style w:type="paragraph" w:styleId="8">
    <w:name w:val="heading 4"/>
    <w:basedOn w:val="1"/>
    <w:next w:val="5"/>
    <w:qFormat/>
    <w:uiPriority w:val="0"/>
    <w:pPr>
      <w:keepNext/>
      <w:keepLines/>
      <w:numPr>
        <w:ilvl w:val="3"/>
        <w:numId w:val="1"/>
      </w:numPr>
      <w:adjustRightInd w:val="0"/>
      <w:snapToGrid w:val="0"/>
      <w:spacing w:line="360" w:lineRule="auto"/>
      <w:jc w:val="left"/>
      <w:outlineLvl w:val="3"/>
    </w:pPr>
    <w:rPr>
      <w:rFonts w:ascii="Times New Roman" w:hAnsi="Times New Roman" w:cs="Times New Roman"/>
      <w:bCs/>
      <w:sz w:val="24"/>
      <w:szCs w:val="28"/>
    </w:rPr>
  </w:style>
  <w:style w:type="paragraph" w:styleId="9">
    <w:name w:val="heading 5"/>
    <w:basedOn w:val="1"/>
    <w:next w:val="5"/>
    <w:qFormat/>
    <w:uiPriority w:val="0"/>
    <w:pPr>
      <w:keepNext/>
      <w:keepLines/>
      <w:numPr>
        <w:ilvl w:val="4"/>
        <w:numId w:val="1"/>
      </w:numPr>
      <w:tabs>
        <w:tab w:val="left" w:pos="1008"/>
      </w:tabs>
      <w:spacing w:line="360" w:lineRule="auto"/>
      <w:outlineLvl w:val="4"/>
    </w:pPr>
    <w:rPr>
      <w:rFonts w:ascii="Times New Roman" w:hAnsi="Times New Roman" w:cs="Times New Roman"/>
      <w:bCs/>
      <w:sz w:val="24"/>
      <w:szCs w:val="28"/>
    </w:rPr>
  </w:style>
  <w:style w:type="paragraph" w:styleId="10">
    <w:name w:val="heading 6"/>
    <w:basedOn w:val="1"/>
    <w:next w:val="1"/>
    <w:qFormat/>
    <w:uiPriority w:val="0"/>
    <w:pPr>
      <w:keepNext/>
      <w:keepLines/>
      <w:numPr>
        <w:ilvl w:val="5"/>
        <w:numId w:val="1"/>
      </w:numPr>
      <w:tabs>
        <w:tab w:val="left" w:pos="1152"/>
      </w:tabs>
      <w:spacing w:before="240" w:after="64" w:line="317" w:lineRule="auto"/>
      <w:outlineLvl w:val="5"/>
    </w:pPr>
    <w:rPr>
      <w:rFonts w:ascii="Cambria" w:hAnsi="Cambria" w:cs="Times New Roman"/>
      <w:b/>
      <w:bCs/>
      <w:sz w:val="24"/>
      <w:szCs w:val="24"/>
    </w:rPr>
  </w:style>
  <w:style w:type="paragraph" w:styleId="11">
    <w:name w:val="heading 7"/>
    <w:basedOn w:val="1"/>
    <w:next w:val="1"/>
    <w:qFormat/>
    <w:uiPriority w:val="0"/>
    <w:pPr>
      <w:keepNext/>
      <w:keepLines/>
      <w:numPr>
        <w:ilvl w:val="6"/>
        <w:numId w:val="1"/>
      </w:numPr>
      <w:tabs>
        <w:tab w:val="left" w:pos="1296"/>
      </w:tabs>
      <w:spacing w:before="240" w:after="64" w:line="317" w:lineRule="auto"/>
      <w:outlineLvl w:val="6"/>
    </w:pPr>
    <w:rPr>
      <w:rFonts w:ascii="Times New Roman" w:hAnsi="Times New Roman" w:cs="Times New Roman"/>
      <w:b/>
      <w:bCs/>
      <w:sz w:val="24"/>
      <w:szCs w:val="24"/>
    </w:rPr>
  </w:style>
  <w:style w:type="paragraph" w:styleId="12">
    <w:name w:val="heading 8"/>
    <w:basedOn w:val="1"/>
    <w:next w:val="1"/>
    <w:qFormat/>
    <w:uiPriority w:val="0"/>
    <w:pPr>
      <w:keepNext/>
      <w:keepLines/>
      <w:numPr>
        <w:ilvl w:val="7"/>
        <w:numId w:val="1"/>
      </w:numPr>
      <w:tabs>
        <w:tab w:val="left" w:pos="1440"/>
      </w:tabs>
      <w:spacing w:before="240" w:after="64" w:line="317" w:lineRule="auto"/>
      <w:outlineLvl w:val="7"/>
    </w:pPr>
    <w:rPr>
      <w:rFonts w:ascii="Cambria" w:hAnsi="Cambria" w:cs="Times New Roman"/>
      <w:sz w:val="24"/>
      <w:szCs w:val="24"/>
    </w:rPr>
  </w:style>
  <w:style w:type="paragraph" w:styleId="13">
    <w:name w:val="heading 9"/>
    <w:basedOn w:val="1"/>
    <w:next w:val="1"/>
    <w:qFormat/>
    <w:uiPriority w:val="0"/>
    <w:pPr>
      <w:keepNext/>
      <w:keepLines/>
      <w:numPr>
        <w:ilvl w:val="8"/>
        <w:numId w:val="1"/>
      </w:numPr>
      <w:tabs>
        <w:tab w:val="left" w:pos="1584"/>
      </w:tabs>
      <w:spacing w:before="240" w:after="64" w:line="317" w:lineRule="auto"/>
      <w:outlineLvl w:val="8"/>
    </w:pPr>
    <w:rPr>
      <w:rFonts w:ascii="Cambria" w:hAnsi="Cambria" w:cs="Times New Roman"/>
      <w:sz w:val="20"/>
      <w:szCs w:val="20"/>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First Indent 2"/>
    <w:basedOn w:val="3"/>
    <w:qFormat/>
    <w:uiPriority w:val="0"/>
    <w:pPr>
      <w:ind w:firstLine="200" w:firstLineChars="200"/>
    </w:pPr>
    <w:rPr>
      <w:spacing w:val="0"/>
      <w:sz w:val="21"/>
      <w:szCs w:val="24"/>
    </w:rPr>
  </w:style>
  <w:style w:type="paragraph" w:styleId="3">
    <w:name w:val="Body Text Indent"/>
    <w:basedOn w:val="1"/>
    <w:qFormat/>
    <w:uiPriority w:val="0"/>
    <w:pPr>
      <w:spacing w:after="120"/>
      <w:ind w:left="200" w:leftChars="200"/>
    </w:pPr>
    <w:rPr>
      <w:rFonts w:ascii="Times New Roman" w:hAnsi="Times New Roman" w:cs="Times New Roman"/>
      <w:spacing w:val="62"/>
      <w:sz w:val="24"/>
      <w:szCs w:val="20"/>
    </w:rPr>
  </w:style>
  <w:style w:type="paragraph" w:styleId="5">
    <w:name w:val="Body Text First Indent"/>
    <w:basedOn w:val="1"/>
    <w:qFormat/>
    <w:uiPriority w:val="0"/>
    <w:pPr>
      <w:adjustRightInd w:val="0"/>
      <w:snapToGrid w:val="0"/>
      <w:spacing w:line="360" w:lineRule="auto"/>
      <w:ind w:firstLine="200" w:firstLineChars="200"/>
    </w:pPr>
    <w:rPr>
      <w:sz w:val="24"/>
    </w:rPr>
  </w:style>
  <w:style w:type="paragraph" w:styleId="14">
    <w:name w:val="toc 7"/>
    <w:basedOn w:val="1"/>
    <w:next w:val="1"/>
    <w:qFormat/>
    <w:uiPriority w:val="0"/>
    <w:pPr>
      <w:ind w:left="1200"/>
      <w:jc w:val="left"/>
    </w:pPr>
    <w:rPr>
      <w:rFonts w:ascii="Times New Roman" w:hAnsi="Times New Roman" w:cs="Times New Roman"/>
      <w:sz w:val="18"/>
      <w:szCs w:val="18"/>
    </w:rPr>
  </w:style>
  <w:style w:type="paragraph" w:styleId="15">
    <w:name w:val="Note Heading"/>
    <w:basedOn w:val="1"/>
    <w:next w:val="1"/>
    <w:qFormat/>
    <w:uiPriority w:val="0"/>
    <w:pPr>
      <w:jc w:val="center"/>
    </w:pPr>
    <w:rPr>
      <w:rFonts w:ascii="Times New Roman" w:hAnsi="Times New Roman" w:cs="Times New Roman"/>
      <w:szCs w:val="20"/>
    </w:rPr>
  </w:style>
  <w:style w:type="paragraph" w:styleId="16">
    <w:name w:val="List Number"/>
    <w:basedOn w:val="1"/>
    <w:qFormat/>
    <w:uiPriority w:val="0"/>
    <w:pPr>
      <w:keepNext/>
      <w:adjustRightInd w:val="0"/>
      <w:snapToGrid w:val="0"/>
      <w:spacing w:line="360" w:lineRule="auto"/>
      <w:jc w:val="center"/>
    </w:pPr>
    <w:rPr>
      <w:rFonts w:ascii="Times New Roman" w:hAnsi="Times New Roman" w:cs="Times New Roman"/>
      <w:b/>
      <w:szCs w:val="20"/>
    </w:rPr>
  </w:style>
  <w:style w:type="paragraph" w:styleId="17">
    <w:name w:val="Normal Indent"/>
    <w:basedOn w:val="1"/>
    <w:qFormat/>
    <w:uiPriority w:val="0"/>
    <w:pPr>
      <w:adjustRightInd w:val="0"/>
      <w:spacing w:line="312" w:lineRule="atLeast"/>
      <w:ind w:firstLine="420"/>
      <w:textAlignment w:val="baseline"/>
    </w:pPr>
    <w:rPr>
      <w:rFonts w:ascii="Times New Roman" w:hAnsi="Times New Roman" w:cs="Times New Roman"/>
      <w:sz w:val="20"/>
      <w:szCs w:val="20"/>
    </w:rPr>
  </w:style>
  <w:style w:type="paragraph" w:styleId="18">
    <w:name w:val="caption"/>
    <w:basedOn w:val="1"/>
    <w:next w:val="1"/>
    <w:qFormat/>
    <w:uiPriority w:val="0"/>
    <w:pPr>
      <w:adjustRightInd w:val="0"/>
      <w:snapToGrid w:val="0"/>
      <w:jc w:val="center"/>
    </w:pPr>
    <w:rPr>
      <w:rFonts w:ascii="Times New Roman" w:hAnsi="Times New Roman" w:cs="Times New Roman"/>
      <w:b/>
      <w:sz w:val="24"/>
      <w:szCs w:val="20"/>
    </w:rPr>
  </w:style>
  <w:style w:type="paragraph" w:styleId="19">
    <w:name w:val="Document Map"/>
    <w:basedOn w:val="1"/>
    <w:qFormat/>
    <w:uiPriority w:val="0"/>
    <w:rPr>
      <w:rFonts w:ascii="宋体" w:cs="Times New Roman"/>
      <w:sz w:val="18"/>
      <w:szCs w:val="18"/>
    </w:rPr>
  </w:style>
  <w:style w:type="paragraph" w:styleId="20">
    <w:name w:val="annotation text"/>
    <w:basedOn w:val="1"/>
    <w:qFormat/>
    <w:uiPriority w:val="0"/>
    <w:pPr>
      <w:jc w:val="left"/>
    </w:pPr>
    <w:rPr>
      <w:rFonts w:cs="Times New Roman"/>
      <w:szCs w:val="21"/>
    </w:rPr>
  </w:style>
  <w:style w:type="paragraph" w:styleId="21">
    <w:name w:val="Body Text 3"/>
    <w:basedOn w:val="1"/>
    <w:qFormat/>
    <w:uiPriority w:val="0"/>
    <w:pPr>
      <w:spacing w:after="120"/>
    </w:pPr>
    <w:rPr>
      <w:rFonts w:ascii="Times New Roman" w:hAnsi="Times New Roman" w:cs="Times New Roman"/>
      <w:sz w:val="16"/>
      <w:szCs w:val="16"/>
    </w:rPr>
  </w:style>
  <w:style w:type="paragraph" w:styleId="22">
    <w:name w:val="Body Text"/>
    <w:basedOn w:val="1"/>
    <w:next w:val="23"/>
    <w:qFormat/>
    <w:uiPriority w:val="0"/>
    <w:rPr>
      <w:rFonts w:ascii="Times New Roman" w:hAnsi="Times New Roman" w:cs="Times New Roman"/>
      <w:sz w:val="20"/>
      <w:szCs w:val="20"/>
    </w:rPr>
  </w:style>
  <w:style w:type="paragraph" w:customStyle="1" w:styleId="23">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24">
    <w:name w:val="List 2"/>
    <w:basedOn w:val="1"/>
    <w:qFormat/>
    <w:uiPriority w:val="0"/>
    <w:pPr>
      <w:ind w:left="400" w:leftChars="200" w:hanging="200" w:hangingChars="200"/>
    </w:pPr>
    <w:rPr>
      <w:rFonts w:ascii="Times New Roman" w:hAnsi="Times New Roman" w:cs="Times New Roman"/>
      <w:sz w:val="20"/>
      <w:szCs w:val="20"/>
    </w:rPr>
  </w:style>
  <w:style w:type="paragraph" w:styleId="25">
    <w:name w:val="toc 5"/>
    <w:basedOn w:val="1"/>
    <w:next w:val="1"/>
    <w:qFormat/>
    <w:uiPriority w:val="0"/>
    <w:pPr>
      <w:ind w:left="800"/>
      <w:jc w:val="left"/>
    </w:pPr>
    <w:rPr>
      <w:rFonts w:ascii="Times New Roman" w:hAnsi="Times New Roman" w:cs="Times New Roman"/>
      <w:sz w:val="18"/>
      <w:szCs w:val="18"/>
    </w:rPr>
  </w:style>
  <w:style w:type="paragraph" w:styleId="26">
    <w:name w:val="toc 3"/>
    <w:basedOn w:val="1"/>
    <w:next w:val="1"/>
    <w:qFormat/>
    <w:uiPriority w:val="0"/>
    <w:pPr>
      <w:ind w:left="400"/>
      <w:jc w:val="left"/>
    </w:pPr>
    <w:rPr>
      <w:rFonts w:ascii="Times New Roman" w:hAnsi="Times New Roman" w:cs="Times New Roman"/>
      <w:i/>
      <w:iCs/>
      <w:sz w:val="20"/>
      <w:szCs w:val="20"/>
    </w:rPr>
  </w:style>
  <w:style w:type="paragraph" w:styleId="27">
    <w:name w:val="Plain Text"/>
    <w:basedOn w:val="1"/>
    <w:qFormat/>
    <w:uiPriority w:val="0"/>
    <w:rPr>
      <w:rFonts w:ascii="宋体" w:cs="Times New Roman"/>
      <w:sz w:val="20"/>
      <w:szCs w:val="20"/>
    </w:rPr>
  </w:style>
  <w:style w:type="paragraph" w:styleId="28">
    <w:name w:val="toc 8"/>
    <w:basedOn w:val="1"/>
    <w:next w:val="1"/>
    <w:qFormat/>
    <w:uiPriority w:val="0"/>
    <w:pPr>
      <w:ind w:left="1400"/>
      <w:jc w:val="left"/>
    </w:pPr>
    <w:rPr>
      <w:rFonts w:ascii="Times New Roman" w:hAnsi="Times New Roman" w:cs="Times New Roman"/>
      <w:sz w:val="18"/>
      <w:szCs w:val="18"/>
    </w:rPr>
  </w:style>
  <w:style w:type="paragraph" w:styleId="29">
    <w:name w:val="Date"/>
    <w:basedOn w:val="1"/>
    <w:next w:val="1"/>
    <w:qFormat/>
    <w:uiPriority w:val="0"/>
    <w:pPr>
      <w:ind w:left="2500" w:leftChars="2500"/>
    </w:pPr>
    <w:rPr>
      <w:rFonts w:ascii="Times New Roman" w:hAnsi="Times New Roman" w:cs="Times New Roman"/>
      <w:sz w:val="20"/>
      <w:szCs w:val="20"/>
    </w:rPr>
  </w:style>
  <w:style w:type="paragraph" w:styleId="30">
    <w:name w:val="Body Text Indent 2"/>
    <w:basedOn w:val="1"/>
    <w:qFormat/>
    <w:uiPriority w:val="0"/>
    <w:pPr>
      <w:spacing w:after="120" w:line="480" w:lineRule="auto"/>
      <w:ind w:left="200" w:leftChars="200"/>
    </w:pPr>
    <w:rPr>
      <w:rFonts w:ascii="Times New Roman" w:hAnsi="Times New Roman" w:cs="Times New Roman"/>
      <w:sz w:val="20"/>
      <w:szCs w:val="20"/>
    </w:rPr>
  </w:style>
  <w:style w:type="paragraph" w:styleId="31">
    <w:name w:val="Balloon Text"/>
    <w:basedOn w:val="1"/>
    <w:qFormat/>
    <w:uiPriority w:val="0"/>
    <w:rPr>
      <w:rFonts w:ascii="Times New Roman" w:hAnsi="Times New Roman" w:cs="Times New Roman"/>
      <w:sz w:val="18"/>
      <w:szCs w:val="18"/>
    </w:rPr>
  </w:style>
  <w:style w:type="paragraph" w:styleId="32">
    <w:name w:val="footer"/>
    <w:basedOn w:val="1"/>
    <w:qFormat/>
    <w:uiPriority w:val="0"/>
    <w:pPr>
      <w:tabs>
        <w:tab w:val="center" w:pos="4153"/>
        <w:tab w:val="right" w:pos="8306"/>
      </w:tabs>
      <w:snapToGrid w:val="0"/>
      <w:jc w:val="left"/>
    </w:pPr>
    <w:rPr>
      <w:rFonts w:ascii="Times New Roman" w:hAnsi="Times New Roman" w:cs="Times New Roman"/>
      <w:sz w:val="18"/>
      <w:szCs w:val="18"/>
    </w:rPr>
  </w:style>
  <w:style w:type="paragraph" w:styleId="33">
    <w:name w:val="header"/>
    <w:basedOn w:val="1"/>
    <w:qFormat/>
    <w:uiPriority w:val="0"/>
    <w:pPr>
      <w:pBdr>
        <w:bottom w:val="single" w:color="auto" w:sz="6" w:space="1"/>
      </w:pBdr>
      <w:tabs>
        <w:tab w:val="center" w:pos="4153"/>
        <w:tab w:val="right" w:pos="8306"/>
      </w:tabs>
      <w:snapToGrid w:val="0"/>
      <w:jc w:val="center"/>
    </w:pPr>
    <w:rPr>
      <w:rFonts w:ascii="Times New Roman" w:hAnsi="Times New Roman" w:cs="Times New Roman"/>
      <w:sz w:val="18"/>
      <w:szCs w:val="18"/>
    </w:rPr>
  </w:style>
  <w:style w:type="paragraph" w:styleId="34">
    <w:name w:val="toc 1"/>
    <w:basedOn w:val="1"/>
    <w:next w:val="1"/>
    <w:qFormat/>
    <w:uiPriority w:val="0"/>
    <w:pPr>
      <w:spacing w:before="120" w:after="120"/>
      <w:jc w:val="left"/>
    </w:pPr>
    <w:rPr>
      <w:rFonts w:ascii="Times New Roman" w:hAnsi="Times New Roman" w:cs="Times New Roman"/>
      <w:b/>
      <w:bCs/>
      <w:caps/>
      <w:sz w:val="20"/>
      <w:szCs w:val="20"/>
    </w:rPr>
  </w:style>
  <w:style w:type="paragraph" w:styleId="35">
    <w:name w:val="toc 4"/>
    <w:basedOn w:val="1"/>
    <w:next w:val="1"/>
    <w:qFormat/>
    <w:uiPriority w:val="0"/>
    <w:pPr>
      <w:ind w:left="600"/>
      <w:jc w:val="left"/>
    </w:pPr>
    <w:rPr>
      <w:rFonts w:ascii="Times New Roman" w:hAnsi="Times New Roman" w:cs="Times New Roman"/>
      <w:sz w:val="18"/>
      <w:szCs w:val="18"/>
    </w:rPr>
  </w:style>
  <w:style w:type="paragraph" w:styleId="36">
    <w:name w:val="List"/>
    <w:basedOn w:val="1"/>
    <w:qFormat/>
    <w:uiPriority w:val="0"/>
    <w:pPr>
      <w:ind w:left="200" w:hanging="200" w:hangingChars="200"/>
      <w:contextualSpacing/>
    </w:pPr>
    <w:rPr>
      <w:rFonts w:ascii="Times New Roman" w:hAnsi="Times New Roman" w:cs="Times New Roman"/>
      <w:sz w:val="20"/>
      <w:szCs w:val="20"/>
    </w:rPr>
  </w:style>
  <w:style w:type="paragraph" w:styleId="37">
    <w:name w:val="toc 6"/>
    <w:basedOn w:val="1"/>
    <w:next w:val="1"/>
    <w:qFormat/>
    <w:uiPriority w:val="0"/>
    <w:pPr>
      <w:ind w:left="1000"/>
      <w:jc w:val="left"/>
    </w:pPr>
    <w:rPr>
      <w:rFonts w:ascii="Times New Roman" w:hAnsi="Times New Roman" w:cs="Times New Roman"/>
      <w:sz w:val="18"/>
      <w:szCs w:val="18"/>
    </w:rPr>
  </w:style>
  <w:style w:type="paragraph" w:styleId="38">
    <w:name w:val="Body Text Indent 3"/>
    <w:basedOn w:val="1"/>
    <w:qFormat/>
    <w:uiPriority w:val="0"/>
    <w:pPr>
      <w:autoSpaceDE w:val="0"/>
      <w:autoSpaceDN w:val="0"/>
      <w:adjustRightInd w:val="0"/>
      <w:spacing w:line="360" w:lineRule="auto"/>
      <w:ind w:right="6" w:firstLine="480"/>
    </w:pPr>
    <w:rPr>
      <w:rFonts w:ascii="Times New Roman" w:hAnsi="Times New Roman" w:cs="Times New Roman"/>
      <w:kern w:val="0"/>
      <w:sz w:val="24"/>
      <w:szCs w:val="20"/>
    </w:rPr>
  </w:style>
  <w:style w:type="paragraph" w:styleId="39">
    <w:name w:val="toc 2"/>
    <w:basedOn w:val="1"/>
    <w:next w:val="1"/>
    <w:qFormat/>
    <w:uiPriority w:val="0"/>
    <w:pPr>
      <w:ind w:left="200"/>
      <w:jc w:val="left"/>
    </w:pPr>
    <w:rPr>
      <w:rFonts w:ascii="Times New Roman" w:hAnsi="Times New Roman" w:cs="Times New Roman"/>
      <w:smallCaps/>
      <w:sz w:val="20"/>
      <w:szCs w:val="20"/>
    </w:rPr>
  </w:style>
  <w:style w:type="paragraph" w:styleId="40">
    <w:name w:val="toc 9"/>
    <w:basedOn w:val="1"/>
    <w:next w:val="1"/>
    <w:qFormat/>
    <w:uiPriority w:val="0"/>
    <w:pPr>
      <w:ind w:left="1600"/>
      <w:jc w:val="left"/>
    </w:pPr>
    <w:rPr>
      <w:rFonts w:ascii="Times New Roman" w:hAnsi="Times New Roman" w:cs="Times New Roman"/>
      <w:sz w:val="18"/>
      <w:szCs w:val="18"/>
    </w:rPr>
  </w:style>
  <w:style w:type="paragraph" w:styleId="41">
    <w:name w:val="Body Text 2"/>
    <w:basedOn w:val="1"/>
    <w:qFormat/>
    <w:uiPriority w:val="0"/>
    <w:pPr>
      <w:spacing w:after="120" w:line="480" w:lineRule="auto"/>
    </w:pPr>
    <w:rPr>
      <w:rFonts w:ascii="Times New Roman" w:hAnsi="Times New Roman" w:cs="Times New Roman"/>
      <w:sz w:val="20"/>
      <w:szCs w:val="20"/>
    </w:rPr>
  </w:style>
  <w:style w:type="paragraph" w:styleId="42">
    <w:name w:val="HTML Preformatted"/>
    <w:basedOn w:val="1"/>
    <w:qFormat/>
    <w:uiPriority w:val="0"/>
    <w:rPr>
      <w:rFonts w:ascii="Courier New" w:hAnsi="Courier New" w:cs="Courier New"/>
      <w:sz w:val="20"/>
      <w:szCs w:val="20"/>
    </w:rPr>
  </w:style>
  <w:style w:type="paragraph" w:styleId="43">
    <w:name w:val="Normal (Web)"/>
    <w:basedOn w:val="1"/>
    <w:qFormat/>
    <w:uiPriority w:val="0"/>
    <w:pPr>
      <w:widowControl/>
      <w:spacing w:before="100" w:beforeAutospacing="1" w:after="100" w:afterAutospacing="1"/>
      <w:jc w:val="left"/>
    </w:pPr>
    <w:rPr>
      <w:rFonts w:ascii="宋体" w:cs="Times New Roman"/>
      <w:kern w:val="0"/>
      <w:sz w:val="24"/>
      <w:szCs w:val="21"/>
    </w:rPr>
  </w:style>
  <w:style w:type="paragraph" w:styleId="44">
    <w:name w:val="annotation subject"/>
    <w:basedOn w:val="20"/>
    <w:next w:val="20"/>
    <w:qFormat/>
    <w:uiPriority w:val="0"/>
    <w:rPr>
      <w:b/>
      <w:bCs/>
    </w:rPr>
  </w:style>
  <w:style w:type="table" w:styleId="46">
    <w:name w:val="Table Grid"/>
    <w:basedOn w:val="45"/>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48">
    <w:name w:val="Strong"/>
    <w:qFormat/>
    <w:uiPriority w:val="0"/>
    <w:rPr>
      <w:b/>
      <w:bCs/>
    </w:rPr>
  </w:style>
  <w:style w:type="character" w:styleId="49">
    <w:name w:val="page number"/>
    <w:basedOn w:val="47"/>
    <w:qFormat/>
    <w:uiPriority w:val="0"/>
  </w:style>
  <w:style w:type="character" w:styleId="50">
    <w:name w:val="FollowedHyperlink"/>
    <w:qFormat/>
    <w:uiPriority w:val="0"/>
    <w:rPr>
      <w:color w:val="800080"/>
      <w:u w:val="single"/>
    </w:rPr>
  </w:style>
  <w:style w:type="character" w:styleId="51">
    <w:name w:val="Emphasis"/>
    <w:qFormat/>
    <w:uiPriority w:val="0"/>
    <w:rPr>
      <w:i/>
      <w:iCs/>
    </w:rPr>
  </w:style>
  <w:style w:type="character" w:styleId="52">
    <w:name w:val="line number"/>
    <w:qFormat/>
    <w:uiPriority w:val="0"/>
  </w:style>
  <w:style w:type="character" w:styleId="53">
    <w:name w:val="HTML Definition"/>
    <w:qFormat/>
    <w:uiPriority w:val="0"/>
    <w:rPr>
      <w:sz w:val="2"/>
      <w:szCs w:val="2"/>
      <w:shd w:val="clear" w:color="auto" w:fill="FFFFFF"/>
    </w:rPr>
  </w:style>
  <w:style w:type="character" w:styleId="54">
    <w:name w:val="HTML Variable"/>
    <w:basedOn w:val="47"/>
    <w:qFormat/>
    <w:uiPriority w:val="0"/>
  </w:style>
  <w:style w:type="character" w:styleId="55">
    <w:name w:val="Hyperlink"/>
    <w:qFormat/>
    <w:uiPriority w:val="0"/>
    <w:rPr>
      <w:color w:val="0000FF"/>
      <w:u w:val="single"/>
    </w:rPr>
  </w:style>
  <w:style w:type="character" w:styleId="56">
    <w:name w:val="HTML Code"/>
    <w:qFormat/>
    <w:uiPriority w:val="0"/>
    <w:rPr>
      <w:rFonts w:ascii="monospace" w:hAnsi="monospace" w:eastAsia="monospace" w:cs="monospace"/>
      <w:sz w:val="21"/>
      <w:szCs w:val="21"/>
    </w:rPr>
  </w:style>
  <w:style w:type="character" w:styleId="57">
    <w:name w:val="annotation reference"/>
    <w:qFormat/>
    <w:uiPriority w:val="0"/>
    <w:rPr>
      <w:sz w:val="21"/>
      <w:szCs w:val="21"/>
    </w:rPr>
  </w:style>
  <w:style w:type="character" w:styleId="58">
    <w:name w:val="HTML Cite"/>
    <w:basedOn w:val="47"/>
    <w:qFormat/>
    <w:uiPriority w:val="0"/>
  </w:style>
  <w:style w:type="character" w:styleId="59">
    <w:name w:val="HTML Keyboard"/>
    <w:qFormat/>
    <w:uiPriority w:val="0"/>
    <w:rPr>
      <w:rFonts w:ascii="monospace" w:hAnsi="monospace" w:eastAsia="monospace" w:cs="monospace"/>
      <w:sz w:val="21"/>
      <w:szCs w:val="21"/>
    </w:rPr>
  </w:style>
  <w:style w:type="character" w:styleId="60">
    <w:name w:val="HTML Sample"/>
    <w:qFormat/>
    <w:uiPriority w:val="0"/>
    <w:rPr>
      <w:rFonts w:ascii="monospace" w:hAnsi="monospace" w:eastAsia="monospace" w:cs="monospace"/>
      <w:sz w:val="21"/>
      <w:szCs w:val="21"/>
    </w:rPr>
  </w:style>
  <w:style w:type="paragraph" w:customStyle="1" w:styleId="61">
    <w:name w:val="样式 标题 1 + 三号 两端对齐 左侧:  0 厘米 首行缩进:  0 厘米 段前: 0 磅 段后: 0 磅"/>
    <w:basedOn w:val="4"/>
    <w:qFormat/>
    <w:uiPriority w:val="0"/>
    <w:pPr>
      <w:tabs>
        <w:tab w:val="clear" w:pos="0"/>
        <w:tab w:val="clear" w:pos="420"/>
      </w:tabs>
      <w:spacing w:before="0" w:after="0"/>
      <w:ind w:left="0" w:firstLine="0"/>
      <w:jc w:val="both"/>
    </w:pPr>
    <w:rPr>
      <w:rFonts w:eastAsia="Times New Roman" w:cs="宋体"/>
      <w:sz w:val="32"/>
      <w:szCs w:val="20"/>
    </w:rPr>
  </w:style>
  <w:style w:type="paragraph" w:customStyle="1" w:styleId="62">
    <w:name w:val="样式 样式 标题 1 + 三号 两端对齐 左侧:  0 厘米 首行缩进:  0 厘米 段前: 0 磅 段后: 0 磅 + (中文..."/>
    <w:basedOn w:val="61"/>
    <w:qFormat/>
    <w:uiPriority w:val="0"/>
    <w:pPr>
      <w:tabs>
        <w:tab w:val="clear" w:pos="3332"/>
      </w:tabs>
      <w:spacing w:before="180" w:after="180"/>
      <w:jc w:val="center"/>
    </w:pPr>
    <w:rPr>
      <w:rFonts w:ascii="黑体" w:eastAsia="黑体"/>
      <w:b w:val="0"/>
    </w:rPr>
  </w:style>
  <w:style w:type="paragraph" w:customStyle="1" w:styleId="63">
    <w:name w:val="表格五号字"/>
    <w:basedOn w:val="1"/>
    <w:qFormat/>
    <w:uiPriority w:val="0"/>
    <w:pPr>
      <w:pBdr>
        <w:top w:val="single" w:color="auto" w:sz="8" w:space="1"/>
        <w:bottom w:val="single" w:color="auto" w:sz="8" w:space="1"/>
      </w:pBdr>
      <w:adjustRightInd w:val="0"/>
      <w:snapToGrid w:val="0"/>
      <w:jc w:val="center"/>
    </w:pPr>
    <w:rPr>
      <w:rFonts w:ascii="Times New Roman" w:hAnsi="Times New Roman" w:cs="Times New Roman"/>
      <w:szCs w:val="24"/>
    </w:rPr>
  </w:style>
  <w:style w:type="paragraph" w:customStyle="1" w:styleId="64">
    <w:name w:val="表格"/>
    <w:basedOn w:val="1"/>
    <w:qFormat/>
    <w:uiPriority w:val="0"/>
    <w:pPr>
      <w:jc w:val="center"/>
    </w:pPr>
    <w:rPr>
      <w:rFonts w:ascii="Times New Roman" w:hAnsi="Times New Roman" w:cs="Times New Roman"/>
      <w:sz w:val="24"/>
      <w:szCs w:val="24"/>
    </w:rPr>
  </w:style>
  <w:style w:type="paragraph" w:customStyle="1" w:styleId="65">
    <w:name w:val="表头"/>
    <w:basedOn w:val="1"/>
    <w:qFormat/>
    <w:uiPriority w:val="0"/>
    <w:pPr>
      <w:spacing w:before="50" w:beforeLines="50" w:after="50" w:afterLines="50"/>
      <w:jc w:val="center"/>
    </w:pPr>
    <w:rPr>
      <w:rFonts w:ascii="仿宋_GB2312" w:eastAsia="仿宋_GB2312" w:cs="Times New Roman"/>
      <w:szCs w:val="21"/>
      <w:shd w:val="clear" w:color="auto" w:fill="FFFFFF"/>
    </w:rPr>
  </w:style>
  <w:style w:type="paragraph" w:customStyle="1" w:styleId="66">
    <w:name w:val="段落"/>
    <w:basedOn w:val="1"/>
    <w:qFormat/>
    <w:uiPriority w:val="0"/>
    <w:pPr>
      <w:tabs>
        <w:tab w:val="left" w:pos="1021"/>
        <w:tab w:val="left" w:pos="1320"/>
      </w:tabs>
      <w:snapToGrid w:val="0"/>
      <w:spacing w:line="360" w:lineRule="auto"/>
      <w:ind w:firstLine="200" w:firstLineChars="200"/>
    </w:pPr>
    <w:rPr>
      <w:rFonts w:ascii="Times New Roman" w:hAnsi="Times New Roman" w:cs="Times New Roman"/>
      <w:color w:val="FF0000"/>
      <w:sz w:val="24"/>
      <w:szCs w:val="24"/>
    </w:rPr>
  </w:style>
  <w:style w:type="paragraph" w:customStyle="1" w:styleId="67">
    <w:name w:val="表头1"/>
    <w:basedOn w:val="1"/>
    <w:qFormat/>
    <w:uiPriority w:val="0"/>
    <w:pPr>
      <w:overflowPunct w:val="0"/>
      <w:autoSpaceDE w:val="0"/>
      <w:autoSpaceDN w:val="0"/>
      <w:adjustRightInd w:val="0"/>
      <w:snapToGrid w:val="0"/>
      <w:spacing w:line="360" w:lineRule="auto"/>
      <w:jc w:val="center"/>
      <w:textAlignment w:val="baseline"/>
    </w:pPr>
    <w:rPr>
      <w:rFonts w:ascii="Times New Roman" w:hAnsi="Times New Roman" w:cs="Times New Roman"/>
      <w:b/>
      <w:color w:val="000000"/>
      <w:szCs w:val="21"/>
    </w:rPr>
  </w:style>
  <w:style w:type="paragraph" w:customStyle="1" w:styleId="68">
    <w:name w:val="魏秀珍  报告正文1"/>
    <w:basedOn w:val="1"/>
    <w:qFormat/>
    <w:uiPriority w:val="0"/>
    <w:pPr>
      <w:adjustRightInd w:val="0"/>
      <w:snapToGrid w:val="0"/>
      <w:spacing w:line="360" w:lineRule="auto"/>
      <w:ind w:firstLine="200" w:firstLineChars="200"/>
    </w:pPr>
    <w:rPr>
      <w:rFonts w:ascii="宋体" w:cs="Times New Roman"/>
      <w:sz w:val="24"/>
      <w:szCs w:val="20"/>
    </w:rPr>
  </w:style>
  <w:style w:type="paragraph" w:customStyle="1" w:styleId="69">
    <w:name w:val="样式 标题 2SeHead wsa2H21标题 1.1Chapter TitleChapter节标题 1.1h..."/>
    <w:basedOn w:val="1"/>
    <w:next w:val="1"/>
    <w:qFormat/>
    <w:uiPriority w:val="0"/>
    <w:pPr>
      <w:keepNext/>
      <w:snapToGrid w:val="0"/>
      <w:spacing w:line="420" w:lineRule="auto"/>
      <w:outlineLvl w:val="1"/>
    </w:pPr>
    <w:rPr>
      <w:rFonts w:ascii="Times New Roman" w:hAnsi="Times New Roman" w:eastAsia="方正黑体_GBK" w:cs="Times New Roman"/>
      <w:b/>
      <w:sz w:val="30"/>
      <w:szCs w:val="20"/>
    </w:rPr>
  </w:style>
  <w:style w:type="paragraph" w:customStyle="1" w:styleId="70">
    <w:name w:val="表标题（杨）"/>
    <w:basedOn w:val="18"/>
    <w:qFormat/>
    <w:uiPriority w:val="0"/>
    <w:pPr>
      <w:widowControl/>
      <w:adjustRightInd/>
      <w:snapToGrid/>
      <w:spacing w:line="360" w:lineRule="auto"/>
    </w:pPr>
    <w:rPr>
      <w:color w:val="000000"/>
      <w:szCs w:val="24"/>
    </w:rPr>
  </w:style>
  <w:style w:type="paragraph" w:customStyle="1" w:styleId="71">
    <w:name w:val="中气表头"/>
    <w:basedOn w:val="1"/>
    <w:qFormat/>
    <w:uiPriority w:val="0"/>
    <w:pPr>
      <w:jc w:val="center"/>
    </w:pPr>
    <w:rPr>
      <w:rFonts w:ascii="Times New Roman" w:hAnsi="Times New Roman" w:eastAsia="黑体" w:cs="Times New Roman"/>
      <w:b/>
      <w:sz w:val="20"/>
      <w:szCs w:val="21"/>
    </w:rPr>
  </w:style>
  <w:style w:type="paragraph" w:customStyle="1" w:styleId="72">
    <w:name w:val="样式11"/>
    <w:basedOn w:val="1"/>
    <w:qFormat/>
    <w:uiPriority w:val="0"/>
    <w:pPr>
      <w:widowControl/>
      <w:spacing w:line="360" w:lineRule="auto"/>
      <w:ind w:firstLine="200" w:firstLineChars="200"/>
      <w:textAlignment w:val="baseline"/>
    </w:pPr>
    <w:rPr>
      <w:rFonts w:ascii="Times New Roman" w:hAnsi="Times New Roman" w:cs="Times New Roman"/>
      <w:color w:val="000000"/>
      <w:sz w:val="24"/>
      <w:szCs w:val="20"/>
      <w:u w:color="000000"/>
    </w:rPr>
  </w:style>
  <w:style w:type="paragraph" w:customStyle="1" w:styleId="73">
    <w:name w:val="我的正文"/>
    <w:basedOn w:val="1"/>
    <w:qFormat/>
    <w:uiPriority w:val="0"/>
    <w:pPr>
      <w:widowControl/>
      <w:ind w:firstLine="538"/>
    </w:pPr>
    <w:rPr>
      <w:rFonts w:ascii="Times New Roman" w:hAnsi="Times New Roman" w:cs="Times New Roman"/>
      <w:sz w:val="28"/>
      <w:szCs w:val="20"/>
      <w:lang w:eastAsia="en-US" w:bidi="en-US"/>
    </w:rPr>
  </w:style>
  <w:style w:type="paragraph" w:customStyle="1" w:styleId="74">
    <w:name w:val="样式 目录 1 + 首行缩进:  0.85 厘米1"/>
    <w:basedOn w:val="34"/>
    <w:qFormat/>
    <w:uiPriority w:val="0"/>
    <w:pPr>
      <w:ind w:firstLine="482"/>
      <w:jc w:val="both"/>
    </w:pPr>
    <w:rPr>
      <w:rFonts w:ascii="Calibri" w:hAnsi="Calibri" w:cs="宋体"/>
    </w:rPr>
  </w:style>
  <w:style w:type="paragraph" w:customStyle="1" w:styleId="75">
    <w:name w:val="Char Char1"/>
    <w:basedOn w:val="1"/>
    <w:qFormat/>
    <w:uiPriority w:val="0"/>
    <w:pPr>
      <w:widowControl/>
      <w:spacing w:line="360" w:lineRule="auto"/>
      <w:ind w:firstLine="200" w:firstLineChars="200"/>
    </w:pPr>
    <w:rPr>
      <w:rFonts w:ascii="宋体" w:cs="宋体"/>
      <w:sz w:val="24"/>
      <w:szCs w:val="24"/>
      <w:lang w:eastAsia="en-US" w:bidi="en-US"/>
    </w:rPr>
  </w:style>
  <w:style w:type="paragraph" w:customStyle="1" w:styleId="76">
    <w:name w:val="引用1"/>
    <w:basedOn w:val="1"/>
    <w:next w:val="1"/>
    <w:qFormat/>
    <w:uiPriority w:val="0"/>
    <w:rPr>
      <w:rFonts w:ascii="Times New Roman" w:hAnsi="Times New Roman" w:cs="Times New Roman"/>
      <w:i/>
      <w:iCs/>
      <w:color w:val="000000"/>
      <w:sz w:val="20"/>
      <w:szCs w:val="20"/>
    </w:rPr>
  </w:style>
  <w:style w:type="paragraph" w:customStyle="1" w:styleId="77">
    <w:name w:val="报告正文"/>
    <w:basedOn w:val="1"/>
    <w:qFormat/>
    <w:uiPriority w:val="0"/>
    <w:pPr>
      <w:adjustRightInd w:val="0"/>
      <w:snapToGrid w:val="0"/>
      <w:spacing w:line="360" w:lineRule="auto"/>
      <w:ind w:firstLine="200" w:firstLineChars="200"/>
    </w:pPr>
    <w:rPr>
      <w:rFonts w:ascii="宋体" w:cs="Times New Roman"/>
      <w:sz w:val="24"/>
      <w:szCs w:val="20"/>
    </w:rPr>
  </w:style>
  <w:style w:type="paragraph" w:customStyle="1" w:styleId="78">
    <w:name w:val="明显引用1"/>
    <w:basedOn w:val="1"/>
    <w:next w:val="1"/>
    <w:qFormat/>
    <w:uiPriority w:val="0"/>
    <w:pPr>
      <w:pBdr>
        <w:bottom w:val="single" w:color="4F81BD" w:sz="4" w:space="4"/>
      </w:pBdr>
      <w:spacing w:before="200" w:after="280"/>
      <w:ind w:left="936" w:right="936"/>
    </w:pPr>
    <w:rPr>
      <w:rFonts w:ascii="Times New Roman" w:hAnsi="Times New Roman" w:cs="Times New Roman"/>
      <w:b/>
      <w:bCs/>
      <w:i/>
      <w:iCs/>
      <w:color w:val="4F81BD"/>
      <w:sz w:val="20"/>
      <w:szCs w:val="20"/>
    </w:rPr>
  </w:style>
  <w:style w:type="paragraph" w:customStyle="1" w:styleId="79">
    <w:name w:val="样式 首行缩进:  2 字符"/>
    <w:basedOn w:val="1"/>
    <w:qFormat/>
    <w:uiPriority w:val="0"/>
    <w:pPr>
      <w:autoSpaceDE w:val="0"/>
      <w:autoSpaceDN w:val="0"/>
      <w:adjustRightInd w:val="0"/>
      <w:snapToGrid w:val="0"/>
      <w:spacing w:line="360" w:lineRule="auto"/>
      <w:ind w:firstLine="480"/>
    </w:pPr>
    <w:rPr>
      <w:rFonts w:ascii="Times New Roman" w:hAnsi="Times New Roman" w:cs="Times New Roman"/>
      <w:sz w:val="24"/>
      <w:szCs w:val="24"/>
    </w:rPr>
  </w:style>
  <w:style w:type="paragraph" w:customStyle="1" w:styleId="80">
    <w:name w:val="表格文字"/>
    <w:basedOn w:val="22"/>
    <w:qFormat/>
    <w:uiPriority w:val="0"/>
    <w:pPr>
      <w:spacing w:line="240" w:lineRule="auto"/>
      <w:ind w:firstLine="0" w:firstLineChars="0"/>
      <w:jc w:val="center"/>
    </w:pPr>
    <w:rPr>
      <w:sz w:val="21"/>
    </w:rPr>
  </w:style>
  <w:style w:type="paragraph" w:customStyle="1" w:styleId="81">
    <w:name w:val="魏秀珍报告正文"/>
    <w:basedOn w:val="1"/>
    <w:qFormat/>
    <w:uiPriority w:val="0"/>
    <w:pPr>
      <w:adjustRightInd w:val="0"/>
      <w:snapToGrid w:val="0"/>
      <w:spacing w:line="360" w:lineRule="auto"/>
      <w:ind w:firstLine="200" w:firstLineChars="200"/>
      <w:jc w:val="left"/>
    </w:pPr>
    <w:rPr>
      <w:rFonts w:ascii="Times New Roman" w:hAnsi="Times New Roman" w:cs="Times New Roman"/>
      <w:color w:val="000000"/>
      <w:sz w:val="24"/>
      <w:szCs w:val="20"/>
    </w:rPr>
  </w:style>
  <w:style w:type="paragraph" w:customStyle="1" w:styleId="82">
    <w:name w:val="CJ 文本111"/>
    <w:basedOn w:val="3"/>
    <w:qFormat/>
    <w:uiPriority w:val="0"/>
    <w:pPr>
      <w:spacing w:after="0" w:line="360" w:lineRule="auto"/>
      <w:ind w:left="0" w:leftChars="0" w:firstLine="200" w:firstLineChars="200"/>
      <w:jc w:val="left"/>
    </w:pPr>
    <w:rPr>
      <w:rFonts w:cs="Arial"/>
      <w:szCs w:val="24"/>
    </w:rPr>
  </w:style>
  <w:style w:type="paragraph" w:customStyle="1" w:styleId="83">
    <w:name w:val="正文down"/>
    <w:basedOn w:val="2"/>
    <w:qFormat/>
    <w:uiPriority w:val="0"/>
    <w:pPr>
      <w:spacing w:line="360" w:lineRule="auto"/>
      <w:ind w:left="0" w:leftChars="0"/>
      <w:jc w:val="left"/>
    </w:pPr>
    <w:rPr>
      <w:sz w:val="24"/>
    </w:rPr>
  </w:style>
  <w:style w:type="paragraph" w:customStyle="1" w:styleId="84">
    <w:name w:val="君邦正文"/>
    <w:qFormat/>
    <w:uiPriority w:val="0"/>
    <w:pPr>
      <w:spacing w:after="60" w:line="360" w:lineRule="auto"/>
      <w:ind w:firstLine="200" w:firstLineChars="200"/>
      <w:jc w:val="both"/>
    </w:pPr>
    <w:rPr>
      <w:rFonts w:ascii="Times New Roman" w:hAnsi="Times New Roman" w:eastAsia="宋体" w:cs="Times New Roman"/>
      <w:snapToGrid w:val="0"/>
      <w:sz w:val="24"/>
      <w:lang w:val="en-US" w:eastAsia="zh-CN" w:bidi="ar-SA"/>
    </w:rPr>
  </w:style>
  <w:style w:type="paragraph" w:customStyle="1" w:styleId="85">
    <w:name w:val="表格标题 Char"/>
    <w:basedOn w:val="1"/>
    <w:qFormat/>
    <w:uiPriority w:val="0"/>
    <w:pPr>
      <w:spacing w:before="60" w:line="420" w:lineRule="exact"/>
      <w:jc w:val="center"/>
    </w:pPr>
    <w:rPr>
      <w:rFonts w:ascii="Times New Roman" w:hAnsi="Times New Roman" w:cs="Times New Roman"/>
      <w:sz w:val="24"/>
      <w:szCs w:val="24"/>
    </w:rPr>
  </w:style>
  <w:style w:type="paragraph" w:customStyle="1" w:styleId="86">
    <w:name w:val="表文"/>
    <w:basedOn w:val="1"/>
    <w:qFormat/>
    <w:uiPriority w:val="0"/>
    <w:pPr>
      <w:tabs>
        <w:tab w:val="left" w:pos="1021"/>
      </w:tabs>
      <w:jc w:val="center"/>
    </w:pPr>
    <w:rPr>
      <w:rFonts w:ascii="Times New Roman" w:hAnsi="Times New Roman" w:cs="Times New Roman"/>
      <w:color w:val="000000"/>
      <w:position w:val="-24"/>
      <w:szCs w:val="21"/>
    </w:rPr>
  </w:style>
  <w:style w:type="paragraph" w:customStyle="1" w:styleId="87">
    <w:name w:val="表格1"/>
    <w:basedOn w:val="1"/>
    <w:qFormat/>
    <w:uiPriority w:val="0"/>
    <w:pPr>
      <w:adjustRightInd w:val="0"/>
      <w:spacing w:line="360" w:lineRule="atLeast"/>
      <w:jc w:val="center"/>
      <w:textAlignment w:val="baseline"/>
    </w:pPr>
    <w:rPr>
      <w:rFonts w:ascii="CG Times (WN)" w:hAnsi="CG Times (WN)" w:cs="Times New Roman"/>
      <w:szCs w:val="20"/>
    </w:rPr>
  </w:style>
  <w:style w:type="paragraph" w:customStyle="1" w:styleId="88">
    <w:name w:val="文本"/>
    <w:basedOn w:val="5"/>
    <w:qFormat/>
    <w:uiPriority w:val="0"/>
    <w:rPr>
      <w:szCs w:val="24"/>
    </w:rPr>
  </w:style>
  <w:style w:type="paragraph" w:customStyle="1" w:styleId="89">
    <w:name w:val="表文字"/>
    <w:basedOn w:val="1"/>
    <w:qFormat/>
    <w:uiPriority w:val="0"/>
    <w:pPr>
      <w:overflowPunct w:val="0"/>
      <w:autoSpaceDE w:val="0"/>
      <w:autoSpaceDN w:val="0"/>
      <w:adjustRightInd w:val="0"/>
      <w:spacing w:line="240" w:lineRule="atLeast"/>
      <w:jc w:val="center"/>
      <w:textAlignment w:val="baseline"/>
    </w:pPr>
    <w:rPr>
      <w:rFonts w:ascii="Times New Roman" w:hAnsi="Times New Roman" w:cs="Times New Roman"/>
      <w:sz w:val="24"/>
      <w:szCs w:val="20"/>
    </w:rPr>
  </w:style>
  <w:style w:type="paragraph" w:customStyle="1" w:styleId="90">
    <w:name w:val="Char"/>
    <w:basedOn w:val="1"/>
    <w:qFormat/>
    <w:uiPriority w:val="0"/>
    <w:rPr>
      <w:rFonts w:ascii="Times New Roman" w:hAnsi="Times New Roman" w:cs="Times New Roman"/>
      <w:szCs w:val="24"/>
    </w:rPr>
  </w:style>
  <w:style w:type="paragraph" w:customStyle="1" w:styleId="91">
    <w:name w:val="样式 标题 4 + 左侧:  0 厘米 首行缩进:  0 厘米"/>
    <w:basedOn w:val="8"/>
    <w:qFormat/>
    <w:uiPriority w:val="0"/>
    <w:rPr>
      <w:rFonts w:cs="宋体"/>
      <w:bCs w:val="0"/>
      <w:szCs w:val="20"/>
    </w:rPr>
  </w:style>
  <w:style w:type="paragraph" w:customStyle="1" w:styleId="92">
    <w:name w:val="ST20_1"/>
    <w:basedOn w:val="1"/>
    <w:qFormat/>
    <w:uiPriority w:val="0"/>
    <w:pPr>
      <w:autoSpaceDE w:val="0"/>
      <w:autoSpaceDN w:val="0"/>
      <w:adjustRightInd w:val="0"/>
      <w:spacing w:line="312" w:lineRule="atLeast"/>
      <w:jc w:val="center"/>
      <w:textAlignment w:val="baseline"/>
    </w:pPr>
    <w:rPr>
      <w:rFonts w:ascii="宋体" w:cs="Times New Roman"/>
      <w:kern w:val="0"/>
      <w:sz w:val="24"/>
      <w:szCs w:val="20"/>
    </w:rPr>
  </w:style>
  <w:style w:type="paragraph" w:customStyle="1" w:styleId="93">
    <w:name w:val="表格居中"/>
    <w:basedOn w:val="1"/>
    <w:qFormat/>
    <w:uiPriority w:val="0"/>
    <w:pPr>
      <w:jc w:val="center"/>
    </w:pPr>
    <w:rPr>
      <w:rFonts w:ascii="Times New Roman" w:hAnsi="Times New Roman" w:cs="Times New Roman"/>
      <w:szCs w:val="21"/>
      <w:u w:color="000000"/>
    </w:rPr>
  </w:style>
  <w:style w:type="paragraph" w:customStyle="1" w:styleId="94">
    <w:name w:val="font6"/>
    <w:basedOn w:val="1"/>
    <w:qFormat/>
    <w:uiPriority w:val="0"/>
    <w:pPr>
      <w:widowControl/>
      <w:spacing w:before="100" w:after="100"/>
      <w:jc w:val="left"/>
    </w:pPr>
    <w:rPr>
      <w:rFonts w:eastAsia="Arial Unicode MS" w:cs="Times New Roman"/>
      <w:kern w:val="0"/>
      <w:sz w:val="24"/>
      <w:szCs w:val="20"/>
    </w:rPr>
  </w:style>
  <w:style w:type="paragraph" w:customStyle="1" w:styleId="9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96">
    <w:name w:val="1文章"/>
    <w:basedOn w:val="1"/>
    <w:qFormat/>
    <w:uiPriority w:val="0"/>
    <w:pPr>
      <w:snapToGrid w:val="0"/>
      <w:spacing w:line="360" w:lineRule="auto"/>
      <w:ind w:firstLine="573"/>
    </w:pPr>
    <w:rPr>
      <w:rFonts w:ascii="Times New Roman" w:hAnsi="Times New Roman" w:eastAsia="仿宋_GB2312" w:cs="Times New Roman"/>
      <w:sz w:val="28"/>
      <w:szCs w:val="20"/>
    </w:rPr>
  </w:style>
  <w:style w:type="paragraph" w:customStyle="1" w:styleId="97">
    <w:name w:val="xl31"/>
    <w:basedOn w:val="1"/>
    <w:qFormat/>
    <w:uiPriority w:val="0"/>
    <w:pPr>
      <w:widowControl/>
      <w:spacing w:after="100"/>
      <w:jc w:val="center"/>
    </w:pPr>
    <w:rPr>
      <w:rFonts w:ascii="Times New Roman" w:hAnsi="Times New Roman" w:cs="Times New Roman"/>
      <w:kern w:val="0"/>
      <w:sz w:val="24"/>
      <w:szCs w:val="20"/>
      <w:lang w:eastAsia="en-US" w:bidi="en-US"/>
    </w:rPr>
  </w:style>
  <w:style w:type="paragraph" w:customStyle="1" w:styleId="98">
    <w:name w:val="Char1 Char Char Char"/>
    <w:basedOn w:val="1"/>
    <w:qFormat/>
    <w:uiPriority w:val="0"/>
    <w:rPr>
      <w:rFonts w:ascii="Times New Roman" w:hAnsi="Times New Roman" w:cs="Times New Roman"/>
      <w:szCs w:val="24"/>
    </w:rPr>
  </w:style>
  <w:style w:type="paragraph" w:customStyle="1" w:styleId="99">
    <w:name w:val="表格内容"/>
    <w:qFormat/>
    <w:uiPriority w:val="0"/>
    <w:pPr>
      <w:jc w:val="center"/>
    </w:pPr>
    <w:rPr>
      <w:rFonts w:ascii="Times New Roman" w:hAnsi="Times New Roman" w:eastAsia="宋体" w:cs="Times New Roman"/>
      <w:sz w:val="21"/>
      <w:lang w:val="en-US" w:eastAsia="zh-CN" w:bidi="ar-SA"/>
    </w:rPr>
  </w:style>
  <w:style w:type="paragraph" w:customStyle="1" w:styleId="100">
    <w:name w:val="文本1"/>
    <w:basedOn w:val="1"/>
    <w:qFormat/>
    <w:uiPriority w:val="0"/>
    <w:pPr>
      <w:adjustRightInd w:val="0"/>
      <w:snapToGrid w:val="0"/>
      <w:spacing w:line="360" w:lineRule="auto"/>
      <w:ind w:firstLine="200" w:firstLineChars="200"/>
    </w:pPr>
    <w:rPr>
      <w:rFonts w:ascii="宋体" w:cs="Times New Roman"/>
      <w:kern w:val="0"/>
      <w:sz w:val="24"/>
      <w:szCs w:val="24"/>
    </w:rPr>
  </w:style>
  <w:style w:type="paragraph" w:customStyle="1" w:styleId="101">
    <w:name w:val="普通(网站)1"/>
    <w:basedOn w:val="1"/>
    <w:qFormat/>
    <w:uiPriority w:val="0"/>
    <w:pPr>
      <w:widowControl/>
      <w:spacing w:before="100" w:beforeAutospacing="1" w:after="100" w:afterAutospacing="1"/>
      <w:jc w:val="left"/>
    </w:pPr>
    <w:rPr>
      <w:rFonts w:ascii="宋体" w:cs="Times New Roman"/>
      <w:sz w:val="24"/>
      <w:szCs w:val="20"/>
    </w:rPr>
  </w:style>
  <w:style w:type="paragraph" w:customStyle="1" w:styleId="102">
    <w:name w:val="16"/>
    <w:basedOn w:val="1"/>
    <w:qFormat/>
    <w:uiPriority w:val="0"/>
    <w:pPr>
      <w:widowControl/>
      <w:snapToGrid w:val="0"/>
      <w:spacing w:before="100" w:beforeAutospacing="1" w:after="100" w:afterAutospacing="1" w:line="360" w:lineRule="auto"/>
      <w:jc w:val="center"/>
    </w:pPr>
    <w:rPr>
      <w:rFonts w:ascii="楷体_GB2312" w:eastAsia="楷体_GB2312" w:cs="宋体"/>
      <w:kern w:val="0"/>
      <w:szCs w:val="21"/>
    </w:rPr>
  </w:style>
  <w:style w:type="paragraph" w:customStyle="1" w:styleId="103">
    <w:name w:val="Body Text 21"/>
    <w:basedOn w:val="1"/>
    <w:qFormat/>
    <w:uiPriority w:val="0"/>
    <w:pPr>
      <w:autoSpaceDE w:val="0"/>
      <w:autoSpaceDN w:val="0"/>
      <w:adjustRightInd w:val="0"/>
      <w:spacing w:line="480" w:lineRule="exact"/>
      <w:ind w:firstLine="540"/>
      <w:textAlignment w:val="baseline"/>
    </w:pPr>
    <w:rPr>
      <w:rFonts w:ascii="宋体" w:cs="Times New Roman"/>
      <w:kern w:val="0"/>
      <w:sz w:val="24"/>
      <w:szCs w:val="20"/>
    </w:rPr>
  </w:style>
  <w:style w:type="paragraph" w:customStyle="1" w:styleId="104">
    <w:name w:val="图文框"/>
    <w:basedOn w:val="1"/>
    <w:qFormat/>
    <w:uiPriority w:val="0"/>
    <w:pPr>
      <w:adjustRightInd w:val="0"/>
      <w:snapToGrid w:val="0"/>
      <w:spacing w:line="240" w:lineRule="atLeast"/>
      <w:jc w:val="center"/>
    </w:pPr>
    <w:rPr>
      <w:rFonts w:ascii="Times New Roman" w:hAnsi="Times New Roman" w:cs="Times New Roman"/>
      <w:sz w:val="18"/>
      <w:szCs w:val="20"/>
    </w:rPr>
  </w:style>
  <w:style w:type="paragraph" w:customStyle="1" w:styleId="105">
    <w:name w:val="0"/>
    <w:basedOn w:val="1"/>
    <w:qFormat/>
    <w:uiPriority w:val="0"/>
    <w:pPr>
      <w:widowControl/>
      <w:snapToGrid w:val="0"/>
    </w:pPr>
    <w:rPr>
      <w:rFonts w:ascii="Times New Roman" w:hAnsi="Times New Roman" w:cs="Times New Roman"/>
      <w:kern w:val="0"/>
      <w:szCs w:val="21"/>
    </w:rPr>
  </w:style>
  <w:style w:type="paragraph" w:customStyle="1" w:styleId="106">
    <w:name w:val="Char1"/>
    <w:basedOn w:val="1"/>
    <w:qFormat/>
    <w:uiPriority w:val="0"/>
    <w:rPr>
      <w:rFonts w:ascii="Times New Roman" w:hAnsi="Times New Roman" w:cs="Times New Roman"/>
      <w:szCs w:val="21"/>
    </w:rPr>
  </w:style>
  <w:style w:type="paragraph" w:customStyle="1" w:styleId="107">
    <w:name w:val="body"/>
    <w:basedOn w:val="1"/>
    <w:qFormat/>
    <w:uiPriority w:val="0"/>
    <w:pPr>
      <w:spacing w:line="360" w:lineRule="auto"/>
      <w:ind w:firstLine="200" w:firstLineChars="200"/>
    </w:pPr>
    <w:rPr>
      <w:rFonts w:ascii="宋体" w:cs="Times New Roman"/>
      <w:sz w:val="24"/>
      <w:szCs w:val="20"/>
    </w:rPr>
  </w:style>
  <w:style w:type="paragraph" w:customStyle="1" w:styleId="108">
    <w:name w:val="大表内容"/>
    <w:qFormat/>
    <w:uiPriority w:val="0"/>
    <w:pPr>
      <w:snapToGrid w:val="0"/>
      <w:jc w:val="center"/>
    </w:pPr>
    <w:rPr>
      <w:rFonts w:ascii="Times New Roman" w:hAnsi="Times New Roman" w:eastAsia="宋体" w:cs="Times New Roman"/>
      <w:sz w:val="21"/>
      <w:lang w:val="en-US" w:eastAsia="zh-CN" w:bidi="ar-SA"/>
    </w:rPr>
  </w:style>
  <w:style w:type="paragraph" w:customStyle="1" w:styleId="109">
    <w:name w:val="标题 31"/>
    <w:qFormat/>
    <w:uiPriority w:val="0"/>
    <w:pPr>
      <w:keepNext/>
      <w:keepLines/>
      <w:spacing w:before="260" w:after="260" w:line="413" w:lineRule="auto"/>
      <w:ind w:firstLine="200" w:firstLineChars="200"/>
      <w:outlineLvl w:val="2"/>
    </w:pPr>
    <w:rPr>
      <w:rFonts w:ascii="Times New Roman" w:hAnsi="Times New Roman" w:eastAsia="宋体" w:cs="Times New Roman"/>
      <w:b/>
      <w:sz w:val="32"/>
      <w:lang w:val="en-US" w:eastAsia="zh-CN" w:bidi="ar-SA"/>
    </w:rPr>
  </w:style>
  <w:style w:type="paragraph" w:customStyle="1" w:styleId="110">
    <w:name w:val="表格11"/>
    <w:basedOn w:val="1"/>
    <w:next w:val="87"/>
    <w:qFormat/>
    <w:uiPriority w:val="0"/>
    <w:pPr>
      <w:adjustRightInd w:val="0"/>
      <w:snapToGrid w:val="0"/>
      <w:spacing w:before="50" w:beforeLines="50"/>
      <w:jc w:val="center"/>
      <w:textAlignment w:val="baseline"/>
    </w:pPr>
    <w:rPr>
      <w:rFonts w:ascii="宋体" w:cs="Times New Roman"/>
      <w:bCs/>
      <w:color w:val="000000"/>
      <w:kern w:val="0"/>
      <w:sz w:val="24"/>
      <w:szCs w:val="24"/>
      <w:lang w:val="zh-CN"/>
    </w:rPr>
  </w:style>
  <w:style w:type="paragraph" w:customStyle="1" w:styleId="111">
    <w:name w:val="报告书正文"/>
    <w:basedOn w:val="1"/>
    <w:qFormat/>
    <w:uiPriority w:val="0"/>
    <w:pPr>
      <w:adjustRightInd w:val="0"/>
      <w:snapToGrid w:val="0"/>
      <w:spacing w:line="360" w:lineRule="auto"/>
      <w:ind w:firstLine="425"/>
      <w:textAlignment w:val="baseline"/>
    </w:pPr>
    <w:rPr>
      <w:rFonts w:ascii="Arial" w:hAnsi="Arial" w:cs="Times New Roman"/>
      <w:kern w:val="0"/>
      <w:sz w:val="24"/>
      <w:szCs w:val="24"/>
    </w:rPr>
  </w:style>
  <w:style w:type="paragraph" w:customStyle="1" w:styleId="112">
    <w:name w:val="amgfeg"/>
    <w:basedOn w:val="1"/>
    <w:qFormat/>
    <w:uiPriority w:val="0"/>
    <w:pPr>
      <w:widowControl/>
      <w:spacing w:before="100" w:beforeAutospacing="1" w:after="100" w:afterAutospacing="1"/>
      <w:jc w:val="left"/>
    </w:pPr>
    <w:rPr>
      <w:rFonts w:ascii="宋体" w:cs="宋体"/>
      <w:kern w:val="0"/>
      <w:sz w:val="24"/>
      <w:szCs w:val="24"/>
    </w:rPr>
  </w:style>
  <w:style w:type="paragraph" w:customStyle="1" w:styleId="113">
    <w:name w:val="p0"/>
    <w:basedOn w:val="1"/>
    <w:qFormat/>
    <w:uiPriority w:val="0"/>
    <w:pPr>
      <w:widowControl/>
    </w:pPr>
    <w:rPr>
      <w:rFonts w:ascii="Times New Roman" w:hAnsi="Times New Roman" w:cs="Times New Roman"/>
      <w:kern w:val="0"/>
      <w:szCs w:val="21"/>
    </w:rPr>
  </w:style>
  <w:style w:type="paragraph" w:customStyle="1" w:styleId="114">
    <w:name w:val="列出段落1"/>
    <w:basedOn w:val="1"/>
    <w:qFormat/>
    <w:uiPriority w:val="0"/>
    <w:pPr>
      <w:ind w:firstLine="200" w:firstLineChars="200"/>
    </w:pPr>
    <w:rPr>
      <w:rFonts w:ascii="Times New Roman" w:hAnsi="Times New Roman" w:cs="Times New Roman"/>
      <w:sz w:val="20"/>
      <w:szCs w:val="20"/>
    </w:rPr>
  </w:style>
  <w:style w:type="paragraph" w:customStyle="1" w:styleId="115">
    <w:name w:val="默认段落字体 Para Char Char Char Char Char Char Char Char Char Char Char Char Char1 Char"/>
    <w:basedOn w:val="19"/>
    <w:qFormat/>
    <w:uiPriority w:val="0"/>
    <w:pPr>
      <w:shd w:val="clear" w:color="auto" w:fill="000080"/>
    </w:pPr>
    <w:rPr>
      <w:rFonts w:ascii="Times New Roman" w:hAnsi="Times New Roman"/>
      <w:bCs/>
      <w:sz w:val="24"/>
      <w:szCs w:val="24"/>
    </w:rPr>
  </w:style>
  <w:style w:type="paragraph" w:customStyle="1" w:styleId="116">
    <w:name w:val="15"/>
    <w:basedOn w:val="1"/>
    <w:qFormat/>
    <w:uiPriority w:val="0"/>
    <w:pPr>
      <w:widowControl/>
      <w:snapToGrid w:val="0"/>
      <w:spacing w:before="100" w:beforeAutospacing="1" w:after="100" w:afterAutospacing="1"/>
    </w:pPr>
    <w:rPr>
      <w:rFonts w:ascii="Times New Roman" w:hAnsi="Times New Roman" w:cs="Times New Roman"/>
      <w:kern w:val="0"/>
      <w:szCs w:val="21"/>
    </w:rPr>
  </w:style>
  <w:style w:type="paragraph" w:customStyle="1" w:styleId="117">
    <w:name w:val="无间隔1"/>
    <w:qFormat/>
    <w:uiPriority w:val="0"/>
    <w:pPr>
      <w:widowControl w:val="0"/>
      <w:jc w:val="both"/>
    </w:pPr>
    <w:rPr>
      <w:rFonts w:ascii="Times New Roman" w:hAnsi="Times New Roman" w:eastAsia="宋体" w:cs="Times New Roman"/>
      <w:kern w:val="2"/>
      <w:lang w:val="en-US" w:eastAsia="zh-CN" w:bidi="ar-SA"/>
    </w:rPr>
  </w:style>
  <w:style w:type="paragraph" w:customStyle="1" w:styleId="118">
    <w:name w:val="标题3 Char Char Char Char"/>
    <w:basedOn w:val="1"/>
    <w:qFormat/>
    <w:uiPriority w:val="0"/>
    <w:pPr>
      <w:spacing w:after="50" w:afterLines="50" w:line="560" w:lineRule="exact"/>
    </w:pPr>
    <w:rPr>
      <w:rFonts w:ascii="Times New Roman" w:hAnsi="Times New Roman" w:eastAsia="黑体" w:cs="Times New Roman"/>
      <w:sz w:val="30"/>
      <w:szCs w:val="30"/>
    </w:rPr>
  </w:style>
  <w:style w:type="paragraph" w:customStyle="1" w:styleId="119">
    <w:name w:val="表格正文"/>
    <w:basedOn w:val="1"/>
    <w:qFormat/>
    <w:uiPriority w:val="0"/>
    <w:pPr>
      <w:spacing w:line="360" w:lineRule="exact"/>
      <w:jc w:val="center"/>
    </w:pPr>
    <w:rPr>
      <w:rFonts w:ascii="Times New Roman" w:hAnsi="Times New Roman" w:cs="Times New Roman"/>
      <w:szCs w:val="20"/>
    </w:rPr>
  </w:style>
  <w:style w:type="paragraph" w:customStyle="1" w:styleId="120">
    <w:name w:val="中气正文"/>
    <w:basedOn w:val="1"/>
    <w:qFormat/>
    <w:uiPriority w:val="0"/>
    <w:pPr>
      <w:spacing w:line="360" w:lineRule="auto"/>
      <w:ind w:firstLine="200" w:firstLineChars="200"/>
    </w:pPr>
    <w:rPr>
      <w:rFonts w:ascii="Times New Roman" w:hAnsi="Times New Roman" w:cs="Times New Roman"/>
      <w:sz w:val="24"/>
      <w:szCs w:val="24"/>
    </w:rPr>
  </w:style>
  <w:style w:type="paragraph" w:customStyle="1" w:styleId="121">
    <w:name w:val="样式 标题 2 + Times New Roman 小四 两端对齐"/>
    <w:basedOn w:val="6"/>
    <w:qFormat/>
    <w:uiPriority w:val="0"/>
    <w:pPr>
      <w:adjustRightInd/>
      <w:snapToGrid/>
      <w:spacing w:before="0" w:beforeLines="0" w:after="0" w:afterLines="0"/>
    </w:pPr>
    <w:rPr>
      <w:rFonts w:cs="宋体"/>
      <w:b w:val="0"/>
      <w:bCs w:val="0"/>
      <w:sz w:val="24"/>
      <w:szCs w:val="20"/>
    </w:rPr>
  </w:style>
  <w:style w:type="paragraph" w:customStyle="1" w:styleId="122">
    <w:name w:val="样式 标题 1 + (中文) 宋体 小三 行距: 多倍行距 1.35 字行"/>
    <w:basedOn w:val="4"/>
    <w:qFormat/>
    <w:uiPriority w:val="0"/>
    <w:pPr>
      <w:tabs>
        <w:tab w:val="clear" w:pos="0"/>
        <w:tab w:val="clear" w:pos="420"/>
      </w:tabs>
      <w:adjustRightInd/>
      <w:spacing w:before="50" w:beforeLines="50" w:after="50" w:afterLines="50" w:line="300" w:lineRule="auto"/>
      <w:ind w:left="0" w:firstLine="540"/>
      <w:jc w:val="both"/>
      <w:outlineLvl w:val="9"/>
    </w:pPr>
    <w:rPr>
      <w:rFonts w:ascii="仿宋_GB2312" w:eastAsia="仿宋_GB2312" w:cs="仿宋_GB2312"/>
      <w:b w:val="0"/>
      <w:bCs w:val="0"/>
      <w:sz w:val="24"/>
      <w:szCs w:val="24"/>
    </w:rPr>
  </w:style>
  <w:style w:type="paragraph" w:customStyle="1" w:styleId="123">
    <w:name w:val="xl40"/>
    <w:basedOn w:val="1"/>
    <w:qFormat/>
    <w:uiPriority w:val="0"/>
    <w:pPr>
      <w:widowControl/>
      <w:pBdr>
        <w:left w:val="double" w:color="auto" w:sz="6" w:space="0"/>
        <w:bottom w:val="single" w:color="auto" w:sz="4" w:space="0"/>
        <w:right w:val="single" w:color="auto" w:sz="4" w:space="0"/>
      </w:pBdr>
      <w:spacing w:before="100" w:beforeAutospacing="1" w:after="100" w:afterAutospacing="1"/>
      <w:jc w:val="center"/>
      <w:textAlignment w:val="center"/>
    </w:pPr>
    <w:rPr>
      <w:rFonts w:ascii="Arial Unicode MS" w:eastAsia="Arial Unicode MS" w:cs="Times New Roman"/>
      <w:kern w:val="0"/>
      <w:sz w:val="24"/>
      <w:szCs w:val="21"/>
    </w:rPr>
  </w:style>
  <w:style w:type="paragraph" w:customStyle="1" w:styleId="124">
    <w:name w:val="表格表头"/>
    <w:basedOn w:val="1"/>
    <w:qFormat/>
    <w:uiPriority w:val="0"/>
    <w:pPr>
      <w:snapToGrid w:val="0"/>
      <w:spacing w:line="360" w:lineRule="auto"/>
      <w:jc w:val="center"/>
    </w:pPr>
    <w:rPr>
      <w:rFonts w:ascii="Times New Roman" w:hAnsi="Times New Roman" w:cs="Times New Roman"/>
      <w:b/>
      <w:sz w:val="24"/>
      <w:szCs w:val="21"/>
    </w:rPr>
  </w:style>
  <w:style w:type="paragraph" w:customStyle="1" w:styleId="125">
    <w:name w:val="Char Char Char Char Char Char1 Char"/>
    <w:basedOn w:val="1"/>
    <w:qFormat/>
    <w:uiPriority w:val="0"/>
    <w:pPr>
      <w:spacing w:line="360" w:lineRule="auto"/>
    </w:pPr>
    <w:rPr>
      <w:rFonts w:ascii="Times New Roman" w:hAnsi="Times New Roman" w:cs="Times New Roman"/>
      <w:sz w:val="24"/>
      <w:szCs w:val="24"/>
    </w:rPr>
  </w:style>
  <w:style w:type="paragraph" w:customStyle="1" w:styleId="126">
    <w:name w:val="样式 题注 + 首行缩进:  2 字符"/>
    <w:basedOn w:val="18"/>
    <w:qFormat/>
    <w:uiPriority w:val="0"/>
    <w:pPr>
      <w:adjustRightInd/>
      <w:snapToGrid/>
      <w:spacing w:line="324" w:lineRule="auto"/>
      <w:jc w:val="both"/>
    </w:pPr>
    <w:rPr>
      <w:rFonts w:ascii="Arial" w:hAnsi="Arial" w:eastAsia="黑体"/>
      <w:b w:val="0"/>
      <w:color w:val="000000"/>
      <w:sz w:val="20"/>
    </w:rPr>
  </w:style>
  <w:style w:type="paragraph" w:customStyle="1" w:styleId="127">
    <w:name w:val="Char Char Char Char Char Char Char"/>
    <w:basedOn w:val="1"/>
    <w:next w:val="1"/>
    <w:qFormat/>
    <w:uiPriority w:val="0"/>
    <w:pPr>
      <w:spacing w:line="360" w:lineRule="auto"/>
      <w:ind w:firstLine="200" w:firstLineChars="200"/>
    </w:pPr>
    <w:rPr>
      <w:rFonts w:ascii="Times New Roman" w:hAnsi="Times New Roman" w:cs="Times New Roman"/>
      <w:szCs w:val="20"/>
    </w:rPr>
  </w:style>
  <w:style w:type="paragraph" w:customStyle="1" w:styleId="128">
    <w:name w:val="样式 目录 1 + 首行缩进:  0.85 厘米"/>
    <w:basedOn w:val="34"/>
    <w:qFormat/>
    <w:uiPriority w:val="0"/>
    <w:pPr>
      <w:adjustRightInd w:val="0"/>
      <w:snapToGrid w:val="0"/>
    </w:pPr>
    <w:rPr>
      <w:rFonts w:ascii="Calibri" w:hAnsi="Calibri" w:cs="宋体"/>
    </w:rPr>
  </w:style>
  <w:style w:type="paragraph" w:customStyle="1" w:styleId="129">
    <w:name w:val="样式 正文首行缩进 + 行距: 1.5 倍行距"/>
    <w:basedOn w:val="5"/>
    <w:qFormat/>
    <w:uiPriority w:val="0"/>
    <w:pPr>
      <w:adjustRightInd/>
      <w:snapToGrid/>
      <w:ind w:firstLine="500" w:firstLineChars="500"/>
    </w:pPr>
    <w:rPr>
      <w:rFonts w:cs="宋体"/>
      <w:bCs/>
      <w:kern w:val="0"/>
      <w:sz w:val="26"/>
      <w:szCs w:val="26"/>
    </w:rPr>
  </w:style>
  <w:style w:type="paragraph" w:customStyle="1" w:styleId="130">
    <w:name w:val="魏秀珍标题4"/>
    <w:basedOn w:val="8"/>
    <w:qFormat/>
    <w:uiPriority w:val="0"/>
    <w:pPr>
      <w:spacing w:before="120" w:after="120"/>
    </w:pPr>
    <w:rPr>
      <w:rFonts w:ascii="宋体"/>
      <w:color w:val="000000"/>
      <w:szCs w:val="24"/>
    </w:rPr>
  </w:style>
  <w:style w:type="paragraph" w:customStyle="1" w:styleId="131">
    <w:name w:val="WPS Plain"/>
    <w:qFormat/>
    <w:uiPriority w:val="0"/>
    <w:rPr>
      <w:rFonts w:ascii="Times New Roman" w:hAnsi="Times New Roman" w:eastAsia="宋体" w:cs="Times New Roman"/>
      <w:sz w:val="24"/>
      <w:szCs w:val="24"/>
      <w:lang w:val="en-US" w:eastAsia="zh-CN" w:bidi="ar-SA"/>
    </w:rPr>
  </w:style>
  <w:style w:type="paragraph" w:customStyle="1" w:styleId="132">
    <w:name w:val="Char Char Char Char"/>
    <w:basedOn w:val="1"/>
    <w:qFormat/>
    <w:uiPriority w:val="0"/>
    <w:pPr>
      <w:spacing w:line="360" w:lineRule="auto"/>
      <w:ind w:firstLine="200" w:firstLineChars="200"/>
    </w:pPr>
    <w:rPr>
      <w:rFonts w:ascii="宋体" w:cs="宋体"/>
      <w:sz w:val="24"/>
      <w:szCs w:val="24"/>
    </w:rPr>
  </w:style>
  <w:style w:type="paragraph" w:customStyle="1" w:styleId="133">
    <w:name w:val="正文(首行缩进2字)"/>
    <w:basedOn w:val="1"/>
    <w:next w:val="1"/>
    <w:qFormat/>
    <w:uiPriority w:val="0"/>
    <w:pPr>
      <w:adjustRightInd w:val="0"/>
      <w:spacing w:line="360" w:lineRule="auto"/>
      <w:ind w:firstLine="200" w:firstLineChars="200"/>
      <w:jc w:val="center"/>
      <w:textAlignment w:val="baseline"/>
    </w:pPr>
    <w:rPr>
      <w:rFonts w:ascii="Times New Roman" w:hAnsi="Times New Roman" w:cs="Times New Roman"/>
      <w:kern w:val="0"/>
      <w:sz w:val="24"/>
      <w:szCs w:val="20"/>
    </w:rPr>
  </w:style>
  <w:style w:type="paragraph" w:customStyle="1" w:styleId="134">
    <w:name w:val="表标题"/>
    <w:basedOn w:val="1"/>
    <w:qFormat/>
    <w:uiPriority w:val="0"/>
    <w:pPr>
      <w:autoSpaceDE w:val="0"/>
      <w:autoSpaceDN w:val="0"/>
      <w:adjustRightInd w:val="0"/>
      <w:snapToGrid w:val="0"/>
      <w:spacing w:before="50" w:beforeLines="50"/>
      <w:jc w:val="center"/>
    </w:pPr>
    <w:rPr>
      <w:rFonts w:ascii="Times New Roman" w:hAnsi="Times New Roman" w:cs="Times New Roman"/>
      <w:b/>
      <w:bCs/>
      <w:color w:val="000000"/>
      <w:sz w:val="24"/>
      <w:szCs w:val="24"/>
    </w:rPr>
  </w:style>
  <w:style w:type="paragraph" w:customStyle="1" w:styleId="135">
    <w:name w:val="表内格式"/>
    <w:basedOn w:val="1"/>
    <w:qFormat/>
    <w:uiPriority w:val="0"/>
    <w:pPr>
      <w:jc w:val="center"/>
    </w:pPr>
    <w:rPr>
      <w:rFonts w:ascii="Times New Roman" w:hAnsi="Times New Roman" w:cs="Times New Roman"/>
      <w:sz w:val="18"/>
      <w:szCs w:val="20"/>
    </w:rPr>
  </w:style>
  <w:style w:type="paragraph" w:customStyle="1" w:styleId="136">
    <w:name w:val="表内"/>
    <w:qFormat/>
    <w:uiPriority w:val="0"/>
    <w:pPr>
      <w:adjustRightInd w:val="0"/>
      <w:snapToGrid w:val="0"/>
      <w:ind w:left="-50" w:leftChars="-50" w:right="-50" w:rightChars="-50"/>
      <w:jc w:val="center"/>
    </w:pPr>
    <w:rPr>
      <w:rFonts w:ascii="Times New Roman" w:hAnsi="Times New Roman" w:eastAsia="宋体" w:cs="Times New Roman"/>
      <w:sz w:val="21"/>
      <w:lang w:val="en-US" w:eastAsia="zh-CN" w:bidi="ar-SA"/>
    </w:rPr>
  </w:style>
  <w:style w:type="paragraph" w:customStyle="1" w:styleId="137">
    <w:name w:val="Char Char Char Char1"/>
    <w:basedOn w:val="1"/>
    <w:qFormat/>
    <w:uiPriority w:val="0"/>
    <w:rPr>
      <w:rFonts w:ascii="Times New Roman" w:hAnsi="Times New Roman" w:cs="Times New Roman"/>
      <w:sz w:val="24"/>
      <w:szCs w:val="24"/>
    </w:rPr>
  </w:style>
  <w:style w:type="paragraph" w:customStyle="1" w:styleId="138">
    <w:name w:val="标题 21"/>
    <w:basedOn w:val="1"/>
    <w:next w:val="1"/>
    <w:qFormat/>
    <w:uiPriority w:val="0"/>
    <w:pPr>
      <w:keepNext/>
      <w:keepLines/>
      <w:snapToGrid w:val="0"/>
      <w:spacing w:line="360" w:lineRule="auto"/>
      <w:ind w:left="576" w:hanging="576"/>
      <w:outlineLvl w:val="1"/>
    </w:pPr>
    <w:rPr>
      <w:rFonts w:ascii="Times New Roman" w:hAnsi="Times New Roman" w:eastAsia="黑体" w:cs="Times New Roman"/>
      <w:sz w:val="28"/>
      <w:szCs w:val="20"/>
    </w:rPr>
  </w:style>
  <w:style w:type="paragraph" w:customStyle="1" w:styleId="139">
    <w:name w:val="样式 表格 32 + 首行缩进:  2 字符"/>
    <w:basedOn w:val="1"/>
    <w:qFormat/>
    <w:uiPriority w:val="0"/>
    <w:pPr>
      <w:autoSpaceDE w:val="0"/>
      <w:autoSpaceDN w:val="0"/>
      <w:spacing w:line="0" w:lineRule="atLeast"/>
      <w:jc w:val="center"/>
    </w:pPr>
    <w:rPr>
      <w:rFonts w:ascii="Times New Roman" w:hAnsi="Times New Roman" w:cs="宋体"/>
      <w:szCs w:val="21"/>
    </w:rPr>
  </w:style>
  <w:style w:type="paragraph" w:customStyle="1" w:styleId="140">
    <w:name w:val="标题 41"/>
    <w:basedOn w:val="1"/>
    <w:qFormat/>
    <w:uiPriority w:val="0"/>
    <w:pPr>
      <w:tabs>
        <w:tab w:val="left" w:pos="454"/>
        <w:tab w:val="left" w:pos="848"/>
      </w:tabs>
      <w:spacing w:line="360" w:lineRule="auto"/>
      <w:ind w:left="848" w:hanging="748"/>
    </w:pPr>
    <w:rPr>
      <w:rFonts w:ascii="Times New Roman" w:hAnsi="Times New Roman" w:cs="Times New Roman"/>
      <w:sz w:val="24"/>
      <w:szCs w:val="24"/>
    </w:rPr>
  </w:style>
  <w:style w:type="paragraph" w:customStyle="1" w:styleId="141">
    <w:name w:val="缩进"/>
    <w:basedOn w:val="1"/>
    <w:qFormat/>
    <w:uiPriority w:val="0"/>
    <w:pPr>
      <w:autoSpaceDE w:val="0"/>
      <w:autoSpaceDN w:val="0"/>
      <w:adjustRightInd w:val="0"/>
      <w:spacing w:line="400" w:lineRule="atLeast"/>
      <w:ind w:firstLine="425"/>
      <w:textAlignment w:val="baseline"/>
    </w:pPr>
    <w:rPr>
      <w:rFonts w:ascii="Times New Roman" w:hAnsi="Times New Roman" w:cs="Times New Roman"/>
      <w:kern w:val="0"/>
      <w:sz w:val="24"/>
      <w:szCs w:val="20"/>
    </w:rPr>
  </w:style>
  <w:style w:type="paragraph" w:customStyle="1" w:styleId="142">
    <w:name w:val="Char Char Char Char Char Char Char Char"/>
    <w:basedOn w:val="1"/>
    <w:qFormat/>
    <w:uiPriority w:val="0"/>
    <w:rPr>
      <w:rFonts w:ascii="Times New Roman" w:hAnsi="Times New Roman" w:cs="Times New Roman"/>
      <w:sz w:val="24"/>
      <w:szCs w:val="24"/>
    </w:rPr>
  </w:style>
  <w:style w:type="paragraph" w:customStyle="1" w:styleId="143">
    <w:name w:val="Char1 Char Char Char Char Char Char Char Char1 Char Char Char Char Char Char Char"/>
    <w:basedOn w:val="1"/>
    <w:qFormat/>
    <w:uiPriority w:val="0"/>
    <w:pPr>
      <w:snapToGrid w:val="0"/>
      <w:spacing w:line="360" w:lineRule="auto"/>
      <w:ind w:firstLine="200" w:firstLineChars="200"/>
    </w:pPr>
    <w:rPr>
      <w:rFonts w:ascii="Times New Roman" w:hAnsi="Times New Roman" w:cs="Times New Roman"/>
      <w:szCs w:val="20"/>
    </w:rPr>
  </w:style>
  <w:style w:type="paragraph" w:customStyle="1" w:styleId="144">
    <w:name w:val="表字居中"/>
    <w:basedOn w:val="1"/>
    <w:qFormat/>
    <w:uiPriority w:val="0"/>
    <w:pPr>
      <w:jc w:val="center"/>
    </w:pPr>
    <w:rPr>
      <w:rFonts w:ascii="Times New Roman" w:hAnsi="Times New Roman" w:cs="Times New Roman"/>
      <w:szCs w:val="24"/>
    </w:rPr>
  </w:style>
  <w:style w:type="paragraph" w:customStyle="1" w:styleId="145">
    <w:name w:val="Char Char Char Char Char Char3 Char Char Char Char Char Char Char"/>
    <w:basedOn w:val="1"/>
    <w:next w:val="1"/>
    <w:qFormat/>
    <w:uiPriority w:val="0"/>
    <w:rPr>
      <w:rFonts w:ascii="Times New Roman" w:hAnsi="Times New Roman" w:cs="Times New Roman"/>
      <w:szCs w:val="24"/>
    </w:rPr>
  </w:style>
  <w:style w:type="paragraph" w:customStyle="1" w:styleId="146">
    <w:name w:val="样式 列表 2 + 华文仿宋 居中"/>
    <w:basedOn w:val="24"/>
    <w:qFormat/>
    <w:uiPriority w:val="0"/>
    <w:pPr>
      <w:ind w:left="0" w:leftChars="0" w:firstLine="0" w:firstLineChars="0"/>
      <w:jc w:val="center"/>
    </w:pPr>
    <w:rPr>
      <w:color w:val="FF0000"/>
      <w:sz w:val="21"/>
      <w:szCs w:val="21"/>
    </w:rPr>
  </w:style>
  <w:style w:type="paragraph" w:customStyle="1" w:styleId="147">
    <w:name w:val="Char Char1 Char Char Char Char Char Char Char Char Char Char Char Char Char Char Char Char Char Char Char Char1 Char"/>
    <w:basedOn w:val="1"/>
    <w:qFormat/>
    <w:uiPriority w:val="0"/>
    <w:pPr>
      <w:spacing w:line="360" w:lineRule="auto"/>
      <w:ind w:firstLine="200" w:firstLineChars="200"/>
    </w:pPr>
    <w:rPr>
      <w:rFonts w:ascii="宋体" w:cs="宋体"/>
      <w:sz w:val="24"/>
      <w:szCs w:val="24"/>
    </w:rPr>
  </w:style>
  <w:style w:type="paragraph" w:customStyle="1" w:styleId="148">
    <w:name w:val="Char2"/>
    <w:basedOn w:val="1"/>
    <w:qFormat/>
    <w:uiPriority w:val="0"/>
    <w:rPr>
      <w:rFonts w:ascii="Times New Roman" w:hAnsi="Times New Roman" w:cs="Times New Roman"/>
      <w:szCs w:val="20"/>
    </w:rPr>
  </w:style>
  <w:style w:type="paragraph" w:customStyle="1" w:styleId="149">
    <w:name w:val="Char Char Char Char Char Char Char Char Char Char"/>
    <w:basedOn w:val="1"/>
    <w:qFormat/>
    <w:uiPriority w:val="0"/>
    <w:pPr>
      <w:widowControl/>
      <w:spacing w:after="160" w:line="240" w:lineRule="exact"/>
      <w:jc w:val="left"/>
    </w:pPr>
    <w:rPr>
      <w:rFonts w:ascii="Verdana" w:hAnsi="Verdana" w:cs="Times New Roman"/>
      <w:kern w:val="0"/>
      <w:sz w:val="20"/>
      <w:szCs w:val="20"/>
      <w:lang w:eastAsia="en-US"/>
    </w:rPr>
  </w:style>
  <w:style w:type="paragraph" w:customStyle="1" w:styleId="150">
    <w:name w:val="表1表2"/>
    <w:basedOn w:val="1"/>
    <w:qFormat/>
    <w:uiPriority w:val="0"/>
    <w:pPr>
      <w:autoSpaceDE w:val="0"/>
      <w:autoSpaceDN w:val="0"/>
      <w:adjustRightInd w:val="0"/>
      <w:spacing w:line="360" w:lineRule="auto"/>
      <w:jc w:val="center"/>
      <w:textAlignment w:val="center"/>
    </w:pPr>
    <w:rPr>
      <w:rFonts w:ascii="Times New Roman" w:hAnsi="Times New Roman" w:eastAsia="仿宋_GB2312" w:cs="Times New Roman"/>
      <w:kern w:val="0"/>
      <w:sz w:val="24"/>
      <w:szCs w:val="21"/>
    </w:rPr>
  </w:style>
  <w:style w:type="paragraph" w:customStyle="1" w:styleId="151">
    <w:name w:val="报告书表格"/>
    <w:basedOn w:val="1"/>
    <w:qFormat/>
    <w:uiPriority w:val="0"/>
    <w:pPr>
      <w:adjustRightInd w:val="0"/>
      <w:spacing w:before="60" w:after="60" w:line="240" w:lineRule="atLeast"/>
      <w:jc w:val="center"/>
      <w:textAlignment w:val="baseline"/>
    </w:pPr>
    <w:rPr>
      <w:rFonts w:ascii="Times New Roman" w:hAnsi="Times New Roman" w:cs="Times New Roman"/>
      <w:kern w:val="0"/>
      <w:szCs w:val="20"/>
    </w:rPr>
  </w:style>
  <w:style w:type="paragraph" w:customStyle="1" w:styleId="152">
    <w:name w:val="中文报告书样式"/>
    <w:basedOn w:val="1"/>
    <w:qFormat/>
    <w:uiPriority w:val="0"/>
    <w:pPr>
      <w:adjustRightInd w:val="0"/>
      <w:spacing w:line="480" w:lineRule="atLeast"/>
      <w:ind w:firstLine="482"/>
      <w:textAlignment w:val="baseline"/>
    </w:pPr>
    <w:rPr>
      <w:rFonts w:ascii="Times New Roman" w:hAnsi="Times New Roman" w:cs="Times New Roman"/>
      <w:kern w:val="24"/>
      <w:sz w:val="24"/>
      <w:szCs w:val="20"/>
    </w:rPr>
  </w:style>
  <w:style w:type="paragraph" w:customStyle="1" w:styleId="153">
    <w:name w:val="表格内文字"/>
    <w:basedOn w:val="1"/>
    <w:qFormat/>
    <w:uiPriority w:val="0"/>
    <w:pPr>
      <w:tabs>
        <w:tab w:val="left" w:pos="0"/>
      </w:tabs>
      <w:adjustRightInd w:val="0"/>
      <w:snapToGrid w:val="0"/>
      <w:jc w:val="center"/>
    </w:pPr>
    <w:rPr>
      <w:rFonts w:ascii="Times New Roman" w:hAnsi="Times New Roman" w:eastAsia="仿宋_GB2312" w:cs="Times New Roman"/>
      <w:sz w:val="24"/>
      <w:szCs w:val="24"/>
    </w:rPr>
  </w:style>
  <w:style w:type="paragraph" w:customStyle="1" w:styleId="154">
    <w:name w:val="样式 正文文本缩进 2正文文字缩进 2 + 小四 左侧:  0 厘米 段后: 0 磅 行距: 1.5 倍行距"/>
    <w:basedOn w:val="30"/>
    <w:qFormat/>
    <w:uiPriority w:val="0"/>
    <w:pPr>
      <w:spacing w:after="0" w:line="360" w:lineRule="auto"/>
      <w:ind w:left="0" w:leftChars="0" w:firstLine="200" w:firstLineChars="200"/>
    </w:pPr>
    <w:rPr>
      <w:rFonts w:cs="宋体"/>
      <w:sz w:val="24"/>
    </w:rPr>
  </w:style>
  <w:style w:type="paragraph" w:customStyle="1" w:styleId="155">
    <w:name w:val="标题1"/>
    <w:basedOn w:val="1"/>
    <w:next w:val="1"/>
    <w:qFormat/>
    <w:uiPriority w:val="0"/>
    <w:pPr>
      <w:widowControl/>
      <w:numPr>
        <w:ilvl w:val="0"/>
        <w:numId w:val="2"/>
      </w:numPr>
      <w:spacing w:before="50" w:beforeLines="50" w:after="50" w:afterLines="50" w:line="360" w:lineRule="auto"/>
      <w:ind w:left="0"/>
      <w:jc w:val="center"/>
      <w:outlineLvl w:val="0"/>
    </w:pPr>
    <w:rPr>
      <w:rFonts w:ascii="宋体" w:hAnsi="宋体" w:eastAsia="黑体" w:cs="宋体"/>
      <w:kern w:val="0"/>
      <w:sz w:val="32"/>
      <w:szCs w:val="32"/>
      <w:lang w:val="zh-CN"/>
    </w:rPr>
  </w:style>
  <w:style w:type="paragraph" w:customStyle="1" w:styleId="156">
    <w:name w:val="标题四"/>
    <w:basedOn w:val="1"/>
    <w:qFormat/>
    <w:uiPriority w:val="0"/>
    <w:pPr>
      <w:widowControl/>
      <w:numPr>
        <w:ilvl w:val="3"/>
        <w:numId w:val="2"/>
      </w:numPr>
      <w:jc w:val="left"/>
    </w:pPr>
    <w:rPr>
      <w:rFonts w:ascii="宋体" w:cs="宋体"/>
      <w:kern w:val="0"/>
      <w:sz w:val="24"/>
      <w:szCs w:val="24"/>
    </w:rPr>
  </w:style>
  <w:style w:type="paragraph" w:customStyle="1" w:styleId="157">
    <w:name w:val="标题三"/>
    <w:basedOn w:val="1"/>
    <w:qFormat/>
    <w:uiPriority w:val="0"/>
    <w:pPr>
      <w:widowControl/>
      <w:jc w:val="left"/>
    </w:pPr>
    <w:rPr>
      <w:rFonts w:ascii="宋体" w:cs="宋体"/>
      <w:kern w:val="0"/>
      <w:sz w:val="24"/>
      <w:szCs w:val="24"/>
    </w:rPr>
  </w:style>
  <w:style w:type="paragraph" w:customStyle="1" w:styleId="158">
    <w:name w:val="样式 四号 首行缩进:  2 字符"/>
    <w:basedOn w:val="1"/>
    <w:qFormat/>
    <w:uiPriority w:val="0"/>
    <w:pPr>
      <w:spacing w:line="480" w:lineRule="atLeast"/>
      <w:ind w:firstLine="200" w:firstLineChars="200"/>
    </w:pPr>
    <w:rPr>
      <w:rFonts w:ascii="Times New Roman" w:hAnsi="Times New Roman" w:cs="Times New Roman"/>
      <w:sz w:val="24"/>
      <w:szCs w:val="20"/>
    </w:rPr>
  </w:style>
  <w:style w:type="paragraph" w:customStyle="1" w:styleId="159">
    <w:name w:val="h"/>
    <w:basedOn w:val="1"/>
    <w:next w:val="17"/>
    <w:qFormat/>
    <w:uiPriority w:val="0"/>
    <w:pPr>
      <w:keepNext/>
      <w:keepLines/>
      <w:spacing w:before="260" w:after="260" w:line="415" w:lineRule="auto"/>
      <w:ind w:firstLine="567"/>
    </w:pPr>
    <w:rPr>
      <w:rFonts w:ascii="Arial" w:hAnsi="Arial" w:eastAsia="黑体"/>
      <w:sz w:val="30"/>
      <w:szCs w:val="30"/>
    </w:rPr>
  </w:style>
  <w:style w:type="paragraph" w:customStyle="1" w:styleId="160">
    <w:name w:val="正文2"/>
    <w:basedOn w:val="1"/>
    <w:qFormat/>
    <w:uiPriority w:val="0"/>
    <w:pPr>
      <w:spacing w:line="360" w:lineRule="auto"/>
      <w:ind w:firstLine="200" w:firstLineChars="200"/>
    </w:pPr>
    <w:rPr>
      <w:rFonts w:ascii="宋体" w:cs="Times New Roman"/>
      <w:sz w:val="24"/>
      <w:szCs w:val="20"/>
    </w:rPr>
  </w:style>
  <w:style w:type="paragraph" w:customStyle="1" w:styleId="161">
    <w:name w:val="样式 行距: 1.5 倍行距 首行缩进:  2.5 字符"/>
    <w:basedOn w:val="1"/>
    <w:qFormat/>
    <w:uiPriority w:val="0"/>
    <w:pPr>
      <w:adjustRightInd w:val="0"/>
      <w:snapToGrid w:val="0"/>
      <w:spacing w:line="360" w:lineRule="auto"/>
      <w:ind w:firstLine="200" w:firstLineChars="200"/>
    </w:pPr>
    <w:rPr>
      <w:rFonts w:ascii="Times New Roman" w:hAnsi="Times New Roman" w:cs="宋体"/>
      <w:sz w:val="24"/>
      <w:szCs w:val="20"/>
    </w:rPr>
  </w:style>
  <w:style w:type="paragraph" w:customStyle="1" w:styleId="162">
    <w:name w:val="FF正文"/>
    <w:basedOn w:val="1"/>
    <w:qFormat/>
    <w:uiPriority w:val="0"/>
    <w:pPr>
      <w:spacing w:line="480" w:lineRule="exact"/>
      <w:ind w:firstLine="200" w:firstLineChars="200"/>
    </w:pPr>
    <w:rPr>
      <w:rFonts w:ascii="Times New Roman" w:hAnsi="Times New Roman" w:cs="Times New Roman"/>
      <w:color w:val="000000"/>
      <w:sz w:val="24"/>
      <w:szCs w:val="24"/>
    </w:rPr>
  </w:style>
  <w:style w:type="paragraph" w:customStyle="1" w:styleId="163">
    <w:name w:val="文章正文样式"/>
    <w:basedOn w:val="1"/>
    <w:link w:val="241"/>
    <w:qFormat/>
    <w:uiPriority w:val="0"/>
    <w:pPr>
      <w:spacing w:line="520" w:lineRule="exact"/>
      <w:ind w:firstLine="200" w:firstLineChars="200"/>
      <w:jc w:val="left"/>
    </w:pPr>
    <w:rPr>
      <w:rFonts w:ascii="宋体" w:cs="宋体"/>
      <w:sz w:val="24"/>
      <w:szCs w:val="20"/>
    </w:rPr>
  </w:style>
  <w:style w:type="paragraph" w:customStyle="1" w:styleId="164">
    <w:name w:val="reader-word-layer"/>
    <w:basedOn w:val="1"/>
    <w:qFormat/>
    <w:uiPriority w:val="0"/>
    <w:pPr>
      <w:widowControl/>
      <w:spacing w:before="100" w:beforeAutospacing="1" w:after="100" w:afterAutospacing="1"/>
      <w:jc w:val="left"/>
    </w:pPr>
    <w:rPr>
      <w:rFonts w:ascii="宋体" w:cs="宋体"/>
      <w:kern w:val="0"/>
      <w:sz w:val="24"/>
      <w:szCs w:val="24"/>
    </w:rPr>
  </w:style>
  <w:style w:type="paragraph" w:customStyle="1" w:styleId="165">
    <w:name w:val="样式1"/>
    <w:basedOn w:val="1"/>
    <w:qFormat/>
    <w:uiPriority w:val="0"/>
    <w:pPr>
      <w:widowControl/>
      <w:jc w:val="center"/>
    </w:pPr>
    <w:rPr>
      <w:rFonts w:ascii="黑体" w:eastAsia="黑体" w:cs="宋体"/>
      <w:sz w:val="18"/>
      <w:szCs w:val="21"/>
      <w:lang w:val="zh-CN"/>
    </w:rPr>
  </w:style>
  <w:style w:type="paragraph" w:customStyle="1" w:styleId="166">
    <w:name w:val="A0正文"/>
    <w:basedOn w:val="1"/>
    <w:qFormat/>
    <w:uiPriority w:val="0"/>
    <w:pPr>
      <w:spacing w:line="360" w:lineRule="auto"/>
      <w:ind w:firstLine="200" w:firstLineChars="200"/>
    </w:pPr>
    <w:rPr>
      <w:rFonts w:ascii="Times New Roman" w:hAnsi="Times New Roman" w:cs="宋体"/>
      <w:sz w:val="24"/>
      <w:szCs w:val="20"/>
      <w:lang w:val="zh-CN"/>
    </w:rPr>
  </w:style>
  <w:style w:type="paragraph" w:customStyle="1" w:styleId="167">
    <w:name w:val="修订1"/>
    <w:qFormat/>
    <w:uiPriority w:val="0"/>
    <w:rPr>
      <w:rFonts w:ascii="Times New Roman" w:hAnsi="Times New Roman" w:eastAsia="宋体" w:cs="Times New Roman"/>
      <w:kern w:val="2"/>
      <w:lang w:val="en-US" w:eastAsia="zh-CN" w:bidi="ar-SA"/>
    </w:rPr>
  </w:style>
  <w:style w:type="paragraph" w:customStyle="1" w:styleId="168">
    <w:name w:val="【表格】"/>
    <w:next w:val="5"/>
    <w:qFormat/>
    <w:uiPriority w:val="0"/>
    <w:pPr>
      <w:jc w:val="center"/>
    </w:pPr>
    <w:rPr>
      <w:rFonts w:ascii="Times New Roman" w:hAnsi="Times New Roman" w:eastAsia="宋体" w:cs="Times New Roman"/>
      <w:sz w:val="21"/>
      <w:szCs w:val="24"/>
      <w:lang w:val="en-US" w:eastAsia="zh-CN" w:bidi="ar-SA"/>
    </w:rPr>
  </w:style>
  <w:style w:type="paragraph" w:customStyle="1" w:styleId="169">
    <w:name w:val="图表标题"/>
    <w:basedOn w:val="1"/>
    <w:qFormat/>
    <w:uiPriority w:val="0"/>
    <w:pPr>
      <w:jc w:val="center"/>
    </w:pPr>
    <w:rPr>
      <w:rFonts w:ascii="黑体" w:eastAsia="黑体" w:cs="Times New Roman"/>
      <w:szCs w:val="21"/>
    </w:rPr>
  </w:style>
  <w:style w:type="paragraph" w:customStyle="1" w:styleId="170">
    <w:name w:val="正本文字"/>
    <w:basedOn w:val="1"/>
    <w:qFormat/>
    <w:uiPriority w:val="0"/>
    <w:pPr>
      <w:adjustRightInd w:val="0"/>
      <w:snapToGrid w:val="0"/>
      <w:spacing w:line="360" w:lineRule="auto"/>
      <w:ind w:firstLine="200" w:firstLineChars="200"/>
      <w:jc w:val="left"/>
    </w:pPr>
    <w:rPr>
      <w:rFonts w:ascii="Times New Roman" w:hAnsi="Times New Roman" w:cs="宋体"/>
      <w:kern w:val="18"/>
      <w:sz w:val="24"/>
      <w:szCs w:val="20"/>
    </w:rPr>
  </w:style>
  <w:style w:type="paragraph" w:customStyle="1" w:styleId="171">
    <w:name w:val="正文内容"/>
    <w:basedOn w:val="1"/>
    <w:next w:val="1"/>
    <w:qFormat/>
    <w:uiPriority w:val="0"/>
    <w:pPr>
      <w:snapToGrid w:val="0"/>
      <w:spacing w:before="25" w:beforeLines="25" w:after="25" w:afterLines="25" w:line="440" w:lineRule="exact"/>
      <w:ind w:firstLine="200" w:firstLineChars="200"/>
    </w:pPr>
    <w:rPr>
      <w:rFonts w:ascii="Times New Roman" w:hAnsi="Times New Roman" w:cs="宋体"/>
      <w:sz w:val="24"/>
      <w:szCs w:val="24"/>
    </w:rPr>
  </w:style>
  <w:style w:type="paragraph" w:customStyle="1" w:styleId="172">
    <w:name w:val="小表"/>
    <w:basedOn w:val="1"/>
    <w:qFormat/>
    <w:uiPriority w:val="0"/>
    <w:pPr>
      <w:overflowPunct w:val="0"/>
      <w:autoSpaceDE w:val="0"/>
      <w:autoSpaceDN w:val="0"/>
      <w:adjustRightInd w:val="0"/>
      <w:jc w:val="center"/>
      <w:textAlignment w:val="bottom"/>
    </w:pPr>
    <w:rPr>
      <w:rFonts w:ascii="Times New Roman" w:hAnsi="Times New Roman" w:cs="Times New Roman"/>
      <w:kern w:val="0"/>
      <w:szCs w:val="20"/>
    </w:rPr>
  </w:style>
  <w:style w:type="paragraph" w:customStyle="1" w:styleId="173">
    <w:name w:val="样式 标题 2节节标题 1.1H2（一）Underrubrik1prop2Heading 2 HiddenHea...1"/>
    <w:basedOn w:val="6"/>
    <w:qFormat/>
    <w:uiPriority w:val="0"/>
    <w:pPr>
      <w:tabs>
        <w:tab w:val="left" w:pos="576"/>
        <w:tab w:val="clear" w:pos="0"/>
      </w:tabs>
      <w:adjustRightInd/>
      <w:snapToGrid/>
      <w:spacing w:before="0" w:beforeLines="0" w:after="0" w:afterLines="0"/>
      <w:ind w:left="576" w:hanging="576"/>
    </w:pPr>
    <w:rPr>
      <w:rFonts w:cs="Calibri"/>
      <w:color w:val="000000"/>
      <w:szCs w:val="28"/>
    </w:rPr>
  </w:style>
  <w:style w:type="paragraph" w:customStyle="1" w:styleId="174">
    <w:name w:val="样式 标题 3条标题1.1.1h3H3level_3PIM 3Level 3 HeadHeading 3 - ol...1"/>
    <w:basedOn w:val="7"/>
    <w:qFormat/>
    <w:uiPriority w:val="0"/>
    <w:pPr>
      <w:tabs>
        <w:tab w:val="left" w:pos="1020"/>
      </w:tabs>
      <w:adjustRightInd/>
      <w:snapToGrid/>
      <w:spacing w:before="0" w:beforeLines="0" w:after="0" w:afterLines="0"/>
      <w:ind w:left="1020"/>
    </w:pPr>
    <w:rPr>
      <w:color w:val="000000"/>
      <w:sz w:val="28"/>
    </w:rPr>
  </w:style>
  <w:style w:type="paragraph" w:customStyle="1" w:styleId="175">
    <w:name w:val="图标题"/>
    <w:basedOn w:val="111"/>
    <w:next w:val="111"/>
    <w:qFormat/>
    <w:uiPriority w:val="0"/>
    <w:pPr>
      <w:tabs>
        <w:tab w:val="left" w:pos="0"/>
      </w:tabs>
      <w:spacing w:line="240" w:lineRule="auto"/>
      <w:ind w:firstLine="0"/>
      <w:jc w:val="center"/>
    </w:pPr>
    <w:rPr>
      <w:b/>
      <w:sz w:val="21"/>
    </w:rPr>
  </w:style>
  <w:style w:type="paragraph" w:customStyle="1" w:styleId="176">
    <w:name w:val="样式2"/>
    <w:basedOn w:val="6"/>
    <w:qFormat/>
    <w:uiPriority w:val="0"/>
    <w:pPr>
      <w:numPr>
        <w:numId w:val="0"/>
      </w:numPr>
      <w:tabs>
        <w:tab w:val="left" w:pos="567"/>
        <w:tab w:val="left" w:pos="3119"/>
        <w:tab w:val="clear" w:pos="0"/>
      </w:tabs>
      <w:spacing w:before="0" w:beforeLines="0" w:after="0" w:afterLines="0"/>
      <w:ind w:left="3119" w:hanging="3119"/>
    </w:pPr>
    <w:rPr>
      <w:rFonts w:ascii="黑体" w:hAnsi="黑体"/>
      <w:szCs w:val="30"/>
    </w:rPr>
  </w:style>
  <w:style w:type="paragraph" w:customStyle="1" w:styleId="177">
    <w:name w:val="reader-word-layer reader-word-s13-3"/>
    <w:basedOn w:val="1"/>
    <w:qFormat/>
    <w:uiPriority w:val="0"/>
    <w:pPr>
      <w:widowControl/>
      <w:spacing w:before="100" w:beforeAutospacing="1" w:after="100" w:afterAutospacing="1"/>
      <w:jc w:val="left"/>
    </w:pPr>
    <w:rPr>
      <w:rFonts w:ascii="宋体" w:cs="宋体"/>
      <w:kern w:val="0"/>
      <w:sz w:val="24"/>
    </w:rPr>
  </w:style>
  <w:style w:type="paragraph" w:customStyle="1" w:styleId="178">
    <w:name w:val="Char Char Char Char Char Char1 Char Char Char Char"/>
    <w:basedOn w:val="1"/>
    <w:qFormat/>
    <w:uiPriority w:val="0"/>
    <w:rPr>
      <w:rFonts w:ascii="Tahoma" w:hAnsi="Tahoma" w:cs="Times New Roman"/>
      <w:sz w:val="24"/>
      <w:szCs w:val="20"/>
    </w:rPr>
  </w:style>
  <w:style w:type="paragraph" w:customStyle="1" w:styleId="179">
    <w:name w:val="Char Char Char Char Char Char1 Char Char Char Char1"/>
    <w:basedOn w:val="1"/>
    <w:qFormat/>
    <w:uiPriority w:val="0"/>
    <w:rPr>
      <w:rFonts w:ascii="Tahoma" w:hAnsi="Tahoma" w:cs="Times New Roman"/>
      <w:sz w:val="24"/>
      <w:szCs w:val="20"/>
    </w:rPr>
  </w:style>
  <w:style w:type="character" w:customStyle="1" w:styleId="180">
    <w:name w:val="amgfeg1"/>
    <w:basedOn w:val="47"/>
    <w:qFormat/>
    <w:uiPriority w:val="0"/>
  </w:style>
  <w:style w:type="character" w:customStyle="1" w:styleId="181">
    <w:name w:val="se"/>
    <w:basedOn w:val="47"/>
    <w:qFormat/>
    <w:uiPriority w:val="0"/>
  </w:style>
  <w:style w:type="character" w:customStyle="1" w:styleId="182">
    <w:name w:val="keyword"/>
    <w:basedOn w:val="47"/>
    <w:qFormat/>
    <w:uiPriority w:val="0"/>
  </w:style>
  <w:style w:type="character" w:customStyle="1" w:styleId="183">
    <w:name w:val="正文文本缩进 2 Char1"/>
    <w:basedOn w:val="47"/>
    <w:qFormat/>
    <w:uiPriority w:val="0"/>
  </w:style>
  <w:style w:type="character" w:customStyle="1" w:styleId="184">
    <w:name w:val="书籍标题1"/>
    <w:qFormat/>
    <w:uiPriority w:val="0"/>
    <w:rPr>
      <w:b/>
      <w:bCs/>
      <w:smallCaps/>
      <w:spacing w:val="5"/>
    </w:rPr>
  </w:style>
  <w:style w:type="character" w:customStyle="1" w:styleId="185">
    <w:name w:val="Char Char21"/>
    <w:qFormat/>
    <w:uiPriority w:val="0"/>
    <w:rPr>
      <w:rFonts w:eastAsia="黑体"/>
      <w:sz w:val="32"/>
      <w:szCs w:val="32"/>
      <w:lang w:val="en-US" w:eastAsia="zh-CN" w:bidi="ar-SA"/>
    </w:rPr>
  </w:style>
  <w:style w:type="character" w:customStyle="1" w:styleId="186">
    <w:name w:val="Char Char17"/>
    <w:qFormat/>
    <w:uiPriority w:val="0"/>
    <w:rPr>
      <w:rFonts w:eastAsia="宋体"/>
      <w:b/>
      <w:bCs/>
      <w:kern w:val="44"/>
      <w:sz w:val="36"/>
      <w:szCs w:val="44"/>
      <w:lang w:val="en-US" w:eastAsia="zh-CN" w:bidi="ar-SA"/>
    </w:rPr>
  </w:style>
  <w:style w:type="character" w:customStyle="1" w:styleId="187">
    <w:name w:val="apple-style-span"/>
    <w:basedOn w:val="47"/>
    <w:qFormat/>
    <w:uiPriority w:val="0"/>
  </w:style>
  <w:style w:type="character" w:customStyle="1" w:styleId="188">
    <w:name w:val="批注文字 Char"/>
    <w:qFormat/>
    <w:uiPriority w:val="0"/>
    <w:rPr>
      <w:rFonts w:ascii="Calibri" w:hAnsi="Calibri"/>
      <w:sz w:val="21"/>
      <w:szCs w:val="21"/>
    </w:rPr>
  </w:style>
  <w:style w:type="character" w:customStyle="1" w:styleId="189">
    <w:name w:val="明显强调1"/>
    <w:qFormat/>
    <w:uiPriority w:val="0"/>
    <w:rPr>
      <w:b/>
      <w:bCs/>
      <w:i/>
      <w:iCs/>
      <w:color w:val="4F81BD"/>
    </w:rPr>
  </w:style>
  <w:style w:type="character" w:customStyle="1" w:styleId="190">
    <w:name w:val="标题 2 Char"/>
    <w:qFormat/>
    <w:uiPriority w:val="0"/>
    <w:rPr>
      <w:rFonts w:eastAsia="黑体"/>
      <w:bCs/>
      <w:sz w:val="28"/>
      <w:lang w:val="en-US" w:eastAsia="zh-CN" w:bidi="ar-SA"/>
    </w:rPr>
  </w:style>
  <w:style w:type="character" w:customStyle="1" w:styleId="191">
    <w:name w:val="不明显参考1"/>
    <w:qFormat/>
    <w:uiPriority w:val="0"/>
    <w:rPr>
      <w:smallCaps/>
      <w:color w:val="C0504D"/>
      <w:u w:val="single"/>
    </w:rPr>
  </w:style>
  <w:style w:type="character" w:customStyle="1" w:styleId="192">
    <w:name w:val="明显参考1"/>
    <w:qFormat/>
    <w:uiPriority w:val="0"/>
    <w:rPr>
      <w:b/>
      <w:bCs/>
      <w:smallCaps/>
      <w:color w:val="C0504D"/>
      <w:spacing w:val="5"/>
      <w:u w:val="single"/>
    </w:rPr>
  </w:style>
  <w:style w:type="character" w:customStyle="1" w:styleId="193">
    <w:name w:val="lawsitemtitle"/>
    <w:basedOn w:val="47"/>
    <w:qFormat/>
    <w:uiPriority w:val="0"/>
  </w:style>
  <w:style w:type="character" w:customStyle="1" w:styleId="194">
    <w:name w:val="不明显强调1"/>
    <w:qFormat/>
    <w:uiPriority w:val="0"/>
    <w:rPr>
      <w:i/>
      <w:iCs/>
      <w:color w:val="808080"/>
    </w:rPr>
  </w:style>
  <w:style w:type="character" w:customStyle="1" w:styleId="195">
    <w:name w:val="Char Char Char Char Char"/>
    <w:qFormat/>
    <w:uiPriority w:val="0"/>
    <w:rPr>
      <w:rFonts w:eastAsia="宋体"/>
      <w:kern w:val="2"/>
      <w:sz w:val="24"/>
      <w:lang w:val="en-US" w:eastAsia="zh-CN" w:bidi="ar-SA"/>
    </w:rPr>
  </w:style>
  <w:style w:type="character" w:customStyle="1" w:styleId="196">
    <w:name w:val="headline-content2"/>
    <w:basedOn w:val="47"/>
    <w:qFormat/>
    <w:uiPriority w:val="0"/>
  </w:style>
  <w:style w:type="character" w:customStyle="1" w:styleId="197">
    <w:name w:val="批注主题 Char1"/>
    <w:qFormat/>
    <w:uiPriority w:val="0"/>
    <w:rPr>
      <w:b/>
      <w:bCs/>
    </w:rPr>
  </w:style>
  <w:style w:type="character" w:customStyle="1" w:styleId="198">
    <w:name w:val="style6"/>
    <w:basedOn w:val="47"/>
    <w:qFormat/>
    <w:uiPriority w:val="0"/>
  </w:style>
  <w:style w:type="character" w:customStyle="1" w:styleId="199">
    <w:name w:val="text_edit editable-title"/>
    <w:basedOn w:val="47"/>
    <w:qFormat/>
    <w:uiPriority w:val="0"/>
  </w:style>
  <w:style w:type="character" w:customStyle="1" w:styleId="200">
    <w:name w:val="Char Char14"/>
    <w:qFormat/>
    <w:uiPriority w:val="0"/>
    <w:rPr>
      <w:rFonts w:eastAsia="宋体"/>
      <w:bCs/>
      <w:kern w:val="2"/>
      <w:sz w:val="24"/>
      <w:szCs w:val="28"/>
      <w:lang w:val="en-US" w:eastAsia="zh-CN" w:bidi="ar-SA"/>
    </w:rPr>
  </w:style>
  <w:style w:type="character" w:customStyle="1" w:styleId="201">
    <w:name w:val="条标题1.1.1 Char"/>
    <w:qFormat/>
    <w:uiPriority w:val="0"/>
    <w:rPr>
      <w:rFonts w:eastAsia="宋体"/>
      <w:bCs/>
      <w:kern w:val="2"/>
      <w:sz w:val="24"/>
      <w:szCs w:val="32"/>
      <w:lang w:val="en-US" w:eastAsia="zh-CN" w:bidi="ar-SA"/>
    </w:rPr>
  </w:style>
  <w:style w:type="character" w:customStyle="1" w:styleId="202">
    <w:name w:val="日期 Char1"/>
    <w:basedOn w:val="47"/>
    <w:qFormat/>
    <w:uiPriority w:val="0"/>
  </w:style>
  <w:style w:type="character" w:customStyle="1" w:styleId="203">
    <w:name w:val="表头 Char"/>
    <w:qFormat/>
    <w:uiPriority w:val="0"/>
    <w:rPr>
      <w:rFonts w:eastAsia="黑体"/>
      <w:kern w:val="2"/>
      <w:sz w:val="24"/>
      <w:szCs w:val="24"/>
      <w:lang w:val="en-US" w:eastAsia="zh-CN" w:bidi="ar-SA"/>
    </w:rPr>
  </w:style>
  <w:style w:type="character" w:customStyle="1" w:styleId="204">
    <w:name w:val="style431"/>
    <w:qFormat/>
    <w:uiPriority w:val="0"/>
    <w:rPr>
      <w:color w:val="030303"/>
      <w:sz w:val="18"/>
      <w:szCs w:val="18"/>
      <w:u w:val="none"/>
    </w:rPr>
  </w:style>
  <w:style w:type="character" w:customStyle="1" w:styleId="205">
    <w:name w:val="t_tag"/>
    <w:basedOn w:val="47"/>
    <w:qFormat/>
    <w:uiPriority w:val="0"/>
  </w:style>
  <w:style w:type="character" w:customStyle="1" w:styleId="206">
    <w:name w:val="Char Char16"/>
    <w:qFormat/>
    <w:uiPriority w:val="0"/>
    <w:rPr>
      <w:rFonts w:eastAsia="宋体"/>
      <w:b/>
      <w:bCs/>
      <w:kern w:val="2"/>
      <w:sz w:val="30"/>
      <w:szCs w:val="32"/>
      <w:lang w:val="en-US" w:eastAsia="zh-CN" w:bidi="ar-SA"/>
    </w:rPr>
  </w:style>
  <w:style w:type="character" w:customStyle="1" w:styleId="207">
    <w:name w:val="Char Char Char Char3"/>
    <w:qFormat/>
    <w:uiPriority w:val="0"/>
    <w:rPr>
      <w:rFonts w:eastAsia="宋体"/>
      <w:kern w:val="2"/>
      <w:sz w:val="24"/>
      <w:lang w:val="en-US" w:eastAsia="zh-CN" w:bidi="ar-SA"/>
    </w:rPr>
  </w:style>
  <w:style w:type="character" w:customStyle="1" w:styleId="208">
    <w:name w:val="Char Char9"/>
    <w:qFormat/>
    <w:uiPriority w:val="0"/>
    <w:rPr>
      <w:rFonts w:eastAsia="宋体"/>
      <w:kern w:val="2"/>
      <w:sz w:val="24"/>
      <w:lang w:val="en-US" w:eastAsia="zh-CN" w:bidi="ar-SA"/>
    </w:rPr>
  </w:style>
  <w:style w:type="character" w:customStyle="1" w:styleId="209">
    <w:name w:val="标题 7 Char Char"/>
    <w:qFormat/>
    <w:uiPriority w:val="0"/>
    <w:rPr>
      <w:rFonts w:eastAsia="宋体"/>
      <w:b/>
      <w:bCs/>
      <w:kern w:val="2"/>
      <w:sz w:val="24"/>
      <w:szCs w:val="24"/>
      <w:lang w:val="en-US" w:eastAsia="zh-CN" w:bidi="ar-SA"/>
    </w:rPr>
  </w:style>
  <w:style w:type="character" w:customStyle="1" w:styleId="210">
    <w:name w:val="正文（首行缩进两字） Char Char Char Char Char Char Char Char"/>
    <w:qFormat/>
    <w:uiPriority w:val="0"/>
    <w:rPr>
      <w:rFonts w:eastAsia="宋体"/>
      <w:kern w:val="2"/>
      <w:sz w:val="21"/>
      <w:szCs w:val="24"/>
      <w:lang w:val="en-US" w:eastAsia="zh-CN" w:bidi="ar-SA"/>
    </w:rPr>
  </w:style>
  <w:style w:type="character" w:customStyle="1" w:styleId="211">
    <w:name w:val="Char Char18"/>
    <w:qFormat/>
    <w:uiPriority w:val="0"/>
    <w:rPr>
      <w:rFonts w:eastAsia="宋体"/>
      <w:kern w:val="2"/>
      <w:sz w:val="18"/>
      <w:lang w:val="en-US" w:eastAsia="zh-CN" w:bidi="ar-SA"/>
    </w:rPr>
  </w:style>
  <w:style w:type="character" w:customStyle="1" w:styleId="212">
    <w:name w:val="Char Char19"/>
    <w:qFormat/>
    <w:uiPriority w:val="0"/>
    <w:rPr>
      <w:rFonts w:eastAsia="宋体"/>
      <w:kern w:val="2"/>
      <w:sz w:val="18"/>
      <w:lang w:val="en-US" w:eastAsia="zh-CN" w:bidi="ar-SA"/>
    </w:rPr>
  </w:style>
  <w:style w:type="character" w:customStyle="1" w:styleId="213">
    <w:name w:val="Char Char10"/>
    <w:qFormat/>
    <w:uiPriority w:val="0"/>
    <w:rPr>
      <w:rFonts w:eastAsia="宋体"/>
      <w:b/>
      <w:kern w:val="2"/>
      <w:sz w:val="24"/>
      <w:lang w:val="en-US" w:eastAsia="zh-CN" w:bidi="ar-SA"/>
    </w:rPr>
  </w:style>
  <w:style w:type="character" w:customStyle="1" w:styleId="214">
    <w:name w:val="普通文字 Char Char1"/>
    <w:qFormat/>
    <w:uiPriority w:val="0"/>
    <w:rPr>
      <w:rFonts w:ascii="Courier New" w:hAnsi="Courier New" w:eastAsia="宋体"/>
      <w:kern w:val="2"/>
      <w:sz w:val="15"/>
      <w:lang w:val="en-US" w:eastAsia="zh-CN" w:bidi="ar-SA"/>
    </w:rPr>
  </w:style>
  <w:style w:type="character" w:customStyle="1" w:styleId="215">
    <w:name w:val="表粗 Char Char"/>
    <w:qFormat/>
    <w:uiPriority w:val="0"/>
    <w:rPr>
      <w:rFonts w:ascii="Arial" w:hAnsi="Arial" w:eastAsia="仿宋_GB2312"/>
      <w:b/>
      <w:kern w:val="2"/>
      <w:sz w:val="21"/>
      <w:lang w:val="en-US" w:eastAsia="zh-CN"/>
    </w:rPr>
  </w:style>
  <w:style w:type="character" w:customStyle="1" w:styleId="216">
    <w:name w:val="正文缩进 Char2"/>
    <w:qFormat/>
    <w:uiPriority w:val="0"/>
    <w:rPr>
      <w:rFonts w:eastAsia="宋体"/>
      <w:color w:val="000000"/>
      <w:kern w:val="2"/>
      <w:sz w:val="24"/>
      <w:lang w:val="en-US" w:eastAsia="zh-CN"/>
    </w:rPr>
  </w:style>
  <w:style w:type="character" w:customStyle="1" w:styleId="217">
    <w:name w:val="纯文本 Char1"/>
    <w:qFormat/>
    <w:uiPriority w:val="0"/>
    <w:rPr>
      <w:rFonts w:ascii="宋体" w:eastAsia="宋体"/>
      <w:sz w:val="28"/>
      <w:lang w:val="en-US" w:eastAsia="zh-CN"/>
    </w:rPr>
  </w:style>
  <w:style w:type="character" w:customStyle="1" w:styleId="218">
    <w:name w:val="报告正文 Char Char"/>
    <w:qFormat/>
    <w:uiPriority w:val="0"/>
    <w:rPr>
      <w:rFonts w:ascii="Times New Roman" w:hAnsi="Times New Roman" w:eastAsia="宋体"/>
      <w:sz w:val="24"/>
    </w:rPr>
  </w:style>
  <w:style w:type="character" w:customStyle="1" w:styleId="219">
    <w:name w:val="样式 表格文字居中 Char + 五号 黑色1"/>
    <w:qFormat/>
    <w:uiPriority w:val="0"/>
    <w:rPr>
      <w:rFonts w:ascii="宋体" w:eastAsia="宋体" w:cs="宋体"/>
      <w:color w:val="000000"/>
      <w:kern w:val="2"/>
      <w:sz w:val="24"/>
      <w:szCs w:val="24"/>
      <w:lang w:val="en-US" w:eastAsia="zh-CN"/>
    </w:rPr>
  </w:style>
  <w:style w:type="character" w:customStyle="1" w:styleId="220">
    <w:name w:val="表格文字 Char Char"/>
    <w:qFormat/>
    <w:uiPriority w:val="0"/>
    <w:rPr>
      <w:rFonts w:eastAsia="宋体"/>
      <w:color w:val="000000"/>
      <w:kern w:val="2"/>
      <w:sz w:val="21"/>
      <w:szCs w:val="21"/>
      <w:lang w:val="en-US" w:eastAsia="zh-CN" w:bidi="ar-SA"/>
    </w:rPr>
  </w:style>
  <w:style w:type="character" w:customStyle="1" w:styleId="221">
    <w:name w:val="big"/>
    <w:qFormat/>
    <w:uiPriority w:val="0"/>
  </w:style>
  <w:style w:type="character" w:customStyle="1" w:styleId="222">
    <w:name w:val="占位符文本1"/>
    <w:qFormat/>
    <w:uiPriority w:val="0"/>
    <w:rPr>
      <w:color w:val="808080"/>
    </w:rPr>
  </w:style>
  <w:style w:type="character" w:customStyle="1" w:styleId="223">
    <w:name w:val="fontstrikethrough"/>
    <w:qFormat/>
    <w:uiPriority w:val="0"/>
    <w:rPr>
      <w:strike/>
    </w:rPr>
  </w:style>
  <w:style w:type="character" w:customStyle="1" w:styleId="224">
    <w:name w:val="fontborder"/>
    <w:qFormat/>
    <w:uiPriority w:val="0"/>
    <w:rPr>
      <w:bdr w:val="single" w:color="000000" w:sz="6" w:space="0"/>
    </w:rPr>
  </w:style>
  <w:style w:type="character" w:customStyle="1" w:styleId="225">
    <w:name w:val="release-day"/>
    <w:qFormat/>
    <w:uiPriority w:val="0"/>
    <w:rPr>
      <w:bdr w:val="single" w:color="BDEBB0" w:sz="6" w:space="0"/>
      <w:shd w:val="clear" w:color="auto" w:fill="F5FFF1"/>
    </w:rPr>
  </w:style>
  <w:style w:type="character" w:customStyle="1" w:styleId="226">
    <w:name w:val="num"/>
    <w:qFormat/>
    <w:uiPriority w:val="0"/>
    <w:rPr>
      <w:b/>
      <w:color w:val="FF7800"/>
    </w:rPr>
  </w:style>
  <w:style w:type="character" w:customStyle="1" w:styleId="227">
    <w:name w:val="answer-title12"/>
    <w:basedOn w:val="47"/>
    <w:qFormat/>
    <w:uiPriority w:val="0"/>
  </w:style>
  <w:style w:type="character" w:customStyle="1" w:styleId="228">
    <w:name w:val="item-name"/>
    <w:basedOn w:val="47"/>
    <w:qFormat/>
    <w:uiPriority w:val="0"/>
  </w:style>
  <w:style w:type="character" w:customStyle="1" w:styleId="229">
    <w:name w:val="item-name1"/>
    <w:basedOn w:val="47"/>
    <w:qFormat/>
    <w:uiPriority w:val="0"/>
  </w:style>
  <w:style w:type="character" w:customStyle="1" w:styleId="230">
    <w:name w:val="font31"/>
    <w:qFormat/>
    <w:uiPriority w:val="0"/>
    <w:rPr>
      <w:rFonts w:ascii="宋体" w:eastAsia="宋体" w:cs="宋体"/>
      <w:b/>
      <w:color w:val="000000"/>
      <w:sz w:val="21"/>
      <w:szCs w:val="21"/>
      <w:u w:val="none"/>
    </w:rPr>
  </w:style>
  <w:style w:type="character" w:customStyle="1" w:styleId="231">
    <w:name w:val="font41"/>
    <w:qFormat/>
    <w:uiPriority w:val="0"/>
    <w:rPr>
      <w:rFonts w:ascii="Times New Roman" w:hAnsi="Times New Roman" w:cs="Times New Roman"/>
      <w:b/>
      <w:color w:val="000000"/>
      <w:sz w:val="21"/>
      <w:szCs w:val="21"/>
      <w:u w:val="none"/>
    </w:rPr>
  </w:style>
  <w:style w:type="character" w:customStyle="1" w:styleId="232">
    <w:name w:val="font11"/>
    <w:qFormat/>
    <w:uiPriority w:val="0"/>
    <w:rPr>
      <w:rFonts w:ascii="Times New Roman" w:hAnsi="Times New Roman" w:cs="Times New Roman"/>
      <w:color w:val="000000"/>
      <w:sz w:val="21"/>
      <w:szCs w:val="21"/>
      <w:u w:val="none"/>
    </w:rPr>
  </w:style>
  <w:style w:type="character" w:customStyle="1" w:styleId="233">
    <w:name w:val="font21"/>
    <w:qFormat/>
    <w:uiPriority w:val="0"/>
    <w:rPr>
      <w:rFonts w:ascii="宋体" w:eastAsia="宋体" w:cs="宋体"/>
      <w:color w:val="000000"/>
      <w:sz w:val="21"/>
      <w:szCs w:val="21"/>
      <w:u w:val="none"/>
    </w:rPr>
  </w:style>
  <w:style w:type="character" w:customStyle="1" w:styleId="234">
    <w:name w:val="font51"/>
    <w:qFormat/>
    <w:uiPriority w:val="0"/>
    <w:rPr>
      <w:rFonts w:ascii="宋体" w:eastAsia="宋体" w:cs="宋体"/>
      <w:b/>
      <w:color w:val="000000"/>
      <w:sz w:val="21"/>
      <w:szCs w:val="21"/>
      <w:u w:val="none"/>
    </w:rPr>
  </w:style>
  <w:style w:type="character" w:customStyle="1" w:styleId="235">
    <w:name w:val="fontstyle01"/>
    <w:qFormat/>
    <w:uiPriority w:val="0"/>
    <w:rPr>
      <w:rFonts w:ascii="宋体" w:eastAsia="宋体" w:cs="宋体"/>
      <w:color w:val="000000"/>
      <w:sz w:val="24"/>
      <w:szCs w:val="24"/>
    </w:rPr>
  </w:style>
  <w:style w:type="character" w:customStyle="1" w:styleId="236">
    <w:name w:val="font71"/>
    <w:qFormat/>
    <w:uiPriority w:val="0"/>
    <w:rPr>
      <w:rFonts w:ascii="宋体" w:eastAsia="宋体" w:cs="宋体"/>
      <w:color w:val="FF0000"/>
      <w:sz w:val="21"/>
      <w:szCs w:val="21"/>
      <w:u w:val="none"/>
    </w:rPr>
  </w:style>
  <w:style w:type="character" w:customStyle="1" w:styleId="237">
    <w:name w:val="font61"/>
    <w:qFormat/>
    <w:uiPriority w:val="0"/>
    <w:rPr>
      <w:rFonts w:ascii="宋体" w:eastAsia="宋体" w:cs="宋体"/>
      <w:color w:val="000000"/>
      <w:sz w:val="21"/>
      <w:szCs w:val="21"/>
      <w:u w:val="none"/>
      <w:vertAlign w:val="subscript"/>
    </w:rPr>
  </w:style>
  <w:style w:type="character" w:customStyle="1" w:styleId="238">
    <w:name w:val="正文文本 Char2"/>
    <w:qFormat/>
    <w:uiPriority w:val="0"/>
    <w:rPr>
      <w:rFonts w:eastAsia="宋体"/>
      <w:kern w:val="2"/>
      <w:sz w:val="21"/>
      <w:szCs w:val="24"/>
      <w:lang w:val="en-US" w:eastAsia="zh-CN" w:bidi="ar-SA"/>
    </w:rPr>
  </w:style>
  <w:style w:type="paragraph" w:customStyle="1" w:styleId="239">
    <w:name w:val="段"/>
    <w:link w:val="248"/>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table" w:customStyle="1" w:styleId="240">
    <w:name w:val="网格型1"/>
    <w:basedOn w:val="45"/>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241">
    <w:name w:val="文章正文样式 Char"/>
    <w:basedOn w:val="47"/>
    <w:link w:val="163"/>
    <w:qFormat/>
    <w:locked/>
    <w:uiPriority w:val="0"/>
    <w:rPr>
      <w:rFonts w:ascii="宋体" w:hAnsi="Calibri" w:cs="宋体"/>
      <w:kern w:val="2"/>
      <w:sz w:val="24"/>
    </w:rPr>
  </w:style>
  <w:style w:type="character" w:customStyle="1" w:styleId="242">
    <w:name w:val="样式37 Char Char"/>
    <w:basedOn w:val="47"/>
    <w:link w:val="243"/>
    <w:qFormat/>
    <w:locked/>
    <w:uiPriority w:val="0"/>
    <w:rPr>
      <w:color w:val="000000"/>
      <w:sz w:val="24"/>
      <w:szCs w:val="24"/>
    </w:rPr>
  </w:style>
  <w:style w:type="paragraph" w:customStyle="1" w:styleId="243">
    <w:name w:val="样式37"/>
    <w:basedOn w:val="1"/>
    <w:link w:val="242"/>
    <w:qFormat/>
    <w:uiPriority w:val="0"/>
    <w:pPr>
      <w:autoSpaceDE w:val="0"/>
      <w:autoSpaceDN w:val="0"/>
      <w:adjustRightInd w:val="0"/>
      <w:spacing w:beforeLines="50" w:afterLines="50" w:line="360" w:lineRule="auto"/>
      <w:ind w:firstLine="480" w:firstLineChars="200"/>
    </w:pPr>
    <w:rPr>
      <w:rFonts w:ascii="Times New Roman" w:hAnsi="Times New Roman" w:cs="Times New Roman"/>
      <w:color w:val="000000"/>
      <w:kern w:val="0"/>
      <w:sz w:val="24"/>
      <w:szCs w:val="24"/>
    </w:rPr>
  </w:style>
  <w:style w:type="character" w:customStyle="1" w:styleId="244">
    <w:name w:val="正文样式1 Char Char"/>
    <w:basedOn w:val="47"/>
    <w:link w:val="245"/>
    <w:qFormat/>
    <w:locked/>
    <w:uiPriority w:val="0"/>
    <w:rPr>
      <w:rFonts w:ascii="宋体" w:hAnsi="宋体" w:cs="宋体"/>
      <w:color w:val="000000"/>
      <w:sz w:val="24"/>
      <w:szCs w:val="24"/>
      <w:lang w:val="zh-CN"/>
    </w:rPr>
  </w:style>
  <w:style w:type="paragraph" w:customStyle="1" w:styleId="245">
    <w:name w:val="正文样式1"/>
    <w:basedOn w:val="1"/>
    <w:link w:val="244"/>
    <w:qFormat/>
    <w:uiPriority w:val="0"/>
    <w:pPr>
      <w:autoSpaceDE w:val="0"/>
      <w:autoSpaceDN w:val="0"/>
      <w:adjustRightInd w:val="0"/>
      <w:spacing w:line="360" w:lineRule="auto"/>
      <w:ind w:firstLine="482"/>
    </w:pPr>
    <w:rPr>
      <w:rFonts w:ascii="宋体" w:hAnsi="宋体" w:cs="宋体"/>
      <w:color w:val="000000"/>
      <w:kern w:val="0"/>
      <w:sz w:val="24"/>
      <w:szCs w:val="24"/>
      <w:lang w:val="zh-CN"/>
    </w:rPr>
  </w:style>
  <w:style w:type="paragraph" w:styleId="246">
    <w:name w:val="List Paragraph"/>
    <w:basedOn w:val="1"/>
    <w:unhideWhenUsed/>
    <w:qFormat/>
    <w:uiPriority w:val="99"/>
    <w:pPr>
      <w:ind w:firstLine="420" w:firstLineChars="200"/>
    </w:pPr>
  </w:style>
  <w:style w:type="paragraph" w:customStyle="1" w:styleId="247">
    <w:name w:val="Table Paragraph"/>
    <w:basedOn w:val="1"/>
    <w:qFormat/>
    <w:uiPriority w:val="1"/>
    <w:pPr>
      <w:jc w:val="center"/>
    </w:pPr>
    <w:rPr>
      <w:rFonts w:ascii="Times New Roman" w:hAnsi="Times New Roman" w:eastAsia="Times New Roman" w:cs="Times New Roman"/>
    </w:rPr>
  </w:style>
  <w:style w:type="character" w:customStyle="1" w:styleId="248">
    <w:name w:val="段 Char"/>
    <w:basedOn w:val="47"/>
    <w:link w:val="239"/>
    <w:qFormat/>
    <w:uiPriority w:val="0"/>
    <w:rPr>
      <w:rFonts w:ascii="宋体" w:hAnsi="Times New Roman" w:eastAsia="宋体" w:cs="Times New Roman"/>
      <w:sz w:val="21"/>
      <w:szCs w:val="22"/>
    </w:rPr>
  </w:style>
  <w:style w:type="paragraph" w:customStyle="1" w:styleId="249">
    <w:name w:val="正文（用）"/>
    <w:basedOn w:val="1"/>
    <w:qFormat/>
    <w:uiPriority w:val="0"/>
    <w:pPr>
      <w:spacing w:line="360" w:lineRule="auto"/>
      <w:ind w:firstLine="480" w:firstLineChars="200"/>
      <w:jc w:val="left"/>
    </w:pPr>
    <w:rPr>
      <w:rFonts w:ascii="宋体" w:hAnsi="宋体" w:cs="宋体"/>
    </w:rPr>
  </w:style>
  <w:style w:type="character" w:customStyle="1" w:styleId="250">
    <w:name w:val="font112"/>
    <w:basedOn w:val="47"/>
    <w:qFormat/>
    <w:uiPriority w:val="0"/>
    <w:rPr>
      <w:rFonts w:hint="eastAsia" w:ascii="宋体" w:hAnsi="宋体" w:eastAsia="宋体" w:cs="宋体"/>
      <w:color w:val="000000"/>
      <w:sz w:val="22"/>
      <w:szCs w:val="22"/>
      <w:u w:val="none"/>
    </w:rPr>
  </w:style>
  <w:style w:type="character" w:customStyle="1" w:styleId="251">
    <w:name w:val="font171"/>
    <w:basedOn w:val="47"/>
    <w:qFormat/>
    <w:uiPriority w:val="0"/>
    <w:rPr>
      <w:rFonts w:hint="default" w:ascii="Times New Roman" w:hAnsi="Times New Roman" w:cs="Times New Roman"/>
      <w:b/>
      <w:color w:val="000000"/>
      <w:sz w:val="22"/>
      <w:szCs w:val="22"/>
      <w:u w:val="none"/>
    </w:rPr>
  </w:style>
  <w:style w:type="character" w:customStyle="1" w:styleId="252">
    <w:name w:val="font81"/>
    <w:basedOn w:val="47"/>
    <w:qFormat/>
    <w:uiPriority w:val="0"/>
    <w:rPr>
      <w:rFonts w:hint="eastAsia" w:ascii="宋体" w:hAnsi="宋体" w:eastAsia="宋体" w:cs="宋体"/>
      <w:b/>
      <w:color w:val="000000"/>
      <w:sz w:val="18"/>
      <w:szCs w:val="18"/>
      <w:u w:val="none"/>
    </w:rPr>
  </w:style>
  <w:style w:type="character" w:customStyle="1" w:styleId="253">
    <w:name w:val="font161"/>
    <w:basedOn w:val="47"/>
    <w:qFormat/>
    <w:uiPriority w:val="0"/>
    <w:rPr>
      <w:rFonts w:hint="eastAsia" w:ascii="宋体" w:hAnsi="宋体" w:eastAsia="宋体" w:cs="宋体"/>
      <w:color w:val="000000"/>
      <w:sz w:val="18"/>
      <w:szCs w:val="18"/>
      <w:u w:val="none"/>
    </w:rPr>
  </w:style>
  <w:style w:type="character" w:customStyle="1" w:styleId="254">
    <w:name w:val="font101"/>
    <w:basedOn w:val="47"/>
    <w:qFormat/>
    <w:uiPriority w:val="0"/>
    <w:rPr>
      <w:rFonts w:hint="eastAsia" w:ascii="宋体" w:hAnsi="宋体" w:eastAsia="宋体" w:cs="宋体"/>
      <w:color w:val="000000"/>
      <w:sz w:val="18"/>
      <w:szCs w:val="18"/>
      <w:u w:val="single"/>
    </w:rPr>
  </w:style>
  <w:style w:type="character" w:customStyle="1" w:styleId="255">
    <w:name w:val="font181"/>
    <w:basedOn w:val="47"/>
    <w:qFormat/>
    <w:uiPriority w:val="0"/>
    <w:rPr>
      <w:rFonts w:hint="default" w:ascii="Times New Roman" w:hAnsi="Times New Roman" w:cs="Times New Roman"/>
      <w:color w:val="000000"/>
      <w:sz w:val="18"/>
      <w:szCs w:val="18"/>
      <w:u w:val="none"/>
    </w:rPr>
  </w:style>
  <w:style w:type="character" w:customStyle="1" w:styleId="256">
    <w:name w:val="font91"/>
    <w:basedOn w:val="47"/>
    <w:qFormat/>
    <w:uiPriority w:val="0"/>
    <w:rPr>
      <w:rFonts w:hint="eastAsia" w:ascii="宋体" w:hAnsi="宋体" w:eastAsia="宋体" w:cs="宋体"/>
      <w:b/>
      <w:color w:val="000000"/>
      <w:sz w:val="18"/>
      <w:szCs w:val="18"/>
      <w:u w:val="none"/>
    </w:rPr>
  </w:style>
  <w:style w:type="character" w:customStyle="1" w:styleId="257">
    <w:name w:val="font131"/>
    <w:basedOn w:val="47"/>
    <w:qFormat/>
    <w:uiPriority w:val="0"/>
    <w:rPr>
      <w:rFonts w:hint="default" w:ascii="Times New Roman" w:hAnsi="Times New Roman" w:cs="Times New Roman"/>
      <w:b/>
      <w:color w:val="000000"/>
      <w:sz w:val="18"/>
      <w:szCs w:val="18"/>
      <w:u w:val="none"/>
    </w:rPr>
  </w:style>
  <w:style w:type="character" w:customStyle="1" w:styleId="258">
    <w:name w:val="font01"/>
    <w:basedOn w:val="47"/>
    <w:qFormat/>
    <w:uiPriority w:val="0"/>
    <w:rPr>
      <w:rFonts w:hint="eastAsia" w:ascii="宋体" w:hAnsi="宋体" w:eastAsia="宋体" w:cs="宋体"/>
      <w:color w:val="000000"/>
      <w:sz w:val="16"/>
      <w:szCs w:val="16"/>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7.png"/><Relationship Id="rId98" Type="http://schemas.openxmlformats.org/officeDocument/2006/relationships/image" Target="media/image66.png"/><Relationship Id="rId97" Type="http://schemas.openxmlformats.org/officeDocument/2006/relationships/image" Target="media/image65.jpeg"/><Relationship Id="rId96" Type="http://schemas.openxmlformats.org/officeDocument/2006/relationships/image" Target="media/image64.png"/><Relationship Id="rId95" Type="http://schemas.openxmlformats.org/officeDocument/2006/relationships/image" Target="media/image63.png"/><Relationship Id="rId94" Type="http://schemas.openxmlformats.org/officeDocument/2006/relationships/image" Target="media/image62.png"/><Relationship Id="rId93" Type="http://schemas.openxmlformats.org/officeDocument/2006/relationships/image" Target="media/image61.png"/><Relationship Id="rId92" Type="http://schemas.openxmlformats.org/officeDocument/2006/relationships/image" Target="media/image60.png"/><Relationship Id="rId91" Type="http://schemas.openxmlformats.org/officeDocument/2006/relationships/image" Target="media/image59.png"/><Relationship Id="rId90" Type="http://schemas.openxmlformats.org/officeDocument/2006/relationships/image" Target="media/image58.png"/><Relationship Id="rId9" Type="http://schemas.openxmlformats.org/officeDocument/2006/relationships/footer" Target="footer5.xml"/><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png"/><Relationship Id="rId86" Type="http://schemas.openxmlformats.org/officeDocument/2006/relationships/image" Target="media/image54.png"/><Relationship Id="rId85" Type="http://schemas.openxmlformats.org/officeDocument/2006/relationships/image" Target="media/image53.png"/><Relationship Id="rId84" Type="http://schemas.openxmlformats.org/officeDocument/2006/relationships/image" Target="media/image52.png"/><Relationship Id="rId83" Type="http://schemas.openxmlformats.org/officeDocument/2006/relationships/image" Target="media/image51.png"/><Relationship Id="rId82" Type="http://schemas.openxmlformats.org/officeDocument/2006/relationships/image" Target="media/image50.png"/><Relationship Id="rId81" Type="http://schemas.openxmlformats.org/officeDocument/2006/relationships/image" Target="media/image49.png"/><Relationship Id="rId80" Type="http://schemas.openxmlformats.org/officeDocument/2006/relationships/image" Target="media/image48.png"/><Relationship Id="rId8" Type="http://schemas.openxmlformats.org/officeDocument/2006/relationships/footer" Target="footer4.xml"/><Relationship Id="rId79" Type="http://schemas.openxmlformats.org/officeDocument/2006/relationships/image" Target="media/image47.png"/><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png"/><Relationship Id="rId74" Type="http://schemas.openxmlformats.org/officeDocument/2006/relationships/image" Target="media/image42.png"/><Relationship Id="rId73" Type="http://schemas.openxmlformats.org/officeDocument/2006/relationships/image" Target="media/image41.png"/><Relationship Id="rId72" Type="http://schemas.openxmlformats.org/officeDocument/2006/relationships/image" Target="media/image40.jpeg"/><Relationship Id="rId71" Type="http://schemas.openxmlformats.org/officeDocument/2006/relationships/image" Target="media/image39.jpeg"/><Relationship Id="rId70" Type="http://schemas.openxmlformats.org/officeDocument/2006/relationships/image" Target="media/image38.png"/><Relationship Id="rId7" Type="http://schemas.openxmlformats.org/officeDocument/2006/relationships/header" Target="header2.xml"/><Relationship Id="rId69" Type="http://schemas.openxmlformats.org/officeDocument/2006/relationships/image" Target="media/image37.png"/><Relationship Id="rId68" Type="http://schemas.openxmlformats.org/officeDocument/2006/relationships/image" Target="media/image36.png"/><Relationship Id="rId67" Type="http://schemas.openxmlformats.org/officeDocument/2006/relationships/image" Target="media/image35.png"/><Relationship Id="rId66" Type="http://schemas.openxmlformats.org/officeDocument/2006/relationships/image" Target="media/image34.png"/><Relationship Id="rId65" Type="http://schemas.openxmlformats.org/officeDocument/2006/relationships/image" Target="media/image33.jpeg"/><Relationship Id="rId64" Type="http://schemas.openxmlformats.org/officeDocument/2006/relationships/image" Target="media/image32.jpeg"/><Relationship Id="rId63" Type="http://schemas.openxmlformats.org/officeDocument/2006/relationships/image" Target="media/image31.jpeg"/><Relationship Id="rId62" Type="http://schemas.openxmlformats.org/officeDocument/2006/relationships/image" Target="media/image30.jpeg"/><Relationship Id="rId61" Type="http://schemas.openxmlformats.org/officeDocument/2006/relationships/image" Target="media/image29.jpeg"/><Relationship Id="rId60" Type="http://schemas.openxmlformats.org/officeDocument/2006/relationships/image" Target="media/image28.jpeg"/><Relationship Id="rId6" Type="http://schemas.openxmlformats.org/officeDocument/2006/relationships/footer" Target="footer3.xml"/><Relationship Id="rId59" Type="http://schemas.openxmlformats.org/officeDocument/2006/relationships/image" Target="media/image27.png"/><Relationship Id="rId58" Type="http://schemas.openxmlformats.org/officeDocument/2006/relationships/image" Target="media/image26.jpeg"/><Relationship Id="rId57" Type="http://schemas.openxmlformats.org/officeDocument/2006/relationships/image" Target="media/image25.jpeg"/><Relationship Id="rId56" Type="http://schemas.openxmlformats.org/officeDocument/2006/relationships/image" Target="media/image24.jpeg"/><Relationship Id="rId55" Type="http://schemas.openxmlformats.org/officeDocument/2006/relationships/image" Target="media/image23.png"/><Relationship Id="rId54" Type="http://schemas.openxmlformats.org/officeDocument/2006/relationships/image" Target="media/image22.png"/><Relationship Id="rId53" Type="http://schemas.openxmlformats.org/officeDocument/2006/relationships/image" Target="media/image21.png"/><Relationship Id="rId52" Type="http://schemas.openxmlformats.org/officeDocument/2006/relationships/image" Target="media/image20.png"/><Relationship Id="rId51" Type="http://schemas.openxmlformats.org/officeDocument/2006/relationships/image" Target="media/image19.png"/><Relationship Id="rId50" Type="http://schemas.openxmlformats.org/officeDocument/2006/relationships/image" Target="media/image18.wmf"/><Relationship Id="rId5" Type="http://schemas.openxmlformats.org/officeDocument/2006/relationships/footer" Target="footer2.xml"/><Relationship Id="rId49" Type="http://schemas.openxmlformats.org/officeDocument/2006/relationships/image" Target="media/image17.wmf"/><Relationship Id="rId48" Type="http://schemas.openxmlformats.org/officeDocument/2006/relationships/image" Target="media/image16.wmf"/><Relationship Id="rId47" Type="http://schemas.openxmlformats.org/officeDocument/2006/relationships/image" Target="media/image15.wmf"/><Relationship Id="rId46" Type="http://schemas.openxmlformats.org/officeDocument/2006/relationships/image" Target="media/image14.wmf"/><Relationship Id="rId45" Type="http://schemas.openxmlformats.org/officeDocument/2006/relationships/image" Target="media/image13.wmf"/><Relationship Id="rId44" Type="http://schemas.openxmlformats.org/officeDocument/2006/relationships/image" Target="media/image12.wmf"/><Relationship Id="rId43" Type="http://schemas.openxmlformats.org/officeDocument/2006/relationships/image" Target="media/image11.wmf"/><Relationship Id="rId42" Type="http://schemas.openxmlformats.org/officeDocument/2006/relationships/image" Target="media/image10.jpeg"/><Relationship Id="rId41" Type="http://schemas.openxmlformats.org/officeDocument/2006/relationships/image" Target="media/image9.wmf"/><Relationship Id="rId40" Type="http://schemas.openxmlformats.org/officeDocument/2006/relationships/image" Target="media/image8.wmf"/><Relationship Id="rId4" Type="http://schemas.openxmlformats.org/officeDocument/2006/relationships/footer" Target="footer1.xml"/><Relationship Id="rId39" Type="http://schemas.openxmlformats.org/officeDocument/2006/relationships/image" Target="media/image7.png"/><Relationship Id="rId38" Type="http://schemas.openxmlformats.org/officeDocument/2006/relationships/image" Target="media/image6.png"/><Relationship Id="rId37" Type="http://schemas.openxmlformats.org/officeDocument/2006/relationships/image" Target="media/image5.png"/><Relationship Id="rId36" Type="http://schemas.openxmlformats.org/officeDocument/2006/relationships/image" Target="media/image4.png"/><Relationship Id="rId35" Type="http://schemas.openxmlformats.org/officeDocument/2006/relationships/image" Target="media/image3.wmf"/><Relationship Id="rId34" Type="http://schemas.openxmlformats.org/officeDocument/2006/relationships/oleObject" Target="embeddings/oleObject1.bin"/><Relationship Id="rId33" Type="http://schemas.openxmlformats.org/officeDocument/2006/relationships/image" Target="media/image2.png"/><Relationship Id="rId32" Type="http://schemas.openxmlformats.org/officeDocument/2006/relationships/theme" Target="theme/theme1.xml"/><Relationship Id="rId31" Type="http://schemas.openxmlformats.org/officeDocument/2006/relationships/footer" Target="footer19.xml"/><Relationship Id="rId30" Type="http://schemas.openxmlformats.org/officeDocument/2006/relationships/header" Target="header10.xml"/><Relationship Id="rId3" Type="http://schemas.openxmlformats.org/officeDocument/2006/relationships/header" Target="header1.xml"/><Relationship Id="rId29" Type="http://schemas.openxmlformats.org/officeDocument/2006/relationships/footer" Target="footer18.xml"/><Relationship Id="rId28" Type="http://schemas.openxmlformats.org/officeDocument/2006/relationships/header" Target="header9.xml"/><Relationship Id="rId27" Type="http://schemas.openxmlformats.org/officeDocument/2006/relationships/header" Target="header8.xml"/><Relationship Id="rId26" Type="http://schemas.openxmlformats.org/officeDocument/2006/relationships/footer" Target="footer17.xml"/><Relationship Id="rId25" Type="http://schemas.openxmlformats.org/officeDocument/2006/relationships/footer" Target="footer16.xml"/><Relationship Id="rId24" Type="http://schemas.openxmlformats.org/officeDocument/2006/relationships/footer" Target="footer15.xml"/><Relationship Id="rId23" Type="http://schemas.openxmlformats.org/officeDocument/2006/relationships/footer" Target="footer14.xml"/><Relationship Id="rId22" Type="http://schemas.openxmlformats.org/officeDocument/2006/relationships/header" Target="header7.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header" Target="header5.xml"/><Relationship Id="rId16" Type="http://schemas.openxmlformats.org/officeDocument/2006/relationships/header" Target="header4.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header" Target="header3.xml"/><Relationship Id="rId11" Type="http://schemas.openxmlformats.org/officeDocument/2006/relationships/footer" Target="footer7.xml"/><Relationship Id="rId103" Type="http://schemas.openxmlformats.org/officeDocument/2006/relationships/fontTable" Target="fontTable.xml"/><Relationship Id="rId102" Type="http://schemas.openxmlformats.org/officeDocument/2006/relationships/customXml" Target="../customXml/item2.xml"/><Relationship Id="rId101" Type="http://schemas.openxmlformats.org/officeDocument/2006/relationships/numbering" Target="numbering.xml"/><Relationship Id="rId100" Type="http://schemas.openxmlformats.org/officeDocument/2006/relationships/customXml" Target="../customXml/item1.xml"/><Relationship Id="rId10" Type="http://schemas.openxmlformats.org/officeDocument/2006/relationships/footer" Target="footer6.xml"/><Relationship Id="rId1" Type="http://schemas.openxmlformats.org/officeDocument/2006/relationships/styles" Target="styles.xml"/></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9AF0FA-94E0-4218-BEB3-F4CF57266FF0}">
  <ds:schemaRefs/>
</ds:datastoreItem>
</file>

<file path=docProps/app.xml><?xml version="1.0" encoding="utf-8"?>
<Properties xmlns="http://schemas.openxmlformats.org/officeDocument/2006/extended-properties" xmlns:vt="http://schemas.openxmlformats.org/officeDocument/2006/docPropsVTypes">
  <Template>Normal</Template>
  <Company>Micorosoft</Company>
  <Pages>116</Pages>
  <Words>14245</Words>
  <Characters>81198</Characters>
  <Lines>676</Lines>
  <Paragraphs>190</Paragraphs>
  <TotalTime>12</TotalTime>
  <ScaleCrop>false</ScaleCrop>
  <LinksUpToDate>false</LinksUpToDate>
  <CharactersWithSpaces>95253</CharactersWithSpaces>
  <Application>WPS Office_11.1.0.8894_F1E327BC-269C-435d-A152-05C5408002CA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category>报告书</cp:category>
  <dcterms:created xsi:type="dcterms:W3CDTF">2019-06-17T13:09:00Z</dcterms:created>
  <dc:creator>Gary;刘宇灏 博环</dc:creator>
  <cp:lastModifiedBy>杏子</cp:lastModifiedBy>
  <cp:lastPrinted>2019-08-02T08:19:00Z</cp:lastPrinted>
  <dcterms:modified xsi:type="dcterms:W3CDTF">2019-08-05T06:10:04Z</dcterms:modified>
  <dc:title>岳阳市凌峰化工有限公司二期（石油炼化废弃物综合利用）环境影响报告书</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