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right"/>
        <w:rPr>
          <w:rFonts w:ascii="仿宋" w:hAnsi="仿宋" w:eastAsia="仿宋"/>
          <w:sz w:val="32"/>
          <w:szCs w:val="32"/>
        </w:rPr>
      </w:pPr>
    </w:p>
    <w:p>
      <w:pPr>
        <w:spacing w:line="480" w:lineRule="exact"/>
        <w:jc w:val="right"/>
        <w:rPr>
          <w:rFonts w:ascii="仿宋" w:hAnsi="仿宋" w:eastAsia="仿宋"/>
          <w:sz w:val="32"/>
          <w:szCs w:val="32"/>
        </w:rPr>
      </w:pPr>
    </w:p>
    <w:p>
      <w:pPr>
        <w:spacing w:line="480" w:lineRule="exact"/>
        <w:jc w:val="right"/>
        <w:rPr>
          <w:rFonts w:ascii="仿宋" w:hAnsi="仿宋" w:eastAsia="仿宋"/>
          <w:sz w:val="32"/>
          <w:szCs w:val="32"/>
        </w:rPr>
      </w:pPr>
    </w:p>
    <w:p>
      <w:pPr>
        <w:spacing w:line="480" w:lineRule="exact"/>
        <w:jc w:val="right"/>
        <w:rPr>
          <w:rFonts w:ascii="仿宋" w:hAnsi="仿宋" w:eastAsia="仿宋"/>
          <w:sz w:val="32"/>
          <w:szCs w:val="32"/>
        </w:rPr>
      </w:pPr>
    </w:p>
    <w:p>
      <w:pPr>
        <w:spacing w:line="480" w:lineRule="exact"/>
        <w:jc w:val="right"/>
        <w:rPr>
          <w:rFonts w:ascii="仿宋" w:hAnsi="仿宋" w:eastAsia="仿宋"/>
          <w:sz w:val="32"/>
          <w:szCs w:val="32"/>
        </w:rPr>
      </w:pPr>
    </w:p>
    <w:p>
      <w:pPr>
        <w:pStyle w:val="10"/>
        <w:widowControl/>
        <w:spacing w:line="500" w:lineRule="exact"/>
        <w:ind w:firstLine="640"/>
        <w:jc w:val="right"/>
        <w:rPr>
          <w:rFonts w:ascii="仿宋" w:hAnsi="仿宋" w:eastAsia="仿宋" w:cs="仿宋"/>
          <w:sz w:val="32"/>
          <w:szCs w:val="32"/>
        </w:rPr>
      </w:pPr>
      <w:bookmarkStart w:id="2" w:name="_GoBack"/>
      <w:r>
        <w:rPr>
          <w:rFonts w:hint="eastAsia" w:ascii="仿宋" w:hAnsi="仿宋" w:eastAsia="仿宋" w:cs="仿宋"/>
          <w:sz w:val="32"/>
          <w:szCs w:val="32"/>
        </w:rPr>
        <w:t>岳环评 [2019]</w:t>
      </w:r>
      <w:r>
        <w:rPr>
          <w:rFonts w:hint="eastAsia" w:ascii="仿宋" w:hAnsi="仿宋" w:eastAsia="仿宋" w:cs="仿宋"/>
          <w:sz w:val="32"/>
          <w:szCs w:val="32"/>
          <w:lang w:val="en-US" w:eastAsia="zh-CN"/>
        </w:rPr>
        <w:t>93</w:t>
      </w:r>
      <w:r>
        <w:rPr>
          <w:rFonts w:hint="eastAsia" w:ascii="仿宋" w:hAnsi="仿宋" w:eastAsia="仿宋" w:cs="仿宋"/>
          <w:sz w:val="32"/>
          <w:szCs w:val="32"/>
        </w:rPr>
        <w:t>号</w:t>
      </w:r>
    </w:p>
    <w:bookmarkEnd w:id="2"/>
    <w:p>
      <w:pPr>
        <w:spacing w:line="360" w:lineRule="auto"/>
        <w:jc w:val="center"/>
        <w:rPr>
          <w:rFonts w:cs="黑体" w:asciiTheme="majorEastAsia" w:hAnsiTheme="majorEastAsia" w:eastAsiaTheme="majorEastAsia"/>
          <w:b/>
          <w:sz w:val="36"/>
          <w:szCs w:val="36"/>
        </w:rPr>
      </w:pPr>
      <w:r>
        <w:rPr>
          <w:rFonts w:hint="eastAsia" w:cs="黑体" w:asciiTheme="majorEastAsia" w:hAnsiTheme="majorEastAsia" w:eastAsiaTheme="majorEastAsia"/>
          <w:b/>
          <w:sz w:val="36"/>
          <w:szCs w:val="36"/>
        </w:rPr>
        <w:t>关于湖南兴发化工有限公司年产5万吨焦亚硫酸钠改扩建及年产1200吨七水硫酸镁项目环境影响报告书的</w:t>
      </w:r>
    </w:p>
    <w:p>
      <w:pPr>
        <w:spacing w:line="360" w:lineRule="auto"/>
        <w:jc w:val="center"/>
        <w:rPr>
          <w:rFonts w:cs="黑体" w:asciiTheme="majorEastAsia" w:hAnsiTheme="majorEastAsia" w:eastAsiaTheme="majorEastAsia"/>
          <w:b/>
          <w:sz w:val="36"/>
          <w:szCs w:val="36"/>
        </w:rPr>
      </w:pPr>
      <w:r>
        <w:rPr>
          <w:rFonts w:hint="eastAsia" w:cs="黑体" w:asciiTheme="majorEastAsia" w:hAnsiTheme="majorEastAsia" w:eastAsiaTheme="majorEastAsia"/>
          <w:b/>
          <w:sz w:val="36"/>
          <w:szCs w:val="36"/>
        </w:rPr>
        <w:t>批  复</w:t>
      </w:r>
    </w:p>
    <w:p>
      <w:pPr>
        <w:spacing w:line="360" w:lineRule="auto"/>
        <w:jc w:val="center"/>
        <w:rPr>
          <w:rFonts w:ascii="黑体" w:hAnsi="黑体" w:eastAsia="黑体" w:cs="黑体"/>
          <w:b/>
          <w:sz w:val="36"/>
          <w:szCs w:val="36"/>
          <w:highlight w:val="yellow"/>
        </w:rPr>
      </w:pPr>
    </w:p>
    <w:p>
      <w:pPr>
        <w:pStyle w:val="10"/>
        <w:widowControl/>
        <w:spacing w:line="500" w:lineRule="exact"/>
        <w:ind w:firstLine="0" w:firstLineChars="0"/>
        <w:jc w:val="left"/>
        <w:rPr>
          <w:rFonts w:ascii="仿宋" w:hAnsi="仿宋" w:eastAsia="仿宋" w:cs="仿宋"/>
          <w:sz w:val="32"/>
          <w:szCs w:val="32"/>
        </w:rPr>
      </w:pPr>
      <w:r>
        <w:rPr>
          <w:rFonts w:hint="eastAsia" w:ascii="仿宋" w:hAnsi="仿宋" w:eastAsia="仿宋" w:cs="仿宋"/>
          <w:sz w:val="32"/>
          <w:szCs w:val="32"/>
        </w:rPr>
        <w:t>湖南兴发化工有限公司：</w:t>
      </w:r>
    </w:p>
    <w:p>
      <w:pPr>
        <w:pStyle w:val="10"/>
        <w:widowControl/>
        <w:spacing w:line="500" w:lineRule="exact"/>
        <w:ind w:firstLine="640"/>
        <w:rPr>
          <w:rFonts w:ascii="仿宋" w:hAnsi="仿宋" w:eastAsia="仿宋" w:cs="仿宋"/>
          <w:sz w:val="32"/>
          <w:szCs w:val="32"/>
        </w:rPr>
      </w:pPr>
      <w:r>
        <w:rPr>
          <w:rFonts w:hint="eastAsia" w:ascii="仿宋" w:hAnsi="仿宋" w:eastAsia="仿宋" w:cs="仿宋"/>
          <w:sz w:val="32"/>
          <w:szCs w:val="32"/>
        </w:rPr>
        <w:t>你公司《关于申请&lt;湖南兴发化工有限公司年产5万吨焦亚硫酸钠改扩建及年产1200吨七水硫酸镁项目环境影响报告书&gt;环评批复的请示》、云溪区环保分局预审意见及有关附件收悉。经研究，批复如下：</w:t>
      </w:r>
    </w:p>
    <w:p>
      <w:pPr>
        <w:pStyle w:val="10"/>
        <w:widowControl/>
        <w:spacing w:line="500" w:lineRule="exact"/>
        <w:ind w:firstLine="640"/>
        <w:rPr>
          <w:rFonts w:ascii="仿宋" w:hAnsi="仿宋" w:eastAsia="仿宋" w:cs="仿宋"/>
          <w:sz w:val="32"/>
          <w:szCs w:val="32"/>
        </w:rPr>
      </w:pPr>
      <w:r>
        <w:rPr>
          <w:rFonts w:hint="eastAsia" w:ascii="仿宋" w:hAnsi="仿宋" w:eastAsia="仿宋" w:cs="仿宋"/>
          <w:sz w:val="32"/>
          <w:szCs w:val="32"/>
        </w:rPr>
        <w:t>一、</w:t>
      </w:r>
      <w:bookmarkStart w:id="0" w:name="OLE_LINK11"/>
      <w:r>
        <w:rPr>
          <w:rFonts w:hint="eastAsia" w:ascii="仿宋" w:hAnsi="仿宋" w:eastAsia="仿宋" w:cs="仿宋"/>
          <w:sz w:val="32"/>
          <w:szCs w:val="32"/>
        </w:rPr>
        <w:t>湖南兴发化工有限公司位于湖南岳阳绿色化工产业园，现有2万吨/年焦亚硫酸钠生产能力。为满足市场需求，湖南兴发化工有限公司拟拆除现有全部生产设备，重新购置设备,在现有厂区内建设焦亚硫酸钠生产线和七水硫酸镁生产线，年产焦亚硫酸钠5万吨、七水硫酸镁1200吨，项目总投资2000万元。项目以硫磺焚烧产生的二氧化硫和纯碱为主要原料，经反应、离心、干燥等工序生产焦亚硫酸钠；以焦亚硫酸钠生产过程中产生的硫酸、氧化镁为主要原料，经反应、压滤、结晶、离心、干燥等工序生产七水硫酸镁。主要建设内容为：安装主要生产设备、新建废气收集处理设施、混凝中和处理设施、化粪池、一体化生化处理设施以及危废暂存间，其他生产车间、公用辅助工程依托现有</w:t>
      </w:r>
      <w:bookmarkEnd w:id="0"/>
      <w:r>
        <w:rPr>
          <w:rFonts w:hint="eastAsia" w:ascii="仿宋" w:hAnsi="仿宋" w:eastAsia="仿宋" w:cs="仿宋"/>
          <w:sz w:val="32"/>
          <w:szCs w:val="32"/>
        </w:rPr>
        <w:t>；根据湖南景新环保科技有限责任公司编制的《湖南兴发化工有限公司年产5万吨焦亚硫酸钠改扩建及年产1200吨七水硫酸镁项目环境影响报告书（报批稿）》基本内容、结论、专家评审意见和云溪区环保分局预审意见，综合考虑，我局原则同意你公司环境影响报告书中所列建设项目的性质、规模、工艺、地点和环境保护对策措施。</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二、项目建设和营运须全面落实专家及环境影响报告书中提出的各项污染防治及风险防范措施，并应着重注意以下问题：</w:t>
      </w:r>
    </w:p>
    <w:p>
      <w:pPr>
        <w:spacing w:line="500" w:lineRule="exact"/>
        <w:ind w:firstLine="640" w:firstLineChars="200"/>
        <w:rPr>
          <w:rFonts w:ascii="仿宋" w:hAnsi="仿宋" w:eastAsia="仿宋" w:cs="仿宋"/>
          <w:sz w:val="32"/>
          <w:szCs w:val="32"/>
        </w:rPr>
      </w:pPr>
      <w:bookmarkStart w:id="1" w:name="OLE_LINK12"/>
      <w:r>
        <w:rPr>
          <w:rFonts w:hint="eastAsia" w:ascii="仿宋" w:hAnsi="仿宋" w:eastAsia="仿宋" w:cs="仿宋"/>
          <w:sz w:val="32"/>
          <w:szCs w:val="32"/>
        </w:rPr>
        <w:t>1、落实“以新带老”的要求，解决现有环境问题。现有项目设施设备拆除前应进行清理处理，清理残留物料后的设备交有资质的单位处置。</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废气污染防治工作。项目应采用密闭生产装置，加强日常监管和维护，定期检测，及时修复，杜绝生产过程中的跑、冒、滴、漏，最大限度减少生产过程中的废气无组织排放，厂界废气应满足《无机化学工业污染物排放标准》（GB31573-2015）表5限值要求；硫磺粉碎及进料粉尘经处理达标后通过15m高的1#排气筒排放；七水硫酸镁反应废气、纯碱投料及焦亚硫酸钠包装粉尘、焦亚硫酸钠反应尾气、离心尾气、气流干燥尾气一起经处理达标后通过20m高的2#排气筒排放；七水硫酸镁生产中的氧化镁进料粉尘和七水硫酸镁包装废气经处理达标后通过15m高的3#排气筒排放。项目有组织排放废气中的二氧化硫、氮氧化物和颗粒物应满足《无机化学工业污染物排放标准》（GB31573-2015）表4特别排放限值，硫酸雾应满足表3排放限值。</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3、废水污染防治工作。严格按照“雨污分流、清污分流、污污分流”的原则规范建设厂区内雨水及污水管网。循环冷却水、</w:t>
      </w:r>
      <w:r>
        <w:rPr>
          <w:rFonts w:hint="eastAsia" w:ascii="仿宋" w:hAnsi="仿宋" w:eastAsia="仿宋" w:cs="_4eff_5b8b_GB2312"/>
          <w:bCs/>
          <w:sz w:val="32"/>
          <w:szCs w:val="32"/>
        </w:rPr>
        <w:t>地面清洗废水、初期雨水和生活污水经新建污水处理装置处理后，满足《无机化学工业污染物排放标准》（GB31571-2015）中表1间接排放标准和云溪区污水处理厂接纳标准后，经园区污水管</w:t>
      </w:r>
      <w:r>
        <w:rPr>
          <w:rFonts w:hint="eastAsia" w:ascii="仿宋" w:hAnsi="仿宋" w:eastAsia="仿宋" w:cs="仿宋"/>
          <w:kern w:val="0"/>
          <w:sz w:val="32"/>
          <w:szCs w:val="32"/>
        </w:rPr>
        <w:t>排入云溪区污水处理厂作进一步处理</w:t>
      </w:r>
      <w:r>
        <w:rPr>
          <w:rFonts w:hint="eastAsia" w:ascii="仿宋" w:hAnsi="仿宋" w:eastAsia="仿宋" w:cs="仿宋"/>
          <w:sz w:val="32"/>
          <w:szCs w:val="32"/>
        </w:rPr>
        <w:t>。</w:t>
      </w:r>
    </w:p>
    <w:p>
      <w:pPr>
        <w:spacing w:line="500" w:lineRule="exact"/>
        <w:ind w:firstLine="640" w:firstLineChars="200"/>
        <w:rPr>
          <w:rFonts w:ascii="仿宋" w:hAnsi="仿宋" w:eastAsia="仿宋" w:cs="仿宋"/>
          <w:sz w:val="32"/>
          <w:szCs w:val="32"/>
        </w:rPr>
      </w:pPr>
      <w:r>
        <w:rPr>
          <w:rFonts w:ascii="仿宋" w:hAnsi="仿宋" w:eastAsia="仿宋" w:cs="_4eff_5b8b_GB2312"/>
          <w:bCs/>
          <w:sz w:val="32"/>
          <w:szCs w:val="32"/>
        </w:rPr>
        <w:t>按照分区防控的原则落实报告书提出</w:t>
      </w:r>
      <w:r>
        <w:rPr>
          <w:rFonts w:hint="eastAsia" w:ascii="仿宋" w:hAnsi="仿宋" w:eastAsia="仿宋" w:cs="_4eff_5b8b_GB2312"/>
          <w:bCs/>
          <w:sz w:val="32"/>
          <w:szCs w:val="32"/>
        </w:rPr>
        <w:t>的</w:t>
      </w:r>
      <w:r>
        <w:rPr>
          <w:rFonts w:ascii="仿宋" w:hAnsi="仿宋" w:eastAsia="仿宋" w:cs="_4eff_5b8b_GB2312"/>
          <w:bCs/>
          <w:sz w:val="32"/>
          <w:szCs w:val="32"/>
        </w:rPr>
        <w:t>地下水污染防治措施，</w:t>
      </w:r>
      <w:r>
        <w:rPr>
          <w:rFonts w:hint="eastAsia" w:ascii="仿宋" w:hAnsi="仿宋" w:eastAsia="仿宋" w:cs="仿宋"/>
          <w:sz w:val="32"/>
          <w:szCs w:val="32"/>
        </w:rPr>
        <w:t>地下管道、初期雨水池、废水处理设施区和事故应急池、危废暂存间、硫酸储罐区、生产车间等区域应做好防腐防渗工作，强化管理，避免由于泄漏造成物料或废水下渗污染地下水。根据《环境影响评价技术导则地下水环境》（HJ610-2016）要求，跟踪监测地下水水质情况，确保地下水环境安全。</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color w:val="000000"/>
          <w:sz w:val="32"/>
          <w:szCs w:val="32"/>
        </w:rPr>
        <w:t>噪声污染防治工作。</w:t>
      </w:r>
      <w:r>
        <w:rPr>
          <w:rFonts w:hint="eastAsia" w:ascii="仿宋" w:hAnsi="仿宋" w:eastAsia="仿宋" w:cs="仿宋"/>
          <w:sz w:val="32"/>
          <w:szCs w:val="32"/>
        </w:rPr>
        <w:t>采用低噪声设备，对产生噪声的设备和工序合理布局，采取隔声、减振、消声等措施，加强设备日常维护，确保设备处于良好的运转状态，确保厂界噪声满足《工业企业厂界环境噪声排放标准》（GB12348-2008）3类标准要求。</w:t>
      </w:r>
    </w:p>
    <w:p>
      <w:pPr>
        <w:spacing w:line="500" w:lineRule="exact"/>
        <w:ind w:firstLine="640" w:firstLineChars="200"/>
        <w:rPr>
          <w:rFonts w:ascii="仿宋" w:hAnsi="仿宋" w:eastAsia="仿宋" w:cs="仿宋"/>
          <w:kern w:val="0"/>
          <w:sz w:val="32"/>
          <w:szCs w:val="32"/>
          <w:lang w:val="zh-CN"/>
        </w:rPr>
      </w:pPr>
      <w:r>
        <w:rPr>
          <w:rFonts w:hint="eastAsia" w:ascii="仿宋" w:hAnsi="仿宋" w:eastAsia="仿宋" w:cs="仿宋"/>
          <w:sz w:val="32"/>
          <w:szCs w:val="32"/>
        </w:rPr>
        <w:t>5、固体废物防治工作。</w:t>
      </w:r>
      <w:r>
        <w:rPr>
          <w:rFonts w:hint="eastAsia" w:ascii="仿宋" w:hAnsi="仿宋" w:eastAsia="仿宋" w:cs="仿宋"/>
          <w:kern w:val="0"/>
          <w:sz w:val="32"/>
          <w:szCs w:val="32"/>
          <w:lang w:val="zh-CN"/>
        </w:rPr>
        <w:t>按“无害化、减量化、资源化”原则，做好固体废物的分类收集和综合利用，完善固体废物产生、贮存、处置管理台账。按《危险废物贮存污染控制标准（GB18597-2001）》和2013年修改单要求开展危险废物的贮存工作，项目设备维护产生的废润滑油脂属于危险废物，收集暂存后交有资质的单位处置。项目建成后应对硫磺焚烧炉炉渣进行危险废物性质鉴别，根据鉴别结果确定其属性，若属于危险废物则应交有资质的单位处置。</w:t>
      </w:r>
      <w:r>
        <w:rPr>
          <w:rFonts w:hint="eastAsia" w:ascii="Times New Roman" w:hAnsi="Times New Roman" w:eastAsia="仿宋" w:cs="Times New Roman"/>
          <w:sz w:val="32"/>
          <w:szCs w:val="32"/>
        </w:rPr>
        <w:t>按照《一般工业固体废物贮存、处置场污染控制标准（GB18599-2001）》及其修改单要求</w:t>
      </w:r>
      <w:r>
        <w:rPr>
          <w:rFonts w:hint="eastAsia" w:ascii="仿宋" w:hAnsi="仿宋" w:eastAsia="仿宋" w:cs="_4eff_5b8b_GB2312"/>
          <w:bCs/>
          <w:sz w:val="32"/>
          <w:szCs w:val="32"/>
        </w:rPr>
        <w:t>要求建设危险废物暂存间，</w:t>
      </w:r>
      <w:r>
        <w:rPr>
          <w:rFonts w:hint="eastAsia" w:ascii="仿宋" w:hAnsi="仿宋" w:eastAsia="仿宋" w:cs="仿宋"/>
          <w:kern w:val="0"/>
          <w:sz w:val="32"/>
          <w:szCs w:val="32"/>
          <w:lang w:val="zh-CN"/>
        </w:rPr>
        <w:t>七水硫酸镁生产产生的滤渣等一般固废，收集后作为建筑材料综合利用，废水处理产生的污泥压滤脱水后填埋处理；生活垃圾收集后由环卫部门处置。</w:t>
      </w:r>
    </w:p>
    <w:p>
      <w:pPr>
        <w:spacing w:line="50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6</w:t>
      </w:r>
      <w:r>
        <w:rPr>
          <w:rFonts w:hint="eastAsia" w:ascii="仿宋" w:hAnsi="仿宋" w:eastAsia="仿宋" w:cs="仿宋"/>
          <w:sz w:val="32"/>
          <w:szCs w:val="32"/>
        </w:rPr>
        <w:t>、加强运营期环境风险防控和管理。落实报告书提出的各项环境风险防范和管理措施，</w:t>
      </w:r>
      <w:r>
        <w:rPr>
          <w:rFonts w:ascii="仿宋" w:hAnsi="仿宋" w:eastAsia="仿宋" w:cs="仿宋"/>
          <w:sz w:val="32"/>
          <w:szCs w:val="32"/>
        </w:rPr>
        <w:t>设置事故应急池</w:t>
      </w:r>
      <w:r>
        <w:rPr>
          <w:rFonts w:hint="eastAsia" w:ascii="仿宋" w:hAnsi="仿宋" w:eastAsia="仿宋" w:cs="仿宋"/>
          <w:sz w:val="32"/>
          <w:szCs w:val="32"/>
        </w:rPr>
        <w:t>，在硫磺库内设置碱液自动喷淋消防系统，严格按照《突发环境事件应急管理办法》修改完善突发环境事件应急预案，储备风险物资并组织演练，确保环境风险可控。</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7、加强环境管理，建立健全污染防治设施运行管理台账，设专门的环保人员，确保各项污染防治设施的正常运行，各类污染物稳定达标排放。</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8、本项目新增的总量指标为： NOx≤2.1t/a，COD≤0.2t/a。</w:t>
      </w:r>
      <w:bookmarkEnd w:id="1"/>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三、你公司应在收到本批复后15个工作日内，将批复及批准的环评文件送云溪区环保分局、岳阳绿色化工产业园管委会、湖南景新环保科技有限责任公司。</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四、请云溪区环保分局负责项目建设和运营期的日常环境监管。</w:t>
      </w:r>
    </w:p>
    <w:p>
      <w:pPr>
        <w:spacing w:line="500" w:lineRule="exact"/>
        <w:ind w:firstLine="640" w:firstLineChars="200"/>
        <w:rPr>
          <w:rFonts w:ascii="仿宋" w:hAnsi="仿宋" w:eastAsia="仿宋" w:cs="仿宋"/>
          <w:sz w:val="32"/>
          <w:szCs w:val="32"/>
        </w:rPr>
      </w:pPr>
    </w:p>
    <w:p>
      <w:pPr>
        <w:spacing w:line="500" w:lineRule="exact"/>
        <w:ind w:firstLine="640" w:firstLineChars="200"/>
        <w:rPr>
          <w:rFonts w:ascii="仿宋" w:hAnsi="仿宋" w:eastAsia="仿宋" w:cs="仿宋"/>
          <w:sz w:val="32"/>
          <w:szCs w:val="32"/>
        </w:rPr>
      </w:pP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岳阳市生态环境局</w:t>
      </w:r>
    </w:p>
    <w:p>
      <w:pPr>
        <w:keepNext w:val="0"/>
        <w:keepLines w:val="0"/>
        <w:pageBreakBefore w:val="0"/>
        <w:widowControl w:val="0"/>
        <w:kinsoku/>
        <w:wordWrap/>
        <w:overflowPunct/>
        <w:topLinePunct w:val="0"/>
        <w:autoSpaceDE/>
        <w:autoSpaceDN/>
        <w:bidi w:val="0"/>
        <w:adjustRightInd/>
        <w:snapToGrid/>
        <w:spacing w:line="500" w:lineRule="exact"/>
        <w:ind w:left="-105" w:leftChars="-50" w:firstLine="5440" w:firstLineChars="1700"/>
        <w:textAlignment w:val="auto"/>
        <w:rPr>
          <w:rFonts w:ascii="仿宋" w:hAnsi="仿宋" w:eastAsia="仿宋" w:cs="仿宋"/>
          <w:sz w:val="32"/>
          <w:szCs w:val="32"/>
        </w:rPr>
      </w:pPr>
      <w:r>
        <w:rPr>
          <w:rFonts w:hint="eastAsia" w:ascii="仿宋" w:hAnsi="仿宋" w:eastAsia="仿宋" w:cs="仿宋"/>
          <w:sz w:val="32"/>
          <w:szCs w:val="32"/>
        </w:rPr>
        <w:t>2019年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p>
    <w:tbl>
      <w:tblPr>
        <w:tblStyle w:val="5"/>
        <w:tblpPr w:leftFromText="180" w:rightFromText="180" w:vertAnchor="text" w:horzAnchor="margin" w:tblpY="4249"/>
        <w:tblW w:w="8793"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9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793" w:type="dxa"/>
          </w:tcPr>
          <w:p>
            <w:pPr>
              <w:spacing w:afterLines="50" w:line="500" w:lineRule="exact"/>
              <w:ind w:left="924" w:hanging="924" w:hangingChars="300"/>
              <w:jc w:val="left"/>
              <w:rPr>
                <w:rFonts w:ascii="仿宋" w:hAnsi="仿宋" w:eastAsia="仿宋" w:cs="Times New Roman"/>
                <w:spacing w:val="-6"/>
                <w:kern w:val="0"/>
                <w:sz w:val="32"/>
                <w:szCs w:val="32"/>
              </w:rPr>
            </w:pPr>
            <w:r>
              <w:rPr>
                <w:rFonts w:hint="eastAsia" w:ascii="仿宋" w:hAnsi="仿宋" w:eastAsia="仿宋" w:cs="Times New Roman"/>
                <w:spacing w:val="-6"/>
                <w:kern w:val="0"/>
                <w:sz w:val="32"/>
                <w:szCs w:val="32"/>
              </w:rPr>
              <w:t>抄送：云溪区环保分局</w:t>
            </w:r>
            <w:r>
              <w:rPr>
                <w:rFonts w:ascii="仿宋" w:hAnsi="仿宋" w:eastAsia="仿宋" w:cs="Times New Roman"/>
                <w:bCs/>
                <w:color w:val="000000"/>
                <w:spacing w:val="-6"/>
                <w:kern w:val="0"/>
                <w:sz w:val="32"/>
                <w:szCs w:val="32"/>
              </w:rPr>
              <w:t>、</w:t>
            </w:r>
            <w:r>
              <w:rPr>
                <w:rFonts w:hint="eastAsia" w:ascii="仿宋" w:hAnsi="仿宋" w:eastAsia="仿宋" w:cs="_4eff_5b8b_GB2312"/>
                <w:bCs/>
                <w:kern w:val="0"/>
                <w:sz w:val="32"/>
                <w:szCs w:val="32"/>
              </w:rPr>
              <w:t>岳阳市绿色化工产业园管委会、</w:t>
            </w:r>
            <w:r>
              <w:rPr>
                <w:rFonts w:hint="eastAsia" w:ascii="仿宋" w:hAnsi="仿宋" w:eastAsia="仿宋" w:cs="仿宋"/>
                <w:sz w:val="32"/>
                <w:szCs w:val="32"/>
              </w:rPr>
              <w:t>湖南景新环保科技有限责任公司</w:t>
            </w:r>
          </w:p>
        </w:tc>
      </w:tr>
    </w:tbl>
    <w:p/>
    <w:sectPr>
      <w:footerReference r:id="rId3" w:type="default"/>
      <w:pgSz w:w="11906" w:h="16838"/>
      <w:pgMar w:top="1440" w:right="1576" w:bottom="1440" w:left="1633"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_4eff_5b8b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739344"/>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843"/>
    <w:rsid w:val="00014E22"/>
    <w:rsid w:val="00043122"/>
    <w:rsid w:val="00046E69"/>
    <w:rsid w:val="00056777"/>
    <w:rsid w:val="00057F9B"/>
    <w:rsid w:val="000B3A00"/>
    <w:rsid w:val="00105582"/>
    <w:rsid w:val="001065F8"/>
    <w:rsid w:val="00106AED"/>
    <w:rsid w:val="001273E3"/>
    <w:rsid w:val="001350E5"/>
    <w:rsid w:val="00136472"/>
    <w:rsid w:val="001852A2"/>
    <w:rsid w:val="00194C59"/>
    <w:rsid w:val="001A7E9C"/>
    <w:rsid w:val="001B5F26"/>
    <w:rsid w:val="001B6D2C"/>
    <w:rsid w:val="00217DC1"/>
    <w:rsid w:val="002242B1"/>
    <w:rsid w:val="002B01E3"/>
    <w:rsid w:val="002B2A0D"/>
    <w:rsid w:val="002C0705"/>
    <w:rsid w:val="002C739B"/>
    <w:rsid w:val="003103FA"/>
    <w:rsid w:val="0038301E"/>
    <w:rsid w:val="003968F6"/>
    <w:rsid w:val="003B54AD"/>
    <w:rsid w:val="00433101"/>
    <w:rsid w:val="004549B8"/>
    <w:rsid w:val="004629A1"/>
    <w:rsid w:val="004E07DA"/>
    <w:rsid w:val="004E0CD6"/>
    <w:rsid w:val="004F4D70"/>
    <w:rsid w:val="005103F4"/>
    <w:rsid w:val="00527EC0"/>
    <w:rsid w:val="005476C8"/>
    <w:rsid w:val="00552ACE"/>
    <w:rsid w:val="005853E2"/>
    <w:rsid w:val="005E277D"/>
    <w:rsid w:val="00626763"/>
    <w:rsid w:val="006775A9"/>
    <w:rsid w:val="00695341"/>
    <w:rsid w:val="006E714F"/>
    <w:rsid w:val="007338EA"/>
    <w:rsid w:val="007556F0"/>
    <w:rsid w:val="00767612"/>
    <w:rsid w:val="007C19C0"/>
    <w:rsid w:val="007D459C"/>
    <w:rsid w:val="007E5EC7"/>
    <w:rsid w:val="00806F84"/>
    <w:rsid w:val="00811C6D"/>
    <w:rsid w:val="00822865"/>
    <w:rsid w:val="0083008C"/>
    <w:rsid w:val="00853CC4"/>
    <w:rsid w:val="00882EF7"/>
    <w:rsid w:val="008B319C"/>
    <w:rsid w:val="00944F3B"/>
    <w:rsid w:val="00962246"/>
    <w:rsid w:val="009E1F15"/>
    <w:rsid w:val="009E6ECC"/>
    <w:rsid w:val="00A246CA"/>
    <w:rsid w:val="00A724D9"/>
    <w:rsid w:val="00A81FAC"/>
    <w:rsid w:val="00A83A1D"/>
    <w:rsid w:val="00AD733F"/>
    <w:rsid w:val="00B71904"/>
    <w:rsid w:val="00B93545"/>
    <w:rsid w:val="00BA39DF"/>
    <w:rsid w:val="00BC5F7C"/>
    <w:rsid w:val="00C11D99"/>
    <w:rsid w:val="00C16E85"/>
    <w:rsid w:val="00C425B9"/>
    <w:rsid w:val="00CA029C"/>
    <w:rsid w:val="00CB3B1D"/>
    <w:rsid w:val="00CD4A4B"/>
    <w:rsid w:val="00CF27ED"/>
    <w:rsid w:val="00D06676"/>
    <w:rsid w:val="00D12768"/>
    <w:rsid w:val="00D1299D"/>
    <w:rsid w:val="00D423A4"/>
    <w:rsid w:val="00D60A95"/>
    <w:rsid w:val="00D9734E"/>
    <w:rsid w:val="00DA6E55"/>
    <w:rsid w:val="00DE55D3"/>
    <w:rsid w:val="00E30986"/>
    <w:rsid w:val="00E314E3"/>
    <w:rsid w:val="00E4707B"/>
    <w:rsid w:val="00EC174D"/>
    <w:rsid w:val="00EC71B7"/>
    <w:rsid w:val="00EE368D"/>
    <w:rsid w:val="00F11843"/>
    <w:rsid w:val="00F16AB1"/>
    <w:rsid w:val="00F271FF"/>
    <w:rsid w:val="00F84817"/>
    <w:rsid w:val="00FA778B"/>
    <w:rsid w:val="00FD1F54"/>
    <w:rsid w:val="091A5DD7"/>
    <w:rsid w:val="1ABA7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报告正文 Char"/>
    <w:link w:val="10"/>
    <w:uiPriority w:val="0"/>
    <w:rPr>
      <w:rFonts w:ascii="宋体" w:hAnsi="宋体" w:eastAsia="宋体" w:cs="宋体"/>
      <w:sz w:val="24"/>
    </w:rPr>
  </w:style>
  <w:style w:type="paragraph" w:customStyle="1" w:styleId="10">
    <w:name w:val="报告正文"/>
    <w:basedOn w:val="1"/>
    <w:link w:val="9"/>
    <w:uiPriority w:val="0"/>
    <w:pPr>
      <w:adjustRightInd w:val="0"/>
      <w:snapToGrid w:val="0"/>
      <w:spacing w:line="360" w:lineRule="auto"/>
      <w:ind w:firstLine="200" w:firstLineChars="200"/>
    </w:pPr>
    <w:rPr>
      <w:rFonts w:ascii="宋体" w:hAnsi="宋体" w:eastAsia="宋体" w:cs="宋体"/>
      <w:sz w:val="24"/>
    </w:rPr>
  </w:style>
  <w:style w:type="character" w:customStyle="1" w:styleId="11">
    <w:name w:val="批注框文本 Char"/>
    <w:basedOn w:val="6"/>
    <w:link w:val="2"/>
    <w:semiHidden/>
    <w:uiPriority w:val="99"/>
    <w:rPr>
      <w:rFonts w:asciiTheme="minorHAnsi" w:hAnsiTheme="minorHAnsi" w:eastAsiaTheme="minorEastAsia" w:cstheme="minorBidi"/>
      <w:kern w:val="2"/>
      <w:sz w:val="18"/>
      <w:szCs w:val="18"/>
    </w:rPr>
  </w:style>
  <w:style w:type="paragraph" w:customStyle="1" w:styleId="12">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4</Pages>
  <Words>1119</Words>
  <Characters>1176</Characters>
  <Lines>53</Lines>
  <Paragraphs>21</Paragraphs>
  <TotalTime>8</TotalTime>
  <ScaleCrop>false</ScaleCrop>
  <LinksUpToDate>false</LinksUpToDate>
  <CharactersWithSpaces>2274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2019-07-17T07:09:00Z</dcterms:created>
  <dc:creator>sky</dc:creator>
  <cp:lastModifiedBy>admin</cp:lastModifiedBy>
  <dcterms:modified xsi:type="dcterms:W3CDTF">2019-07-23T06:04:21Z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