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777" w:rsidRDefault="004B4777">
      <w:pPr>
        <w:tabs>
          <w:tab w:val="left" w:pos="3360"/>
          <w:tab w:val="center" w:pos="4153"/>
        </w:tabs>
        <w:ind w:firstLineChars="0" w:firstLine="0"/>
        <w:jc w:val="center"/>
        <w:rPr>
          <w:rFonts w:ascii="Times New Roman" w:hAnsi="Times New Roman"/>
          <w:sz w:val="44"/>
          <w:szCs w:val="44"/>
        </w:rPr>
      </w:pPr>
      <w:r>
        <w:rPr>
          <w:rFonts w:ascii="Times New Roman" w:hAnsi="Times New Roman"/>
          <w:sz w:val="44"/>
          <w:szCs w:val="44"/>
        </w:rPr>
        <w:t>目</w:t>
      </w:r>
      <w:r>
        <w:rPr>
          <w:rFonts w:ascii="Times New Roman" w:hAnsi="Times New Roman"/>
          <w:sz w:val="44"/>
          <w:szCs w:val="44"/>
        </w:rPr>
        <w:t xml:space="preserve"> </w:t>
      </w:r>
      <w:r>
        <w:rPr>
          <w:rFonts w:ascii="Times New Roman" w:hAnsi="Times New Roman"/>
          <w:sz w:val="44"/>
          <w:szCs w:val="44"/>
        </w:rPr>
        <w:t>录</w:t>
      </w:r>
    </w:p>
    <w:p w:rsidR="00FC6AEC" w:rsidRDefault="004B4777" w:rsidP="00FC6AEC">
      <w:pPr>
        <w:pStyle w:val="12"/>
        <w:tabs>
          <w:tab w:val="right" w:leader="dot" w:pos="8296"/>
        </w:tabs>
        <w:rPr>
          <w:rFonts w:asciiTheme="minorHAnsi" w:eastAsiaTheme="minorEastAsia" w:hAnsiTheme="minorHAnsi" w:cstheme="minorBidi"/>
          <w:noProof/>
          <w:sz w:val="21"/>
        </w:rPr>
      </w:pPr>
      <w:r>
        <w:rPr>
          <w:rFonts w:ascii="Times New Roman" w:eastAsia="宋体" w:hAnsi="Times New Roman"/>
        </w:rPr>
        <w:fldChar w:fldCharType="begin"/>
      </w:r>
      <w:r>
        <w:rPr>
          <w:rFonts w:ascii="Times New Roman" w:eastAsia="宋体" w:hAnsi="Times New Roman"/>
        </w:rPr>
        <w:instrText xml:space="preserve"> TOC \o "1-2" \h \z \u </w:instrText>
      </w:r>
      <w:r>
        <w:rPr>
          <w:rFonts w:ascii="Times New Roman" w:eastAsia="宋体" w:hAnsi="Times New Roman"/>
        </w:rPr>
        <w:fldChar w:fldCharType="separate"/>
      </w:r>
      <w:hyperlink w:anchor="_Toc523854005" w:history="1">
        <w:r w:rsidR="00FC6AEC" w:rsidRPr="00C90A6E">
          <w:rPr>
            <w:rStyle w:val="a9"/>
            <w:rFonts w:ascii="Times New Roman" w:eastAsia="宋体" w:hAnsi="Times New Roman" w:hint="eastAsia"/>
            <w:b/>
            <w:noProof/>
          </w:rPr>
          <w:t>第</w:t>
        </w:r>
        <w:r w:rsidR="00FC6AEC" w:rsidRPr="00C90A6E">
          <w:rPr>
            <w:rStyle w:val="a9"/>
            <w:rFonts w:ascii="Times New Roman" w:eastAsia="宋体" w:hAnsi="Times New Roman"/>
            <w:b/>
            <w:noProof/>
          </w:rPr>
          <w:t>1</w:t>
        </w:r>
        <w:r w:rsidR="00FC6AEC" w:rsidRPr="00C90A6E">
          <w:rPr>
            <w:rStyle w:val="a9"/>
            <w:rFonts w:ascii="Times New Roman" w:eastAsia="宋体" w:hAnsi="Times New Roman" w:hint="eastAsia"/>
            <w:b/>
            <w:noProof/>
          </w:rPr>
          <w:t>章</w:t>
        </w:r>
        <w:r w:rsidR="00FC6AEC" w:rsidRPr="00C90A6E">
          <w:rPr>
            <w:rStyle w:val="a9"/>
            <w:rFonts w:ascii="Times New Roman" w:eastAsia="宋体" w:hAnsi="Times New Roman"/>
            <w:b/>
            <w:noProof/>
          </w:rPr>
          <w:t xml:space="preserve"> </w:t>
        </w:r>
        <w:r w:rsidR="00FC6AEC" w:rsidRPr="00C90A6E">
          <w:rPr>
            <w:rStyle w:val="a9"/>
            <w:rFonts w:ascii="Times New Roman" w:eastAsia="宋体" w:hAnsi="Times New Roman" w:hint="eastAsia"/>
            <w:b/>
            <w:noProof/>
          </w:rPr>
          <w:t>概</w:t>
        </w:r>
        <w:r w:rsidR="00FC6AEC" w:rsidRPr="00C90A6E">
          <w:rPr>
            <w:rStyle w:val="a9"/>
            <w:rFonts w:ascii="Times New Roman" w:eastAsia="宋体" w:hAnsi="Times New Roman"/>
            <w:b/>
            <w:noProof/>
          </w:rPr>
          <w:t xml:space="preserve"> </w:t>
        </w:r>
        <w:r w:rsidR="00FC6AEC" w:rsidRPr="00C90A6E">
          <w:rPr>
            <w:rStyle w:val="a9"/>
            <w:rFonts w:ascii="Times New Roman" w:eastAsia="宋体" w:hAnsi="Times New Roman" w:hint="eastAsia"/>
            <w:b/>
            <w:noProof/>
          </w:rPr>
          <w:t>述</w:t>
        </w:r>
        <w:r w:rsidR="00FC6AEC">
          <w:rPr>
            <w:noProof/>
            <w:webHidden/>
          </w:rPr>
          <w:tab/>
        </w:r>
        <w:r w:rsidR="00FC6AEC">
          <w:rPr>
            <w:noProof/>
            <w:webHidden/>
          </w:rPr>
          <w:fldChar w:fldCharType="begin"/>
        </w:r>
        <w:r w:rsidR="00FC6AEC">
          <w:rPr>
            <w:noProof/>
            <w:webHidden/>
          </w:rPr>
          <w:instrText xml:space="preserve"> PAGEREF _Toc523854005 \h </w:instrText>
        </w:r>
        <w:r w:rsidR="00FC6AEC">
          <w:rPr>
            <w:noProof/>
            <w:webHidden/>
          </w:rPr>
        </w:r>
        <w:r w:rsidR="00FC6AEC">
          <w:rPr>
            <w:noProof/>
            <w:webHidden/>
          </w:rPr>
          <w:fldChar w:fldCharType="separate"/>
        </w:r>
        <w:r w:rsidR="00FC6AEC">
          <w:rPr>
            <w:noProof/>
            <w:webHidden/>
          </w:rPr>
          <w:t>1</w:t>
        </w:r>
        <w:r w:rsidR="00FC6AEC">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06" w:history="1">
        <w:r w:rsidRPr="00C90A6E">
          <w:rPr>
            <w:rStyle w:val="a9"/>
            <w:rFonts w:ascii="Times New Roman" w:hAnsi="Times New Roman"/>
            <w:b/>
            <w:noProof/>
          </w:rPr>
          <w:t xml:space="preserve">1.1 </w:t>
        </w:r>
        <w:r w:rsidRPr="00C90A6E">
          <w:rPr>
            <w:rStyle w:val="a9"/>
            <w:rFonts w:ascii="Times New Roman" w:hAnsi="Times New Roman" w:hint="eastAsia"/>
            <w:b/>
            <w:noProof/>
          </w:rPr>
          <w:t>项目由来</w:t>
        </w:r>
        <w:r>
          <w:rPr>
            <w:noProof/>
            <w:webHidden/>
          </w:rPr>
          <w:tab/>
        </w:r>
        <w:r>
          <w:rPr>
            <w:noProof/>
            <w:webHidden/>
          </w:rPr>
          <w:fldChar w:fldCharType="begin"/>
        </w:r>
        <w:r>
          <w:rPr>
            <w:noProof/>
            <w:webHidden/>
          </w:rPr>
          <w:instrText xml:space="preserve"> PAGEREF _Toc523854006 \h </w:instrText>
        </w:r>
        <w:r>
          <w:rPr>
            <w:noProof/>
            <w:webHidden/>
          </w:rPr>
        </w:r>
        <w:r>
          <w:rPr>
            <w:noProof/>
            <w:webHidden/>
          </w:rPr>
          <w:fldChar w:fldCharType="separate"/>
        </w:r>
        <w:r>
          <w:rPr>
            <w:noProof/>
            <w:webHidden/>
          </w:rPr>
          <w:t>1</w:t>
        </w:r>
        <w:r>
          <w:rPr>
            <w:noProof/>
            <w:webHidden/>
          </w:rPr>
          <w:fldChar w:fldCharType="end"/>
        </w:r>
      </w:hyperlink>
    </w:p>
    <w:p w:rsidR="00FC6AEC" w:rsidRDefault="00FC6AEC" w:rsidP="00FC6AEC">
      <w:pPr>
        <w:pStyle w:val="25"/>
        <w:tabs>
          <w:tab w:val="left" w:pos="1260"/>
          <w:tab w:val="right" w:leader="dot" w:pos="8296"/>
        </w:tabs>
        <w:ind w:left="480"/>
        <w:rPr>
          <w:rFonts w:asciiTheme="minorHAnsi" w:eastAsiaTheme="minorEastAsia" w:hAnsiTheme="minorHAnsi" w:cstheme="minorBidi"/>
          <w:noProof/>
        </w:rPr>
      </w:pPr>
      <w:hyperlink w:anchor="_Toc523854007" w:history="1">
        <w:r w:rsidRPr="00C90A6E">
          <w:rPr>
            <w:rStyle w:val="a9"/>
            <w:rFonts w:ascii="Times New Roman" w:hAnsi="Times New Roman"/>
            <w:b/>
            <w:noProof/>
          </w:rPr>
          <w:t>1.2</w:t>
        </w:r>
        <w:r>
          <w:rPr>
            <w:rFonts w:asciiTheme="minorHAnsi" w:eastAsiaTheme="minorEastAsia" w:hAnsiTheme="minorHAnsi" w:cstheme="minorBidi"/>
            <w:noProof/>
          </w:rPr>
          <w:tab/>
        </w:r>
        <w:r w:rsidRPr="00C90A6E">
          <w:rPr>
            <w:rStyle w:val="a9"/>
            <w:rFonts w:ascii="Times New Roman" w:hAnsi="Times New Roman" w:hint="eastAsia"/>
            <w:b/>
            <w:noProof/>
          </w:rPr>
          <w:t>建设项目特点</w:t>
        </w:r>
        <w:r>
          <w:rPr>
            <w:noProof/>
            <w:webHidden/>
          </w:rPr>
          <w:tab/>
        </w:r>
        <w:r>
          <w:rPr>
            <w:noProof/>
            <w:webHidden/>
          </w:rPr>
          <w:fldChar w:fldCharType="begin"/>
        </w:r>
        <w:r>
          <w:rPr>
            <w:noProof/>
            <w:webHidden/>
          </w:rPr>
          <w:instrText xml:space="preserve"> PAGEREF _Toc523854007 \h </w:instrText>
        </w:r>
        <w:r>
          <w:rPr>
            <w:noProof/>
            <w:webHidden/>
          </w:rPr>
        </w:r>
        <w:r>
          <w:rPr>
            <w:noProof/>
            <w:webHidden/>
          </w:rPr>
          <w:fldChar w:fldCharType="separate"/>
        </w:r>
        <w:r>
          <w:rPr>
            <w:noProof/>
            <w:webHidden/>
          </w:rPr>
          <w:t>2</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08" w:history="1">
        <w:r w:rsidRPr="00C90A6E">
          <w:rPr>
            <w:rStyle w:val="a9"/>
            <w:rFonts w:ascii="Times New Roman" w:hAnsi="Times New Roman"/>
            <w:b/>
            <w:noProof/>
          </w:rPr>
          <w:t xml:space="preserve">1.3 </w:t>
        </w:r>
        <w:r w:rsidRPr="00C90A6E">
          <w:rPr>
            <w:rStyle w:val="a9"/>
            <w:rFonts w:ascii="Times New Roman" w:hAnsi="Times New Roman" w:hint="eastAsia"/>
            <w:b/>
            <w:noProof/>
          </w:rPr>
          <w:t>评价工作程序</w:t>
        </w:r>
        <w:r>
          <w:rPr>
            <w:noProof/>
            <w:webHidden/>
          </w:rPr>
          <w:tab/>
        </w:r>
        <w:r>
          <w:rPr>
            <w:noProof/>
            <w:webHidden/>
          </w:rPr>
          <w:fldChar w:fldCharType="begin"/>
        </w:r>
        <w:r>
          <w:rPr>
            <w:noProof/>
            <w:webHidden/>
          </w:rPr>
          <w:instrText xml:space="preserve"> PAGEREF _Toc523854008 \h </w:instrText>
        </w:r>
        <w:r>
          <w:rPr>
            <w:noProof/>
            <w:webHidden/>
          </w:rPr>
        </w:r>
        <w:r>
          <w:rPr>
            <w:noProof/>
            <w:webHidden/>
          </w:rPr>
          <w:fldChar w:fldCharType="separate"/>
        </w:r>
        <w:r>
          <w:rPr>
            <w:noProof/>
            <w:webHidden/>
          </w:rPr>
          <w:t>4</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09" w:history="1">
        <w:r w:rsidRPr="00C90A6E">
          <w:rPr>
            <w:rStyle w:val="a9"/>
            <w:rFonts w:ascii="Times New Roman" w:hAnsi="Times New Roman"/>
            <w:b/>
            <w:noProof/>
          </w:rPr>
          <w:t xml:space="preserve">1.4 </w:t>
        </w:r>
        <w:r w:rsidRPr="00C90A6E">
          <w:rPr>
            <w:rStyle w:val="a9"/>
            <w:rFonts w:ascii="Times New Roman" w:hAnsi="Times New Roman" w:hint="eastAsia"/>
            <w:b/>
            <w:noProof/>
          </w:rPr>
          <w:t>评价关注的环境问题</w:t>
        </w:r>
        <w:r>
          <w:rPr>
            <w:noProof/>
            <w:webHidden/>
          </w:rPr>
          <w:tab/>
        </w:r>
        <w:r>
          <w:rPr>
            <w:noProof/>
            <w:webHidden/>
          </w:rPr>
          <w:fldChar w:fldCharType="begin"/>
        </w:r>
        <w:r>
          <w:rPr>
            <w:noProof/>
            <w:webHidden/>
          </w:rPr>
          <w:instrText xml:space="preserve"> PAGEREF _Toc523854009 \h </w:instrText>
        </w:r>
        <w:r>
          <w:rPr>
            <w:noProof/>
            <w:webHidden/>
          </w:rPr>
        </w:r>
        <w:r>
          <w:rPr>
            <w:noProof/>
            <w:webHidden/>
          </w:rPr>
          <w:fldChar w:fldCharType="separate"/>
        </w:r>
        <w:r>
          <w:rPr>
            <w:noProof/>
            <w:webHidden/>
          </w:rPr>
          <w:t>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0" w:history="1">
        <w:r w:rsidRPr="00C90A6E">
          <w:rPr>
            <w:rStyle w:val="a9"/>
            <w:rFonts w:ascii="Times New Roman" w:hAnsi="Times New Roman"/>
            <w:b/>
            <w:noProof/>
          </w:rPr>
          <w:t xml:space="preserve">1.5 </w:t>
        </w:r>
        <w:r w:rsidRPr="00C90A6E">
          <w:rPr>
            <w:rStyle w:val="a9"/>
            <w:rFonts w:ascii="Times New Roman" w:hAnsi="Times New Roman" w:hint="eastAsia"/>
            <w:b/>
            <w:noProof/>
          </w:rPr>
          <w:t>报告书主要结论</w:t>
        </w:r>
        <w:r>
          <w:rPr>
            <w:noProof/>
            <w:webHidden/>
          </w:rPr>
          <w:tab/>
        </w:r>
        <w:r>
          <w:rPr>
            <w:noProof/>
            <w:webHidden/>
          </w:rPr>
          <w:fldChar w:fldCharType="begin"/>
        </w:r>
        <w:r>
          <w:rPr>
            <w:noProof/>
            <w:webHidden/>
          </w:rPr>
          <w:instrText xml:space="preserve"> PAGEREF _Toc523854010 \h </w:instrText>
        </w:r>
        <w:r>
          <w:rPr>
            <w:noProof/>
            <w:webHidden/>
          </w:rPr>
        </w:r>
        <w:r>
          <w:rPr>
            <w:noProof/>
            <w:webHidden/>
          </w:rPr>
          <w:fldChar w:fldCharType="separate"/>
        </w:r>
        <w:r>
          <w:rPr>
            <w:noProof/>
            <w:webHidden/>
          </w:rPr>
          <w:t>6</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11"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2</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总</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则</w:t>
        </w:r>
        <w:r>
          <w:rPr>
            <w:noProof/>
            <w:webHidden/>
          </w:rPr>
          <w:tab/>
        </w:r>
        <w:r>
          <w:rPr>
            <w:noProof/>
            <w:webHidden/>
          </w:rPr>
          <w:fldChar w:fldCharType="begin"/>
        </w:r>
        <w:r>
          <w:rPr>
            <w:noProof/>
            <w:webHidden/>
          </w:rPr>
          <w:instrText xml:space="preserve"> PAGEREF _Toc523854011 \h </w:instrText>
        </w:r>
        <w:r>
          <w:rPr>
            <w:noProof/>
            <w:webHidden/>
          </w:rPr>
        </w:r>
        <w:r>
          <w:rPr>
            <w:noProof/>
            <w:webHidden/>
          </w:rPr>
          <w:fldChar w:fldCharType="separate"/>
        </w:r>
        <w:r>
          <w:rPr>
            <w:noProof/>
            <w:webHidden/>
          </w:rPr>
          <w:t>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2" w:history="1">
        <w:r w:rsidRPr="00C90A6E">
          <w:rPr>
            <w:rStyle w:val="a9"/>
            <w:rFonts w:ascii="Times New Roman" w:hAnsi="Times New Roman"/>
            <w:b/>
            <w:noProof/>
          </w:rPr>
          <w:t xml:space="preserve">2.1 </w:t>
        </w:r>
        <w:r w:rsidRPr="00C90A6E">
          <w:rPr>
            <w:rStyle w:val="a9"/>
            <w:rFonts w:ascii="Times New Roman" w:hAnsi="Times New Roman" w:hint="eastAsia"/>
            <w:b/>
            <w:noProof/>
          </w:rPr>
          <w:t>编制依据</w:t>
        </w:r>
        <w:r>
          <w:rPr>
            <w:noProof/>
            <w:webHidden/>
          </w:rPr>
          <w:tab/>
        </w:r>
        <w:r>
          <w:rPr>
            <w:noProof/>
            <w:webHidden/>
          </w:rPr>
          <w:fldChar w:fldCharType="begin"/>
        </w:r>
        <w:r>
          <w:rPr>
            <w:noProof/>
            <w:webHidden/>
          </w:rPr>
          <w:instrText xml:space="preserve"> PAGEREF _Toc523854012 \h </w:instrText>
        </w:r>
        <w:r>
          <w:rPr>
            <w:noProof/>
            <w:webHidden/>
          </w:rPr>
        </w:r>
        <w:r>
          <w:rPr>
            <w:noProof/>
            <w:webHidden/>
          </w:rPr>
          <w:fldChar w:fldCharType="separate"/>
        </w:r>
        <w:r>
          <w:rPr>
            <w:noProof/>
            <w:webHidden/>
          </w:rPr>
          <w:t>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3" w:history="1">
        <w:r w:rsidRPr="00C90A6E">
          <w:rPr>
            <w:rStyle w:val="a9"/>
            <w:rFonts w:ascii="Times New Roman" w:hAnsi="Times New Roman"/>
            <w:b/>
            <w:noProof/>
          </w:rPr>
          <w:t xml:space="preserve">2.2 </w:t>
        </w:r>
        <w:r w:rsidRPr="00C90A6E">
          <w:rPr>
            <w:rStyle w:val="a9"/>
            <w:rFonts w:ascii="Times New Roman" w:hAnsi="Times New Roman" w:hint="eastAsia"/>
            <w:b/>
            <w:noProof/>
          </w:rPr>
          <w:t>环境功能区划与评价标准</w:t>
        </w:r>
        <w:r>
          <w:rPr>
            <w:noProof/>
            <w:webHidden/>
          </w:rPr>
          <w:tab/>
        </w:r>
        <w:r>
          <w:rPr>
            <w:noProof/>
            <w:webHidden/>
          </w:rPr>
          <w:fldChar w:fldCharType="begin"/>
        </w:r>
        <w:r>
          <w:rPr>
            <w:noProof/>
            <w:webHidden/>
          </w:rPr>
          <w:instrText xml:space="preserve"> PAGEREF _Toc523854013 \h </w:instrText>
        </w:r>
        <w:r>
          <w:rPr>
            <w:noProof/>
            <w:webHidden/>
          </w:rPr>
        </w:r>
        <w:r>
          <w:rPr>
            <w:noProof/>
            <w:webHidden/>
          </w:rPr>
          <w:fldChar w:fldCharType="separate"/>
        </w:r>
        <w:r>
          <w:rPr>
            <w:noProof/>
            <w:webHidden/>
          </w:rPr>
          <w:t>9</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4" w:history="1">
        <w:r w:rsidRPr="00C90A6E">
          <w:rPr>
            <w:rStyle w:val="a9"/>
            <w:rFonts w:ascii="Times New Roman" w:hAnsi="Times New Roman"/>
            <w:b/>
            <w:noProof/>
          </w:rPr>
          <w:t xml:space="preserve">2.3 </w:t>
        </w:r>
        <w:r w:rsidRPr="00C90A6E">
          <w:rPr>
            <w:rStyle w:val="a9"/>
            <w:rFonts w:ascii="Times New Roman" w:hAnsi="Times New Roman" w:hint="eastAsia"/>
            <w:b/>
            <w:noProof/>
          </w:rPr>
          <w:t>环境影响因素和评价因子</w:t>
        </w:r>
        <w:r>
          <w:rPr>
            <w:noProof/>
            <w:webHidden/>
          </w:rPr>
          <w:tab/>
        </w:r>
        <w:r>
          <w:rPr>
            <w:noProof/>
            <w:webHidden/>
          </w:rPr>
          <w:fldChar w:fldCharType="begin"/>
        </w:r>
        <w:r>
          <w:rPr>
            <w:noProof/>
            <w:webHidden/>
          </w:rPr>
          <w:instrText xml:space="preserve"> PAGEREF _Toc523854014 \h </w:instrText>
        </w:r>
        <w:r>
          <w:rPr>
            <w:noProof/>
            <w:webHidden/>
          </w:rPr>
        </w:r>
        <w:r>
          <w:rPr>
            <w:noProof/>
            <w:webHidden/>
          </w:rPr>
          <w:fldChar w:fldCharType="separate"/>
        </w:r>
        <w:r>
          <w:rPr>
            <w:noProof/>
            <w:webHidden/>
          </w:rPr>
          <w:t>14</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5" w:history="1">
        <w:r w:rsidRPr="00C90A6E">
          <w:rPr>
            <w:rStyle w:val="a9"/>
            <w:rFonts w:ascii="Times New Roman" w:hAnsi="Times New Roman"/>
            <w:b/>
            <w:noProof/>
          </w:rPr>
          <w:t xml:space="preserve">2.4 </w:t>
        </w:r>
        <w:r w:rsidRPr="00C90A6E">
          <w:rPr>
            <w:rStyle w:val="a9"/>
            <w:rFonts w:ascii="Times New Roman" w:hAnsi="Times New Roman" w:hint="eastAsia"/>
            <w:b/>
            <w:noProof/>
          </w:rPr>
          <w:t>评价等级和评价范围</w:t>
        </w:r>
        <w:r>
          <w:rPr>
            <w:noProof/>
            <w:webHidden/>
          </w:rPr>
          <w:tab/>
        </w:r>
        <w:r>
          <w:rPr>
            <w:noProof/>
            <w:webHidden/>
          </w:rPr>
          <w:fldChar w:fldCharType="begin"/>
        </w:r>
        <w:r>
          <w:rPr>
            <w:noProof/>
            <w:webHidden/>
          </w:rPr>
          <w:instrText xml:space="preserve"> PAGEREF _Toc523854015 \h </w:instrText>
        </w:r>
        <w:r>
          <w:rPr>
            <w:noProof/>
            <w:webHidden/>
          </w:rPr>
        </w:r>
        <w:r>
          <w:rPr>
            <w:noProof/>
            <w:webHidden/>
          </w:rPr>
          <w:fldChar w:fldCharType="separate"/>
        </w:r>
        <w:r>
          <w:rPr>
            <w:noProof/>
            <w:webHidden/>
          </w:rPr>
          <w:t>15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6" w:history="1">
        <w:r w:rsidRPr="00C90A6E">
          <w:rPr>
            <w:rStyle w:val="a9"/>
            <w:rFonts w:ascii="Times New Roman" w:hAnsi="Times New Roman"/>
            <w:b/>
            <w:noProof/>
          </w:rPr>
          <w:t xml:space="preserve">2.5 </w:t>
        </w:r>
        <w:r w:rsidRPr="00C90A6E">
          <w:rPr>
            <w:rStyle w:val="a9"/>
            <w:rFonts w:ascii="Times New Roman" w:hAnsi="Times New Roman" w:hint="eastAsia"/>
            <w:b/>
            <w:noProof/>
          </w:rPr>
          <w:t>评价内容与重点</w:t>
        </w:r>
        <w:r>
          <w:rPr>
            <w:noProof/>
            <w:webHidden/>
          </w:rPr>
          <w:tab/>
        </w:r>
        <w:r>
          <w:rPr>
            <w:noProof/>
            <w:webHidden/>
          </w:rPr>
          <w:fldChar w:fldCharType="begin"/>
        </w:r>
        <w:r>
          <w:rPr>
            <w:noProof/>
            <w:webHidden/>
          </w:rPr>
          <w:instrText xml:space="preserve"> PAGEREF _Toc523854016 \h </w:instrText>
        </w:r>
        <w:r>
          <w:rPr>
            <w:noProof/>
            <w:webHidden/>
          </w:rPr>
        </w:r>
        <w:r>
          <w:rPr>
            <w:noProof/>
            <w:webHidden/>
          </w:rPr>
          <w:fldChar w:fldCharType="separate"/>
        </w:r>
        <w:r>
          <w:rPr>
            <w:noProof/>
            <w:webHidden/>
          </w:rPr>
          <w:t>19</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7" w:history="1">
        <w:r w:rsidRPr="00C90A6E">
          <w:rPr>
            <w:rStyle w:val="a9"/>
            <w:rFonts w:ascii="Times New Roman" w:hAnsi="Times New Roman"/>
            <w:b/>
            <w:noProof/>
          </w:rPr>
          <w:t xml:space="preserve">2.6 </w:t>
        </w:r>
        <w:r w:rsidRPr="00C90A6E">
          <w:rPr>
            <w:rStyle w:val="a9"/>
            <w:rFonts w:ascii="Times New Roman" w:hAnsi="Times New Roman" w:hint="eastAsia"/>
            <w:b/>
            <w:noProof/>
          </w:rPr>
          <w:t>控制污染与环境保护目标</w:t>
        </w:r>
        <w:r>
          <w:rPr>
            <w:noProof/>
            <w:webHidden/>
          </w:rPr>
          <w:tab/>
        </w:r>
        <w:r>
          <w:rPr>
            <w:noProof/>
            <w:webHidden/>
          </w:rPr>
          <w:fldChar w:fldCharType="begin"/>
        </w:r>
        <w:r>
          <w:rPr>
            <w:noProof/>
            <w:webHidden/>
          </w:rPr>
          <w:instrText xml:space="preserve"> PAGEREF _Toc523854017 \h </w:instrText>
        </w:r>
        <w:r>
          <w:rPr>
            <w:noProof/>
            <w:webHidden/>
          </w:rPr>
        </w:r>
        <w:r>
          <w:rPr>
            <w:noProof/>
            <w:webHidden/>
          </w:rPr>
          <w:fldChar w:fldCharType="separate"/>
        </w:r>
        <w:r>
          <w:rPr>
            <w:noProof/>
            <w:webHidden/>
          </w:rPr>
          <w:t>19</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18" w:history="1">
        <w:r w:rsidRPr="00C90A6E">
          <w:rPr>
            <w:rStyle w:val="a9"/>
            <w:rFonts w:ascii="Times New Roman" w:hAnsi="Times New Roman"/>
            <w:b/>
            <w:noProof/>
          </w:rPr>
          <w:t xml:space="preserve">2.7 </w:t>
        </w:r>
        <w:r w:rsidRPr="00C90A6E">
          <w:rPr>
            <w:rStyle w:val="a9"/>
            <w:rFonts w:ascii="Times New Roman" w:hAnsi="Times New Roman" w:hint="eastAsia"/>
            <w:b/>
            <w:noProof/>
          </w:rPr>
          <w:t>评价时段</w:t>
        </w:r>
        <w:r>
          <w:rPr>
            <w:noProof/>
            <w:webHidden/>
          </w:rPr>
          <w:tab/>
        </w:r>
        <w:r>
          <w:rPr>
            <w:noProof/>
            <w:webHidden/>
          </w:rPr>
          <w:fldChar w:fldCharType="begin"/>
        </w:r>
        <w:r>
          <w:rPr>
            <w:noProof/>
            <w:webHidden/>
          </w:rPr>
          <w:instrText xml:space="preserve"> PAGEREF _Toc523854018 \h </w:instrText>
        </w:r>
        <w:r>
          <w:rPr>
            <w:noProof/>
            <w:webHidden/>
          </w:rPr>
        </w:r>
        <w:r>
          <w:rPr>
            <w:noProof/>
            <w:webHidden/>
          </w:rPr>
          <w:fldChar w:fldCharType="separate"/>
        </w:r>
        <w:r>
          <w:rPr>
            <w:noProof/>
            <w:webHidden/>
          </w:rPr>
          <w:t>26</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19"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3</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工程概况</w:t>
        </w:r>
        <w:r>
          <w:rPr>
            <w:noProof/>
            <w:webHidden/>
          </w:rPr>
          <w:tab/>
        </w:r>
        <w:r>
          <w:rPr>
            <w:noProof/>
            <w:webHidden/>
          </w:rPr>
          <w:fldChar w:fldCharType="begin"/>
        </w:r>
        <w:r>
          <w:rPr>
            <w:noProof/>
            <w:webHidden/>
          </w:rPr>
          <w:instrText xml:space="preserve"> PAGEREF _Toc523854019 \h </w:instrText>
        </w:r>
        <w:r>
          <w:rPr>
            <w:noProof/>
            <w:webHidden/>
          </w:rPr>
        </w:r>
        <w:r>
          <w:rPr>
            <w:noProof/>
            <w:webHidden/>
          </w:rPr>
          <w:fldChar w:fldCharType="separate"/>
        </w:r>
        <w:r>
          <w:rPr>
            <w:noProof/>
            <w:webHidden/>
          </w:rPr>
          <w:t>27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0" w:history="1">
        <w:r w:rsidRPr="00C90A6E">
          <w:rPr>
            <w:rStyle w:val="a9"/>
            <w:rFonts w:ascii="Times New Roman" w:hAnsi="Times New Roman"/>
            <w:b/>
            <w:noProof/>
          </w:rPr>
          <w:t xml:space="preserve">3.1 </w:t>
        </w:r>
        <w:r w:rsidRPr="00C90A6E">
          <w:rPr>
            <w:rStyle w:val="a9"/>
            <w:rFonts w:ascii="Times New Roman" w:hAnsi="Times New Roman" w:hint="eastAsia"/>
            <w:b/>
            <w:noProof/>
          </w:rPr>
          <w:t>河道采砂状况</w:t>
        </w:r>
        <w:r>
          <w:rPr>
            <w:noProof/>
            <w:webHidden/>
          </w:rPr>
          <w:tab/>
        </w:r>
        <w:r>
          <w:rPr>
            <w:noProof/>
            <w:webHidden/>
          </w:rPr>
          <w:fldChar w:fldCharType="begin"/>
        </w:r>
        <w:r>
          <w:rPr>
            <w:noProof/>
            <w:webHidden/>
          </w:rPr>
          <w:instrText xml:space="preserve"> PAGEREF _Toc523854020 \h </w:instrText>
        </w:r>
        <w:r>
          <w:rPr>
            <w:noProof/>
            <w:webHidden/>
          </w:rPr>
        </w:r>
        <w:r>
          <w:rPr>
            <w:noProof/>
            <w:webHidden/>
          </w:rPr>
          <w:fldChar w:fldCharType="separate"/>
        </w:r>
        <w:r>
          <w:rPr>
            <w:noProof/>
            <w:webHidden/>
          </w:rPr>
          <w:t>27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1" w:history="1">
        <w:r w:rsidRPr="00C90A6E">
          <w:rPr>
            <w:rStyle w:val="a9"/>
            <w:rFonts w:ascii="Times New Roman" w:hAnsi="Times New Roman"/>
            <w:b/>
            <w:noProof/>
          </w:rPr>
          <w:t xml:space="preserve">3.2 </w:t>
        </w:r>
        <w:r w:rsidRPr="00C90A6E">
          <w:rPr>
            <w:rStyle w:val="a9"/>
            <w:rFonts w:ascii="Times New Roman" w:hAnsi="Times New Roman" w:hint="eastAsia"/>
            <w:b/>
            <w:noProof/>
          </w:rPr>
          <w:t>项目基本情况</w:t>
        </w:r>
        <w:r>
          <w:rPr>
            <w:noProof/>
            <w:webHidden/>
          </w:rPr>
          <w:tab/>
        </w:r>
        <w:r>
          <w:rPr>
            <w:noProof/>
            <w:webHidden/>
          </w:rPr>
          <w:fldChar w:fldCharType="begin"/>
        </w:r>
        <w:r>
          <w:rPr>
            <w:noProof/>
            <w:webHidden/>
          </w:rPr>
          <w:instrText xml:space="preserve"> PAGEREF _Toc523854021 \h </w:instrText>
        </w:r>
        <w:r>
          <w:rPr>
            <w:noProof/>
            <w:webHidden/>
          </w:rPr>
        </w:r>
        <w:r>
          <w:rPr>
            <w:noProof/>
            <w:webHidden/>
          </w:rPr>
          <w:fldChar w:fldCharType="separate"/>
        </w:r>
        <w:r>
          <w:rPr>
            <w:noProof/>
            <w:webHidden/>
          </w:rPr>
          <w:t>28</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2" w:history="1">
        <w:r w:rsidRPr="00C90A6E">
          <w:rPr>
            <w:rStyle w:val="a9"/>
            <w:rFonts w:ascii="Times New Roman" w:hAnsi="Times New Roman"/>
            <w:b/>
            <w:noProof/>
          </w:rPr>
          <w:t xml:space="preserve">3.3 </w:t>
        </w:r>
        <w:r w:rsidRPr="00C90A6E">
          <w:rPr>
            <w:rStyle w:val="a9"/>
            <w:rFonts w:ascii="Times New Roman" w:hAnsi="Times New Roman" w:hint="eastAsia"/>
            <w:b/>
            <w:noProof/>
          </w:rPr>
          <w:t>砂源分析</w:t>
        </w:r>
        <w:r>
          <w:rPr>
            <w:noProof/>
            <w:webHidden/>
          </w:rPr>
          <w:tab/>
        </w:r>
        <w:r>
          <w:rPr>
            <w:noProof/>
            <w:webHidden/>
          </w:rPr>
          <w:fldChar w:fldCharType="begin"/>
        </w:r>
        <w:r>
          <w:rPr>
            <w:noProof/>
            <w:webHidden/>
          </w:rPr>
          <w:instrText xml:space="preserve"> PAGEREF _Toc523854022 \h </w:instrText>
        </w:r>
        <w:r>
          <w:rPr>
            <w:noProof/>
            <w:webHidden/>
          </w:rPr>
        </w:r>
        <w:r>
          <w:rPr>
            <w:noProof/>
            <w:webHidden/>
          </w:rPr>
          <w:fldChar w:fldCharType="separate"/>
        </w:r>
        <w:r>
          <w:rPr>
            <w:noProof/>
            <w:webHidden/>
          </w:rPr>
          <w:t>32</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23"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4</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工程分析</w:t>
        </w:r>
        <w:r>
          <w:rPr>
            <w:noProof/>
            <w:webHidden/>
          </w:rPr>
          <w:tab/>
        </w:r>
        <w:r>
          <w:rPr>
            <w:noProof/>
            <w:webHidden/>
          </w:rPr>
          <w:fldChar w:fldCharType="begin"/>
        </w:r>
        <w:r>
          <w:rPr>
            <w:noProof/>
            <w:webHidden/>
          </w:rPr>
          <w:instrText xml:space="preserve"> PAGEREF _Toc523854023 \h </w:instrText>
        </w:r>
        <w:r>
          <w:rPr>
            <w:noProof/>
            <w:webHidden/>
          </w:rPr>
        </w:r>
        <w:r>
          <w:rPr>
            <w:noProof/>
            <w:webHidden/>
          </w:rPr>
          <w:fldChar w:fldCharType="separate"/>
        </w:r>
        <w:r>
          <w:rPr>
            <w:noProof/>
            <w:webHidden/>
          </w:rPr>
          <w:t>51</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4" w:history="1">
        <w:r w:rsidRPr="00C90A6E">
          <w:rPr>
            <w:rStyle w:val="a9"/>
            <w:rFonts w:ascii="Times New Roman" w:hAnsi="Times New Roman"/>
            <w:b/>
            <w:noProof/>
          </w:rPr>
          <w:t xml:space="preserve">4.1 </w:t>
        </w:r>
        <w:r w:rsidRPr="00C90A6E">
          <w:rPr>
            <w:rStyle w:val="a9"/>
            <w:rFonts w:ascii="Times New Roman" w:hAnsi="Times New Roman" w:hint="eastAsia"/>
            <w:b/>
            <w:noProof/>
          </w:rPr>
          <w:t>开采方案</w:t>
        </w:r>
        <w:r>
          <w:rPr>
            <w:noProof/>
            <w:webHidden/>
          </w:rPr>
          <w:tab/>
        </w:r>
        <w:r>
          <w:rPr>
            <w:noProof/>
            <w:webHidden/>
          </w:rPr>
          <w:fldChar w:fldCharType="begin"/>
        </w:r>
        <w:r>
          <w:rPr>
            <w:noProof/>
            <w:webHidden/>
          </w:rPr>
          <w:instrText xml:space="preserve"> PAGEREF _Toc523854024 \h </w:instrText>
        </w:r>
        <w:r>
          <w:rPr>
            <w:noProof/>
            <w:webHidden/>
          </w:rPr>
        </w:r>
        <w:r>
          <w:rPr>
            <w:noProof/>
            <w:webHidden/>
          </w:rPr>
          <w:fldChar w:fldCharType="separate"/>
        </w:r>
        <w:r>
          <w:rPr>
            <w:noProof/>
            <w:webHidden/>
          </w:rPr>
          <w:t>51</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5" w:history="1">
        <w:r w:rsidRPr="00C90A6E">
          <w:rPr>
            <w:rStyle w:val="a9"/>
            <w:rFonts w:ascii="Times New Roman" w:hAnsi="Times New Roman"/>
            <w:b/>
            <w:noProof/>
          </w:rPr>
          <w:t xml:space="preserve">4.2 </w:t>
        </w:r>
        <w:r w:rsidRPr="00C90A6E">
          <w:rPr>
            <w:rStyle w:val="a9"/>
            <w:rFonts w:ascii="Times New Roman" w:hAnsi="Times New Roman" w:hint="eastAsia"/>
            <w:b/>
            <w:noProof/>
          </w:rPr>
          <w:t>污染源及其源强分析</w:t>
        </w:r>
        <w:r>
          <w:rPr>
            <w:noProof/>
            <w:webHidden/>
          </w:rPr>
          <w:tab/>
        </w:r>
        <w:r>
          <w:rPr>
            <w:noProof/>
            <w:webHidden/>
          </w:rPr>
          <w:fldChar w:fldCharType="begin"/>
        </w:r>
        <w:r>
          <w:rPr>
            <w:noProof/>
            <w:webHidden/>
          </w:rPr>
          <w:instrText xml:space="preserve"> PAGEREF _Toc523854025 \h </w:instrText>
        </w:r>
        <w:r>
          <w:rPr>
            <w:noProof/>
            <w:webHidden/>
          </w:rPr>
        </w:r>
        <w:r>
          <w:rPr>
            <w:noProof/>
            <w:webHidden/>
          </w:rPr>
          <w:fldChar w:fldCharType="separate"/>
        </w:r>
        <w:r>
          <w:rPr>
            <w:noProof/>
            <w:webHidden/>
          </w:rPr>
          <w:t>57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6" w:history="1">
        <w:r w:rsidRPr="00C90A6E">
          <w:rPr>
            <w:rStyle w:val="a9"/>
            <w:rFonts w:ascii="Times New Roman" w:hAnsi="Times New Roman"/>
            <w:b/>
            <w:noProof/>
          </w:rPr>
          <w:t xml:space="preserve">4.3 </w:t>
        </w:r>
        <w:r w:rsidRPr="00C90A6E">
          <w:rPr>
            <w:rStyle w:val="a9"/>
            <w:rFonts w:ascii="Times New Roman" w:hAnsi="Times New Roman" w:hint="eastAsia"/>
            <w:b/>
            <w:noProof/>
          </w:rPr>
          <w:t>环境影响因子识别的判断与筛选</w:t>
        </w:r>
        <w:r>
          <w:rPr>
            <w:noProof/>
            <w:webHidden/>
          </w:rPr>
          <w:tab/>
        </w:r>
        <w:r>
          <w:rPr>
            <w:noProof/>
            <w:webHidden/>
          </w:rPr>
          <w:fldChar w:fldCharType="begin"/>
        </w:r>
        <w:r>
          <w:rPr>
            <w:noProof/>
            <w:webHidden/>
          </w:rPr>
          <w:instrText xml:space="preserve"> PAGEREF _Toc523854026 \h </w:instrText>
        </w:r>
        <w:r>
          <w:rPr>
            <w:noProof/>
            <w:webHidden/>
          </w:rPr>
        </w:r>
        <w:r>
          <w:rPr>
            <w:noProof/>
            <w:webHidden/>
          </w:rPr>
          <w:fldChar w:fldCharType="separate"/>
        </w:r>
        <w:r>
          <w:rPr>
            <w:noProof/>
            <w:webHidden/>
          </w:rPr>
          <w:t>61</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27"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5</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环境现状调查与评价</w:t>
        </w:r>
        <w:r>
          <w:rPr>
            <w:noProof/>
            <w:webHidden/>
          </w:rPr>
          <w:tab/>
        </w:r>
        <w:r>
          <w:rPr>
            <w:noProof/>
            <w:webHidden/>
          </w:rPr>
          <w:fldChar w:fldCharType="begin"/>
        </w:r>
        <w:r>
          <w:rPr>
            <w:noProof/>
            <w:webHidden/>
          </w:rPr>
          <w:instrText xml:space="preserve"> PAGEREF _Toc523854027 \h </w:instrText>
        </w:r>
        <w:r>
          <w:rPr>
            <w:noProof/>
            <w:webHidden/>
          </w:rPr>
        </w:r>
        <w:r>
          <w:rPr>
            <w:noProof/>
            <w:webHidden/>
          </w:rPr>
          <w:fldChar w:fldCharType="separate"/>
        </w:r>
        <w:r>
          <w:rPr>
            <w:noProof/>
            <w:webHidden/>
          </w:rPr>
          <w:t>63</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8" w:history="1">
        <w:r w:rsidRPr="00C90A6E">
          <w:rPr>
            <w:rStyle w:val="a9"/>
            <w:rFonts w:ascii="Times New Roman" w:hAnsi="Times New Roman"/>
            <w:b/>
            <w:noProof/>
          </w:rPr>
          <w:t xml:space="preserve">5.1 </w:t>
        </w:r>
        <w:r w:rsidRPr="00C90A6E">
          <w:rPr>
            <w:rStyle w:val="a9"/>
            <w:rFonts w:ascii="Times New Roman" w:hAnsi="Times New Roman" w:hint="eastAsia"/>
            <w:b/>
            <w:noProof/>
          </w:rPr>
          <w:t>区域环境概况</w:t>
        </w:r>
        <w:r>
          <w:rPr>
            <w:noProof/>
            <w:webHidden/>
          </w:rPr>
          <w:tab/>
        </w:r>
        <w:r>
          <w:rPr>
            <w:noProof/>
            <w:webHidden/>
          </w:rPr>
          <w:fldChar w:fldCharType="begin"/>
        </w:r>
        <w:r>
          <w:rPr>
            <w:noProof/>
            <w:webHidden/>
          </w:rPr>
          <w:instrText xml:space="preserve"> PAGEREF _Toc523854028 \h </w:instrText>
        </w:r>
        <w:r>
          <w:rPr>
            <w:noProof/>
            <w:webHidden/>
          </w:rPr>
        </w:r>
        <w:r>
          <w:rPr>
            <w:noProof/>
            <w:webHidden/>
          </w:rPr>
          <w:fldChar w:fldCharType="separate"/>
        </w:r>
        <w:r>
          <w:rPr>
            <w:noProof/>
            <w:webHidden/>
          </w:rPr>
          <w:t>63</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29" w:history="1">
        <w:r w:rsidRPr="00C90A6E">
          <w:rPr>
            <w:rStyle w:val="a9"/>
            <w:rFonts w:ascii="Times New Roman" w:hAnsi="Times New Roman"/>
            <w:noProof/>
          </w:rPr>
          <w:t>5.2</w:t>
        </w:r>
        <w:r w:rsidRPr="00C90A6E">
          <w:rPr>
            <w:rStyle w:val="a9"/>
            <w:rFonts w:ascii="Times New Roman" w:hAnsi="Times New Roman" w:hint="eastAsia"/>
            <w:noProof/>
          </w:rPr>
          <w:t>环境质量现状调查与评价</w:t>
        </w:r>
        <w:r>
          <w:rPr>
            <w:noProof/>
            <w:webHidden/>
          </w:rPr>
          <w:tab/>
        </w:r>
        <w:r>
          <w:rPr>
            <w:noProof/>
            <w:webHidden/>
          </w:rPr>
          <w:fldChar w:fldCharType="begin"/>
        </w:r>
        <w:r>
          <w:rPr>
            <w:noProof/>
            <w:webHidden/>
          </w:rPr>
          <w:instrText xml:space="preserve"> PAGEREF _Toc523854029 \h </w:instrText>
        </w:r>
        <w:r>
          <w:rPr>
            <w:noProof/>
            <w:webHidden/>
          </w:rPr>
        </w:r>
        <w:r>
          <w:rPr>
            <w:noProof/>
            <w:webHidden/>
          </w:rPr>
          <w:fldChar w:fldCharType="separate"/>
        </w:r>
        <w:r>
          <w:rPr>
            <w:noProof/>
            <w:webHidden/>
          </w:rPr>
          <w:t>76</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0" w:history="1">
        <w:r w:rsidRPr="00C90A6E">
          <w:rPr>
            <w:rStyle w:val="a9"/>
            <w:rFonts w:ascii="Times New Roman" w:hAnsi="Times New Roman"/>
            <w:b/>
            <w:noProof/>
          </w:rPr>
          <w:t xml:space="preserve">5.3 </w:t>
        </w:r>
        <w:r w:rsidRPr="00C90A6E">
          <w:rPr>
            <w:rStyle w:val="a9"/>
            <w:rFonts w:ascii="Times New Roman" w:hAnsi="Times New Roman" w:hint="eastAsia"/>
            <w:b/>
            <w:noProof/>
          </w:rPr>
          <w:t>生态环境质量现状</w:t>
        </w:r>
        <w:r>
          <w:rPr>
            <w:noProof/>
            <w:webHidden/>
          </w:rPr>
          <w:tab/>
        </w:r>
        <w:r>
          <w:rPr>
            <w:noProof/>
            <w:webHidden/>
          </w:rPr>
          <w:fldChar w:fldCharType="begin"/>
        </w:r>
        <w:r>
          <w:rPr>
            <w:noProof/>
            <w:webHidden/>
          </w:rPr>
          <w:instrText xml:space="preserve"> PAGEREF _Toc523854030 \h </w:instrText>
        </w:r>
        <w:r>
          <w:rPr>
            <w:noProof/>
            <w:webHidden/>
          </w:rPr>
        </w:r>
        <w:r>
          <w:rPr>
            <w:noProof/>
            <w:webHidden/>
          </w:rPr>
          <w:fldChar w:fldCharType="separate"/>
        </w:r>
        <w:r>
          <w:rPr>
            <w:noProof/>
            <w:webHidden/>
          </w:rPr>
          <w:t>94</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31"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6</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环境影响预测与评价</w:t>
        </w:r>
        <w:r>
          <w:rPr>
            <w:noProof/>
            <w:webHidden/>
          </w:rPr>
          <w:tab/>
        </w:r>
        <w:r>
          <w:rPr>
            <w:noProof/>
            <w:webHidden/>
          </w:rPr>
          <w:fldChar w:fldCharType="begin"/>
        </w:r>
        <w:r>
          <w:rPr>
            <w:noProof/>
            <w:webHidden/>
          </w:rPr>
          <w:instrText xml:space="preserve"> PAGEREF _Toc523854031 \h </w:instrText>
        </w:r>
        <w:r>
          <w:rPr>
            <w:noProof/>
            <w:webHidden/>
          </w:rPr>
        </w:r>
        <w:r>
          <w:rPr>
            <w:noProof/>
            <w:webHidden/>
          </w:rPr>
          <w:fldChar w:fldCharType="separate"/>
        </w:r>
        <w:r>
          <w:rPr>
            <w:noProof/>
            <w:webHidden/>
          </w:rPr>
          <w:t>95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2" w:history="1">
        <w:r w:rsidRPr="00C90A6E">
          <w:rPr>
            <w:rStyle w:val="a9"/>
            <w:rFonts w:ascii="Times New Roman" w:hAnsi="Times New Roman"/>
            <w:b/>
            <w:noProof/>
          </w:rPr>
          <w:t xml:space="preserve">6.1 </w:t>
        </w:r>
        <w:r w:rsidRPr="00C90A6E">
          <w:rPr>
            <w:rStyle w:val="a9"/>
            <w:rFonts w:ascii="Times New Roman" w:hAnsi="Times New Roman" w:hint="eastAsia"/>
            <w:b/>
            <w:noProof/>
          </w:rPr>
          <w:t>地表水环境影响分析</w:t>
        </w:r>
        <w:r>
          <w:rPr>
            <w:noProof/>
            <w:webHidden/>
          </w:rPr>
          <w:tab/>
        </w:r>
        <w:r>
          <w:rPr>
            <w:noProof/>
            <w:webHidden/>
          </w:rPr>
          <w:fldChar w:fldCharType="begin"/>
        </w:r>
        <w:r>
          <w:rPr>
            <w:noProof/>
            <w:webHidden/>
          </w:rPr>
          <w:instrText xml:space="preserve"> PAGEREF _Toc523854032 \h </w:instrText>
        </w:r>
        <w:r>
          <w:rPr>
            <w:noProof/>
            <w:webHidden/>
          </w:rPr>
        </w:r>
        <w:r>
          <w:rPr>
            <w:noProof/>
            <w:webHidden/>
          </w:rPr>
          <w:fldChar w:fldCharType="separate"/>
        </w:r>
        <w:r>
          <w:rPr>
            <w:noProof/>
            <w:webHidden/>
          </w:rPr>
          <w:t>95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3" w:history="1">
        <w:r w:rsidRPr="00C90A6E">
          <w:rPr>
            <w:rStyle w:val="a9"/>
            <w:rFonts w:ascii="Times New Roman" w:hAnsi="Times New Roman"/>
            <w:b/>
            <w:noProof/>
          </w:rPr>
          <w:t xml:space="preserve">6.2 </w:t>
        </w:r>
        <w:r w:rsidRPr="00C90A6E">
          <w:rPr>
            <w:rStyle w:val="a9"/>
            <w:rFonts w:ascii="Times New Roman" w:hAnsi="Times New Roman" w:hint="eastAsia"/>
            <w:b/>
            <w:noProof/>
          </w:rPr>
          <w:t>地形地貌与冲淤环境影响分析</w:t>
        </w:r>
        <w:r>
          <w:rPr>
            <w:noProof/>
            <w:webHidden/>
          </w:rPr>
          <w:tab/>
        </w:r>
        <w:r>
          <w:rPr>
            <w:noProof/>
            <w:webHidden/>
          </w:rPr>
          <w:fldChar w:fldCharType="begin"/>
        </w:r>
        <w:r>
          <w:rPr>
            <w:noProof/>
            <w:webHidden/>
          </w:rPr>
          <w:instrText xml:space="preserve"> PAGEREF _Toc523854033 \h </w:instrText>
        </w:r>
        <w:r>
          <w:rPr>
            <w:noProof/>
            <w:webHidden/>
          </w:rPr>
        </w:r>
        <w:r>
          <w:rPr>
            <w:noProof/>
            <w:webHidden/>
          </w:rPr>
          <w:fldChar w:fldCharType="separate"/>
        </w:r>
        <w:r>
          <w:rPr>
            <w:noProof/>
            <w:webHidden/>
          </w:rPr>
          <w:t>100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4" w:history="1">
        <w:r w:rsidRPr="00C90A6E">
          <w:rPr>
            <w:rStyle w:val="a9"/>
            <w:rFonts w:ascii="Times New Roman" w:hAnsi="Times New Roman"/>
            <w:b/>
            <w:noProof/>
          </w:rPr>
          <w:t xml:space="preserve">6.3 </w:t>
        </w:r>
        <w:r w:rsidRPr="00C90A6E">
          <w:rPr>
            <w:rStyle w:val="a9"/>
            <w:rFonts w:ascii="Times New Roman" w:hAnsi="Times New Roman" w:hint="eastAsia"/>
            <w:b/>
            <w:noProof/>
          </w:rPr>
          <w:t>采砂对沉积物影响分析</w:t>
        </w:r>
        <w:r>
          <w:rPr>
            <w:noProof/>
            <w:webHidden/>
          </w:rPr>
          <w:tab/>
        </w:r>
        <w:r>
          <w:rPr>
            <w:noProof/>
            <w:webHidden/>
          </w:rPr>
          <w:fldChar w:fldCharType="begin"/>
        </w:r>
        <w:r>
          <w:rPr>
            <w:noProof/>
            <w:webHidden/>
          </w:rPr>
          <w:instrText xml:space="preserve"> PAGEREF _Toc523854034 \h </w:instrText>
        </w:r>
        <w:r>
          <w:rPr>
            <w:noProof/>
            <w:webHidden/>
          </w:rPr>
        </w:r>
        <w:r>
          <w:rPr>
            <w:noProof/>
            <w:webHidden/>
          </w:rPr>
          <w:fldChar w:fldCharType="separate"/>
        </w:r>
        <w:r>
          <w:rPr>
            <w:noProof/>
            <w:webHidden/>
          </w:rPr>
          <w:t>101</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5" w:history="1">
        <w:r w:rsidRPr="00C90A6E">
          <w:rPr>
            <w:rStyle w:val="a9"/>
            <w:rFonts w:ascii="Times New Roman" w:hAnsi="Times New Roman"/>
            <w:b/>
            <w:noProof/>
          </w:rPr>
          <w:t xml:space="preserve">6.4 </w:t>
        </w:r>
        <w:r w:rsidRPr="00C90A6E">
          <w:rPr>
            <w:rStyle w:val="a9"/>
            <w:rFonts w:ascii="Times New Roman" w:hAnsi="Times New Roman" w:hint="eastAsia"/>
            <w:b/>
            <w:noProof/>
          </w:rPr>
          <w:t>大气环境影响分析</w:t>
        </w:r>
        <w:r>
          <w:rPr>
            <w:noProof/>
            <w:webHidden/>
          </w:rPr>
          <w:tab/>
        </w:r>
        <w:r>
          <w:rPr>
            <w:noProof/>
            <w:webHidden/>
          </w:rPr>
          <w:fldChar w:fldCharType="begin"/>
        </w:r>
        <w:r>
          <w:rPr>
            <w:noProof/>
            <w:webHidden/>
          </w:rPr>
          <w:instrText xml:space="preserve"> PAGEREF _Toc523854035 \h </w:instrText>
        </w:r>
        <w:r>
          <w:rPr>
            <w:noProof/>
            <w:webHidden/>
          </w:rPr>
        </w:r>
        <w:r>
          <w:rPr>
            <w:noProof/>
            <w:webHidden/>
          </w:rPr>
          <w:fldChar w:fldCharType="separate"/>
        </w:r>
        <w:r>
          <w:rPr>
            <w:noProof/>
            <w:webHidden/>
          </w:rPr>
          <w:t>101</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6" w:history="1">
        <w:r w:rsidRPr="00C90A6E">
          <w:rPr>
            <w:rStyle w:val="a9"/>
            <w:rFonts w:ascii="Times New Roman" w:hAnsi="Times New Roman"/>
            <w:b/>
            <w:noProof/>
          </w:rPr>
          <w:t xml:space="preserve">6.5 </w:t>
        </w:r>
        <w:r w:rsidRPr="00C90A6E">
          <w:rPr>
            <w:rStyle w:val="a9"/>
            <w:rFonts w:ascii="Times New Roman" w:hAnsi="Times New Roman" w:hint="eastAsia"/>
            <w:b/>
            <w:noProof/>
          </w:rPr>
          <w:t>声环境影响分析</w:t>
        </w:r>
        <w:r>
          <w:rPr>
            <w:noProof/>
            <w:webHidden/>
          </w:rPr>
          <w:tab/>
        </w:r>
        <w:r>
          <w:rPr>
            <w:noProof/>
            <w:webHidden/>
          </w:rPr>
          <w:fldChar w:fldCharType="begin"/>
        </w:r>
        <w:r>
          <w:rPr>
            <w:noProof/>
            <w:webHidden/>
          </w:rPr>
          <w:instrText xml:space="preserve"> PAGEREF _Toc523854036 \h </w:instrText>
        </w:r>
        <w:r>
          <w:rPr>
            <w:noProof/>
            <w:webHidden/>
          </w:rPr>
        </w:r>
        <w:r>
          <w:rPr>
            <w:noProof/>
            <w:webHidden/>
          </w:rPr>
          <w:fldChar w:fldCharType="separate"/>
        </w:r>
        <w:r>
          <w:rPr>
            <w:noProof/>
            <w:webHidden/>
          </w:rPr>
          <w:t>102</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7" w:history="1">
        <w:r w:rsidRPr="00C90A6E">
          <w:rPr>
            <w:rStyle w:val="a9"/>
            <w:rFonts w:ascii="Times New Roman" w:hAnsi="Times New Roman"/>
            <w:b/>
            <w:noProof/>
          </w:rPr>
          <w:t xml:space="preserve">6.6 </w:t>
        </w:r>
        <w:r w:rsidRPr="00C90A6E">
          <w:rPr>
            <w:rStyle w:val="a9"/>
            <w:rFonts w:ascii="Times New Roman" w:hAnsi="Times New Roman" w:hint="eastAsia"/>
            <w:b/>
            <w:noProof/>
          </w:rPr>
          <w:t>固体废物环境影响分析</w:t>
        </w:r>
        <w:r>
          <w:rPr>
            <w:noProof/>
            <w:webHidden/>
          </w:rPr>
          <w:tab/>
        </w:r>
        <w:r>
          <w:rPr>
            <w:noProof/>
            <w:webHidden/>
          </w:rPr>
          <w:fldChar w:fldCharType="begin"/>
        </w:r>
        <w:r>
          <w:rPr>
            <w:noProof/>
            <w:webHidden/>
          </w:rPr>
          <w:instrText xml:space="preserve"> PAGEREF _Toc523854037 \h </w:instrText>
        </w:r>
        <w:r>
          <w:rPr>
            <w:noProof/>
            <w:webHidden/>
          </w:rPr>
        </w:r>
        <w:r>
          <w:rPr>
            <w:noProof/>
            <w:webHidden/>
          </w:rPr>
          <w:fldChar w:fldCharType="separate"/>
        </w:r>
        <w:r>
          <w:rPr>
            <w:noProof/>
            <w:webHidden/>
          </w:rPr>
          <w:t>105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38" w:history="1">
        <w:r w:rsidRPr="00C90A6E">
          <w:rPr>
            <w:rStyle w:val="a9"/>
            <w:rFonts w:ascii="Times New Roman" w:hAnsi="Times New Roman"/>
            <w:b/>
            <w:noProof/>
          </w:rPr>
          <w:t xml:space="preserve">6.7 </w:t>
        </w:r>
        <w:r w:rsidRPr="00C90A6E">
          <w:rPr>
            <w:rStyle w:val="a9"/>
            <w:rFonts w:ascii="Times New Roman" w:hAnsi="Times New Roman" w:hint="eastAsia"/>
            <w:b/>
            <w:noProof/>
          </w:rPr>
          <w:t>生态环境影响分析</w:t>
        </w:r>
        <w:r>
          <w:rPr>
            <w:noProof/>
            <w:webHidden/>
          </w:rPr>
          <w:tab/>
        </w:r>
        <w:r>
          <w:rPr>
            <w:noProof/>
            <w:webHidden/>
          </w:rPr>
          <w:fldChar w:fldCharType="begin"/>
        </w:r>
        <w:r>
          <w:rPr>
            <w:noProof/>
            <w:webHidden/>
          </w:rPr>
          <w:instrText xml:space="preserve"> PAGEREF _Toc523854038 \h </w:instrText>
        </w:r>
        <w:r>
          <w:rPr>
            <w:noProof/>
            <w:webHidden/>
          </w:rPr>
        </w:r>
        <w:r>
          <w:rPr>
            <w:noProof/>
            <w:webHidden/>
          </w:rPr>
          <w:fldChar w:fldCharType="separate"/>
        </w:r>
        <w:r>
          <w:rPr>
            <w:noProof/>
            <w:webHidden/>
          </w:rPr>
          <w:t>105</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39"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7</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污染防治措施</w:t>
        </w:r>
        <w:r>
          <w:rPr>
            <w:noProof/>
            <w:webHidden/>
          </w:rPr>
          <w:tab/>
        </w:r>
        <w:r>
          <w:rPr>
            <w:noProof/>
            <w:webHidden/>
          </w:rPr>
          <w:fldChar w:fldCharType="begin"/>
        </w:r>
        <w:r>
          <w:rPr>
            <w:noProof/>
            <w:webHidden/>
          </w:rPr>
          <w:instrText xml:space="preserve"> PAGEREF _Toc523854039 \h </w:instrText>
        </w:r>
        <w:r>
          <w:rPr>
            <w:noProof/>
            <w:webHidden/>
          </w:rPr>
        </w:r>
        <w:r>
          <w:rPr>
            <w:noProof/>
            <w:webHidden/>
          </w:rPr>
          <w:fldChar w:fldCharType="separate"/>
        </w:r>
        <w:r>
          <w:rPr>
            <w:noProof/>
            <w:webHidden/>
          </w:rPr>
          <w:t>107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0" w:history="1">
        <w:r w:rsidRPr="00C90A6E">
          <w:rPr>
            <w:rStyle w:val="a9"/>
            <w:rFonts w:ascii="Times New Roman" w:hAnsi="Times New Roman"/>
            <w:b/>
            <w:noProof/>
          </w:rPr>
          <w:t xml:space="preserve">7.1 </w:t>
        </w:r>
        <w:r w:rsidRPr="00C90A6E">
          <w:rPr>
            <w:rStyle w:val="a9"/>
            <w:rFonts w:ascii="Times New Roman" w:hAnsi="Times New Roman" w:hint="eastAsia"/>
            <w:b/>
            <w:noProof/>
          </w:rPr>
          <w:t>项目采砂过程中环境保护措施</w:t>
        </w:r>
        <w:r>
          <w:rPr>
            <w:noProof/>
            <w:webHidden/>
          </w:rPr>
          <w:tab/>
        </w:r>
        <w:r>
          <w:rPr>
            <w:noProof/>
            <w:webHidden/>
          </w:rPr>
          <w:fldChar w:fldCharType="begin"/>
        </w:r>
        <w:r>
          <w:rPr>
            <w:noProof/>
            <w:webHidden/>
          </w:rPr>
          <w:instrText xml:space="preserve"> PAGEREF _Toc523854040 \h </w:instrText>
        </w:r>
        <w:r>
          <w:rPr>
            <w:noProof/>
            <w:webHidden/>
          </w:rPr>
        </w:r>
        <w:r>
          <w:rPr>
            <w:noProof/>
            <w:webHidden/>
          </w:rPr>
          <w:fldChar w:fldCharType="separate"/>
        </w:r>
        <w:r>
          <w:rPr>
            <w:noProof/>
            <w:webHidden/>
          </w:rPr>
          <w:t>107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1" w:history="1">
        <w:r w:rsidRPr="00C90A6E">
          <w:rPr>
            <w:rStyle w:val="a9"/>
            <w:rFonts w:ascii="Times New Roman" w:hAnsi="Times New Roman"/>
            <w:b/>
            <w:noProof/>
          </w:rPr>
          <w:t xml:space="preserve">7.2 </w:t>
        </w:r>
        <w:r w:rsidRPr="00C90A6E">
          <w:rPr>
            <w:rStyle w:val="a9"/>
            <w:rFonts w:ascii="Times New Roman" w:hAnsi="Times New Roman" w:hint="eastAsia"/>
            <w:b/>
            <w:noProof/>
          </w:rPr>
          <w:t>作业船舶污染防治措施</w:t>
        </w:r>
        <w:r>
          <w:rPr>
            <w:noProof/>
            <w:webHidden/>
          </w:rPr>
          <w:tab/>
        </w:r>
        <w:r>
          <w:rPr>
            <w:noProof/>
            <w:webHidden/>
          </w:rPr>
          <w:fldChar w:fldCharType="begin"/>
        </w:r>
        <w:r>
          <w:rPr>
            <w:noProof/>
            <w:webHidden/>
          </w:rPr>
          <w:instrText xml:space="preserve"> PAGEREF _Toc523854041 \h </w:instrText>
        </w:r>
        <w:r>
          <w:rPr>
            <w:noProof/>
            <w:webHidden/>
          </w:rPr>
        </w:r>
        <w:r>
          <w:rPr>
            <w:noProof/>
            <w:webHidden/>
          </w:rPr>
          <w:fldChar w:fldCharType="separate"/>
        </w:r>
        <w:r>
          <w:rPr>
            <w:noProof/>
            <w:webHidden/>
          </w:rPr>
          <w:t>107</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2" w:history="1">
        <w:r w:rsidRPr="00C90A6E">
          <w:rPr>
            <w:rStyle w:val="a9"/>
            <w:rFonts w:ascii="Times New Roman" w:hAnsi="Times New Roman"/>
            <w:b/>
            <w:noProof/>
          </w:rPr>
          <w:t xml:space="preserve">7.3 </w:t>
        </w:r>
        <w:r w:rsidRPr="00C90A6E">
          <w:rPr>
            <w:rStyle w:val="a9"/>
            <w:rFonts w:ascii="Times New Roman" w:hAnsi="Times New Roman" w:hint="eastAsia"/>
            <w:b/>
            <w:noProof/>
          </w:rPr>
          <w:t>采砂期生态影响防治对策</w:t>
        </w:r>
        <w:r>
          <w:rPr>
            <w:noProof/>
            <w:webHidden/>
          </w:rPr>
          <w:tab/>
        </w:r>
        <w:r>
          <w:rPr>
            <w:noProof/>
            <w:webHidden/>
          </w:rPr>
          <w:fldChar w:fldCharType="begin"/>
        </w:r>
        <w:r>
          <w:rPr>
            <w:noProof/>
            <w:webHidden/>
          </w:rPr>
          <w:instrText xml:space="preserve"> PAGEREF _Toc523854042 \h </w:instrText>
        </w:r>
        <w:r>
          <w:rPr>
            <w:noProof/>
            <w:webHidden/>
          </w:rPr>
        </w:r>
        <w:r>
          <w:rPr>
            <w:noProof/>
            <w:webHidden/>
          </w:rPr>
          <w:fldChar w:fldCharType="separate"/>
        </w:r>
        <w:r>
          <w:rPr>
            <w:noProof/>
            <w:webHidden/>
          </w:rPr>
          <w:t>109</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3" w:history="1">
        <w:r w:rsidRPr="00C90A6E">
          <w:rPr>
            <w:rStyle w:val="a9"/>
            <w:rFonts w:ascii="Times New Roman" w:hAnsi="Times New Roman"/>
            <w:b/>
            <w:noProof/>
          </w:rPr>
          <w:t xml:space="preserve">7.4 </w:t>
        </w:r>
        <w:r w:rsidRPr="00C90A6E">
          <w:rPr>
            <w:rStyle w:val="a9"/>
            <w:rFonts w:ascii="Times New Roman" w:hAnsi="Times New Roman" w:hint="eastAsia"/>
            <w:b/>
            <w:noProof/>
          </w:rPr>
          <w:t>环保措施汇总</w:t>
        </w:r>
        <w:r>
          <w:rPr>
            <w:noProof/>
            <w:webHidden/>
          </w:rPr>
          <w:tab/>
        </w:r>
        <w:r>
          <w:rPr>
            <w:noProof/>
            <w:webHidden/>
          </w:rPr>
          <w:fldChar w:fldCharType="begin"/>
        </w:r>
        <w:r>
          <w:rPr>
            <w:noProof/>
            <w:webHidden/>
          </w:rPr>
          <w:instrText xml:space="preserve"> PAGEREF _Toc523854043 \h </w:instrText>
        </w:r>
        <w:r>
          <w:rPr>
            <w:noProof/>
            <w:webHidden/>
          </w:rPr>
        </w:r>
        <w:r>
          <w:rPr>
            <w:noProof/>
            <w:webHidden/>
          </w:rPr>
          <w:fldChar w:fldCharType="separate"/>
        </w:r>
        <w:r>
          <w:rPr>
            <w:noProof/>
            <w:webHidden/>
          </w:rPr>
          <w:t>118</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44"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8</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环境风险分析与评价</w:t>
        </w:r>
        <w:r>
          <w:rPr>
            <w:noProof/>
            <w:webHidden/>
          </w:rPr>
          <w:tab/>
        </w:r>
        <w:r>
          <w:rPr>
            <w:noProof/>
            <w:webHidden/>
          </w:rPr>
          <w:fldChar w:fldCharType="begin"/>
        </w:r>
        <w:r>
          <w:rPr>
            <w:noProof/>
            <w:webHidden/>
          </w:rPr>
          <w:instrText xml:space="preserve"> PAGEREF _Toc523854044 \h </w:instrText>
        </w:r>
        <w:r>
          <w:rPr>
            <w:noProof/>
            <w:webHidden/>
          </w:rPr>
        </w:r>
        <w:r>
          <w:rPr>
            <w:noProof/>
            <w:webHidden/>
          </w:rPr>
          <w:fldChar w:fldCharType="separate"/>
        </w:r>
        <w:r>
          <w:rPr>
            <w:noProof/>
            <w:webHidden/>
          </w:rPr>
          <w:t>120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5" w:history="1">
        <w:r w:rsidRPr="00C90A6E">
          <w:rPr>
            <w:rStyle w:val="a9"/>
            <w:rFonts w:ascii="Times New Roman" w:hAnsi="Times New Roman"/>
            <w:b/>
            <w:noProof/>
          </w:rPr>
          <w:t xml:space="preserve">8.1 </w:t>
        </w:r>
        <w:r w:rsidRPr="00C90A6E">
          <w:rPr>
            <w:rStyle w:val="a9"/>
            <w:rFonts w:ascii="Times New Roman" w:hAnsi="Times New Roman" w:hint="eastAsia"/>
            <w:b/>
            <w:noProof/>
          </w:rPr>
          <w:t>环境风险评价目的</w:t>
        </w:r>
        <w:r>
          <w:rPr>
            <w:noProof/>
            <w:webHidden/>
          </w:rPr>
          <w:tab/>
        </w:r>
        <w:r>
          <w:rPr>
            <w:noProof/>
            <w:webHidden/>
          </w:rPr>
          <w:fldChar w:fldCharType="begin"/>
        </w:r>
        <w:r>
          <w:rPr>
            <w:noProof/>
            <w:webHidden/>
          </w:rPr>
          <w:instrText xml:space="preserve"> PAGEREF _Toc523854045 \h </w:instrText>
        </w:r>
        <w:r>
          <w:rPr>
            <w:noProof/>
            <w:webHidden/>
          </w:rPr>
        </w:r>
        <w:r>
          <w:rPr>
            <w:noProof/>
            <w:webHidden/>
          </w:rPr>
          <w:fldChar w:fldCharType="separate"/>
        </w:r>
        <w:r>
          <w:rPr>
            <w:noProof/>
            <w:webHidden/>
          </w:rPr>
          <w:t>120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6" w:history="1">
        <w:r w:rsidRPr="00C90A6E">
          <w:rPr>
            <w:rStyle w:val="a9"/>
            <w:rFonts w:ascii="Times New Roman" w:hAnsi="Times New Roman"/>
            <w:b/>
            <w:noProof/>
          </w:rPr>
          <w:t xml:space="preserve">8.2 </w:t>
        </w:r>
        <w:r w:rsidRPr="00C90A6E">
          <w:rPr>
            <w:rStyle w:val="a9"/>
            <w:rFonts w:ascii="Times New Roman" w:hAnsi="Times New Roman" w:hint="eastAsia"/>
            <w:b/>
            <w:noProof/>
          </w:rPr>
          <w:t>风险识别</w:t>
        </w:r>
        <w:r>
          <w:rPr>
            <w:noProof/>
            <w:webHidden/>
          </w:rPr>
          <w:tab/>
        </w:r>
        <w:r>
          <w:rPr>
            <w:noProof/>
            <w:webHidden/>
          </w:rPr>
          <w:fldChar w:fldCharType="begin"/>
        </w:r>
        <w:r>
          <w:rPr>
            <w:noProof/>
            <w:webHidden/>
          </w:rPr>
          <w:instrText xml:space="preserve"> PAGEREF _Toc523854046 \h </w:instrText>
        </w:r>
        <w:r>
          <w:rPr>
            <w:noProof/>
            <w:webHidden/>
          </w:rPr>
        </w:r>
        <w:r>
          <w:rPr>
            <w:noProof/>
            <w:webHidden/>
          </w:rPr>
          <w:fldChar w:fldCharType="separate"/>
        </w:r>
        <w:r>
          <w:rPr>
            <w:noProof/>
            <w:webHidden/>
          </w:rPr>
          <w:t>120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7" w:history="1">
        <w:r w:rsidRPr="00C90A6E">
          <w:rPr>
            <w:rStyle w:val="a9"/>
            <w:rFonts w:ascii="Times New Roman" w:hAnsi="Times New Roman"/>
            <w:b/>
            <w:noProof/>
          </w:rPr>
          <w:t xml:space="preserve">8.3 </w:t>
        </w:r>
        <w:r w:rsidRPr="00C90A6E">
          <w:rPr>
            <w:rStyle w:val="a9"/>
            <w:rFonts w:ascii="Times New Roman" w:hAnsi="Times New Roman" w:hint="eastAsia"/>
            <w:b/>
            <w:noProof/>
          </w:rPr>
          <w:t>风险事故识别</w:t>
        </w:r>
        <w:r>
          <w:rPr>
            <w:noProof/>
            <w:webHidden/>
          </w:rPr>
          <w:tab/>
        </w:r>
        <w:r>
          <w:rPr>
            <w:noProof/>
            <w:webHidden/>
          </w:rPr>
          <w:fldChar w:fldCharType="begin"/>
        </w:r>
        <w:r>
          <w:rPr>
            <w:noProof/>
            <w:webHidden/>
          </w:rPr>
          <w:instrText xml:space="preserve"> PAGEREF _Toc523854047 \h </w:instrText>
        </w:r>
        <w:r>
          <w:rPr>
            <w:noProof/>
            <w:webHidden/>
          </w:rPr>
        </w:r>
        <w:r>
          <w:rPr>
            <w:noProof/>
            <w:webHidden/>
          </w:rPr>
          <w:fldChar w:fldCharType="separate"/>
        </w:r>
        <w:r>
          <w:rPr>
            <w:noProof/>
            <w:webHidden/>
          </w:rPr>
          <w:t>123</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8" w:history="1">
        <w:r w:rsidRPr="00C90A6E">
          <w:rPr>
            <w:rStyle w:val="a9"/>
            <w:rFonts w:ascii="Times New Roman" w:hAnsi="Times New Roman"/>
            <w:b/>
            <w:noProof/>
          </w:rPr>
          <w:t xml:space="preserve">8.4 </w:t>
        </w:r>
        <w:r w:rsidRPr="00C90A6E">
          <w:rPr>
            <w:rStyle w:val="a9"/>
            <w:rFonts w:ascii="Times New Roman" w:hAnsi="Times New Roman" w:hint="eastAsia"/>
            <w:b/>
            <w:noProof/>
          </w:rPr>
          <w:t>事故风险分析与影响预测</w:t>
        </w:r>
        <w:r>
          <w:rPr>
            <w:noProof/>
            <w:webHidden/>
          </w:rPr>
          <w:tab/>
        </w:r>
        <w:r>
          <w:rPr>
            <w:noProof/>
            <w:webHidden/>
          </w:rPr>
          <w:fldChar w:fldCharType="begin"/>
        </w:r>
        <w:r>
          <w:rPr>
            <w:noProof/>
            <w:webHidden/>
          </w:rPr>
          <w:instrText xml:space="preserve"> PAGEREF _Toc523854048 \h </w:instrText>
        </w:r>
        <w:r>
          <w:rPr>
            <w:noProof/>
            <w:webHidden/>
          </w:rPr>
        </w:r>
        <w:r>
          <w:rPr>
            <w:noProof/>
            <w:webHidden/>
          </w:rPr>
          <w:fldChar w:fldCharType="separate"/>
        </w:r>
        <w:r>
          <w:rPr>
            <w:noProof/>
            <w:webHidden/>
          </w:rPr>
          <w:t>124</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49" w:history="1">
        <w:r w:rsidRPr="00C90A6E">
          <w:rPr>
            <w:rStyle w:val="a9"/>
            <w:rFonts w:ascii="Times New Roman" w:hAnsi="Times New Roman"/>
            <w:b/>
            <w:noProof/>
          </w:rPr>
          <w:t xml:space="preserve">8.5 </w:t>
        </w:r>
        <w:r w:rsidRPr="00C90A6E">
          <w:rPr>
            <w:rStyle w:val="a9"/>
            <w:rFonts w:ascii="Times New Roman" w:hAnsi="Times New Roman" w:hint="eastAsia"/>
            <w:b/>
            <w:noProof/>
          </w:rPr>
          <w:t>环境风险防范对策与建议</w:t>
        </w:r>
        <w:r>
          <w:rPr>
            <w:noProof/>
            <w:webHidden/>
          </w:rPr>
          <w:tab/>
        </w:r>
        <w:r>
          <w:rPr>
            <w:noProof/>
            <w:webHidden/>
          </w:rPr>
          <w:fldChar w:fldCharType="begin"/>
        </w:r>
        <w:r>
          <w:rPr>
            <w:noProof/>
            <w:webHidden/>
          </w:rPr>
          <w:instrText xml:space="preserve"> PAGEREF _Toc523854049 \h </w:instrText>
        </w:r>
        <w:r>
          <w:rPr>
            <w:noProof/>
            <w:webHidden/>
          </w:rPr>
        </w:r>
        <w:r>
          <w:rPr>
            <w:noProof/>
            <w:webHidden/>
          </w:rPr>
          <w:fldChar w:fldCharType="separate"/>
        </w:r>
        <w:r>
          <w:rPr>
            <w:noProof/>
            <w:webHidden/>
          </w:rPr>
          <w:t>130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0" w:history="1">
        <w:r w:rsidRPr="00C90A6E">
          <w:rPr>
            <w:rStyle w:val="a9"/>
            <w:rFonts w:ascii="Times New Roman" w:hAnsi="Times New Roman"/>
            <w:b/>
            <w:noProof/>
          </w:rPr>
          <w:t xml:space="preserve">8.6 </w:t>
        </w:r>
        <w:r w:rsidRPr="00C90A6E">
          <w:rPr>
            <w:rStyle w:val="a9"/>
            <w:rFonts w:ascii="Times New Roman" w:hAnsi="Times New Roman" w:hint="eastAsia"/>
            <w:b/>
            <w:noProof/>
          </w:rPr>
          <w:t>作业船舶溢油事故应急预案</w:t>
        </w:r>
        <w:r>
          <w:rPr>
            <w:noProof/>
            <w:webHidden/>
          </w:rPr>
          <w:tab/>
        </w:r>
        <w:r>
          <w:rPr>
            <w:noProof/>
            <w:webHidden/>
          </w:rPr>
          <w:fldChar w:fldCharType="begin"/>
        </w:r>
        <w:r>
          <w:rPr>
            <w:noProof/>
            <w:webHidden/>
          </w:rPr>
          <w:instrText xml:space="preserve"> PAGEREF _Toc523854050 \h </w:instrText>
        </w:r>
        <w:r>
          <w:rPr>
            <w:noProof/>
            <w:webHidden/>
          </w:rPr>
        </w:r>
        <w:r>
          <w:rPr>
            <w:noProof/>
            <w:webHidden/>
          </w:rPr>
          <w:fldChar w:fldCharType="separate"/>
        </w:r>
        <w:r>
          <w:rPr>
            <w:noProof/>
            <w:webHidden/>
          </w:rPr>
          <w:t>130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1" w:history="1">
        <w:r w:rsidRPr="00C90A6E">
          <w:rPr>
            <w:rStyle w:val="a9"/>
            <w:rFonts w:ascii="Times New Roman" w:hAnsi="Times New Roman"/>
            <w:b/>
            <w:noProof/>
          </w:rPr>
          <w:t xml:space="preserve">8.7 </w:t>
        </w:r>
        <w:r w:rsidRPr="00C90A6E">
          <w:rPr>
            <w:rStyle w:val="a9"/>
            <w:rFonts w:ascii="Times New Roman" w:hAnsi="Times New Roman" w:hint="eastAsia"/>
            <w:b/>
            <w:noProof/>
          </w:rPr>
          <w:t>风险可接受水平分析</w:t>
        </w:r>
        <w:r>
          <w:rPr>
            <w:noProof/>
            <w:webHidden/>
          </w:rPr>
          <w:tab/>
        </w:r>
        <w:r>
          <w:rPr>
            <w:noProof/>
            <w:webHidden/>
          </w:rPr>
          <w:fldChar w:fldCharType="begin"/>
        </w:r>
        <w:r>
          <w:rPr>
            <w:noProof/>
            <w:webHidden/>
          </w:rPr>
          <w:instrText xml:space="preserve"> PAGEREF _Toc523854051 \h </w:instrText>
        </w:r>
        <w:r>
          <w:rPr>
            <w:noProof/>
            <w:webHidden/>
          </w:rPr>
        </w:r>
        <w:r>
          <w:rPr>
            <w:noProof/>
            <w:webHidden/>
          </w:rPr>
          <w:fldChar w:fldCharType="separate"/>
        </w:r>
        <w:r>
          <w:rPr>
            <w:noProof/>
            <w:webHidden/>
          </w:rPr>
          <w:t>135</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52"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9</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环境监测与环境管理</w:t>
        </w:r>
        <w:r>
          <w:rPr>
            <w:noProof/>
            <w:webHidden/>
          </w:rPr>
          <w:tab/>
        </w:r>
        <w:r>
          <w:rPr>
            <w:noProof/>
            <w:webHidden/>
          </w:rPr>
          <w:fldChar w:fldCharType="begin"/>
        </w:r>
        <w:r>
          <w:rPr>
            <w:noProof/>
            <w:webHidden/>
          </w:rPr>
          <w:instrText xml:space="preserve"> PAGEREF _Toc523854052 \h </w:instrText>
        </w:r>
        <w:r>
          <w:rPr>
            <w:noProof/>
            <w:webHidden/>
          </w:rPr>
        </w:r>
        <w:r>
          <w:rPr>
            <w:noProof/>
            <w:webHidden/>
          </w:rPr>
          <w:fldChar w:fldCharType="separate"/>
        </w:r>
        <w:r>
          <w:rPr>
            <w:noProof/>
            <w:webHidden/>
          </w:rPr>
          <w:t>136</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3" w:history="1">
        <w:r w:rsidRPr="00C90A6E">
          <w:rPr>
            <w:rStyle w:val="a9"/>
            <w:rFonts w:ascii="Times New Roman" w:hAnsi="Times New Roman"/>
            <w:b/>
            <w:noProof/>
          </w:rPr>
          <w:t xml:space="preserve">9.1 </w:t>
        </w:r>
        <w:r w:rsidRPr="00C90A6E">
          <w:rPr>
            <w:rStyle w:val="a9"/>
            <w:rFonts w:ascii="Times New Roman" w:hAnsi="Times New Roman" w:hint="eastAsia"/>
            <w:b/>
            <w:noProof/>
          </w:rPr>
          <w:t>环境管理</w:t>
        </w:r>
        <w:r>
          <w:rPr>
            <w:noProof/>
            <w:webHidden/>
          </w:rPr>
          <w:tab/>
        </w:r>
        <w:r>
          <w:rPr>
            <w:noProof/>
            <w:webHidden/>
          </w:rPr>
          <w:fldChar w:fldCharType="begin"/>
        </w:r>
        <w:r>
          <w:rPr>
            <w:noProof/>
            <w:webHidden/>
          </w:rPr>
          <w:instrText xml:space="preserve"> PAGEREF _Toc523854053 \h </w:instrText>
        </w:r>
        <w:r>
          <w:rPr>
            <w:noProof/>
            <w:webHidden/>
          </w:rPr>
        </w:r>
        <w:r>
          <w:rPr>
            <w:noProof/>
            <w:webHidden/>
          </w:rPr>
          <w:fldChar w:fldCharType="separate"/>
        </w:r>
        <w:r>
          <w:rPr>
            <w:noProof/>
            <w:webHidden/>
          </w:rPr>
          <w:t>136</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4" w:history="1">
        <w:r w:rsidRPr="00C90A6E">
          <w:rPr>
            <w:rStyle w:val="a9"/>
            <w:rFonts w:ascii="Times New Roman" w:hAnsi="Times New Roman"/>
            <w:b/>
            <w:noProof/>
          </w:rPr>
          <w:t xml:space="preserve">9.2 </w:t>
        </w:r>
        <w:r w:rsidRPr="00C90A6E">
          <w:rPr>
            <w:rStyle w:val="a9"/>
            <w:rFonts w:ascii="Times New Roman" w:hAnsi="Times New Roman" w:hint="eastAsia"/>
            <w:b/>
            <w:noProof/>
          </w:rPr>
          <w:t>环境监测</w:t>
        </w:r>
        <w:r>
          <w:rPr>
            <w:noProof/>
            <w:webHidden/>
          </w:rPr>
          <w:tab/>
        </w:r>
        <w:r>
          <w:rPr>
            <w:noProof/>
            <w:webHidden/>
          </w:rPr>
          <w:fldChar w:fldCharType="begin"/>
        </w:r>
        <w:r>
          <w:rPr>
            <w:noProof/>
            <w:webHidden/>
          </w:rPr>
          <w:instrText xml:space="preserve"> PAGEREF _Toc523854054 \h </w:instrText>
        </w:r>
        <w:r>
          <w:rPr>
            <w:noProof/>
            <w:webHidden/>
          </w:rPr>
        </w:r>
        <w:r>
          <w:rPr>
            <w:noProof/>
            <w:webHidden/>
          </w:rPr>
          <w:fldChar w:fldCharType="separate"/>
        </w:r>
        <w:r>
          <w:rPr>
            <w:noProof/>
            <w:webHidden/>
          </w:rPr>
          <w:t>138</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55" w:history="1">
        <w:r w:rsidRPr="00C90A6E">
          <w:rPr>
            <w:rStyle w:val="a9"/>
            <w:rFonts w:ascii="Times New Roman" w:eastAsia="宋体" w:hAnsi="Times New Roman" w:hint="eastAsia"/>
            <w:b/>
            <w:noProof/>
          </w:rPr>
          <w:t>第</w:t>
        </w:r>
        <w:r w:rsidRPr="00C90A6E">
          <w:rPr>
            <w:rStyle w:val="a9"/>
            <w:rFonts w:ascii="Times New Roman" w:eastAsia="宋体" w:hAnsi="Times New Roman"/>
            <w:b/>
            <w:noProof/>
          </w:rPr>
          <w:t>10</w:t>
        </w:r>
        <w:r w:rsidRPr="00C90A6E">
          <w:rPr>
            <w:rStyle w:val="a9"/>
            <w:rFonts w:ascii="Times New Roman" w:eastAsia="宋体" w:hAnsi="Times New Roman" w:hint="eastAsia"/>
            <w:b/>
            <w:noProof/>
          </w:rPr>
          <w:t>章</w:t>
        </w:r>
        <w:r w:rsidRPr="00C90A6E">
          <w:rPr>
            <w:rStyle w:val="a9"/>
            <w:rFonts w:ascii="Times New Roman" w:eastAsia="宋体" w:hAnsi="Times New Roman"/>
            <w:b/>
            <w:noProof/>
          </w:rPr>
          <w:t xml:space="preserve">  </w:t>
        </w:r>
        <w:r w:rsidRPr="00C90A6E">
          <w:rPr>
            <w:rStyle w:val="a9"/>
            <w:rFonts w:ascii="Times New Roman" w:eastAsia="宋体" w:hAnsi="Times New Roman" w:hint="eastAsia"/>
            <w:b/>
            <w:noProof/>
          </w:rPr>
          <w:t>环境经济损益分析</w:t>
        </w:r>
        <w:r>
          <w:rPr>
            <w:noProof/>
            <w:webHidden/>
          </w:rPr>
          <w:tab/>
        </w:r>
        <w:r>
          <w:rPr>
            <w:noProof/>
            <w:webHidden/>
          </w:rPr>
          <w:fldChar w:fldCharType="begin"/>
        </w:r>
        <w:r>
          <w:rPr>
            <w:noProof/>
            <w:webHidden/>
          </w:rPr>
          <w:instrText xml:space="preserve"> PAGEREF _Toc523854055 \h </w:instrText>
        </w:r>
        <w:r>
          <w:rPr>
            <w:noProof/>
            <w:webHidden/>
          </w:rPr>
        </w:r>
        <w:r>
          <w:rPr>
            <w:noProof/>
            <w:webHidden/>
          </w:rPr>
          <w:fldChar w:fldCharType="separate"/>
        </w:r>
        <w:r>
          <w:rPr>
            <w:noProof/>
            <w:webHidden/>
          </w:rPr>
          <w:t>140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6" w:history="1">
        <w:r w:rsidRPr="00C90A6E">
          <w:rPr>
            <w:rStyle w:val="a9"/>
            <w:rFonts w:ascii="Times New Roman" w:hAnsi="Times New Roman"/>
            <w:b/>
            <w:noProof/>
          </w:rPr>
          <w:t xml:space="preserve">10.1 </w:t>
        </w:r>
        <w:r w:rsidRPr="00C90A6E">
          <w:rPr>
            <w:rStyle w:val="a9"/>
            <w:rFonts w:ascii="Times New Roman" w:hAnsi="Times New Roman" w:hint="eastAsia"/>
            <w:b/>
            <w:noProof/>
          </w:rPr>
          <w:t>社会经济效益分析</w:t>
        </w:r>
        <w:r>
          <w:rPr>
            <w:noProof/>
            <w:webHidden/>
          </w:rPr>
          <w:tab/>
        </w:r>
        <w:r>
          <w:rPr>
            <w:noProof/>
            <w:webHidden/>
          </w:rPr>
          <w:fldChar w:fldCharType="begin"/>
        </w:r>
        <w:r>
          <w:rPr>
            <w:noProof/>
            <w:webHidden/>
          </w:rPr>
          <w:instrText xml:space="preserve"> PAGEREF _Toc523854056 \h </w:instrText>
        </w:r>
        <w:r>
          <w:rPr>
            <w:noProof/>
            <w:webHidden/>
          </w:rPr>
        </w:r>
        <w:r>
          <w:rPr>
            <w:noProof/>
            <w:webHidden/>
          </w:rPr>
          <w:fldChar w:fldCharType="separate"/>
        </w:r>
        <w:r>
          <w:rPr>
            <w:noProof/>
            <w:webHidden/>
          </w:rPr>
          <w:t>140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7" w:history="1">
        <w:r w:rsidRPr="00C90A6E">
          <w:rPr>
            <w:rStyle w:val="a9"/>
            <w:rFonts w:ascii="Times New Roman" w:hAnsi="Times New Roman"/>
            <w:b/>
            <w:noProof/>
          </w:rPr>
          <w:t xml:space="preserve">10.2 </w:t>
        </w:r>
        <w:r w:rsidRPr="00C90A6E">
          <w:rPr>
            <w:rStyle w:val="a9"/>
            <w:rFonts w:ascii="Times New Roman" w:hAnsi="Times New Roman" w:hint="eastAsia"/>
            <w:b/>
            <w:noProof/>
          </w:rPr>
          <w:t>环保投资与运行费用估算</w:t>
        </w:r>
        <w:r>
          <w:rPr>
            <w:noProof/>
            <w:webHidden/>
          </w:rPr>
          <w:tab/>
        </w:r>
        <w:r>
          <w:rPr>
            <w:noProof/>
            <w:webHidden/>
          </w:rPr>
          <w:fldChar w:fldCharType="begin"/>
        </w:r>
        <w:r>
          <w:rPr>
            <w:noProof/>
            <w:webHidden/>
          </w:rPr>
          <w:instrText xml:space="preserve"> PAGEREF _Toc523854057 \h </w:instrText>
        </w:r>
        <w:r>
          <w:rPr>
            <w:noProof/>
            <w:webHidden/>
          </w:rPr>
        </w:r>
        <w:r>
          <w:rPr>
            <w:noProof/>
            <w:webHidden/>
          </w:rPr>
          <w:fldChar w:fldCharType="separate"/>
        </w:r>
        <w:r>
          <w:rPr>
            <w:noProof/>
            <w:webHidden/>
          </w:rPr>
          <w:t>140</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58" w:history="1">
        <w:r w:rsidRPr="00C90A6E">
          <w:rPr>
            <w:rStyle w:val="a9"/>
            <w:rFonts w:ascii="Times New Roman" w:hAnsi="Times New Roman"/>
            <w:b/>
            <w:noProof/>
          </w:rPr>
          <w:t xml:space="preserve">10.3 </w:t>
        </w:r>
        <w:r w:rsidRPr="00C90A6E">
          <w:rPr>
            <w:rStyle w:val="a9"/>
            <w:rFonts w:ascii="Times New Roman" w:hAnsi="Times New Roman" w:hint="eastAsia"/>
            <w:b/>
            <w:noProof/>
          </w:rPr>
          <w:t>小结</w:t>
        </w:r>
        <w:r>
          <w:rPr>
            <w:noProof/>
            <w:webHidden/>
          </w:rPr>
          <w:tab/>
        </w:r>
        <w:r>
          <w:rPr>
            <w:noProof/>
            <w:webHidden/>
          </w:rPr>
          <w:fldChar w:fldCharType="begin"/>
        </w:r>
        <w:r>
          <w:rPr>
            <w:noProof/>
            <w:webHidden/>
          </w:rPr>
          <w:instrText xml:space="preserve"> PAGEREF _Toc523854058 \h </w:instrText>
        </w:r>
        <w:r>
          <w:rPr>
            <w:noProof/>
            <w:webHidden/>
          </w:rPr>
        </w:r>
        <w:r>
          <w:rPr>
            <w:noProof/>
            <w:webHidden/>
          </w:rPr>
          <w:fldChar w:fldCharType="separate"/>
        </w:r>
        <w:r>
          <w:rPr>
            <w:noProof/>
            <w:webHidden/>
          </w:rPr>
          <w:t>141</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59" w:history="1">
        <w:r w:rsidRPr="00C90A6E">
          <w:rPr>
            <w:rStyle w:val="a9"/>
            <w:rFonts w:ascii="Times New Roman" w:hAnsi="Times New Roman" w:hint="eastAsia"/>
            <w:b/>
            <w:bCs/>
            <w:noProof/>
            <w:kern w:val="44"/>
          </w:rPr>
          <w:t>第</w:t>
        </w:r>
        <w:r w:rsidRPr="00C90A6E">
          <w:rPr>
            <w:rStyle w:val="a9"/>
            <w:rFonts w:ascii="Times New Roman" w:hAnsi="Times New Roman"/>
            <w:b/>
            <w:bCs/>
            <w:noProof/>
            <w:kern w:val="44"/>
          </w:rPr>
          <w:t>11</w:t>
        </w:r>
        <w:r w:rsidRPr="00C90A6E">
          <w:rPr>
            <w:rStyle w:val="a9"/>
            <w:rFonts w:ascii="Times New Roman" w:hAnsi="Times New Roman" w:hint="eastAsia"/>
            <w:b/>
            <w:bCs/>
            <w:noProof/>
            <w:kern w:val="44"/>
          </w:rPr>
          <w:t>章</w:t>
        </w:r>
        <w:r w:rsidRPr="00C90A6E">
          <w:rPr>
            <w:rStyle w:val="a9"/>
            <w:rFonts w:ascii="Times New Roman" w:hAnsi="Times New Roman"/>
            <w:b/>
            <w:bCs/>
            <w:noProof/>
            <w:kern w:val="44"/>
          </w:rPr>
          <w:t xml:space="preserve">  </w:t>
        </w:r>
        <w:r w:rsidRPr="00C90A6E">
          <w:rPr>
            <w:rStyle w:val="a9"/>
            <w:rFonts w:ascii="Times New Roman" w:hAnsi="Times New Roman" w:hint="eastAsia"/>
            <w:b/>
            <w:bCs/>
            <w:noProof/>
            <w:kern w:val="44"/>
          </w:rPr>
          <w:t>环境可行性分析</w:t>
        </w:r>
        <w:r>
          <w:rPr>
            <w:noProof/>
            <w:webHidden/>
          </w:rPr>
          <w:tab/>
        </w:r>
        <w:r>
          <w:rPr>
            <w:noProof/>
            <w:webHidden/>
          </w:rPr>
          <w:fldChar w:fldCharType="begin"/>
        </w:r>
        <w:r>
          <w:rPr>
            <w:noProof/>
            <w:webHidden/>
          </w:rPr>
          <w:instrText xml:space="preserve"> PAGEREF _Toc523854059 \h </w:instrText>
        </w:r>
        <w:r>
          <w:rPr>
            <w:noProof/>
            <w:webHidden/>
          </w:rPr>
        </w:r>
        <w:r>
          <w:rPr>
            <w:noProof/>
            <w:webHidden/>
          </w:rPr>
          <w:fldChar w:fldCharType="separate"/>
        </w:r>
        <w:r>
          <w:rPr>
            <w:noProof/>
            <w:webHidden/>
          </w:rPr>
          <w:t>142</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0" w:history="1">
        <w:r w:rsidRPr="00C90A6E">
          <w:rPr>
            <w:rStyle w:val="a9"/>
            <w:rFonts w:ascii="Times New Roman" w:hAnsi="Times New Roman"/>
            <w:b/>
            <w:noProof/>
          </w:rPr>
          <w:t>11.1</w:t>
        </w:r>
        <w:r w:rsidRPr="00C90A6E">
          <w:rPr>
            <w:rStyle w:val="a9"/>
            <w:rFonts w:ascii="Times New Roman" w:hAnsi="Times New Roman" w:hint="eastAsia"/>
            <w:b/>
            <w:noProof/>
          </w:rPr>
          <w:t>与产业政策的符合性分析</w:t>
        </w:r>
        <w:r>
          <w:rPr>
            <w:noProof/>
            <w:webHidden/>
          </w:rPr>
          <w:tab/>
        </w:r>
        <w:r>
          <w:rPr>
            <w:noProof/>
            <w:webHidden/>
          </w:rPr>
          <w:fldChar w:fldCharType="begin"/>
        </w:r>
        <w:r>
          <w:rPr>
            <w:noProof/>
            <w:webHidden/>
          </w:rPr>
          <w:instrText xml:space="preserve"> PAGEREF _Toc523854060 \h </w:instrText>
        </w:r>
        <w:r>
          <w:rPr>
            <w:noProof/>
            <w:webHidden/>
          </w:rPr>
        </w:r>
        <w:r>
          <w:rPr>
            <w:noProof/>
            <w:webHidden/>
          </w:rPr>
          <w:fldChar w:fldCharType="separate"/>
        </w:r>
        <w:r>
          <w:rPr>
            <w:noProof/>
            <w:webHidden/>
          </w:rPr>
          <w:t>142</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1" w:history="1">
        <w:r w:rsidRPr="00C90A6E">
          <w:rPr>
            <w:rStyle w:val="a9"/>
            <w:rFonts w:ascii="Times New Roman" w:hAnsi="Times New Roman"/>
            <w:b/>
            <w:noProof/>
          </w:rPr>
          <w:t>11.2</w:t>
        </w:r>
        <w:r w:rsidRPr="00C90A6E">
          <w:rPr>
            <w:rStyle w:val="a9"/>
            <w:rFonts w:ascii="Times New Roman" w:hAnsi="Times New Roman" w:hint="eastAsia"/>
            <w:b/>
            <w:noProof/>
          </w:rPr>
          <w:t>与相关法规及规划的符合性</w:t>
        </w:r>
        <w:r>
          <w:rPr>
            <w:noProof/>
            <w:webHidden/>
          </w:rPr>
          <w:tab/>
        </w:r>
        <w:r>
          <w:rPr>
            <w:noProof/>
            <w:webHidden/>
          </w:rPr>
          <w:fldChar w:fldCharType="begin"/>
        </w:r>
        <w:r>
          <w:rPr>
            <w:noProof/>
            <w:webHidden/>
          </w:rPr>
          <w:instrText xml:space="preserve"> PAGEREF _Toc523854061 \h </w:instrText>
        </w:r>
        <w:r>
          <w:rPr>
            <w:noProof/>
            <w:webHidden/>
          </w:rPr>
        </w:r>
        <w:r>
          <w:rPr>
            <w:noProof/>
            <w:webHidden/>
          </w:rPr>
          <w:fldChar w:fldCharType="separate"/>
        </w:r>
        <w:r>
          <w:rPr>
            <w:noProof/>
            <w:webHidden/>
          </w:rPr>
          <w:t>142</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2" w:history="1">
        <w:r w:rsidRPr="00C90A6E">
          <w:rPr>
            <w:rStyle w:val="a9"/>
            <w:rFonts w:ascii="Times New Roman" w:hAnsi="Times New Roman"/>
            <w:b/>
            <w:noProof/>
          </w:rPr>
          <w:t xml:space="preserve">11.3  </w:t>
        </w:r>
        <w:r w:rsidRPr="00C90A6E">
          <w:rPr>
            <w:rStyle w:val="a9"/>
            <w:rFonts w:ascii="Times New Roman" w:hAnsi="Times New Roman" w:hint="eastAsia"/>
            <w:b/>
            <w:noProof/>
          </w:rPr>
          <w:t>与</w:t>
        </w:r>
        <w:r w:rsidRPr="00C90A6E">
          <w:rPr>
            <w:rStyle w:val="a9"/>
            <w:rFonts w:ascii="Times New Roman" w:hAnsi="Times New Roman" w:hint="eastAsia"/>
            <w:noProof/>
          </w:rPr>
          <w:t>《湖南省湘江干流及洞庭湖区岳阳段河道采砂规划（</w:t>
        </w:r>
        <w:r w:rsidRPr="00C90A6E">
          <w:rPr>
            <w:rStyle w:val="a9"/>
            <w:rFonts w:ascii="Times New Roman" w:hAnsi="Times New Roman"/>
            <w:noProof/>
          </w:rPr>
          <w:t>2017-2020</w:t>
        </w:r>
        <w:r w:rsidRPr="00C90A6E">
          <w:rPr>
            <w:rStyle w:val="a9"/>
            <w:rFonts w:ascii="Times New Roman" w:hAnsi="Times New Roman" w:hint="eastAsia"/>
            <w:noProof/>
          </w:rPr>
          <w:t>年）》环评及其批复的符合性分析</w:t>
        </w:r>
        <w:r>
          <w:rPr>
            <w:noProof/>
            <w:webHidden/>
          </w:rPr>
          <w:tab/>
        </w:r>
        <w:r>
          <w:rPr>
            <w:noProof/>
            <w:webHidden/>
          </w:rPr>
          <w:fldChar w:fldCharType="begin"/>
        </w:r>
        <w:r>
          <w:rPr>
            <w:noProof/>
            <w:webHidden/>
          </w:rPr>
          <w:instrText xml:space="preserve"> PAGEREF _Toc523854062 \h </w:instrText>
        </w:r>
        <w:r>
          <w:rPr>
            <w:noProof/>
            <w:webHidden/>
          </w:rPr>
        </w:r>
        <w:r>
          <w:rPr>
            <w:noProof/>
            <w:webHidden/>
          </w:rPr>
          <w:fldChar w:fldCharType="separate"/>
        </w:r>
        <w:r>
          <w:rPr>
            <w:noProof/>
            <w:webHidden/>
          </w:rPr>
          <w:t>150</w:t>
        </w:r>
        <w:r>
          <w:rPr>
            <w:noProof/>
            <w:webHidden/>
          </w:rPr>
          <w:fldChar w:fldCharType="end"/>
        </w:r>
      </w:hyperlink>
    </w:p>
    <w:p w:rsidR="00FC6AEC" w:rsidRDefault="00FC6AEC" w:rsidP="00FC6AEC">
      <w:pPr>
        <w:pStyle w:val="25"/>
        <w:tabs>
          <w:tab w:val="left" w:pos="1260"/>
          <w:tab w:val="right" w:leader="dot" w:pos="8296"/>
        </w:tabs>
        <w:ind w:left="480"/>
        <w:rPr>
          <w:rFonts w:asciiTheme="minorHAnsi" w:eastAsiaTheme="minorEastAsia" w:hAnsiTheme="minorHAnsi" w:cstheme="minorBidi"/>
          <w:noProof/>
        </w:rPr>
      </w:pPr>
      <w:hyperlink w:anchor="_Toc523854063" w:history="1">
        <w:r w:rsidRPr="00C90A6E">
          <w:rPr>
            <w:rStyle w:val="a9"/>
            <w:rFonts w:ascii="Times New Roman" w:hAnsi="Times New Roman"/>
            <w:b/>
            <w:noProof/>
          </w:rPr>
          <w:t>11.4</w:t>
        </w:r>
        <w:r>
          <w:rPr>
            <w:rFonts w:asciiTheme="minorHAnsi" w:eastAsiaTheme="minorEastAsia" w:hAnsiTheme="minorHAnsi" w:cstheme="minorBidi"/>
            <w:noProof/>
          </w:rPr>
          <w:tab/>
        </w:r>
        <w:r w:rsidRPr="00C90A6E">
          <w:rPr>
            <w:rStyle w:val="a9"/>
            <w:rFonts w:ascii="Times New Roman" w:hAnsi="Times New Roman" w:hint="eastAsia"/>
            <w:b/>
            <w:noProof/>
          </w:rPr>
          <w:t>选址合理性分析</w:t>
        </w:r>
        <w:r>
          <w:rPr>
            <w:noProof/>
            <w:webHidden/>
          </w:rPr>
          <w:tab/>
        </w:r>
        <w:r>
          <w:rPr>
            <w:noProof/>
            <w:webHidden/>
          </w:rPr>
          <w:fldChar w:fldCharType="begin"/>
        </w:r>
        <w:r>
          <w:rPr>
            <w:noProof/>
            <w:webHidden/>
          </w:rPr>
          <w:instrText xml:space="preserve"> PAGEREF _Toc523854063 \h </w:instrText>
        </w:r>
        <w:r>
          <w:rPr>
            <w:noProof/>
            <w:webHidden/>
          </w:rPr>
        </w:r>
        <w:r>
          <w:rPr>
            <w:noProof/>
            <w:webHidden/>
          </w:rPr>
          <w:fldChar w:fldCharType="separate"/>
        </w:r>
        <w:r>
          <w:rPr>
            <w:noProof/>
            <w:webHidden/>
          </w:rPr>
          <w:t>153</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4" w:history="1">
        <w:r w:rsidRPr="00C90A6E">
          <w:rPr>
            <w:rStyle w:val="a9"/>
            <w:rFonts w:ascii="Times New Roman" w:hAnsi="Times New Roman"/>
            <w:b/>
            <w:noProof/>
          </w:rPr>
          <w:t>11.5</w:t>
        </w:r>
        <w:r w:rsidRPr="00C90A6E">
          <w:rPr>
            <w:rStyle w:val="a9"/>
            <w:rFonts w:ascii="Times New Roman" w:hAnsi="Times New Roman" w:hint="eastAsia"/>
            <w:b/>
            <w:noProof/>
          </w:rPr>
          <w:t>“三线一单”符合性分析</w:t>
        </w:r>
        <w:r>
          <w:rPr>
            <w:noProof/>
            <w:webHidden/>
          </w:rPr>
          <w:tab/>
        </w:r>
        <w:r>
          <w:rPr>
            <w:noProof/>
            <w:webHidden/>
          </w:rPr>
          <w:fldChar w:fldCharType="begin"/>
        </w:r>
        <w:r>
          <w:rPr>
            <w:noProof/>
            <w:webHidden/>
          </w:rPr>
          <w:instrText xml:space="preserve"> PAGEREF _Toc523854064 \h </w:instrText>
        </w:r>
        <w:r>
          <w:rPr>
            <w:noProof/>
            <w:webHidden/>
          </w:rPr>
        </w:r>
        <w:r>
          <w:rPr>
            <w:noProof/>
            <w:webHidden/>
          </w:rPr>
          <w:fldChar w:fldCharType="separate"/>
        </w:r>
        <w:r>
          <w:rPr>
            <w:noProof/>
            <w:webHidden/>
          </w:rPr>
          <w:t>153</w:t>
        </w:r>
        <w:r>
          <w:rPr>
            <w:noProof/>
            <w:webHidden/>
          </w:rPr>
          <w:fldChar w:fldCharType="end"/>
        </w:r>
      </w:hyperlink>
    </w:p>
    <w:p w:rsidR="00FC6AEC" w:rsidRDefault="00FC6AEC">
      <w:pPr>
        <w:pStyle w:val="12"/>
        <w:tabs>
          <w:tab w:val="right" w:leader="dot" w:pos="8296"/>
        </w:tabs>
        <w:rPr>
          <w:rFonts w:asciiTheme="minorHAnsi" w:eastAsiaTheme="minorEastAsia" w:hAnsiTheme="minorHAnsi" w:cstheme="minorBidi"/>
          <w:noProof/>
          <w:sz w:val="21"/>
        </w:rPr>
      </w:pPr>
      <w:hyperlink w:anchor="_Toc523854065" w:history="1">
        <w:r w:rsidRPr="00C90A6E">
          <w:rPr>
            <w:rStyle w:val="a9"/>
            <w:rFonts w:ascii="Times New Roman" w:hAnsi="Times New Roman" w:hint="eastAsia"/>
            <w:b/>
            <w:bCs/>
            <w:noProof/>
            <w:kern w:val="44"/>
          </w:rPr>
          <w:t>第</w:t>
        </w:r>
        <w:r w:rsidRPr="00C90A6E">
          <w:rPr>
            <w:rStyle w:val="a9"/>
            <w:rFonts w:ascii="Times New Roman" w:hAnsi="Times New Roman"/>
            <w:b/>
            <w:bCs/>
            <w:noProof/>
            <w:kern w:val="44"/>
          </w:rPr>
          <w:t>12</w:t>
        </w:r>
        <w:r w:rsidRPr="00C90A6E">
          <w:rPr>
            <w:rStyle w:val="a9"/>
            <w:rFonts w:ascii="Times New Roman" w:hAnsi="Times New Roman" w:hint="eastAsia"/>
            <w:b/>
            <w:bCs/>
            <w:noProof/>
            <w:kern w:val="44"/>
          </w:rPr>
          <w:t>章</w:t>
        </w:r>
        <w:r w:rsidRPr="00C90A6E">
          <w:rPr>
            <w:rStyle w:val="a9"/>
            <w:rFonts w:ascii="Times New Roman" w:hAnsi="Times New Roman"/>
            <w:b/>
            <w:bCs/>
            <w:noProof/>
            <w:kern w:val="44"/>
          </w:rPr>
          <w:t xml:space="preserve"> </w:t>
        </w:r>
        <w:r w:rsidRPr="00C90A6E">
          <w:rPr>
            <w:rStyle w:val="a9"/>
            <w:rFonts w:ascii="Times New Roman" w:hAnsi="Times New Roman" w:hint="eastAsia"/>
            <w:b/>
            <w:bCs/>
            <w:noProof/>
            <w:kern w:val="44"/>
          </w:rPr>
          <w:t>结论与建议</w:t>
        </w:r>
        <w:r>
          <w:rPr>
            <w:noProof/>
            <w:webHidden/>
          </w:rPr>
          <w:tab/>
        </w:r>
        <w:r>
          <w:rPr>
            <w:noProof/>
            <w:webHidden/>
          </w:rPr>
          <w:fldChar w:fldCharType="begin"/>
        </w:r>
        <w:r>
          <w:rPr>
            <w:noProof/>
            <w:webHidden/>
          </w:rPr>
          <w:instrText xml:space="preserve"> PAGEREF _Toc523854065 \h </w:instrText>
        </w:r>
        <w:r>
          <w:rPr>
            <w:noProof/>
            <w:webHidden/>
          </w:rPr>
        </w:r>
        <w:r>
          <w:rPr>
            <w:noProof/>
            <w:webHidden/>
          </w:rPr>
          <w:fldChar w:fldCharType="separate"/>
        </w:r>
        <w:r>
          <w:rPr>
            <w:noProof/>
            <w:webHidden/>
          </w:rPr>
          <w:t>155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6" w:history="1">
        <w:r w:rsidRPr="00C90A6E">
          <w:rPr>
            <w:rStyle w:val="a9"/>
            <w:rFonts w:ascii="Times New Roman" w:hAnsi="Times New Roman"/>
            <w:b/>
            <w:noProof/>
          </w:rPr>
          <w:t xml:space="preserve">12.1 </w:t>
        </w:r>
        <w:r w:rsidRPr="00C90A6E">
          <w:rPr>
            <w:rStyle w:val="a9"/>
            <w:rFonts w:ascii="Times New Roman" w:hAnsi="Times New Roman" w:hint="eastAsia"/>
            <w:b/>
            <w:noProof/>
          </w:rPr>
          <w:t>项目概况</w:t>
        </w:r>
        <w:r>
          <w:rPr>
            <w:noProof/>
            <w:webHidden/>
          </w:rPr>
          <w:tab/>
        </w:r>
        <w:r>
          <w:rPr>
            <w:noProof/>
            <w:webHidden/>
          </w:rPr>
          <w:fldChar w:fldCharType="begin"/>
        </w:r>
        <w:r>
          <w:rPr>
            <w:noProof/>
            <w:webHidden/>
          </w:rPr>
          <w:instrText xml:space="preserve"> PAGEREF _Toc523854066 \h </w:instrText>
        </w:r>
        <w:r>
          <w:rPr>
            <w:noProof/>
            <w:webHidden/>
          </w:rPr>
        </w:r>
        <w:r>
          <w:rPr>
            <w:noProof/>
            <w:webHidden/>
          </w:rPr>
          <w:fldChar w:fldCharType="separate"/>
        </w:r>
        <w:r>
          <w:rPr>
            <w:noProof/>
            <w:webHidden/>
          </w:rPr>
          <w:t>155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7" w:history="1">
        <w:r w:rsidRPr="00C90A6E">
          <w:rPr>
            <w:rStyle w:val="a9"/>
            <w:rFonts w:ascii="Times New Roman" w:hAnsi="Times New Roman"/>
            <w:b/>
            <w:noProof/>
          </w:rPr>
          <w:t xml:space="preserve">12.2 </w:t>
        </w:r>
        <w:r w:rsidRPr="00C90A6E">
          <w:rPr>
            <w:rStyle w:val="a9"/>
            <w:rFonts w:ascii="Times New Roman" w:hAnsi="Times New Roman" w:hint="eastAsia"/>
            <w:b/>
            <w:noProof/>
          </w:rPr>
          <w:t>与产业政策符合性分析</w:t>
        </w:r>
        <w:r>
          <w:rPr>
            <w:noProof/>
            <w:webHidden/>
          </w:rPr>
          <w:tab/>
        </w:r>
        <w:r>
          <w:rPr>
            <w:noProof/>
            <w:webHidden/>
          </w:rPr>
          <w:fldChar w:fldCharType="begin"/>
        </w:r>
        <w:r>
          <w:rPr>
            <w:noProof/>
            <w:webHidden/>
          </w:rPr>
          <w:instrText xml:space="preserve"> PAGEREF _Toc523854067 \h </w:instrText>
        </w:r>
        <w:r>
          <w:rPr>
            <w:noProof/>
            <w:webHidden/>
          </w:rPr>
        </w:r>
        <w:r>
          <w:rPr>
            <w:noProof/>
            <w:webHidden/>
          </w:rPr>
          <w:fldChar w:fldCharType="separate"/>
        </w:r>
        <w:r>
          <w:rPr>
            <w:noProof/>
            <w:webHidden/>
          </w:rPr>
          <w:t>155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8" w:history="1">
        <w:r w:rsidRPr="00C90A6E">
          <w:rPr>
            <w:rStyle w:val="a9"/>
            <w:rFonts w:ascii="Times New Roman" w:hAnsi="Times New Roman"/>
            <w:b/>
            <w:noProof/>
          </w:rPr>
          <w:t xml:space="preserve">12.3 </w:t>
        </w:r>
        <w:r w:rsidRPr="00C90A6E">
          <w:rPr>
            <w:rStyle w:val="a9"/>
            <w:rFonts w:ascii="Times New Roman" w:hAnsi="Times New Roman" w:hint="eastAsia"/>
            <w:b/>
            <w:noProof/>
          </w:rPr>
          <w:t>选址合理性分析</w:t>
        </w:r>
        <w:r>
          <w:rPr>
            <w:noProof/>
            <w:webHidden/>
          </w:rPr>
          <w:tab/>
        </w:r>
        <w:r>
          <w:rPr>
            <w:noProof/>
            <w:webHidden/>
          </w:rPr>
          <w:fldChar w:fldCharType="begin"/>
        </w:r>
        <w:r>
          <w:rPr>
            <w:noProof/>
            <w:webHidden/>
          </w:rPr>
          <w:instrText xml:space="preserve"> PAGEREF _Toc523854068 \h </w:instrText>
        </w:r>
        <w:r>
          <w:rPr>
            <w:noProof/>
            <w:webHidden/>
          </w:rPr>
        </w:r>
        <w:r>
          <w:rPr>
            <w:noProof/>
            <w:webHidden/>
          </w:rPr>
          <w:fldChar w:fldCharType="separate"/>
        </w:r>
        <w:r>
          <w:rPr>
            <w:noProof/>
            <w:webHidden/>
          </w:rPr>
          <w:t>155</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69" w:history="1">
        <w:r w:rsidRPr="00C90A6E">
          <w:rPr>
            <w:rStyle w:val="a9"/>
            <w:rFonts w:ascii="Times New Roman" w:hAnsi="Times New Roman"/>
            <w:b/>
            <w:noProof/>
          </w:rPr>
          <w:t xml:space="preserve">12.4 </w:t>
        </w:r>
        <w:r w:rsidRPr="00C90A6E">
          <w:rPr>
            <w:rStyle w:val="a9"/>
            <w:rFonts w:ascii="Times New Roman" w:hAnsi="Times New Roman" w:hint="eastAsia"/>
            <w:b/>
            <w:noProof/>
          </w:rPr>
          <w:t>环境质量现状评价</w:t>
        </w:r>
        <w:r>
          <w:rPr>
            <w:noProof/>
            <w:webHidden/>
          </w:rPr>
          <w:tab/>
        </w:r>
        <w:r>
          <w:rPr>
            <w:noProof/>
            <w:webHidden/>
          </w:rPr>
          <w:fldChar w:fldCharType="begin"/>
        </w:r>
        <w:r>
          <w:rPr>
            <w:noProof/>
            <w:webHidden/>
          </w:rPr>
          <w:instrText xml:space="preserve"> PAGEREF _Toc523854069 \h </w:instrText>
        </w:r>
        <w:r>
          <w:rPr>
            <w:noProof/>
            <w:webHidden/>
          </w:rPr>
        </w:r>
        <w:r>
          <w:rPr>
            <w:noProof/>
            <w:webHidden/>
          </w:rPr>
          <w:fldChar w:fldCharType="separate"/>
        </w:r>
        <w:r>
          <w:rPr>
            <w:noProof/>
            <w:webHidden/>
          </w:rPr>
          <w:t>156</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70" w:history="1">
        <w:r w:rsidRPr="00C90A6E">
          <w:rPr>
            <w:rStyle w:val="a9"/>
            <w:rFonts w:ascii="Times New Roman" w:hAnsi="Times New Roman"/>
            <w:b/>
            <w:noProof/>
          </w:rPr>
          <w:t xml:space="preserve">12.5 </w:t>
        </w:r>
        <w:r w:rsidRPr="00C90A6E">
          <w:rPr>
            <w:rStyle w:val="a9"/>
            <w:rFonts w:ascii="Times New Roman" w:hAnsi="Times New Roman" w:hint="eastAsia"/>
            <w:b/>
            <w:noProof/>
          </w:rPr>
          <w:t>环境影响分析结论</w:t>
        </w:r>
        <w:r>
          <w:rPr>
            <w:noProof/>
            <w:webHidden/>
          </w:rPr>
          <w:tab/>
        </w:r>
        <w:r>
          <w:rPr>
            <w:noProof/>
            <w:webHidden/>
          </w:rPr>
          <w:fldChar w:fldCharType="begin"/>
        </w:r>
        <w:r>
          <w:rPr>
            <w:noProof/>
            <w:webHidden/>
          </w:rPr>
          <w:instrText xml:space="preserve"> PAGEREF _Toc523854070 \h </w:instrText>
        </w:r>
        <w:r>
          <w:rPr>
            <w:noProof/>
            <w:webHidden/>
          </w:rPr>
        </w:r>
        <w:r>
          <w:rPr>
            <w:noProof/>
            <w:webHidden/>
          </w:rPr>
          <w:fldChar w:fldCharType="separate"/>
        </w:r>
        <w:r>
          <w:rPr>
            <w:noProof/>
            <w:webHidden/>
          </w:rPr>
          <w:t>156</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71" w:history="1">
        <w:r w:rsidRPr="00C90A6E">
          <w:rPr>
            <w:rStyle w:val="a9"/>
            <w:rFonts w:ascii="Times New Roman" w:hAnsi="Times New Roman"/>
            <w:b/>
            <w:noProof/>
          </w:rPr>
          <w:t xml:space="preserve">12.6 </w:t>
        </w:r>
        <w:r w:rsidRPr="00C90A6E">
          <w:rPr>
            <w:rStyle w:val="a9"/>
            <w:rFonts w:ascii="Times New Roman" w:hAnsi="Times New Roman" w:hint="eastAsia"/>
            <w:b/>
            <w:noProof/>
          </w:rPr>
          <w:t>环境风险分析</w:t>
        </w:r>
        <w:r>
          <w:rPr>
            <w:noProof/>
            <w:webHidden/>
          </w:rPr>
          <w:tab/>
        </w:r>
        <w:r>
          <w:rPr>
            <w:noProof/>
            <w:webHidden/>
          </w:rPr>
          <w:fldChar w:fldCharType="begin"/>
        </w:r>
        <w:r>
          <w:rPr>
            <w:noProof/>
            <w:webHidden/>
          </w:rPr>
          <w:instrText xml:space="preserve"> PAGEREF _Toc523854071 \h </w:instrText>
        </w:r>
        <w:r>
          <w:rPr>
            <w:noProof/>
            <w:webHidden/>
          </w:rPr>
        </w:r>
        <w:r>
          <w:rPr>
            <w:noProof/>
            <w:webHidden/>
          </w:rPr>
          <w:fldChar w:fldCharType="separate"/>
        </w:r>
        <w:r>
          <w:rPr>
            <w:noProof/>
            <w:webHidden/>
          </w:rPr>
          <w:t>158</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72" w:history="1">
        <w:r w:rsidRPr="00C90A6E">
          <w:rPr>
            <w:rStyle w:val="a9"/>
            <w:rFonts w:ascii="Times New Roman" w:hAnsi="Times New Roman"/>
            <w:b/>
            <w:noProof/>
          </w:rPr>
          <w:t xml:space="preserve">12.7 </w:t>
        </w:r>
        <w:r w:rsidRPr="00C90A6E">
          <w:rPr>
            <w:rStyle w:val="a9"/>
            <w:rFonts w:ascii="Times New Roman" w:hAnsi="Times New Roman" w:hint="eastAsia"/>
            <w:b/>
            <w:noProof/>
          </w:rPr>
          <w:t>水生生态影响分析</w:t>
        </w:r>
        <w:r>
          <w:rPr>
            <w:noProof/>
            <w:webHidden/>
          </w:rPr>
          <w:tab/>
        </w:r>
        <w:r>
          <w:rPr>
            <w:noProof/>
            <w:webHidden/>
          </w:rPr>
          <w:fldChar w:fldCharType="begin"/>
        </w:r>
        <w:r>
          <w:rPr>
            <w:noProof/>
            <w:webHidden/>
          </w:rPr>
          <w:instrText xml:space="preserve"> PAGEREF _Toc523854072 \h </w:instrText>
        </w:r>
        <w:r>
          <w:rPr>
            <w:noProof/>
            <w:webHidden/>
          </w:rPr>
        </w:r>
        <w:r>
          <w:rPr>
            <w:noProof/>
            <w:webHidden/>
          </w:rPr>
          <w:fldChar w:fldCharType="separate"/>
        </w:r>
        <w:r>
          <w:rPr>
            <w:noProof/>
            <w:webHidden/>
          </w:rPr>
          <w:t>158</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hint="eastAsia"/>
          <w:noProof/>
        </w:rPr>
      </w:pPr>
      <w:hyperlink w:anchor="_Toc523854073" w:history="1">
        <w:r w:rsidRPr="00C90A6E">
          <w:rPr>
            <w:rStyle w:val="a9"/>
            <w:rFonts w:ascii="Times New Roman" w:hAnsi="Times New Roman"/>
            <w:b/>
            <w:noProof/>
          </w:rPr>
          <w:t xml:space="preserve">12.8 </w:t>
        </w:r>
        <w:r w:rsidRPr="00C90A6E">
          <w:rPr>
            <w:rStyle w:val="a9"/>
            <w:rFonts w:ascii="Times New Roman" w:hAnsi="Times New Roman" w:hint="eastAsia"/>
            <w:b/>
            <w:noProof/>
          </w:rPr>
          <w:t>公众参与</w:t>
        </w:r>
        <w:r>
          <w:rPr>
            <w:noProof/>
            <w:webHidden/>
          </w:rPr>
          <w:tab/>
        </w:r>
        <w:r>
          <w:rPr>
            <w:noProof/>
            <w:webHidden/>
          </w:rPr>
          <w:fldChar w:fldCharType="begin"/>
        </w:r>
        <w:r>
          <w:rPr>
            <w:noProof/>
            <w:webHidden/>
          </w:rPr>
          <w:instrText xml:space="preserve"> PAGEREF _Toc523854073 \h </w:instrText>
        </w:r>
        <w:r>
          <w:rPr>
            <w:noProof/>
            <w:webHidden/>
          </w:rPr>
        </w:r>
        <w:r>
          <w:rPr>
            <w:noProof/>
            <w:webHidden/>
          </w:rPr>
          <w:fldChar w:fldCharType="separate"/>
        </w:r>
        <w:r>
          <w:rPr>
            <w:noProof/>
            <w:webHidden/>
          </w:rPr>
          <w:t>158</w:t>
        </w:r>
        <w:r>
          <w:rPr>
            <w:noProof/>
            <w:webHidden/>
          </w:rPr>
          <w:fldChar w:fldCharType="end"/>
        </w:r>
      </w:hyperlink>
    </w:p>
    <w:p w:rsidR="00FC6AEC" w:rsidRDefault="00FC6AEC" w:rsidP="00FC6AEC">
      <w:pPr>
        <w:pStyle w:val="25"/>
        <w:tabs>
          <w:tab w:val="right" w:leader="dot" w:pos="8296"/>
        </w:tabs>
        <w:ind w:left="480"/>
        <w:rPr>
          <w:rFonts w:asciiTheme="minorHAnsi" w:eastAsiaTheme="minorEastAsia" w:hAnsiTheme="minorHAnsi" w:cstheme="minorBidi"/>
          <w:noProof/>
        </w:rPr>
      </w:pPr>
      <w:hyperlink w:anchor="_Toc523854074" w:history="1">
        <w:r w:rsidRPr="00C90A6E">
          <w:rPr>
            <w:rStyle w:val="a9"/>
            <w:rFonts w:ascii="Times New Roman" w:hAnsi="Times New Roman"/>
            <w:b/>
            <w:noProof/>
          </w:rPr>
          <w:t xml:space="preserve">12.9 </w:t>
        </w:r>
        <w:r w:rsidRPr="00C90A6E">
          <w:rPr>
            <w:rStyle w:val="a9"/>
            <w:rFonts w:ascii="Times New Roman" w:hAnsi="Times New Roman" w:hint="eastAsia"/>
            <w:b/>
            <w:noProof/>
          </w:rPr>
          <w:t>综合结论</w:t>
        </w:r>
        <w:r>
          <w:rPr>
            <w:noProof/>
            <w:webHidden/>
          </w:rPr>
          <w:tab/>
        </w:r>
        <w:r>
          <w:rPr>
            <w:noProof/>
            <w:webHidden/>
          </w:rPr>
          <w:fldChar w:fldCharType="begin"/>
        </w:r>
        <w:r>
          <w:rPr>
            <w:noProof/>
            <w:webHidden/>
          </w:rPr>
          <w:instrText xml:space="preserve"> PAGEREF _Toc523854074 \h </w:instrText>
        </w:r>
        <w:r>
          <w:rPr>
            <w:noProof/>
            <w:webHidden/>
          </w:rPr>
        </w:r>
        <w:r>
          <w:rPr>
            <w:noProof/>
            <w:webHidden/>
          </w:rPr>
          <w:fldChar w:fldCharType="separate"/>
        </w:r>
        <w:r>
          <w:rPr>
            <w:noProof/>
            <w:webHidden/>
          </w:rPr>
          <w:t>159</w:t>
        </w:r>
        <w:r>
          <w:rPr>
            <w:noProof/>
            <w:webHidden/>
          </w:rPr>
          <w:fldChar w:fldCharType="end"/>
        </w:r>
      </w:hyperlink>
    </w:p>
    <w:p w:rsidR="004B4777" w:rsidRDefault="004B4777">
      <w:pPr>
        <w:pStyle w:val="af7"/>
        <w:ind w:firstLine="0"/>
        <w:rPr>
          <w:rFonts w:ascii="Times New Roman" w:hAnsi="Times New Roman" w:hint="eastAsia"/>
        </w:rPr>
      </w:pPr>
      <w:r>
        <w:rPr>
          <w:rFonts w:ascii="Times New Roman" w:hAnsi="Times New Roman"/>
        </w:rPr>
        <w:fldChar w:fldCharType="end"/>
      </w:r>
      <w:r>
        <w:rPr>
          <w:rFonts w:ascii="Times New Roman" w:hAnsi="Times New Roman"/>
        </w:rPr>
        <w:br w:type="page"/>
      </w:r>
      <w:r>
        <w:rPr>
          <w:rFonts w:ascii="Times New Roman" w:hAnsi="Times New Roman" w:hint="eastAsia"/>
        </w:rPr>
        <w:lastRenderedPageBreak/>
        <w:t>附图：</w:t>
      </w:r>
    </w:p>
    <w:p w:rsidR="004B4777" w:rsidRDefault="004B4777">
      <w:pPr>
        <w:ind w:firstLineChars="0" w:firstLine="0"/>
        <w:rPr>
          <w:rFonts w:ascii="Times New Roman" w:hAnsi="Times New Roman" w:hint="eastAsia"/>
          <w:szCs w:val="24"/>
        </w:rPr>
      </w:pPr>
      <w:r>
        <w:rPr>
          <w:rFonts w:ascii="Times New Roman" w:hAnsi="Times New Roman" w:hint="eastAsia"/>
          <w:szCs w:val="24"/>
        </w:rPr>
        <w:t>附图</w:t>
      </w:r>
      <w:r>
        <w:rPr>
          <w:rFonts w:ascii="Times New Roman" w:hAnsi="Times New Roman" w:hint="eastAsia"/>
          <w:szCs w:val="24"/>
        </w:rPr>
        <w:t>1</w:t>
      </w:r>
      <w:r>
        <w:rPr>
          <w:rFonts w:ascii="Times New Roman" w:hAnsi="Times New Roman"/>
          <w:szCs w:val="24"/>
        </w:rPr>
        <w:t>建设项目</w:t>
      </w:r>
      <w:r>
        <w:rPr>
          <w:rFonts w:ascii="Times New Roman" w:hAnsi="Times New Roman" w:hint="eastAsia"/>
          <w:szCs w:val="24"/>
        </w:rPr>
        <w:t>区域位置示意图</w:t>
      </w:r>
    </w:p>
    <w:p w:rsidR="004B4777" w:rsidRDefault="004B4777">
      <w:pPr>
        <w:ind w:firstLineChars="0" w:firstLine="0"/>
        <w:rPr>
          <w:rFonts w:ascii="Times New Roman" w:hAnsi="Times New Roman"/>
          <w:szCs w:val="24"/>
        </w:rPr>
      </w:pPr>
      <w:r>
        <w:rPr>
          <w:rFonts w:ascii="Times New Roman" w:hAnsi="Times New Roman" w:hint="eastAsia"/>
          <w:szCs w:val="24"/>
        </w:rPr>
        <w:t>附图</w:t>
      </w:r>
      <w:r>
        <w:rPr>
          <w:rFonts w:ascii="Times New Roman" w:hAnsi="Times New Roman" w:hint="eastAsia"/>
          <w:szCs w:val="24"/>
        </w:rPr>
        <w:t>2</w:t>
      </w:r>
      <w:r>
        <w:rPr>
          <w:rFonts w:ascii="Times New Roman" w:hAnsi="Times New Roman" w:hint="eastAsia"/>
          <w:szCs w:val="24"/>
        </w:rPr>
        <w:t>项目斗米咀采区规划图</w:t>
      </w:r>
    </w:p>
    <w:p w:rsidR="004B4777" w:rsidRDefault="004B4777">
      <w:pPr>
        <w:ind w:firstLineChars="0" w:firstLine="0"/>
        <w:rPr>
          <w:rFonts w:ascii="Times New Roman" w:hAnsi="Times New Roman"/>
          <w:szCs w:val="24"/>
        </w:rPr>
      </w:pPr>
      <w:r>
        <w:rPr>
          <w:rFonts w:ascii="Times New Roman" w:hAnsi="Times New Roman" w:hint="eastAsia"/>
          <w:szCs w:val="24"/>
        </w:rPr>
        <w:t>附图</w:t>
      </w:r>
      <w:r>
        <w:rPr>
          <w:rFonts w:ascii="Times New Roman" w:hAnsi="Times New Roman" w:hint="eastAsia"/>
          <w:szCs w:val="24"/>
        </w:rPr>
        <w:t>3</w:t>
      </w:r>
      <w:r>
        <w:rPr>
          <w:rFonts w:ascii="Times New Roman" w:hAnsi="Times New Roman" w:hint="eastAsia"/>
          <w:szCs w:val="24"/>
        </w:rPr>
        <w:t>项目易婆塘采区规划图</w:t>
      </w:r>
    </w:p>
    <w:p w:rsidR="004B4777" w:rsidRDefault="004B4777">
      <w:pPr>
        <w:ind w:firstLineChars="0" w:firstLine="0"/>
        <w:rPr>
          <w:rFonts w:ascii="Times New Roman" w:hAnsi="Times New Roman" w:hint="eastAsia"/>
          <w:szCs w:val="24"/>
        </w:rPr>
      </w:pPr>
      <w:r>
        <w:rPr>
          <w:rFonts w:ascii="Times New Roman" w:hAnsi="Times New Roman" w:hint="eastAsia"/>
          <w:szCs w:val="24"/>
        </w:rPr>
        <w:t>附图</w:t>
      </w:r>
      <w:r>
        <w:rPr>
          <w:rFonts w:ascii="Times New Roman" w:hAnsi="Times New Roman" w:hint="eastAsia"/>
          <w:szCs w:val="24"/>
        </w:rPr>
        <w:t>4</w:t>
      </w:r>
      <w:r>
        <w:rPr>
          <w:rFonts w:ascii="Times New Roman" w:hAnsi="Times New Roman" w:hint="eastAsia"/>
          <w:szCs w:val="24"/>
        </w:rPr>
        <w:t>项目环境质量现状监测布点图</w:t>
      </w:r>
    </w:p>
    <w:p w:rsidR="004B4777" w:rsidRDefault="004B4777">
      <w:pPr>
        <w:ind w:firstLineChars="0" w:firstLine="0"/>
        <w:rPr>
          <w:rFonts w:ascii="Times New Roman" w:hAnsi="Times New Roman" w:hint="eastAsia"/>
          <w:szCs w:val="24"/>
        </w:rPr>
      </w:pPr>
      <w:r>
        <w:rPr>
          <w:rFonts w:ascii="Times New Roman" w:hAnsi="Times New Roman" w:hint="eastAsia"/>
          <w:szCs w:val="24"/>
        </w:rPr>
        <w:t>附图</w:t>
      </w:r>
      <w:r>
        <w:rPr>
          <w:rFonts w:ascii="Times New Roman" w:hAnsi="Times New Roman"/>
          <w:szCs w:val="24"/>
        </w:rPr>
        <w:t>5</w:t>
      </w:r>
      <w:r>
        <w:rPr>
          <w:rFonts w:ascii="Times New Roman" w:hAnsi="Times New Roman" w:hint="eastAsia"/>
          <w:szCs w:val="24"/>
        </w:rPr>
        <w:t xml:space="preserve"> </w:t>
      </w:r>
      <w:r>
        <w:rPr>
          <w:rFonts w:ascii="Times New Roman" w:hAnsi="Times New Roman" w:hint="eastAsia"/>
          <w:szCs w:val="24"/>
        </w:rPr>
        <w:t>项目环保目标图</w:t>
      </w:r>
    </w:p>
    <w:p w:rsidR="004B4777" w:rsidRDefault="004B4777">
      <w:pPr>
        <w:ind w:firstLineChars="0" w:firstLine="0"/>
        <w:rPr>
          <w:rFonts w:ascii="Times New Roman" w:hAnsi="Times New Roman"/>
          <w:szCs w:val="24"/>
        </w:rPr>
      </w:pPr>
      <w:r>
        <w:rPr>
          <w:rFonts w:ascii="Times New Roman" w:hAnsi="Times New Roman" w:hint="eastAsia"/>
          <w:szCs w:val="24"/>
        </w:rPr>
        <w:t>附图</w:t>
      </w:r>
      <w:r>
        <w:rPr>
          <w:rFonts w:ascii="Times New Roman" w:hAnsi="Times New Roman"/>
          <w:szCs w:val="24"/>
        </w:rPr>
        <w:t>6</w:t>
      </w:r>
      <w:r>
        <w:rPr>
          <w:rFonts w:ascii="Times New Roman" w:hAnsi="Times New Roman" w:hint="eastAsia"/>
          <w:szCs w:val="24"/>
        </w:rPr>
        <w:t>项目采区与生态红线位置关系示意图</w:t>
      </w:r>
    </w:p>
    <w:p w:rsidR="004B4777" w:rsidRDefault="004B4777">
      <w:pPr>
        <w:ind w:firstLineChars="0" w:firstLine="0"/>
        <w:rPr>
          <w:rFonts w:ascii="Times New Roman" w:hAnsi="Times New Roman" w:hint="eastAsia"/>
          <w:szCs w:val="24"/>
          <w:u w:val="single"/>
        </w:rPr>
      </w:pPr>
      <w:r>
        <w:rPr>
          <w:rFonts w:ascii="Times New Roman" w:hAnsi="Times New Roman" w:hint="eastAsia"/>
          <w:szCs w:val="24"/>
          <w:u w:val="single"/>
        </w:rPr>
        <w:t>附图</w:t>
      </w:r>
      <w:r>
        <w:rPr>
          <w:rFonts w:ascii="Times New Roman" w:hAnsi="Times New Roman"/>
          <w:szCs w:val="24"/>
          <w:u w:val="single"/>
        </w:rPr>
        <w:t>7</w:t>
      </w:r>
      <w:r>
        <w:rPr>
          <w:rFonts w:ascii="Times New Roman" w:hAnsi="Times New Roman" w:hint="eastAsia"/>
          <w:szCs w:val="24"/>
          <w:u w:val="single"/>
        </w:rPr>
        <w:t>项目易婆塘采区与柳潭水厂和赛头水厂水源保护区位置关系图</w:t>
      </w:r>
    </w:p>
    <w:p w:rsidR="004B4777" w:rsidRDefault="004B4777">
      <w:pPr>
        <w:ind w:firstLineChars="0" w:firstLine="0"/>
        <w:rPr>
          <w:rFonts w:ascii="Times New Roman" w:hAnsi="Times New Roman" w:hint="eastAsia"/>
          <w:szCs w:val="24"/>
        </w:rPr>
      </w:pPr>
      <w:r>
        <w:rPr>
          <w:rFonts w:ascii="Times New Roman" w:hAnsi="Times New Roman" w:hint="eastAsia"/>
          <w:szCs w:val="24"/>
        </w:rPr>
        <w:t>附图</w:t>
      </w:r>
      <w:r>
        <w:rPr>
          <w:rFonts w:ascii="Times New Roman" w:hAnsi="Times New Roman" w:hint="eastAsia"/>
          <w:szCs w:val="24"/>
        </w:rPr>
        <w:t>8</w:t>
      </w:r>
      <w:r>
        <w:rPr>
          <w:rFonts w:ascii="Times New Roman" w:hAnsi="Times New Roman" w:hint="eastAsia"/>
          <w:szCs w:val="24"/>
        </w:rPr>
        <w:t>项目与生态环境敏感区位置关系示意图</w:t>
      </w:r>
    </w:p>
    <w:p w:rsidR="004B4777" w:rsidRDefault="004B4777">
      <w:pPr>
        <w:ind w:firstLineChars="0" w:firstLine="0"/>
        <w:rPr>
          <w:rFonts w:ascii="Times New Roman" w:hAnsi="Times New Roman" w:hint="eastAsia"/>
          <w:szCs w:val="24"/>
        </w:rPr>
      </w:pPr>
      <w:r>
        <w:rPr>
          <w:rFonts w:ascii="Times New Roman" w:hAnsi="Times New Roman" w:hint="eastAsia"/>
          <w:szCs w:val="24"/>
        </w:rPr>
        <w:t>附图</w:t>
      </w:r>
      <w:r>
        <w:rPr>
          <w:rFonts w:ascii="Times New Roman" w:hAnsi="Times New Roman" w:hint="eastAsia"/>
          <w:szCs w:val="24"/>
        </w:rPr>
        <w:t xml:space="preserve">9 </w:t>
      </w:r>
      <w:r>
        <w:rPr>
          <w:rFonts w:ascii="Times New Roman" w:hAnsi="Times New Roman" w:hint="eastAsia"/>
          <w:szCs w:val="24"/>
        </w:rPr>
        <w:t>洞庭湖区综合规划示意图</w:t>
      </w:r>
    </w:p>
    <w:p w:rsidR="004B4777" w:rsidRDefault="004B4777">
      <w:pPr>
        <w:pStyle w:val="af7"/>
        <w:spacing w:line="360" w:lineRule="auto"/>
        <w:ind w:firstLine="0"/>
        <w:rPr>
          <w:rFonts w:ascii="Times New Roman" w:hAnsi="Times New Roman" w:hint="eastAsia"/>
        </w:rPr>
      </w:pPr>
    </w:p>
    <w:p w:rsidR="004B4777" w:rsidRDefault="004B4777">
      <w:pPr>
        <w:pStyle w:val="af7"/>
        <w:spacing w:line="360" w:lineRule="auto"/>
        <w:ind w:firstLine="0"/>
        <w:rPr>
          <w:rFonts w:ascii="Times New Roman" w:hAnsi="Times New Roman"/>
        </w:rPr>
      </w:pPr>
      <w:r>
        <w:rPr>
          <w:rFonts w:ascii="Times New Roman" w:hAnsi="Times New Roman"/>
        </w:rPr>
        <w:t>附件：</w:t>
      </w:r>
    </w:p>
    <w:p w:rsidR="004B4777" w:rsidRDefault="004B4777">
      <w:pPr>
        <w:ind w:firstLineChars="0" w:firstLine="0"/>
        <w:rPr>
          <w:rFonts w:ascii="Times New Roman" w:hAnsi="Times New Roman"/>
          <w:szCs w:val="24"/>
        </w:rPr>
      </w:pPr>
      <w:r>
        <w:rPr>
          <w:rFonts w:ascii="Times New Roman" w:hAnsi="Times New Roman"/>
          <w:szCs w:val="24"/>
        </w:rPr>
        <w:t>附件</w:t>
      </w:r>
      <w:r>
        <w:rPr>
          <w:rFonts w:ascii="Times New Roman" w:hAnsi="Times New Roman"/>
          <w:szCs w:val="24"/>
        </w:rPr>
        <w:t>1</w:t>
      </w:r>
      <w:r>
        <w:rPr>
          <w:rFonts w:ascii="Times New Roman" w:hAnsi="Times New Roman" w:hint="eastAsia"/>
          <w:szCs w:val="24"/>
        </w:rPr>
        <w:t xml:space="preserve"> </w:t>
      </w:r>
      <w:r>
        <w:rPr>
          <w:rFonts w:ascii="Times New Roman" w:hAnsi="Times New Roman"/>
          <w:szCs w:val="24"/>
        </w:rPr>
        <w:t>委托书</w:t>
      </w:r>
    </w:p>
    <w:p w:rsidR="004B4777" w:rsidRDefault="004B4777">
      <w:pPr>
        <w:ind w:firstLineChars="0" w:firstLine="0"/>
        <w:rPr>
          <w:rFonts w:ascii="Times New Roman" w:hAnsi="Times New Roman"/>
          <w:szCs w:val="24"/>
        </w:rPr>
      </w:pPr>
      <w:r>
        <w:rPr>
          <w:rFonts w:ascii="Times New Roman" w:hAnsi="Times New Roman"/>
          <w:szCs w:val="24"/>
        </w:rPr>
        <w:t>附件</w:t>
      </w:r>
      <w:r>
        <w:rPr>
          <w:rFonts w:ascii="Times New Roman" w:hAnsi="Times New Roman"/>
          <w:szCs w:val="24"/>
        </w:rPr>
        <w:t>2</w:t>
      </w:r>
      <w:r>
        <w:rPr>
          <w:rFonts w:ascii="Times New Roman" w:hAnsi="Times New Roman" w:hint="eastAsia"/>
          <w:szCs w:val="24"/>
        </w:rPr>
        <w:t xml:space="preserve"> </w:t>
      </w:r>
      <w:r>
        <w:rPr>
          <w:rFonts w:ascii="Times New Roman" w:hAnsi="Times New Roman"/>
          <w:szCs w:val="24"/>
        </w:rPr>
        <w:t>执行标准函</w:t>
      </w:r>
    </w:p>
    <w:p w:rsidR="004B4777" w:rsidRDefault="004B4777">
      <w:pPr>
        <w:ind w:firstLineChars="0" w:firstLine="0"/>
        <w:rPr>
          <w:rFonts w:ascii="Times New Roman" w:hAnsi="Times New Roman"/>
          <w:szCs w:val="24"/>
        </w:rPr>
      </w:pPr>
      <w:r>
        <w:rPr>
          <w:rFonts w:ascii="Times New Roman" w:hAnsi="Times New Roman"/>
          <w:szCs w:val="24"/>
        </w:rPr>
        <w:t>附件</w:t>
      </w:r>
      <w:r>
        <w:rPr>
          <w:rFonts w:ascii="Times New Roman" w:hAnsi="Times New Roman"/>
          <w:szCs w:val="24"/>
        </w:rPr>
        <w:t>3</w:t>
      </w:r>
      <w:r>
        <w:rPr>
          <w:rFonts w:ascii="Times New Roman" w:hAnsi="Times New Roman" w:hint="eastAsia"/>
          <w:szCs w:val="24"/>
        </w:rPr>
        <w:t xml:space="preserve"> </w:t>
      </w:r>
      <w:r>
        <w:rPr>
          <w:rFonts w:ascii="Times New Roman" w:hAnsi="Times New Roman" w:hint="eastAsia"/>
          <w:szCs w:val="24"/>
        </w:rPr>
        <w:t>湘阴县水务局关于采区不在饮用水源保护区的情况说明</w:t>
      </w:r>
    </w:p>
    <w:p w:rsidR="004B4777" w:rsidRDefault="004B4777">
      <w:pPr>
        <w:ind w:firstLineChars="0" w:firstLine="0"/>
        <w:rPr>
          <w:rFonts w:ascii="Times New Roman" w:hAnsi="Times New Roman"/>
          <w:szCs w:val="24"/>
        </w:rPr>
      </w:pPr>
      <w:r>
        <w:rPr>
          <w:rFonts w:ascii="Times New Roman" w:hAnsi="Times New Roman"/>
          <w:szCs w:val="24"/>
        </w:rPr>
        <w:t>附件</w:t>
      </w:r>
      <w:r>
        <w:rPr>
          <w:rFonts w:ascii="Times New Roman" w:hAnsi="Times New Roman" w:hint="eastAsia"/>
          <w:szCs w:val="24"/>
        </w:rPr>
        <w:t xml:space="preserve">4 </w:t>
      </w:r>
      <w:r>
        <w:rPr>
          <w:rFonts w:ascii="Times New Roman" w:hAnsi="Times New Roman" w:hint="eastAsia"/>
          <w:szCs w:val="24"/>
        </w:rPr>
        <w:t>湘阴县国土局关于采区不在禁采区内的情况说明</w:t>
      </w:r>
    </w:p>
    <w:p w:rsidR="004B4777" w:rsidRDefault="004B4777">
      <w:pPr>
        <w:ind w:firstLineChars="0" w:firstLine="0"/>
        <w:rPr>
          <w:rFonts w:ascii="Times New Roman" w:hAnsi="Times New Roman"/>
          <w:szCs w:val="24"/>
        </w:rPr>
      </w:pPr>
      <w:r>
        <w:rPr>
          <w:rFonts w:ascii="Times New Roman" w:hAnsi="Times New Roman" w:hint="eastAsia"/>
          <w:szCs w:val="24"/>
        </w:rPr>
        <w:t>附件</w:t>
      </w:r>
      <w:r>
        <w:rPr>
          <w:rFonts w:ascii="Times New Roman" w:hAnsi="Times New Roman" w:hint="eastAsia"/>
          <w:szCs w:val="24"/>
        </w:rPr>
        <w:t xml:space="preserve">5 </w:t>
      </w:r>
      <w:r>
        <w:rPr>
          <w:rFonts w:ascii="Times New Roman" w:hAnsi="Times New Roman" w:hint="eastAsia"/>
          <w:szCs w:val="24"/>
        </w:rPr>
        <w:t>湘阴县环保局关于采区不在生态保护红线的情况说明</w:t>
      </w:r>
    </w:p>
    <w:p w:rsidR="004B4777" w:rsidRDefault="004B4777">
      <w:pPr>
        <w:ind w:firstLineChars="0" w:firstLine="0"/>
        <w:rPr>
          <w:rFonts w:ascii="Times New Roman" w:hAnsi="Times New Roman" w:hint="eastAsia"/>
          <w:szCs w:val="24"/>
        </w:rPr>
      </w:pPr>
      <w:r>
        <w:rPr>
          <w:rFonts w:ascii="Times New Roman" w:hAnsi="Times New Roman" w:hint="eastAsia"/>
          <w:szCs w:val="24"/>
        </w:rPr>
        <w:t>附件</w:t>
      </w:r>
      <w:r>
        <w:rPr>
          <w:rFonts w:ascii="Times New Roman" w:hAnsi="Times New Roman" w:hint="eastAsia"/>
          <w:szCs w:val="24"/>
        </w:rPr>
        <w:t xml:space="preserve">6 </w:t>
      </w:r>
      <w:r>
        <w:rPr>
          <w:rFonts w:ascii="Times New Roman" w:hAnsi="Times New Roman" w:hint="eastAsia"/>
          <w:szCs w:val="24"/>
        </w:rPr>
        <w:t>湘阴县水产局关于采区不在水产种质资源保护区的情况说明</w:t>
      </w:r>
    </w:p>
    <w:p w:rsidR="004B4777" w:rsidRDefault="004B4777">
      <w:pPr>
        <w:ind w:firstLineChars="0" w:firstLine="0"/>
        <w:rPr>
          <w:rFonts w:ascii="Times New Roman" w:hAnsi="Times New Roman"/>
          <w:szCs w:val="24"/>
        </w:rPr>
      </w:pPr>
      <w:r>
        <w:rPr>
          <w:rFonts w:ascii="Times New Roman" w:hAnsi="Times New Roman" w:hint="eastAsia"/>
          <w:szCs w:val="24"/>
        </w:rPr>
        <w:t>附件</w:t>
      </w:r>
      <w:r>
        <w:rPr>
          <w:rFonts w:ascii="Times New Roman" w:hAnsi="Times New Roman" w:hint="eastAsia"/>
          <w:szCs w:val="24"/>
        </w:rPr>
        <w:t xml:space="preserve">7 </w:t>
      </w:r>
      <w:r>
        <w:rPr>
          <w:rFonts w:ascii="Times New Roman" w:hAnsi="Times New Roman" w:hint="eastAsia"/>
          <w:szCs w:val="24"/>
        </w:rPr>
        <w:t>湘阴县林业局关于采区不在横岭湖自然保护区的情况说明</w:t>
      </w:r>
    </w:p>
    <w:p w:rsidR="004B4777" w:rsidRDefault="004B4777">
      <w:pPr>
        <w:ind w:firstLineChars="0" w:firstLine="0"/>
        <w:rPr>
          <w:rFonts w:ascii="Times New Roman" w:hAnsi="Times New Roman" w:hint="eastAsia"/>
          <w:lang w:val="en-US" w:eastAsia="zh-CN"/>
        </w:rPr>
      </w:pPr>
      <w:r>
        <w:rPr>
          <w:rFonts w:ascii="Times New Roman" w:hAnsi="Times New Roman" w:hint="eastAsia"/>
          <w:szCs w:val="24"/>
        </w:rPr>
        <w:t>附件</w:t>
      </w:r>
      <w:r>
        <w:rPr>
          <w:rFonts w:ascii="Times New Roman" w:hAnsi="Times New Roman" w:hint="eastAsia"/>
          <w:szCs w:val="24"/>
        </w:rPr>
        <w:t xml:space="preserve">8 </w:t>
      </w:r>
      <w:r>
        <w:rPr>
          <w:rFonts w:ascii="Times New Roman" w:hAnsi="Times New Roman"/>
        </w:rPr>
        <w:t>湘阴县</w:t>
      </w:r>
      <w:r>
        <w:rPr>
          <w:rFonts w:ascii="Times New Roman" w:hAnsi="Times New Roman" w:hint="eastAsia"/>
        </w:rPr>
        <w:t>人民政府</w:t>
      </w:r>
      <w:r>
        <w:rPr>
          <w:rFonts w:ascii="Times New Roman" w:hAnsi="Times New Roman"/>
          <w:lang w:val="en-US" w:eastAsia="zh-CN"/>
        </w:rPr>
        <w:t>关于</w:t>
      </w:r>
      <w:r>
        <w:rPr>
          <w:rFonts w:ascii="Times New Roman" w:hAnsi="Times New Roman" w:hint="eastAsia"/>
          <w:lang w:val="en-US" w:eastAsia="zh-CN"/>
        </w:rPr>
        <w:t>同意新增四处农村集中式地下水饮用水源地的批复</w:t>
      </w:r>
    </w:p>
    <w:p w:rsidR="004B4777" w:rsidRDefault="004B4777">
      <w:pPr>
        <w:ind w:firstLineChars="0" w:firstLine="0"/>
        <w:rPr>
          <w:rFonts w:ascii="Times New Roman" w:hAnsi="Times New Roman"/>
          <w:szCs w:val="24"/>
        </w:rPr>
      </w:pPr>
      <w:r>
        <w:rPr>
          <w:rFonts w:ascii="Times New Roman" w:hAnsi="Times New Roman" w:hint="eastAsia"/>
          <w:szCs w:val="24"/>
        </w:rPr>
        <w:t>附件</w:t>
      </w:r>
      <w:r>
        <w:rPr>
          <w:rFonts w:ascii="Times New Roman" w:hAnsi="Times New Roman" w:hint="eastAsia"/>
          <w:szCs w:val="24"/>
        </w:rPr>
        <w:t xml:space="preserve">9 </w:t>
      </w:r>
      <w:r>
        <w:rPr>
          <w:rFonts w:ascii="Times New Roman" w:hAnsi="Times New Roman" w:hint="eastAsia"/>
          <w:szCs w:val="24"/>
        </w:rPr>
        <w:t>湘阴县水产局关于四个采区采砂对南洞庭湖大口鲶青虾中华鳖国家级水产种质资源保护区的评审备案书</w:t>
      </w:r>
    </w:p>
    <w:p w:rsidR="004B4777" w:rsidRDefault="004B4777">
      <w:pPr>
        <w:ind w:firstLineChars="0" w:firstLine="0"/>
        <w:rPr>
          <w:rFonts w:ascii="Times New Roman" w:hAnsi="Times New Roman" w:hint="eastAsia"/>
          <w:lang w:val="en-US" w:eastAsia="zh-CN"/>
        </w:rPr>
      </w:pPr>
      <w:r>
        <w:rPr>
          <w:rFonts w:ascii="Times New Roman" w:hAnsi="Times New Roman" w:hint="eastAsia"/>
          <w:szCs w:val="24"/>
        </w:rPr>
        <w:t>附件</w:t>
      </w:r>
      <w:r>
        <w:rPr>
          <w:rFonts w:ascii="Times New Roman" w:hAnsi="Times New Roman" w:hint="eastAsia"/>
          <w:szCs w:val="24"/>
        </w:rPr>
        <w:t xml:space="preserve">10 </w:t>
      </w:r>
      <w:r>
        <w:rPr>
          <w:rFonts w:ascii="Times New Roman" w:hAnsi="Times New Roman"/>
        </w:rPr>
        <w:t>湘阴县河道砂石综合执法局</w:t>
      </w:r>
      <w:r>
        <w:rPr>
          <w:rFonts w:ascii="Times New Roman" w:hAnsi="Times New Roman"/>
          <w:lang w:val="en-US" w:eastAsia="zh-CN"/>
        </w:rPr>
        <w:t>关于公众参与的真实性承诺书</w:t>
      </w:r>
    </w:p>
    <w:p w:rsidR="004B4777" w:rsidRDefault="004B4777">
      <w:pPr>
        <w:ind w:firstLineChars="0" w:firstLine="0"/>
        <w:rPr>
          <w:rFonts w:ascii="Times New Roman" w:hAnsi="Times New Roman" w:hint="eastAsia"/>
          <w:lang w:val="en-US" w:eastAsia="zh-CN"/>
        </w:rPr>
      </w:pPr>
      <w:r>
        <w:rPr>
          <w:rFonts w:ascii="Times New Roman" w:hAnsi="Times New Roman" w:hint="eastAsia"/>
          <w:lang w:val="en-US" w:eastAsia="zh-CN"/>
        </w:rPr>
        <w:t>附件</w:t>
      </w:r>
      <w:r>
        <w:rPr>
          <w:rFonts w:ascii="Times New Roman" w:hAnsi="Times New Roman" w:hint="eastAsia"/>
          <w:lang w:val="en-US" w:eastAsia="zh-CN"/>
        </w:rPr>
        <w:t xml:space="preserve">11 </w:t>
      </w:r>
      <w:r>
        <w:rPr>
          <w:rFonts w:ascii="Times New Roman" w:hAnsi="Times New Roman" w:hint="eastAsia"/>
          <w:lang w:val="en-US" w:eastAsia="zh-CN"/>
        </w:rPr>
        <w:t>规划环境影响报告书审查意见</w:t>
      </w:r>
    </w:p>
    <w:p w:rsidR="004B4777" w:rsidRDefault="004B4777">
      <w:pPr>
        <w:ind w:firstLineChars="0" w:firstLine="0"/>
        <w:rPr>
          <w:rFonts w:ascii="Times New Roman" w:hAnsi="Times New Roman" w:hint="eastAsia"/>
          <w:u w:val="single"/>
          <w:lang w:val="en-US" w:eastAsia="zh-CN"/>
        </w:rPr>
      </w:pPr>
      <w:r>
        <w:rPr>
          <w:rFonts w:ascii="Times New Roman" w:hAnsi="Times New Roman" w:hint="eastAsia"/>
          <w:u w:val="single"/>
          <w:lang w:val="en-US" w:eastAsia="zh-CN"/>
        </w:rPr>
        <w:t>附件</w:t>
      </w:r>
      <w:r>
        <w:rPr>
          <w:rFonts w:ascii="Times New Roman" w:hAnsi="Times New Roman" w:hint="eastAsia"/>
          <w:u w:val="single"/>
          <w:lang w:val="en-US" w:eastAsia="zh-CN"/>
        </w:rPr>
        <w:t xml:space="preserve">12 </w:t>
      </w:r>
      <w:r>
        <w:rPr>
          <w:rFonts w:ascii="Times New Roman" w:hAnsi="Times New Roman" w:hint="eastAsia"/>
          <w:szCs w:val="24"/>
          <w:u w:val="single"/>
        </w:rPr>
        <w:t>湘阴县林业局证明文件</w:t>
      </w:r>
    </w:p>
    <w:p w:rsidR="004B4777" w:rsidRDefault="004B4777">
      <w:pPr>
        <w:ind w:firstLineChars="0" w:firstLine="0"/>
        <w:rPr>
          <w:rFonts w:ascii="Times New Roman" w:hAnsi="Times New Roman" w:hint="eastAsia"/>
          <w:u w:val="single"/>
          <w:lang w:val="en-US" w:eastAsia="zh-CN"/>
        </w:rPr>
      </w:pPr>
      <w:r>
        <w:rPr>
          <w:rFonts w:ascii="Times New Roman" w:hAnsi="Times New Roman" w:hint="eastAsia"/>
          <w:u w:val="single"/>
          <w:lang w:val="en-US" w:eastAsia="zh-CN"/>
        </w:rPr>
        <w:t>附件</w:t>
      </w:r>
      <w:r>
        <w:rPr>
          <w:rFonts w:ascii="Times New Roman" w:hAnsi="Times New Roman" w:hint="eastAsia"/>
          <w:u w:val="single"/>
          <w:lang w:val="en-US" w:eastAsia="zh-CN"/>
        </w:rPr>
        <w:t xml:space="preserve">13 </w:t>
      </w:r>
      <w:r>
        <w:rPr>
          <w:rFonts w:ascii="Times New Roman" w:hAnsi="Times New Roman" w:hint="eastAsia"/>
          <w:u w:val="single"/>
          <w:lang w:val="en-US" w:eastAsia="zh-CN"/>
        </w:rPr>
        <w:t>评审意见</w:t>
      </w:r>
    </w:p>
    <w:p w:rsidR="004B4777" w:rsidRDefault="004B4777">
      <w:pPr>
        <w:ind w:firstLineChars="0" w:firstLine="0"/>
        <w:rPr>
          <w:rFonts w:ascii="Times New Roman" w:hAnsi="Times New Roman" w:hint="eastAsia"/>
          <w:szCs w:val="24"/>
          <w:lang w:val="en-US" w:eastAsia="zh-CN"/>
        </w:rPr>
      </w:pPr>
    </w:p>
    <w:p w:rsidR="004B4777" w:rsidRDefault="004B4777">
      <w:pPr>
        <w:ind w:firstLineChars="0" w:firstLine="0"/>
        <w:rPr>
          <w:rFonts w:ascii="Times New Roman" w:hAnsi="Times New Roman"/>
          <w:szCs w:val="24"/>
        </w:rPr>
      </w:pPr>
      <w:r>
        <w:rPr>
          <w:rFonts w:ascii="Times New Roman" w:hAnsi="Times New Roman"/>
          <w:szCs w:val="24"/>
        </w:rPr>
        <w:t>附表：</w:t>
      </w:r>
    </w:p>
    <w:p w:rsidR="004B4777" w:rsidRDefault="004B4777">
      <w:pPr>
        <w:ind w:firstLineChars="0" w:firstLine="0"/>
        <w:rPr>
          <w:rFonts w:ascii="Times New Roman" w:hAnsi="Times New Roman" w:hint="eastAsia"/>
        </w:rPr>
      </w:pPr>
      <w:r>
        <w:rPr>
          <w:rFonts w:ascii="Times New Roman" w:hAnsi="Times New Roman" w:hint="eastAsia"/>
        </w:rPr>
        <w:t>项目基础信息表</w:t>
      </w:r>
    </w:p>
    <w:p w:rsidR="004B4777" w:rsidRDefault="004B4777">
      <w:pPr>
        <w:ind w:firstLine="480"/>
        <w:rPr>
          <w:rFonts w:ascii="Times New Roman" w:hAnsi="Times New Roman"/>
        </w:rPr>
        <w:sectPr w:rsidR="004B4777">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720"/>
          <w:docGrid w:type="lines" w:linePitch="312"/>
        </w:sectPr>
      </w:pPr>
    </w:p>
    <w:p w:rsidR="004B4777" w:rsidRDefault="004B4777">
      <w:pPr>
        <w:pStyle w:val="1"/>
        <w:spacing w:before="0" w:after="0" w:line="360" w:lineRule="auto"/>
        <w:rPr>
          <w:rFonts w:ascii="Times New Roman" w:eastAsia="宋体" w:hAnsi="Times New Roman"/>
          <w:b/>
          <w:sz w:val="32"/>
          <w:szCs w:val="32"/>
        </w:rPr>
      </w:pPr>
      <w:bookmarkStart w:id="0" w:name="_Toc523854005"/>
      <w:r>
        <w:rPr>
          <w:rFonts w:ascii="Times New Roman" w:eastAsia="宋体" w:hAnsi="Times New Roman"/>
          <w:b/>
          <w:sz w:val="32"/>
          <w:szCs w:val="32"/>
        </w:rPr>
        <w:lastRenderedPageBreak/>
        <w:t>第</w:t>
      </w:r>
      <w:r>
        <w:rPr>
          <w:rFonts w:ascii="Times New Roman" w:eastAsia="宋体" w:hAnsi="Times New Roman"/>
          <w:b/>
          <w:sz w:val="32"/>
          <w:szCs w:val="32"/>
        </w:rPr>
        <w:t>1</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概</w:t>
      </w:r>
      <w:r>
        <w:rPr>
          <w:rFonts w:ascii="Times New Roman" w:eastAsia="宋体" w:hAnsi="Times New Roman"/>
          <w:b/>
          <w:sz w:val="32"/>
          <w:szCs w:val="32"/>
        </w:rPr>
        <w:t xml:space="preserve"> </w:t>
      </w:r>
      <w:r>
        <w:rPr>
          <w:rFonts w:ascii="Times New Roman" w:eastAsia="宋体" w:hAnsi="Times New Roman"/>
          <w:b/>
          <w:sz w:val="32"/>
          <w:szCs w:val="32"/>
        </w:rPr>
        <w:t>述</w:t>
      </w:r>
      <w:bookmarkEnd w:id="0"/>
    </w:p>
    <w:p w:rsidR="004B4777" w:rsidRDefault="004B4777">
      <w:pPr>
        <w:pStyle w:val="2"/>
        <w:spacing w:before="0" w:after="0"/>
        <w:rPr>
          <w:rFonts w:ascii="Times New Roman" w:eastAsia="宋体" w:hAnsi="Times New Roman"/>
          <w:b/>
          <w:sz w:val="30"/>
          <w:szCs w:val="30"/>
        </w:rPr>
      </w:pPr>
      <w:bookmarkStart w:id="1" w:name="_Toc523854006"/>
      <w:r>
        <w:rPr>
          <w:rFonts w:ascii="Times New Roman" w:eastAsia="宋体" w:hAnsi="Times New Roman"/>
          <w:b/>
          <w:sz w:val="30"/>
          <w:szCs w:val="30"/>
        </w:rPr>
        <w:t xml:space="preserve">1.1 </w:t>
      </w:r>
      <w:r>
        <w:rPr>
          <w:rFonts w:ascii="Times New Roman" w:eastAsia="宋体" w:hAnsi="Times New Roman"/>
          <w:b/>
          <w:sz w:val="30"/>
          <w:szCs w:val="30"/>
        </w:rPr>
        <w:t>项目由来</w:t>
      </w:r>
      <w:bookmarkEnd w:id="1"/>
    </w:p>
    <w:p w:rsidR="004B4777" w:rsidRDefault="004B4777">
      <w:pPr>
        <w:ind w:firstLine="480"/>
        <w:rPr>
          <w:rFonts w:ascii="Times New Roman" w:hAnsi="Times New Roman" w:hint="eastAsia"/>
        </w:rPr>
      </w:pPr>
      <w:r>
        <w:rPr>
          <w:rFonts w:ascii="Times New Roman" w:hAnsi="Times New Roman" w:hint="eastAsia"/>
        </w:rPr>
        <w:t>岳阳市洞庭湖区河道自</w:t>
      </w:r>
      <w:r>
        <w:rPr>
          <w:rFonts w:ascii="Times New Roman" w:hAnsi="Times New Roman" w:hint="eastAsia"/>
        </w:rPr>
        <w:t>20</w:t>
      </w:r>
      <w:r>
        <w:rPr>
          <w:rFonts w:ascii="Times New Roman" w:hAnsi="Times New Roman" w:hint="eastAsia"/>
        </w:rPr>
        <w:t>世纪</w:t>
      </w:r>
      <w:r>
        <w:rPr>
          <w:rFonts w:ascii="Times New Roman" w:hAnsi="Times New Roman" w:hint="eastAsia"/>
        </w:rPr>
        <w:t>90</w:t>
      </w:r>
      <w:r>
        <w:rPr>
          <w:rFonts w:ascii="Times New Roman" w:hAnsi="Times New Roman" w:hint="eastAsia"/>
        </w:rPr>
        <w:t>年代初期已开始机械采砂，随着岳阳市及周边地区经济建设的快速发展，采砂规模越来越大，</w:t>
      </w:r>
      <w:r>
        <w:rPr>
          <w:rFonts w:ascii="Times New Roman" w:hAnsi="Times New Roman" w:hint="eastAsia"/>
        </w:rPr>
        <w:t>2006</w:t>
      </w:r>
      <w:r>
        <w:rPr>
          <w:rFonts w:ascii="Times New Roman" w:hAnsi="Times New Roman" w:hint="eastAsia"/>
        </w:rPr>
        <w:t>年开始出现大规模采砂，在经济利益的驱使下，各类采砂机械遍布洞庭湖。由于湖南省湘江干流及洞庭湖区岳阳段河道未制定河道采砂规划，河道流域内采砂活动均未办理过环境影响评价手续，属于无排污许可证开采。近年来，河道滥采乱挖、超采等现象严重，对洞庭湖河道的河势稳定、防洪、水利工程基础设施、水生态环境安全等带来不利影响。目前该流域范围内已全部禁止了采砂活动。</w:t>
      </w:r>
    </w:p>
    <w:p w:rsidR="004B4777" w:rsidRDefault="004B4777">
      <w:pPr>
        <w:ind w:firstLine="480"/>
        <w:rPr>
          <w:rFonts w:ascii="Times New Roman" w:hAnsi="Times New Roman" w:hint="eastAsia"/>
        </w:rPr>
      </w:pPr>
      <w:r>
        <w:rPr>
          <w:rFonts w:ascii="Times New Roman" w:hAnsi="Times New Roman" w:hint="eastAsia"/>
        </w:rPr>
        <w:t>2017</w:t>
      </w:r>
      <w:r>
        <w:rPr>
          <w:rFonts w:ascii="Times New Roman" w:hAnsi="Times New Roman" w:hint="eastAsia"/>
        </w:rPr>
        <w:t>年，为了加强岳阳市洞庭湖区河道采砂管理，维护河势稳定，保障防洪安全，保证河道基本功能的正常发挥，使河道采砂逐步走向科学、依法、有序开采的轨道，岳阳市水务局组织开展了《湖南省湘江干流及洞庭湖区岳阳段河道采砂规划（</w:t>
      </w:r>
      <w:r>
        <w:rPr>
          <w:rFonts w:ascii="Times New Roman" w:hAnsi="Times New Roman" w:hint="eastAsia"/>
        </w:rPr>
        <w:t>2017~2020</w:t>
      </w:r>
      <w:r>
        <w:rPr>
          <w:rFonts w:ascii="Times New Roman" w:hAnsi="Times New Roman" w:hint="eastAsia"/>
        </w:rPr>
        <w:t>年）》的编制工作，以促进经济社会可持续发展的高度，对河道采砂进行规范的管理。</w:t>
      </w:r>
    </w:p>
    <w:p w:rsidR="004B4777" w:rsidRDefault="004B4777">
      <w:pPr>
        <w:ind w:firstLine="480"/>
        <w:rPr>
          <w:rFonts w:ascii="Times New Roman" w:hAnsi="Times New Roman" w:hint="eastAsia"/>
        </w:rPr>
      </w:pPr>
      <w:r>
        <w:rPr>
          <w:rFonts w:ascii="Times New Roman" w:hAnsi="Times New Roman" w:hint="eastAsia"/>
        </w:rPr>
        <w:t>根据湖南省水利厅的统一部署和《湖南省河道采砂规划编制大纲（</w:t>
      </w:r>
      <w:r>
        <w:rPr>
          <w:rFonts w:ascii="Times New Roman" w:hAnsi="Times New Roman" w:hint="eastAsia"/>
        </w:rPr>
        <w:t>2017~2020</w:t>
      </w:r>
      <w:r>
        <w:rPr>
          <w:rFonts w:ascii="Times New Roman" w:hAnsi="Times New Roman" w:hint="eastAsia"/>
        </w:rPr>
        <w:t>年）》的要求，</w:t>
      </w:r>
      <w:r>
        <w:rPr>
          <w:rFonts w:ascii="Times New Roman" w:hAnsi="Times New Roman" w:hint="eastAsia"/>
        </w:rPr>
        <w:t>2018</w:t>
      </w:r>
      <w:r>
        <w:rPr>
          <w:rFonts w:ascii="Times New Roman" w:hAnsi="Times New Roman" w:hint="eastAsia"/>
        </w:rPr>
        <w:t>年</w:t>
      </w:r>
      <w:r>
        <w:rPr>
          <w:rFonts w:ascii="Times New Roman" w:hAnsi="Times New Roman" w:hint="eastAsia"/>
        </w:rPr>
        <w:t>2</w:t>
      </w:r>
      <w:r>
        <w:rPr>
          <w:rFonts w:ascii="Times New Roman" w:hAnsi="Times New Roman" w:hint="eastAsia"/>
        </w:rPr>
        <w:t>月份编制完成《湖南省湘江干流及洞庭湖区岳阳段河道采砂规划（</w:t>
      </w:r>
      <w:r>
        <w:rPr>
          <w:rFonts w:ascii="Times New Roman" w:hAnsi="Times New Roman" w:hint="eastAsia"/>
        </w:rPr>
        <w:t>2017~2020</w:t>
      </w:r>
      <w:r>
        <w:rPr>
          <w:rFonts w:ascii="Times New Roman" w:hAnsi="Times New Roman" w:hint="eastAsia"/>
        </w:rPr>
        <w:t>年）》。规划确定</w:t>
      </w:r>
      <w:r>
        <w:rPr>
          <w:rFonts w:ascii="Times New Roman" w:hAnsi="Times New Roman" w:hint="eastAsia"/>
        </w:rPr>
        <w:t>7</w:t>
      </w:r>
      <w:r>
        <w:rPr>
          <w:rFonts w:ascii="Times New Roman" w:hAnsi="Times New Roman" w:hint="eastAsia"/>
        </w:rPr>
        <w:t>个开采区，湘阴</w:t>
      </w:r>
      <w:r>
        <w:rPr>
          <w:rFonts w:ascii="Times New Roman" w:hAnsi="Times New Roman" w:hint="eastAsia"/>
        </w:rPr>
        <w:t>4</w:t>
      </w:r>
      <w:r>
        <w:rPr>
          <w:rFonts w:ascii="Times New Roman" w:hAnsi="Times New Roman" w:hint="eastAsia"/>
        </w:rPr>
        <w:t>个采区，其中</w:t>
      </w:r>
      <w:r>
        <w:rPr>
          <w:rFonts w:ascii="Times New Roman" w:hAnsi="Times New Roman" w:hint="eastAsia"/>
        </w:rPr>
        <w:t>1</w:t>
      </w:r>
      <w:r>
        <w:rPr>
          <w:rFonts w:ascii="Times New Roman" w:hAnsi="Times New Roman" w:hint="eastAsia"/>
        </w:rPr>
        <w:t>个资江北支，另外</w:t>
      </w:r>
      <w:r>
        <w:rPr>
          <w:rFonts w:ascii="Times New Roman" w:hAnsi="Times New Roman" w:hint="eastAsia"/>
        </w:rPr>
        <w:t>3</w:t>
      </w:r>
      <w:r>
        <w:rPr>
          <w:rFonts w:ascii="Times New Roman" w:hAnsi="Times New Roman" w:hint="eastAsia"/>
        </w:rPr>
        <w:t>个在湘水西支；岳阳县</w:t>
      </w:r>
      <w:r>
        <w:rPr>
          <w:rFonts w:ascii="Times New Roman" w:hAnsi="Times New Roman" w:hint="eastAsia"/>
        </w:rPr>
        <w:t>2</w:t>
      </w:r>
      <w:r>
        <w:rPr>
          <w:rFonts w:ascii="Times New Roman" w:hAnsi="Times New Roman" w:hint="eastAsia"/>
        </w:rPr>
        <w:t>个开采区，均在东洞庭湖；汨罗</w:t>
      </w:r>
      <w:r>
        <w:rPr>
          <w:rFonts w:ascii="Times New Roman" w:hAnsi="Times New Roman" w:hint="eastAsia"/>
        </w:rPr>
        <w:t>1</w:t>
      </w:r>
      <w:r>
        <w:rPr>
          <w:rFonts w:ascii="Times New Roman" w:hAnsi="Times New Roman" w:hint="eastAsia"/>
        </w:rPr>
        <w:t>个开采区，在南洞庭湖。</w:t>
      </w:r>
    </w:p>
    <w:p w:rsidR="004B4777" w:rsidRDefault="004B4777">
      <w:pPr>
        <w:ind w:firstLine="480"/>
        <w:rPr>
          <w:rFonts w:ascii="Times New Roman" w:hAnsi="Times New Roman" w:hint="eastAsia"/>
        </w:rPr>
      </w:pPr>
      <w:r>
        <w:rPr>
          <w:rFonts w:ascii="Times New Roman" w:hAnsi="Times New Roman" w:hint="eastAsia"/>
        </w:rPr>
        <w:t>本次环评内容包含湘阴县资江段易婆塘采区和湘江段斗米咀采区两个采区的采砂项目，均属于《湖南省湘江干流及洞庭湖区岳阳段河道采砂规划》规划的采区范围。其中：斗米咀采区位于湘阴县湘水西支出口，起点桩号湘水西</w:t>
      </w:r>
      <w:r>
        <w:rPr>
          <w:rFonts w:ascii="Times New Roman" w:hAnsi="Times New Roman" w:hint="eastAsia"/>
        </w:rPr>
        <w:t>0+500</w:t>
      </w:r>
      <w:r>
        <w:rPr>
          <w:rFonts w:ascii="Times New Roman" w:hAnsi="Times New Roman" w:hint="eastAsia"/>
        </w:rPr>
        <w:t>，止点桩号湘水西</w:t>
      </w:r>
      <w:r>
        <w:rPr>
          <w:rFonts w:ascii="Times New Roman" w:hAnsi="Times New Roman" w:hint="eastAsia"/>
        </w:rPr>
        <w:t>2+220</w:t>
      </w:r>
      <w:r>
        <w:rPr>
          <w:rFonts w:ascii="Times New Roman" w:hAnsi="Times New Roman" w:hint="eastAsia"/>
        </w:rPr>
        <w:t>，采砂控制高程</w:t>
      </w:r>
      <w:r>
        <w:rPr>
          <w:rFonts w:ascii="Times New Roman" w:hAnsi="Times New Roman" w:hint="eastAsia"/>
        </w:rPr>
        <w:t>5m</w:t>
      </w:r>
      <w:r>
        <w:rPr>
          <w:rFonts w:ascii="Times New Roman" w:hAnsi="Times New Roman" w:hint="eastAsia"/>
        </w:rPr>
        <w:t>，年度控制采砂量</w:t>
      </w:r>
      <w:r>
        <w:rPr>
          <w:rFonts w:ascii="Times New Roman" w:hAnsi="Times New Roman" w:hint="eastAsia"/>
        </w:rPr>
        <w:t>251</w:t>
      </w:r>
      <w:r>
        <w:rPr>
          <w:rFonts w:ascii="Times New Roman" w:hAnsi="Times New Roman" w:hint="eastAsia"/>
        </w:rPr>
        <w:t>万</w:t>
      </w:r>
      <w:r>
        <w:rPr>
          <w:rFonts w:ascii="Times New Roman" w:hAnsi="Times New Roman" w:hint="eastAsia"/>
        </w:rPr>
        <w:t>t</w:t>
      </w:r>
      <w:r>
        <w:rPr>
          <w:rFonts w:ascii="Times New Roman" w:hAnsi="Times New Roman" w:hint="eastAsia"/>
        </w:rPr>
        <w:t>，采砂作业方式为水采，采砂机具功率控制在</w:t>
      </w:r>
      <w:r>
        <w:rPr>
          <w:rFonts w:ascii="Times New Roman" w:hAnsi="Times New Roman" w:hint="eastAsia"/>
        </w:rPr>
        <w:t>2600KW</w:t>
      </w:r>
      <w:r>
        <w:rPr>
          <w:rFonts w:ascii="Times New Roman" w:hAnsi="Times New Roman" w:hint="eastAsia"/>
        </w:rPr>
        <w:t>，采砂船</w:t>
      </w:r>
      <w:r>
        <w:rPr>
          <w:rFonts w:ascii="Times New Roman" w:hAnsi="Times New Roman" w:hint="eastAsia"/>
        </w:rPr>
        <w:t>1</w:t>
      </w:r>
      <w:r>
        <w:rPr>
          <w:rFonts w:ascii="Times New Roman" w:hAnsi="Times New Roman" w:hint="eastAsia"/>
        </w:rPr>
        <w:t>艘。易婆塘采区位于湘阴县资水北支易婆塘外洲，起点桩号资水北</w:t>
      </w:r>
      <w:r>
        <w:rPr>
          <w:rFonts w:ascii="Times New Roman" w:hAnsi="Times New Roman" w:hint="eastAsia"/>
        </w:rPr>
        <w:t>1+890</w:t>
      </w:r>
      <w:r>
        <w:rPr>
          <w:rFonts w:ascii="Times New Roman" w:hAnsi="Times New Roman" w:hint="eastAsia"/>
        </w:rPr>
        <w:t>，止点桩号资水北</w:t>
      </w:r>
      <w:r>
        <w:rPr>
          <w:rFonts w:ascii="Times New Roman" w:hAnsi="Times New Roman" w:hint="eastAsia"/>
        </w:rPr>
        <w:t>11+770</w:t>
      </w:r>
      <w:r>
        <w:rPr>
          <w:rFonts w:ascii="Times New Roman" w:hAnsi="Times New Roman" w:hint="eastAsia"/>
        </w:rPr>
        <w:t>，采砂控制高程</w:t>
      </w:r>
      <w:r>
        <w:rPr>
          <w:rFonts w:ascii="Times New Roman" w:hAnsi="Times New Roman" w:hint="eastAsia"/>
        </w:rPr>
        <w:t>5m</w:t>
      </w:r>
      <w:r>
        <w:rPr>
          <w:rFonts w:ascii="Times New Roman" w:hAnsi="Times New Roman" w:hint="eastAsia"/>
        </w:rPr>
        <w:t>，年度控制采砂量</w:t>
      </w:r>
      <w:r>
        <w:rPr>
          <w:rFonts w:ascii="Times New Roman" w:hAnsi="Times New Roman" w:hint="eastAsia"/>
        </w:rPr>
        <w:t>1170</w:t>
      </w:r>
      <w:r>
        <w:rPr>
          <w:rFonts w:ascii="Times New Roman" w:hAnsi="Times New Roman" w:hint="eastAsia"/>
        </w:rPr>
        <w:t>万</w:t>
      </w:r>
      <w:r>
        <w:rPr>
          <w:rFonts w:ascii="Times New Roman" w:hAnsi="Times New Roman" w:hint="eastAsia"/>
        </w:rPr>
        <w:t>t</w:t>
      </w:r>
      <w:r>
        <w:rPr>
          <w:rFonts w:ascii="Times New Roman" w:hAnsi="Times New Roman" w:hint="eastAsia"/>
        </w:rPr>
        <w:t>，采砂作业方式为水采，采砂机具功率控制在</w:t>
      </w:r>
      <w:r>
        <w:rPr>
          <w:rFonts w:ascii="Times New Roman" w:hAnsi="Times New Roman" w:hint="eastAsia"/>
        </w:rPr>
        <w:t>2600KW</w:t>
      </w:r>
      <w:r>
        <w:rPr>
          <w:rFonts w:ascii="Times New Roman" w:hAnsi="Times New Roman" w:hint="eastAsia"/>
        </w:rPr>
        <w:t>，采砂船</w:t>
      </w:r>
      <w:r>
        <w:rPr>
          <w:rFonts w:ascii="Times New Roman" w:hAnsi="Times New Roman" w:hint="eastAsia"/>
        </w:rPr>
        <w:t>6</w:t>
      </w:r>
      <w:r>
        <w:rPr>
          <w:rFonts w:ascii="Times New Roman" w:hAnsi="Times New Roman" w:hint="eastAsia"/>
        </w:rPr>
        <w:t>艘。</w:t>
      </w:r>
    </w:p>
    <w:p w:rsidR="004B4777" w:rsidRDefault="004B4777">
      <w:pPr>
        <w:ind w:firstLine="480"/>
        <w:rPr>
          <w:rFonts w:ascii="Times New Roman" w:hAnsi="Times New Roman"/>
        </w:rPr>
      </w:pPr>
      <w:r>
        <w:rPr>
          <w:rFonts w:ascii="Times New Roman" w:hAnsi="Times New Roman"/>
        </w:rPr>
        <w:t>根据《中华人民共和国环境保护法》及《建设项目环境保护管理条例》和省、市环保局的有关文件规定，</w:t>
      </w:r>
      <w:r>
        <w:rPr>
          <w:rFonts w:ascii="Times New Roman" w:hAnsi="Times New Roman"/>
          <w:bCs/>
        </w:rPr>
        <w:t>该项目的建设应进行环境影响评价，以使项目在建设、</w:t>
      </w:r>
      <w:r>
        <w:rPr>
          <w:rFonts w:ascii="Times New Roman" w:hAnsi="Times New Roman"/>
          <w:bCs/>
        </w:rPr>
        <w:lastRenderedPageBreak/>
        <w:t>发展过程中得到社会、经济和环境效益相互协调和促进。</w:t>
      </w:r>
      <w:r>
        <w:rPr>
          <w:rFonts w:ascii="Times New Roman" w:hAnsi="Times New Roman" w:hint="eastAsia"/>
          <w:u w:val="single"/>
        </w:rPr>
        <w:t>本项目属于四十五、非金属采选业“</w:t>
      </w:r>
      <w:r>
        <w:rPr>
          <w:rFonts w:ascii="Times New Roman" w:hAnsi="Times New Roman" w:hint="eastAsia"/>
          <w:u w:val="single"/>
        </w:rPr>
        <w:t>137</w:t>
      </w:r>
      <w:r>
        <w:rPr>
          <w:rFonts w:ascii="Times New Roman" w:hAnsi="Times New Roman" w:hint="eastAsia"/>
          <w:u w:val="single"/>
        </w:rPr>
        <w:t>、土砂石、石材开采加工”，</w:t>
      </w:r>
      <w:r>
        <w:rPr>
          <w:rFonts w:ascii="Times New Roman" w:hAnsi="Times New Roman"/>
          <w:u w:val="single"/>
        </w:rPr>
        <w:t>本项目</w:t>
      </w:r>
      <w:r>
        <w:rPr>
          <w:rFonts w:ascii="Times New Roman" w:hAnsi="Times New Roman" w:hint="eastAsia"/>
          <w:u w:val="single"/>
        </w:rPr>
        <w:t>评价范围涉及环境敏感区</w:t>
      </w:r>
      <w:r>
        <w:rPr>
          <w:rFonts w:ascii="Times New Roman" w:hAnsi="Times New Roman"/>
          <w:u w:val="single"/>
        </w:rPr>
        <w:t>，须编制</w:t>
      </w:r>
      <w:r>
        <w:rPr>
          <w:rFonts w:ascii="Times New Roman" w:hAnsi="Times New Roman" w:hint="eastAsia"/>
          <w:u w:val="single"/>
        </w:rPr>
        <w:t>环境影响报告书</w:t>
      </w:r>
      <w:r>
        <w:rPr>
          <w:rFonts w:ascii="Times New Roman" w:hAnsi="Times New Roman"/>
          <w:u w:val="single"/>
        </w:rPr>
        <w:t>。</w:t>
      </w:r>
      <w:r>
        <w:rPr>
          <w:rFonts w:ascii="Times New Roman" w:hAnsi="Times New Roman"/>
          <w:bCs/>
        </w:rPr>
        <w:t>为此，湘阴县河道砂石综合执法局</w:t>
      </w:r>
      <w:r>
        <w:rPr>
          <w:rFonts w:ascii="Times New Roman" w:hAnsi="Times New Roman"/>
          <w:snapToGrid w:val="0"/>
          <w:kern w:val="0"/>
        </w:rPr>
        <w:t>委托</w:t>
      </w:r>
      <w:r>
        <w:rPr>
          <w:rFonts w:ascii="Times New Roman" w:hAnsi="Times New Roman"/>
        </w:rPr>
        <w:t>湖南葆华环保有限公司承担本项目的环境影响评价工作。我公司接受委托后，在建设单位的配合和协助下，通过实地踏勘、收集资料等对周边环境现状进行调查，对工程施工及实施后的环境影响进行预测评价，提出环境保护措施并进行经济、技术论证，给出环境可行性结论，根据环境影响评价相关技术导则和规范要求，编制了本项目的环境影响报告书（送审稿）</w:t>
      </w:r>
      <w:r>
        <w:rPr>
          <w:rFonts w:ascii="Times New Roman" w:hAnsi="Times New Roman"/>
          <w:szCs w:val="24"/>
        </w:rPr>
        <w:t>。</w:t>
      </w:r>
      <w:r>
        <w:rPr>
          <w:rFonts w:ascii="Times New Roman" w:hAnsi="Times New Roman" w:hint="eastAsia"/>
          <w:szCs w:val="24"/>
          <w:u w:val="single"/>
        </w:rPr>
        <w:t>2018</w:t>
      </w:r>
      <w:r>
        <w:rPr>
          <w:rFonts w:ascii="Times New Roman" w:hAnsi="Times New Roman" w:hint="eastAsia"/>
          <w:szCs w:val="24"/>
          <w:u w:val="single"/>
        </w:rPr>
        <w:t>年</w:t>
      </w:r>
      <w:r>
        <w:rPr>
          <w:rFonts w:ascii="Times New Roman" w:hAnsi="Times New Roman" w:hint="eastAsia"/>
          <w:szCs w:val="24"/>
          <w:u w:val="single"/>
        </w:rPr>
        <w:t>8</w:t>
      </w:r>
      <w:r>
        <w:rPr>
          <w:rFonts w:ascii="Times New Roman" w:hAnsi="Times New Roman" w:hint="eastAsia"/>
          <w:szCs w:val="24"/>
          <w:u w:val="single"/>
        </w:rPr>
        <w:t>月，岳阳市环境保护局组织了报告送审稿评审会，根据与会专家、代表的意见，我公司对报告进行了修改、完善，最终编制完成本报告。</w:t>
      </w:r>
    </w:p>
    <w:p w:rsidR="004B4777" w:rsidRDefault="004B4777">
      <w:pPr>
        <w:pStyle w:val="2"/>
        <w:spacing w:before="0" w:after="0"/>
        <w:rPr>
          <w:rFonts w:ascii="Times New Roman" w:eastAsia="宋体" w:hAnsi="Times New Roman" w:hint="eastAsia"/>
          <w:b/>
          <w:sz w:val="30"/>
          <w:szCs w:val="30"/>
        </w:rPr>
      </w:pPr>
      <w:bookmarkStart w:id="2" w:name="_Toc523854007"/>
      <w:r>
        <w:rPr>
          <w:rFonts w:ascii="Times New Roman" w:eastAsia="宋体" w:hAnsi="Times New Roman" w:hint="eastAsia"/>
          <w:b/>
          <w:sz w:val="30"/>
          <w:szCs w:val="30"/>
        </w:rPr>
        <w:t>1.2</w:t>
      </w:r>
      <w:r>
        <w:rPr>
          <w:rFonts w:ascii="Times New Roman" w:eastAsia="宋体" w:hAnsi="Times New Roman" w:hint="eastAsia"/>
          <w:b/>
          <w:sz w:val="30"/>
          <w:szCs w:val="30"/>
        </w:rPr>
        <w:tab/>
      </w:r>
      <w:r>
        <w:rPr>
          <w:rFonts w:ascii="Times New Roman" w:eastAsia="宋体" w:hAnsi="Times New Roman" w:hint="eastAsia"/>
          <w:b/>
          <w:sz w:val="30"/>
          <w:szCs w:val="30"/>
        </w:rPr>
        <w:t>建设项目特点</w:t>
      </w:r>
      <w:bookmarkEnd w:id="2"/>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1.2.1</w:t>
      </w:r>
      <w:r>
        <w:rPr>
          <w:rFonts w:ascii="Times New Roman" w:eastAsia="宋体" w:hAnsi="Times New Roman" w:hint="eastAsia"/>
          <w:b/>
        </w:rPr>
        <w:tab/>
      </w:r>
      <w:r>
        <w:rPr>
          <w:rFonts w:ascii="Times New Roman" w:eastAsia="宋体" w:hAnsi="Times New Roman" w:hint="eastAsia"/>
          <w:b/>
        </w:rPr>
        <w:t>项目工程内容</w:t>
      </w:r>
    </w:p>
    <w:p w:rsidR="004B4777" w:rsidRDefault="004B4777">
      <w:pPr>
        <w:ind w:firstLine="480"/>
        <w:rPr>
          <w:rFonts w:ascii="Times New Roman" w:hAnsi="Times New Roman" w:hint="eastAsia"/>
        </w:rPr>
      </w:pPr>
      <w:r>
        <w:rPr>
          <w:rFonts w:ascii="Times New Roman" w:hAnsi="Times New Roman" w:hint="eastAsia"/>
        </w:rPr>
        <w:t>根据《湖南省湘江干流及洞庭湖区岳阳段河道采砂规划（</w:t>
      </w:r>
      <w:r>
        <w:rPr>
          <w:rFonts w:ascii="Times New Roman" w:hAnsi="Times New Roman" w:hint="eastAsia"/>
        </w:rPr>
        <w:t>2017~2020</w:t>
      </w:r>
      <w:r>
        <w:rPr>
          <w:rFonts w:ascii="Times New Roman" w:hAnsi="Times New Roman" w:hint="eastAsia"/>
        </w:rPr>
        <w:t>年）》，项目工程内容如下：</w:t>
      </w:r>
    </w:p>
    <w:p w:rsidR="004B4777" w:rsidRDefault="004B4777">
      <w:pPr>
        <w:ind w:firstLine="480"/>
        <w:rPr>
          <w:rFonts w:ascii="Times New Roman" w:hAnsi="Times New Roman" w:hint="eastAsia"/>
        </w:rPr>
      </w:pPr>
      <w:r>
        <w:rPr>
          <w:rFonts w:ascii="Times New Roman" w:hAnsi="Times New Roman" w:hint="eastAsia"/>
        </w:rPr>
        <w:t>斗米咀采区位于湘阴县湘水西支出口，起点桩号湘水西</w:t>
      </w:r>
      <w:r>
        <w:rPr>
          <w:rFonts w:ascii="Times New Roman" w:hAnsi="Times New Roman" w:hint="eastAsia"/>
        </w:rPr>
        <w:t>0+500</w:t>
      </w:r>
      <w:r>
        <w:rPr>
          <w:rFonts w:ascii="Times New Roman" w:hAnsi="Times New Roman" w:hint="eastAsia"/>
        </w:rPr>
        <w:t>，止点桩号湘水西</w:t>
      </w:r>
      <w:r>
        <w:rPr>
          <w:rFonts w:ascii="Times New Roman" w:hAnsi="Times New Roman" w:hint="eastAsia"/>
        </w:rPr>
        <w:t>2+220</w:t>
      </w:r>
      <w:r>
        <w:rPr>
          <w:rFonts w:ascii="Times New Roman" w:hAnsi="Times New Roman" w:hint="eastAsia"/>
        </w:rPr>
        <w:t>，采砂控制高程</w:t>
      </w:r>
      <w:r>
        <w:rPr>
          <w:rFonts w:ascii="Times New Roman" w:hAnsi="Times New Roman" w:hint="eastAsia"/>
        </w:rPr>
        <w:t>5m</w:t>
      </w:r>
      <w:r>
        <w:rPr>
          <w:rFonts w:ascii="Times New Roman" w:hAnsi="Times New Roman" w:hint="eastAsia"/>
        </w:rPr>
        <w:t>，年度控制采砂量</w:t>
      </w:r>
      <w:r>
        <w:rPr>
          <w:rFonts w:ascii="Times New Roman" w:hAnsi="Times New Roman" w:hint="eastAsia"/>
        </w:rPr>
        <w:t>251</w:t>
      </w:r>
      <w:r>
        <w:rPr>
          <w:rFonts w:ascii="Times New Roman" w:hAnsi="Times New Roman" w:hint="eastAsia"/>
        </w:rPr>
        <w:t>万</w:t>
      </w:r>
      <w:r>
        <w:rPr>
          <w:rFonts w:ascii="Times New Roman" w:hAnsi="Times New Roman" w:hint="eastAsia"/>
        </w:rPr>
        <w:t>t</w:t>
      </w:r>
      <w:r>
        <w:rPr>
          <w:rFonts w:ascii="Times New Roman" w:hAnsi="Times New Roman" w:hint="eastAsia"/>
        </w:rPr>
        <w:t>，采砂作业方式为水采，采砂机具功率控制在</w:t>
      </w:r>
      <w:r>
        <w:rPr>
          <w:rFonts w:ascii="Times New Roman" w:hAnsi="Times New Roman" w:hint="eastAsia"/>
        </w:rPr>
        <w:t>2600KW</w:t>
      </w:r>
      <w:r>
        <w:rPr>
          <w:rFonts w:ascii="Times New Roman" w:hAnsi="Times New Roman" w:hint="eastAsia"/>
        </w:rPr>
        <w:t>，采砂船</w:t>
      </w:r>
      <w:r>
        <w:rPr>
          <w:rFonts w:ascii="Times New Roman" w:hAnsi="Times New Roman" w:hint="eastAsia"/>
        </w:rPr>
        <w:t>1</w:t>
      </w:r>
      <w:r>
        <w:rPr>
          <w:rFonts w:ascii="Times New Roman" w:hAnsi="Times New Roman" w:hint="eastAsia"/>
        </w:rPr>
        <w:t>艘。</w:t>
      </w:r>
    </w:p>
    <w:p w:rsidR="004B4777" w:rsidRDefault="004B4777">
      <w:pPr>
        <w:ind w:firstLine="480"/>
        <w:rPr>
          <w:rFonts w:ascii="Times New Roman" w:hAnsi="Times New Roman" w:hint="eastAsia"/>
        </w:rPr>
      </w:pPr>
      <w:r>
        <w:rPr>
          <w:rFonts w:ascii="Times New Roman" w:hAnsi="Times New Roman" w:hint="eastAsia"/>
        </w:rPr>
        <w:t>易婆塘采区位于湘阴县资水北支易婆塘外洲，起点桩号资水北</w:t>
      </w:r>
      <w:r>
        <w:rPr>
          <w:rFonts w:ascii="Times New Roman" w:hAnsi="Times New Roman" w:hint="eastAsia"/>
        </w:rPr>
        <w:t>1+890</w:t>
      </w:r>
      <w:r>
        <w:rPr>
          <w:rFonts w:ascii="Times New Roman" w:hAnsi="Times New Roman" w:hint="eastAsia"/>
        </w:rPr>
        <w:t>，止点桩号资水北</w:t>
      </w:r>
      <w:r>
        <w:rPr>
          <w:rFonts w:ascii="Times New Roman" w:hAnsi="Times New Roman" w:hint="eastAsia"/>
        </w:rPr>
        <w:t>11+770</w:t>
      </w:r>
      <w:r>
        <w:rPr>
          <w:rFonts w:ascii="Times New Roman" w:hAnsi="Times New Roman" w:hint="eastAsia"/>
        </w:rPr>
        <w:t>，采砂控制高程</w:t>
      </w:r>
      <w:r>
        <w:rPr>
          <w:rFonts w:ascii="Times New Roman" w:hAnsi="Times New Roman" w:hint="eastAsia"/>
        </w:rPr>
        <w:t>5m</w:t>
      </w:r>
      <w:r>
        <w:rPr>
          <w:rFonts w:ascii="Times New Roman" w:hAnsi="Times New Roman" w:hint="eastAsia"/>
        </w:rPr>
        <w:t>，年度控制采砂量</w:t>
      </w:r>
      <w:r>
        <w:rPr>
          <w:rFonts w:ascii="Times New Roman" w:hAnsi="Times New Roman" w:hint="eastAsia"/>
        </w:rPr>
        <w:t>1170</w:t>
      </w:r>
      <w:r>
        <w:rPr>
          <w:rFonts w:ascii="Times New Roman" w:hAnsi="Times New Roman" w:hint="eastAsia"/>
        </w:rPr>
        <w:t>万</w:t>
      </w:r>
      <w:r>
        <w:rPr>
          <w:rFonts w:ascii="Times New Roman" w:hAnsi="Times New Roman" w:hint="eastAsia"/>
        </w:rPr>
        <w:t>t</w:t>
      </w:r>
      <w:r>
        <w:rPr>
          <w:rFonts w:ascii="Times New Roman" w:hAnsi="Times New Roman" w:hint="eastAsia"/>
        </w:rPr>
        <w:t>，采砂作业方式为水采，采砂机具功率控制在</w:t>
      </w:r>
      <w:r>
        <w:rPr>
          <w:rFonts w:ascii="Times New Roman" w:hAnsi="Times New Roman" w:hint="eastAsia"/>
        </w:rPr>
        <w:t>2600KW</w:t>
      </w:r>
      <w:r>
        <w:rPr>
          <w:rFonts w:ascii="Times New Roman" w:hAnsi="Times New Roman" w:hint="eastAsia"/>
        </w:rPr>
        <w:t>，采砂船</w:t>
      </w:r>
      <w:r>
        <w:rPr>
          <w:rFonts w:ascii="Times New Roman" w:hAnsi="Times New Roman" w:hint="eastAsia"/>
        </w:rPr>
        <w:t>6</w:t>
      </w:r>
      <w:r>
        <w:rPr>
          <w:rFonts w:ascii="Times New Roman" w:hAnsi="Times New Roman" w:hint="eastAsia"/>
        </w:rPr>
        <w:t>艘。</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1.2.2</w:t>
      </w:r>
      <w:r>
        <w:rPr>
          <w:rFonts w:ascii="Times New Roman" w:eastAsia="宋体" w:hAnsi="Times New Roman" w:hint="eastAsia"/>
          <w:b/>
        </w:rPr>
        <w:tab/>
      </w:r>
      <w:r>
        <w:rPr>
          <w:rFonts w:ascii="Times New Roman" w:eastAsia="宋体" w:hAnsi="Times New Roman" w:hint="eastAsia"/>
          <w:b/>
        </w:rPr>
        <w:t>项目环境特点</w:t>
      </w:r>
    </w:p>
    <w:p w:rsidR="004B4777" w:rsidRDefault="004B4777">
      <w:pPr>
        <w:ind w:firstLine="480"/>
        <w:rPr>
          <w:rFonts w:ascii="Times New Roman" w:hAnsi="Times New Roman" w:hint="eastAsia"/>
        </w:rPr>
      </w:pPr>
      <w:r>
        <w:rPr>
          <w:rFonts w:ascii="Times New Roman" w:hAnsi="Times New Roman" w:hint="eastAsia"/>
        </w:rPr>
        <w:t>1</w:t>
      </w:r>
      <w:r>
        <w:rPr>
          <w:rFonts w:ascii="Times New Roman" w:hAnsi="Times New Roman" w:hint="eastAsia"/>
        </w:rPr>
        <w:t>、生态敏感区涉及情况</w:t>
      </w:r>
    </w:p>
    <w:p w:rsidR="004B4777" w:rsidRDefault="004B4777">
      <w:pPr>
        <w:ind w:firstLine="480"/>
        <w:rPr>
          <w:rFonts w:ascii="Times New Roman" w:hAnsi="Times New Roman" w:hint="eastAsia"/>
        </w:rPr>
      </w:pPr>
      <w:r>
        <w:rPr>
          <w:rFonts w:ascii="Times New Roman" w:hAnsi="Times New Roman" w:hint="eastAsia"/>
        </w:rPr>
        <w:t>项目采区范围不涉及生态敏感区，与周边生态敏感区距离关系详见表</w:t>
      </w:r>
      <w:r>
        <w:rPr>
          <w:rFonts w:ascii="Times New Roman" w:hAnsi="Times New Roman" w:hint="eastAsia"/>
        </w:rPr>
        <w:t>1.2-1</w:t>
      </w:r>
      <w:r>
        <w:rPr>
          <w:rFonts w:ascii="Times New Roman" w:hAnsi="Times New Roman" w:hint="eastAsia"/>
        </w:rPr>
        <w:t>。</w:t>
      </w:r>
    </w:p>
    <w:p w:rsidR="004B4777" w:rsidRDefault="004B4777">
      <w:pPr>
        <w:ind w:firstLineChars="0" w:firstLine="0"/>
        <w:jc w:val="center"/>
        <w:rPr>
          <w:rFonts w:ascii="Times New Roman" w:hAnsi="Times New Roman"/>
          <w:b/>
          <w:szCs w:val="28"/>
          <w:u w:val="single"/>
        </w:rPr>
      </w:pPr>
      <w:r>
        <w:rPr>
          <w:rFonts w:ascii="Times New Roman" w:hAnsi="Times New Roman"/>
          <w:b/>
          <w:szCs w:val="28"/>
          <w:u w:val="single"/>
        </w:rPr>
        <w:t>表</w:t>
      </w:r>
      <w:r>
        <w:rPr>
          <w:rFonts w:ascii="Times New Roman" w:hAnsi="Times New Roman" w:hint="eastAsia"/>
          <w:b/>
          <w:szCs w:val="28"/>
          <w:u w:val="single"/>
        </w:rPr>
        <w:t>1</w:t>
      </w:r>
      <w:r>
        <w:rPr>
          <w:rFonts w:ascii="Times New Roman" w:hAnsi="Times New Roman"/>
          <w:b/>
          <w:szCs w:val="28"/>
          <w:u w:val="single"/>
        </w:rPr>
        <w:t>.</w:t>
      </w:r>
      <w:r>
        <w:rPr>
          <w:rFonts w:ascii="Times New Roman" w:hAnsi="Times New Roman" w:hint="eastAsia"/>
          <w:b/>
          <w:szCs w:val="28"/>
          <w:u w:val="single"/>
        </w:rPr>
        <w:t>2</w:t>
      </w:r>
      <w:r>
        <w:rPr>
          <w:rFonts w:ascii="Times New Roman" w:hAnsi="Times New Roman"/>
          <w:b/>
          <w:szCs w:val="28"/>
          <w:u w:val="single"/>
        </w:rPr>
        <w:t xml:space="preserve">-1    </w:t>
      </w:r>
      <w:r>
        <w:rPr>
          <w:rFonts w:ascii="Times New Roman" w:hAnsi="Times New Roman"/>
          <w:b/>
          <w:szCs w:val="28"/>
          <w:u w:val="single"/>
        </w:rPr>
        <w:t>项目</w:t>
      </w:r>
      <w:r>
        <w:rPr>
          <w:rFonts w:ascii="Times New Roman" w:hAnsi="Times New Roman" w:hint="eastAsia"/>
          <w:b/>
          <w:szCs w:val="28"/>
          <w:u w:val="single"/>
        </w:rPr>
        <w:t>周边生态敏感区</w:t>
      </w:r>
      <w:r>
        <w:rPr>
          <w:rFonts w:ascii="Times New Roman" w:hAnsi="Times New Roman"/>
          <w:b/>
          <w:szCs w:val="28"/>
          <w:u w:val="single"/>
        </w:rPr>
        <w:t>一览表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409"/>
        <w:gridCol w:w="709"/>
        <w:gridCol w:w="2435"/>
        <w:gridCol w:w="2435"/>
      </w:tblGrid>
      <w:tr w:rsidR="004B4777">
        <w:tc>
          <w:tcPr>
            <w:tcW w:w="534" w:type="dxa"/>
            <w:vMerge w:val="restart"/>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序号</w:t>
            </w:r>
          </w:p>
        </w:tc>
        <w:tc>
          <w:tcPr>
            <w:tcW w:w="2409" w:type="dxa"/>
            <w:vMerge w:val="restart"/>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类别</w:t>
            </w:r>
          </w:p>
        </w:tc>
        <w:tc>
          <w:tcPr>
            <w:tcW w:w="709" w:type="dxa"/>
            <w:vMerge w:val="restart"/>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级别</w:t>
            </w:r>
          </w:p>
        </w:tc>
        <w:tc>
          <w:tcPr>
            <w:tcW w:w="4870" w:type="dxa"/>
            <w:gridSpan w:val="2"/>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采区范围</w:t>
            </w:r>
          </w:p>
        </w:tc>
      </w:tr>
      <w:tr w:rsidR="004B4777">
        <w:tc>
          <w:tcPr>
            <w:tcW w:w="534" w:type="dxa"/>
            <w:vMerge/>
            <w:vAlign w:val="center"/>
          </w:tcPr>
          <w:p w:rsidR="004B4777" w:rsidRDefault="004B4777">
            <w:pPr>
              <w:spacing w:line="240" w:lineRule="auto"/>
              <w:ind w:firstLineChars="0" w:firstLine="0"/>
              <w:jc w:val="center"/>
              <w:rPr>
                <w:rFonts w:ascii="Times New Roman" w:hAnsi="Times New Roman" w:hint="eastAsia"/>
                <w:sz w:val="21"/>
                <w:szCs w:val="21"/>
                <w:u w:val="single"/>
              </w:rPr>
            </w:pPr>
          </w:p>
        </w:tc>
        <w:tc>
          <w:tcPr>
            <w:tcW w:w="2409" w:type="dxa"/>
            <w:vMerge/>
            <w:vAlign w:val="center"/>
          </w:tcPr>
          <w:p w:rsidR="004B4777" w:rsidRDefault="004B4777">
            <w:pPr>
              <w:spacing w:line="240" w:lineRule="auto"/>
              <w:ind w:firstLineChars="0" w:firstLine="0"/>
              <w:jc w:val="center"/>
              <w:rPr>
                <w:rFonts w:ascii="Times New Roman" w:hAnsi="Times New Roman" w:hint="eastAsia"/>
                <w:sz w:val="21"/>
                <w:szCs w:val="21"/>
                <w:u w:val="single"/>
              </w:rPr>
            </w:pPr>
          </w:p>
        </w:tc>
        <w:tc>
          <w:tcPr>
            <w:tcW w:w="709" w:type="dxa"/>
            <w:vMerge/>
            <w:vAlign w:val="center"/>
          </w:tcPr>
          <w:p w:rsidR="004B4777" w:rsidRDefault="004B4777">
            <w:pPr>
              <w:spacing w:line="240" w:lineRule="auto"/>
              <w:ind w:firstLineChars="0" w:firstLine="0"/>
              <w:jc w:val="center"/>
              <w:rPr>
                <w:rFonts w:ascii="Times New Roman" w:hAnsi="Times New Roman" w:hint="eastAsia"/>
                <w:sz w:val="21"/>
                <w:szCs w:val="21"/>
                <w:u w:val="single"/>
              </w:rPr>
            </w:pP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易婆塘采区</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斗米咀采区</w:t>
            </w:r>
          </w:p>
        </w:tc>
      </w:tr>
      <w:tr w:rsidR="004B4777">
        <w:tc>
          <w:tcPr>
            <w:tcW w:w="534"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1</w:t>
            </w:r>
          </w:p>
        </w:tc>
        <w:tc>
          <w:tcPr>
            <w:tcW w:w="24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横岭湖省级自然保护区</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省级</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实验区最近距离为</w:t>
            </w:r>
            <w:r>
              <w:rPr>
                <w:rFonts w:ascii="Times New Roman" w:hAnsi="Times New Roman" w:hint="eastAsia"/>
                <w:sz w:val="21"/>
                <w:szCs w:val="21"/>
                <w:u w:val="single"/>
              </w:rPr>
              <w:t>103m</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实验区最近距离为</w:t>
            </w:r>
            <w:r>
              <w:rPr>
                <w:rFonts w:ascii="Times New Roman" w:hAnsi="Times New Roman" w:hint="eastAsia"/>
                <w:sz w:val="21"/>
                <w:szCs w:val="21"/>
                <w:u w:val="single"/>
              </w:rPr>
              <w:t>31m</w:t>
            </w:r>
          </w:p>
        </w:tc>
      </w:tr>
      <w:tr w:rsidR="004B4777">
        <w:tc>
          <w:tcPr>
            <w:tcW w:w="534"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2</w:t>
            </w:r>
          </w:p>
        </w:tc>
        <w:tc>
          <w:tcPr>
            <w:tcW w:w="24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南洞庭湖省级自然保护区</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省级</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实验区最近直线距离为</w:t>
            </w:r>
            <w:r>
              <w:rPr>
                <w:rFonts w:ascii="Times New Roman" w:hAnsi="Times New Roman" w:hint="eastAsia"/>
                <w:sz w:val="21"/>
                <w:szCs w:val="21"/>
                <w:u w:val="single"/>
              </w:rPr>
              <w:t>749m</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不涉及</w:t>
            </w:r>
          </w:p>
        </w:tc>
      </w:tr>
      <w:tr w:rsidR="004B4777">
        <w:tc>
          <w:tcPr>
            <w:tcW w:w="534"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3</w:t>
            </w:r>
          </w:p>
        </w:tc>
        <w:tc>
          <w:tcPr>
            <w:tcW w:w="24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横岭湖湖泊湿地</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省级</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外围最近距离为</w:t>
            </w:r>
            <w:r>
              <w:rPr>
                <w:rFonts w:ascii="Times New Roman" w:hAnsi="Times New Roman" w:hint="eastAsia"/>
                <w:sz w:val="21"/>
                <w:szCs w:val="21"/>
                <w:u w:val="single"/>
              </w:rPr>
              <w:t>103m</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外围最近距离为</w:t>
            </w:r>
            <w:r>
              <w:rPr>
                <w:rFonts w:ascii="Times New Roman" w:hAnsi="Times New Roman" w:hint="eastAsia"/>
                <w:sz w:val="21"/>
                <w:szCs w:val="21"/>
                <w:u w:val="single"/>
              </w:rPr>
              <w:t>31m</w:t>
            </w:r>
          </w:p>
        </w:tc>
      </w:tr>
      <w:tr w:rsidR="004B4777">
        <w:tc>
          <w:tcPr>
            <w:tcW w:w="534"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4</w:t>
            </w:r>
          </w:p>
        </w:tc>
        <w:tc>
          <w:tcPr>
            <w:tcW w:w="24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南洞庭湖大口鲶青虾中</w:t>
            </w:r>
            <w:r>
              <w:rPr>
                <w:rFonts w:ascii="Times New Roman" w:hAnsi="Times New Roman" w:hint="eastAsia"/>
                <w:sz w:val="21"/>
                <w:szCs w:val="21"/>
                <w:u w:val="single"/>
              </w:rPr>
              <w:lastRenderedPageBreak/>
              <w:t>华鳖国家级水产种质资源保护区</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lastRenderedPageBreak/>
              <w:t>国家</w:t>
            </w:r>
            <w:r>
              <w:rPr>
                <w:rFonts w:ascii="Times New Roman" w:hAnsi="Times New Roman" w:hint="eastAsia"/>
                <w:sz w:val="21"/>
                <w:szCs w:val="21"/>
                <w:u w:val="single"/>
              </w:rPr>
              <w:lastRenderedPageBreak/>
              <w:t>级</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lastRenderedPageBreak/>
              <w:t>距离保护区实验区</w:t>
            </w:r>
            <w:r>
              <w:rPr>
                <w:rFonts w:ascii="Times New Roman" w:hAnsi="Times New Roman" w:hint="eastAsia"/>
                <w:sz w:val="21"/>
                <w:szCs w:val="21"/>
                <w:u w:val="single"/>
              </w:rPr>
              <w:lastRenderedPageBreak/>
              <w:t>2.3km</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lastRenderedPageBreak/>
              <w:t>距离保护区实验区</w:t>
            </w:r>
            <w:r>
              <w:rPr>
                <w:rFonts w:ascii="Times New Roman" w:hAnsi="Times New Roman" w:hint="eastAsia"/>
                <w:sz w:val="21"/>
                <w:szCs w:val="21"/>
                <w:u w:val="single"/>
              </w:rPr>
              <w:lastRenderedPageBreak/>
              <w:t>385m</w:t>
            </w:r>
            <w:r>
              <w:rPr>
                <w:rFonts w:ascii="Times New Roman" w:hAnsi="Times New Roman" w:hint="eastAsia"/>
                <w:sz w:val="21"/>
                <w:szCs w:val="21"/>
                <w:u w:val="single"/>
              </w:rPr>
              <w:t>，并相隔一段防洪大堤</w:t>
            </w:r>
          </w:p>
        </w:tc>
      </w:tr>
      <w:tr w:rsidR="004B4777">
        <w:tc>
          <w:tcPr>
            <w:tcW w:w="534"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lastRenderedPageBreak/>
              <w:t>5</w:t>
            </w:r>
          </w:p>
        </w:tc>
        <w:tc>
          <w:tcPr>
            <w:tcW w:w="24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南洞庭湖银鱼三角帆蚌国家级水产种质资源保护区</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国家级</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color w:val="000000"/>
                <w:sz w:val="21"/>
                <w:szCs w:val="21"/>
                <w:u w:val="single"/>
              </w:rPr>
              <w:t>核心区位于采区上游，距离保护区实验区</w:t>
            </w:r>
            <w:r>
              <w:rPr>
                <w:rFonts w:ascii="Times New Roman" w:hAnsi="Times New Roman" w:hint="eastAsia"/>
                <w:color w:val="000000"/>
                <w:sz w:val="21"/>
                <w:szCs w:val="21"/>
                <w:u w:val="single"/>
              </w:rPr>
              <w:t>103m</w:t>
            </w:r>
          </w:p>
        </w:tc>
        <w:tc>
          <w:tcPr>
            <w:tcW w:w="2435" w:type="dxa"/>
            <w:vAlign w:val="center"/>
          </w:tcPr>
          <w:p w:rsidR="004B4777" w:rsidRDefault="004B4777">
            <w:pPr>
              <w:spacing w:line="240" w:lineRule="auto"/>
              <w:ind w:firstLineChars="0" w:firstLine="0"/>
              <w:jc w:val="center"/>
              <w:rPr>
                <w:rFonts w:ascii="Times New Roman" w:hAnsi="Times New Roman" w:hint="eastAsia"/>
                <w:sz w:val="21"/>
                <w:szCs w:val="21"/>
                <w:u w:val="single"/>
              </w:rPr>
            </w:pPr>
            <w:r>
              <w:rPr>
                <w:rFonts w:ascii="Times New Roman" w:hAnsi="Times New Roman" w:hint="eastAsia"/>
                <w:sz w:val="21"/>
                <w:szCs w:val="21"/>
                <w:u w:val="single"/>
              </w:rPr>
              <w:t>不涉及</w:t>
            </w:r>
          </w:p>
        </w:tc>
      </w:tr>
    </w:tbl>
    <w:p w:rsidR="004B4777" w:rsidRDefault="004B4777">
      <w:pPr>
        <w:ind w:firstLine="480"/>
        <w:rPr>
          <w:rFonts w:ascii="Times New Roman" w:hAnsi="Times New Roman" w:hint="eastAsia"/>
        </w:rPr>
      </w:pPr>
      <w:r>
        <w:rPr>
          <w:rFonts w:ascii="Times New Roman" w:hAnsi="Times New Roman" w:hint="eastAsia"/>
        </w:rPr>
        <w:t>2</w:t>
      </w:r>
      <w:r>
        <w:rPr>
          <w:rFonts w:ascii="Times New Roman" w:hAnsi="Times New Roman" w:hint="eastAsia"/>
        </w:rPr>
        <w:t>、水源保护区</w:t>
      </w:r>
    </w:p>
    <w:p w:rsidR="004B4777" w:rsidRDefault="004B4777">
      <w:pPr>
        <w:ind w:firstLine="480"/>
        <w:rPr>
          <w:rFonts w:ascii="Times New Roman" w:hAnsi="Times New Roman" w:hint="eastAsia"/>
        </w:rPr>
      </w:pPr>
      <w:r>
        <w:rPr>
          <w:rFonts w:ascii="Times New Roman" w:hAnsi="Times New Roman" w:hint="eastAsia"/>
        </w:rPr>
        <w:t>⑴</w:t>
      </w:r>
      <w:r>
        <w:rPr>
          <w:rFonts w:ascii="Times New Roman" w:hAnsi="Times New Roman" w:hint="eastAsia"/>
        </w:rPr>
        <w:t xml:space="preserve"> </w:t>
      </w:r>
      <w:r>
        <w:rPr>
          <w:rFonts w:ascii="Times New Roman" w:hAnsi="Times New Roman" w:hint="eastAsia"/>
        </w:rPr>
        <w:t>屈原管理区鸡啼湖取水口水源保护区：斗米咀采区位于原管理区鸡啼湖取水口下游，与其最近距离约为</w:t>
      </w:r>
      <w:r>
        <w:rPr>
          <w:rFonts w:ascii="Times New Roman" w:hAnsi="Times New Roman" w:hint="eastAsia"/>
        </w:rPr>
        <w:t>450m</w:t>
      </w:r>
      <w:r>
        <w:rPr>
          <w:rFonts w:ascii="Times New Roman" w:hAnsi="Times New Roman" w:hint="eastAsia"/>
        </w:rPr>
        <w:t>，距其二级水源保护区下游边界约</w:t>
      </w:r>
      <w:r>
        <w:rPr>
          <w:rFonts w:ascii="Times New Roman" w:hAnsi="Times New Roman" w:hint="eastAsia"/>
        </w:rPr>
        <w:t>150m</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⑵</w:t>
      </w:r>
      <w:r>
        <w:rPr>
          <w:rFonts w:ascii="Times New Roman" w:hAnsi="Times New Roman" w:hint="eastAsia"/>
        </w:rPr>
        <w:t xml:space="preserve"> </w:t>
      </w:r>
      <w:r>
        <w:rPr>
          <w:rFonts w:ascii="Times New Roman" w:hAnsi="Times New Roman" w:hint="eastAsia"/>
        </w:rPr>
        <w:t>柳潭水厂和赛头水厂水源保护区：项目易婆塘采区位于资水河段，其开采范围涉及柳潭村和赛头口村。柳潭村及赛头口村现均设有水厂用于村镇居民供水，水源均为地下水，柳潭水厂取水口距离防洪堤约</w:t>
      </w:r>
      <w:r>
        <w:rPr>
          <w:rFonts w:ascii="Times New Roman" w:hAnsi="Times New Roman" w:hint="eastAsia"/>
        </w:rPr>
        <w:t>160m</w:t>
      </w:r>
      <w:r>
        <w:rPr>
          <w:rFonts w:ascii="Times New Roman" w:hAnsi="Times New Roman" w:hint="eastAsia"/>
        </w:rPr>
        <w:t>，赛头水厂取水口距离防洪堤约</w:t>
      </w:r>
      <w:r>
        <w:rPr>
          <w:rFonts w:ascii="Times New Roman" w:hAnsi="Times New Roman" w:hint="eastAsia"/>
        </w:rPr>
        <w:t>160m</w:t>
      </w:r>
      <w:r>
        <w:rPr>
          <w:rFonts w:ascii="Times New Roman" w:hAnsi="Times New Roman" w:hint="eastAsia"/>
        </w:rPr>
        <w:t>，因防洪堤</w:t>
      </w:r>
      <w:r>
        <w:rPr>
          <w:rFonts w:ascii="Times New Roman" w:hAnsi="Times New Roman" w:hint="eastAsia"/>
        </w:rPr>
        <w:t>200m</w:t>
      </w:r>
      <w:r>
        <w:rPr>
          <w:rFonts w:ascii="Times New Roman" w:hAnsi="Times New Roman" w:hint="eastAsia"/>
        </w:rPr>
        <w:t>范围内为禁采区，柳潭水厂、赛头水厂距离易婆塘采场边界约</w:t>
      </w:r>
      <w:r>
        <w:rPr>
          <w:rFonts w:ascii="Times New Roman" w:hAnsi="Times New Roman" w:hint="eastAsia"/>
        </w:rPr>
        <w:t>360m</w:t>
      </w:r>
      <w:r>
        <w:rPr>
          <w:rFonts w:ascii="Times New Roman" w:hAnsi="Times New Roman" w:hint="eastAsia"/>
        </w:rPr>
        <w:t>。柳潭水厂和赛头水厂为千人以上集中饮用水水源地，暂未进行饮用水源保护区的划分工作，但湘阴县人民政府出具公告“以取水口为圆心，</w:t>
      </w:r>
      <w:r>
        <w:rPr>
          <w:rFonts w:ascii="Times New Roman" w:hAnsi="Times New Roman" w:hint="eastAsia"/>
        </w:rPr>
        <w:t>100m</w:t>
      </w:r>
      <w:r>
        <w:rPr>
          <w:rFonts w:ascii="Times New Roman" w:hAnsi="Times New Roman" w:hint="eastAsia"/>
        </w:rPr>
        <w:t>半径范围内为一级保护区；一级保护区外，</w:t>
      </w:r>
      <w:r>
        <w:rPr>
          <w:rFonts w:ascii="Times New Roman" w:hAnsi="Times New Roman" w:hint="eastAsia"/>
        </w:rPr>
        <w:t>1000m</w:t>
      </w:r>
      <w:r>
        <w:rPr>
          <w:rFonts w:ascii="Times New Roman" w:hAnsi="Times New Roman" w:hint="eastAsia"/>
        </w:rPr>
        <w:t>半径内为二级保护区”，因此易婆塘部分采区位于该水源地二级水源保护区内。</w:t>
      </w:r>
      <w:r>
        <w:rPr>
          <w:rFonts w:ascii="Times New Roman" w:hAnsi="Times New Roman" w:hint="eastAsia"/>
          <w:u w:val="single"/>
        </w:rPr>
        <w:t>项目易婆塘采区与柳潭水厂和赛头水厂水源保护区关系图详见附图</w:t>
      </w:r>
      <w:r>
        <w:rPr>
          <w:rFonts w:ascii="Times New Roman" w:hAnsi="Times New Roman" w:hint="eastAsia"/>
          <w:u w:val="single"/>
        </w:rPr>
        <w:t>7</w:t>
      </w:r>
      <w:r>
        <w:rPr>
          <w:rFonts w:ascii="Times New Roman" w:hAnsi="Times New Roman" w:hint="eastAsia"/>
          <w:u w:val="single"/>
        </w:rPr>
        <w:t>。</w:t>
      </w:r>
      <w:r>
        <w:rPr>
          <w:rFonts w:ascii="Times New Roman" w:hAnsi="Times New Roman" w:hint="eastAsia"/>
        </w:rPr>
        <w:t>现建设单位和柳潭村、赛头口村及湘阴县人民政府协商（附件</w:t>
      </w:r>
      <w:r>
        <w:rPr>
          <w:rFonts w:ascii="Times New Roman" w:hAnsi="Times New Roman" w:hint="eastAsia"/>
        </w:rPr>
        <w:t>8</w:t>
      </w:r>
      <w:r>
        <w:rPr>
          <w:rFonts w:ascii="Times New Roman" w:hAnsi="Times New Roman" w:hint="eastAsia"/>
        </w:rPr>
        <w:t>），将上述两个水厂进行搬迁，并重新选址，项目将为上述村庄重新建设农村集中式地下水饮用水源地，合理选址，保证水井距大堤禁脚</w:t>
      </w:r>
      <w:r>
        <w:rPr>
          <w:rFonts w:ascii="Times New Roman" w:hAnsi="Times New Roman" w:hint="eastAsia"/>
        </w:rPr>
        <w:t>1100</w:t>
      </w:r>
      <w:r>
        <w:rPr>
          <w:rFonts w:ascii="Times New Roman" w:hAnsi="Times New Roman" w:hint="eastAsia"/>
        </w:rPr>
        <w:t>米以上。</w:t>
      </w:r>
      <w:r>
        <w:rPr>
          <w:rFonts w:ascii="Times New Roman" w:hAnsi="Times New Roman" w:hint="eastAsia"/>
          <w:u w:val="single"/>
        </w:rPr>
        <w:t>建设单位拟迁建赛头水厂取水口至赛头口村马家塘，距防洪堤约</w:t>
      </w:r>
      <w:r>
        <w:rPr>
          <w:rFonts w:ascii="Times New Roman" w:hAnsi="Times New Roman" w:hint="eastAsia"/>
          <w:u w:val="single"/>
        </w:rPr>
        <w:t>1120m</w:t>
      </w:r>
      <w:r>
        <w:rPr>
          <w:rFonts w:ascii="Times New Roman" w:hAnsi="Times New Roman" w:hint="eastAsia"/>
          <w:u w:val="single"/>
        </w:rPr>
        <w:t>；拟迁建柳潭水厂取水口至余长村，距防洪堤约</w:t>
      </w:r>
      <w:r>
        <w:rPr>
          <w:rFonts w:ascii="Times New Roman" w:hAnsi="Times New Roman" w:hint="eastAsia"/>
          <w:u w:val="single"/>
        </w:rPr>
        <w:t>1130m</w:t>
      </w:r>
      <w:r>
        <w:rPr>
          <w:rFonts w:ascii="Times New Roman" w:hAnsi="Times New Roman" w:hint="eastAsia"/>
          <w:u w:val="single"/>
        </w:rPr>
        <w:t>。两水厂新取水口能满足文件要求和水源保护要求，在柳潭水厂及赛头水厂新取水口正式启用前，易婆塘采区现位于二级水源保护区范围内的采砂区禁止开采。</w:t>
      </w:r>
    </w:p>
    <w:p w:rsidR="004B4777" w:rsidRDefault="004B4777">
      <w:pPr>
        <w:ind w:firstLine="480"/>
        <w:rPr>
          <w:rFonts w:ascii="Times New Roman" w:hAnsi="Times New Roman" w:hint="eastAsia"/>
        </w:rPr>
      </w:pPr>
      <w:r>
        <w:rPr>
          <w:rFonts w:ascii="Times New Roman" w:hAnsi="Times New Roman" w:hint="eastAsia"/>
        </w:rPr>
        <w:t>3</w:t>
      </w:r>
      <w:r>
        <w:rPr>
          <w:rFonts w:ascii="Times New Roman" w:hAnsi="Times New Roman" w:hint="eastAsia"/>
        </w:rPr>
        <w:t>、环境功能区划情况</w:t>
      </w:r>
    </w:p>
    <w:p w:rsidR="004B4777" w:rsidRDefault="004B4777">
      <w:pPr>
        <w:ind w:firstLine="480"/>
        <w:rPr>
          <w:rFonts w:ascii="Times New Roman" w:hAnsi="Times New Roman" w:hint="eastAsia"/>
        </w:rPr>
      </w:pPr>
      <w:r>
        <w:rPr>
          <w:rFonts w:ascii="Times New Roman" w:hAnsi="Times New Roman" w:hint="eastAsia"/>
        </w:rPr>
        <w:t>本项目区域环境空气为一类区和二类区，声环境为</w:t>
      </w:r>
      <w:r>
        <w:rPr>
          <w:rFonts w:ascii="Times New Roman" w:hAnsi="Times New Roman" w:hint="eastAsia"/>
        </w:rPr>
        <w:t>2</w:t>
      </w:r>
      <w:r>
        <w:rPr>
          <w:rFonts w:ascii="Times New Roman" w:hAnsi="Times New Roman" w:hint="eastAsia"/>
        </w:rPr>
        <w:t>类区，地表水为渔业用水区和集中式饮用水水源保护区。</w:t>
      </w:r>
    </w:p>
    <w:p w:rsidR="004B4777" w:rsidRDefault="004B4777">
      <w:pPr>
        <w:ind w:firstLine="480"/>
        <w:rPr>
          <w:rFonts w:ascii="Times New Roman" w:hAnsi="Times New Roman" w:hint="eastAsia"/>
        </w:rPr>
      </w:pPr>
      <w:r>
        <w:rPr>
          <w:rFonts w:ascii="Times New Roman" w:hAnsi="Times New Roman" w:hint="eastAsia"/>
        </w:rPr>
        <w:t>4</w:t>
      </w:r>
      <w:r>
        <w:rPr>
          <w:rFonts w:ascii="Times New Roman" w:hAnsi="Times New Roman" w:hint="eastAsia"/>
        </w:rPr>
        <w:t>、现状环境质量监测情况</w:t>
      </w:r>
    </w:p>
    <w:p w:rsidR="004B4777" w:rsidRDefault="004B4777" w:rsidP="004B4777">
      <w:pPr>
        <w:adjustRightInd w:val="0"/>
        <w:ind w:firstLineChars="224" w:firstLine="538"/>
        <w:rPr>
          <w:rFonts w:ascii="Times New Roman" w:hAnsi="Times New Roman" w:hint="eastAsia"/>
        </w:rPr>
      </w:pPr>
      <w:r>
        <w:rPr>
          <w:rFonts w:ascii="Times New Roman" w:hAnsi="Times New Roman" w:hint="eastAsia"/>
        </w:rPr>
        <w:t>本项目沿线区域进行的现状监测结果显示，</w:t>
      </w:r>
      <w:r>
        <w:rPr>
          <w:rFonts w:ascii="Times New Roman" w:hAnsi="Times New Roman"/>
          <w:bCs/>
          <w:szCs w:val="24"/>
        </w:rPr>
        <w:t>评价区域</w:t>
      </w:r>
      <w:r>
        <w:rPr>
          <w:rFonts w:ascii="Times New Roman" w:hAnsi="Times New Roman" w:hint="eastAsia"/>
        </w:rPr>
        <w:t>监测点</w:t>
      </w: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hint="eastAsia"/>
        </w:rPr>
        <w:t>、</w:t>
      </w:r>
      <w:r>
        <w:rPr>
          <w:rFonts w:ascii="Times New Roman" w:hAnsi="Times New Roman"/>
        </w:rPr>
        <w:t>PM</w:t>
      </w:r>
      <w:r>
        <w:rPr>
          <w:rFonts w:ascii="Times New Roman" w:hAnsi="Times New Roman" w:hint="eastAsia"/>
          <w:vertAlign w:val="subscript"/>
        </w:rPr>
        <w:t>2.5</w:t>
      </w:r>
      <w:r>
        <w:rPr>
          <w:rFonts w:ascii="Times New Roman" w:hAnsi="Times New Roman" w:hint="eastAsia"/>
        </w:rPr>
        <w:t>、</w:t>
      </w:r>
      <w:r>
        <w:rPr>
          <w:rFonts w:ascii="Times New Roman" w:hAnsi="Times New Roman"/>
        </w:rPr>
        <w:t>TSP</w:t>
      </w:r>
      <w:r>
        <w:rPr>
          <w:rFonts w:ascii="Times New Roman" w:hAnsi="Times New Roman" w:hint="eastAsia"/>
        </w:rPr>
        <w:t>均满足</w:t>
      </w:r>
      <w:r>
        <w:rPr>
          <w:rFonts w:ascii="Times New Roman" w:hAnsi="Times New Roman"/>
        </w:rPr>
        <w:t>《环境空气质量标准》（</w:t>
      </w:r>
      <w:r>
        <w:rPr>
          <w:rFonts w:ascii="Times New Roman" w:hAnsi="Times New Roman"/>
        </w:rPr>
        <w:t>GB3095-</w:t>
      </w:r>
      <w:r>
        <w:rPr>
          <w:rFonts w:ascii="Times New Roman" w:hAnsi="Times New Roman" w:hint="eastAsia"/>
        </w:rPr>
        <w:t>2012</w:t>
      </w:r>
      <w:r>
        <w:rPr>
          <w:rFonts w:ascii="Times New Roman" w:hAnsi="Times New Roman"/>
        </w:rPr>
        <w:t>）</w:t>
      </w:r>
      <w:r>
        <w:rPr>
          <w:rFonts w:ascii="Times New Roman" w:hAnsi="Times New Roman" w:hint="eastAsia"/>
        </w:rPr>
        <w:t>中</w:t>
      </w:r>
      <w:r>
        <w:rPr>
          <w:rFonts w:ascii="Times New Roman" w:hAnsi="Times New Roman"/>
        </w:rPr>
        <w:t>二级</w:t>
      </w:r>
      <w:r>
        <w:rPr>
          <w:rFonts w:ascii="Times New Roman" w:hAnsi="Times New Roman" w:hint="eastAsia"/>
        </w:rPr>
        <w:t>浓度</w:t>
      </w:r>
      <w:r>
        <w:rPr>
          <w:rFonts w:ascii="Times New Roman" w:hAnsi="Times New Roman"/>
        </w:rPr>
        <w:t>限值</w:t>
      </w:r>
      <w:r>
        <w:rPr>
          <w:rFonts w:ascii="Times New Roman" w:hAnsi="Times New Roman" w:hint="eastAsia"/>
        </w:rPr>
        <w:t>的要求，</w:t>
      </w:r>
      <w:r>
        <w:rPr>
          <w:rFonts w:ascii="Times New Roman" w:hAnsi="Times New Roman"/>
          <w:bCs/>
          <w:szCs w:val="24"/>
        </w:rPr>
        <w:t>环境空气质量现状良好</w:t>
      </w:r>
      <w:r>
        <w:rPr>
          <w:rFonts w:ascii="Times New Roman" w:hAnsi="Times New Roman" w:hint="eastAsia"/>
        </w:rPr>
        <w:t>；易婆塘采区和斗米咀采区各断面各个监测因子均可满足《地表水环境质量》（</w:t>
      </w:r>
      <w:r>
        <w:rPr>
          <w:rFonts w:ascii="Times New Roman" w:hAnsi="Times New Roman" w:hint="eastAsia"/>
        </w:rPr>
        <w:t>GB3838-2002</w:t>
      </w:r>
      <w:r>
        <w:rPr>
          <w:rFonts w:ascii="Times New Roman" w:hAnsi="Times New Roman" w:hint="eastAsia"/>
        </w:rPr>
        <w:t>）中Ⅲ类水质标准的要求，屈原管理区</w:t>
      </w:r>
      <w:r>
        <w:rPr>
          <w:rFonts w:ascii="Times New Roman" w:hAnsi="Times New Roman" w:hint="eastAsia"/>
        </w:rPr>
        <w:lastRenderedPageBreak/>
        <w:t>鸡啼湖取水口断面各个监测因子均可满足《地表水环境质量》（</w:t>
      </w:r>
      <w:r>
        <w:rPr>
          <w:rFonts w:ascii="Times New Roman" w:hAnsi="Times New Roman" w:hint="eastAsia"/>
        </w:rPr>
        <w:t>GB3838-2002</w:t>
      </w:r>
      <w:r>
        <w:rPr>
          <w:rFonts w:ascii="Times New Roman" w:hAnsi="Times New Roman" w:hint="eastAsia"/>
        </w:rPr>
        <w:t>）中Ⅱ类水质标准的要求；</w:t>
      </w:r>
      <w:r>
        <w:rPr>
          <w:rStyle w:val="Charf2"/>
          <w:rFonts w:hint="eastAsia"/>
        </w:rPr>
        <w:t>各个监测点的地下水水质监测因子均满足《地下水质量标准》（</w:t>
      </w:r>
      <w:r>
        <w:rPr>
          <w:rStyle w:val="Charf2"/>
          <w:rFonts w:hint="eastAsia"/>
        </w:rPr>
        <w:t>GB/T 14848-2017</w:t>
      </w:r>
      <w:r>
        <w:rPr>
          <w:rStyle w:val="Charf2"/>
          <w:rFonts w:hint="eastAsia"/>
        </w:rPr>
        <w:t>）中Ⅲ类水质标准的要求；</w:t>
      </w:r>
      <w:r>
        <w:rPr>
          <w:rFonts w:ascii="Times New Roman" w:hAnsi="Times New Roman" w:hint="eastAsia"/>
        </w:rPr>
        <w:t>各监测点的声环境质量现状均可满足</w:t>
      </w:r>
      <w:r>
        <w:rPr>
          <w:rFonts w:ascii="Times New Roman" w:hAnsi="Times New Roman"/>
        </w:rPr>
        <w:t>《声环境质量标准》</w:t>
      </w:r>
      <w:r>
        <w:rPr>
          <w:rFonts w:ascii="Times New Roman" w:hAnsi="Times New Roman" w:hint="eastAsia"/>
        </w:rPr>
        <w:t>（</w:t>
      </w:r>
      <w:r>
        <w:rPr>
          <w:rFonts w:ascii="Times New Roman" w:hAnsi="Times New Roman"/>
        </w:rPr>
        <w:t>GB3096-2008</w:t>
      </w:r>
      <w:r>
        <w:rPr>
          <w:rFonts w:ascii="Times New Roman" w:hAnsi="Times New Roman" w:hint="eastAsia"/>
        </w:rPr>
        <w:t>）</w:t>
      </w:r>
      <w:r>
        <w:rPr>
          <w:rFonts w:ascii="Times New Roman" w:hAnsi="Times New Roman"/>
        </w:rPr>
        <w:t>中的</w:t>
      </w:r>
      <w:r>
        <w:rPr>
          <w:rFonts w:ascii="Times New Roman" w:hAnsi="Times New Roman" w:hint="eastAsia"/>
        </w:rPr>
        <w:t>2</w:t>
      </w:r>
      <w:r>
        <w:rPr>
          <w:rFonts w:ascii="Times New Roman" w:hAnsi="Times New Roman"/>
        </w:rPr>
        <w:t>类声环境质量标准的要求</w:t>
      </w:r>
      <w:r>
        <w:rPr>
          <w:rFonts w:ascii="Times New Roman" w:hAnsi="Times New Roman" w:hint="eastAsia"/>
        </w:rPr>
        <w:t>；</w:t>
      </w:r>
      <w:r>
        <w:rPr>
          <w:rFonts w:ascii="Times New Roman" w:hAnsi="Times New Roman"/>
        </w:rPr>
        <w:t>本次调查的</w:t>
      </w:r>
      <w:r>
        <w:rPr>
          <w:rFonts w:ascii="Times New Roman" w:hAnsi="Times New Roman" w:hint="eastAsia"/>
        </w:rPr>
        <w:t>2</w:t>
      </w:r>
      <w:r>
        <w:rPr>
          <w:rFonts w:ascii="Times New Roman" w:hAnsi="Times New Roman"/>
        </w:rPr>
        <w:t>个断面河流底泥中各监测因子均未出现超标，河流底泥各监测点符合《土壤环境质量</w:t>
      </w:r>
      <w:r>
        <w:rPr>
          <w:rFonts w:ascii="Times New Roman" w:hAnsi="Times New Roman" w:hint="eastAsia"/>
        </w:rPr>
        <w:t xml:space="preserve"> </w:t>
      </w:r>
      <w:r>
        <w:rPr>
          <w:rFonts w:ascii="Times New Roman" w:hAnsi="Times New Roman" w:hint="eastAsia"/>
        </w:rPr>
        <w:t>农用地土壤污染风险管控</w:t>
      </w:r>
      <w:r>
        <w:rPr>
          <w:rFonts w:ascii="Times New Roman" w:hAnsi="Times New Roman"/>
        </w:rPr>
        <w:t>标准》（</w:t>
      </w:r>
      <w:r>
        <w:rPr>
          <w:rFonts w:ascii="Times New Roman" w:hAnsi="Times New Roman"/>
        </w:rPr>
        <w:t>GB15618-</w:t>
      </w:r>
      <w:r>
        <w:rPr>
          <w:rFonts w:ascii="Times New Roman" w:hAnsi="Times New Roman" w:hint="eastAsia"/>
        </w:rPr>
        <w:t>2018</w:t>
      </w:r>
      <w:r>
        <w:rPr>
          <w:rFonts w:ascii="Times New Roman" w:hAnsi="Times New Roman"/>
        </w:rPr>
        <w:t>）</w:t>
      </w:r>
      <w:r>
        <w:rPr>
          <w:rFonts w:ascii="Times New Roman" w:hAnsi="Times New Roman" w:hint="eastAsia"/>
        </w:rPr>
        <w:t>中的风险筛选值。</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1.2.3</w:t>
      </w:r>
      <w:r>
        <w:rPr>
          <w:rFonts w:ascii="Times New Roman" w:eastAsia="宋体" w:hAnsi="Times New Roman" w:hint="eastAsia"/>
          <w:b/>
        </w:rPr>
        <w:tab/>
      </w:r>
      <w:r>
        <w:rPr>
          <w:rFonts w:ascii="Times New Roman" w:eastAsia="宋体" w:hAnsi="Times New Roman" w:hint="eastAsia"/>
          <w:b/>
        </w:rPr>
        <w:t>项目规划符合性分析</w:t>
      </w:r>
    </w:p>
    <w:p w:rsidR="004B4777" w:rsidRDefault="004B4777">
      <w:pPr>
        <w:ind w:firstLine="480"/>
        <w:rPr>
          <w:rFonts w:ascii="Times New Roman" w:hAnsi="Times New Roman"/>
        </w:rPr>
      </w:pPr>
      <w:r>
        <w:rPr>
          <w:rFonts w:ascii="Times New Roman" w:hAnsi="Times New Roman"/>
        </w:rPr>
        <w:t>本次</w:t>
      </w:r>
      <w:r>
        <w:rPr>
          <w:rFonts w:ascii="Times New Roman" w:hAnsi="Times New Roman" w:hint="eastAsia"/>
        </w:rPr>
        <w:t>资江段易婆塘采区和湘江段斗米咀采区两个采区的采砂项目</w:t>
      </w:r>
      <w:r>
        <w:rPr>
          <w:rFonts w:ascii="Times New Roman" w:hAnsi="Times New Roman"/>
        </w:rPr>
        <w:t>为《湖南省湘江干流及洞庭湖区岳阳段河道采砂规划（</w:t>
      </w:r>
      <w:r>
        <w:rPr>
          <w:rFonts w:ascii="Times New Roman" w:hAnsi="Times New Roman"/>
        </w:rPr>
        <w:t>2017~2020</w:t>
      </w:r>
      <w:r>
        <w:rPr>
          <w:rFonts w:ascii="Times New Roman" w:hAnsi="Times New Roman"/>
        </w:rPr>
        <w:t>年）》规划</w:t>
      </w:r>
      <w:r>
        <w:rPr>
          <w:rFonts w:ascii="Times New Roman" w:hAnsi="Times New Roman" w:hint="eastAsia"/>
        </w:rPr>
        <w:t>内</w:t>
      </w:r>
      <w:r>
        <w:rPr>
          <w:rFonts w:ascii="Times New Roman" w:hAnsi="Times New Roman"/>
        </w:rPr>
        <w:t>的采砂区，项目建设符合《湖南省湘江干流及洞庭湖区岳阳段河道采砂规划（</w:t>
      </w:r>
      <w:r>
        <w:rPr>
          <w:rFonts w:ascii="Times New Roman" w:hAnsi="Times New Roman"/>
        </w:rPr>
        <w:t>2017~2020</w:t>
      </w:r>
      <w:r>
        <w:rPr>
          <w:rFonts w:ascii="Times New Roman" w:hAnsi="Times New Roman"/>
        </w:rPr>
        <w:t>年）》要求。</w:t>
      </w:r>
    </w:p>
    <w:p w:rsidR="004B4777" w:rsidRDefault="004B4777">
      <w:pPr>
        <w:pStyle w:val="2"/>
        <w:spacing w:before="0" w:after="0"/>
        <w:rPr>
          <w:rFonts w:ascii="Times New Roman" w:eastAsia="宋体" w:hAnsi="Times New Roman"/>
          <w:b/>
          <w:sz w:val="30"/>
          <w:szCs w:val="30"/>
        </w:rPr>
      </w:pPr>
      <w:bookmarkStart w:id="3" w:name="_Toc523854008"/>
      <w:r>
        <w:rPr>
          <w:rFonts w:ascii="Times New Roman" w:eastAsia="宋体" w:hAnsi="Times New Roman"/>
          <w:b/>
          <w:sz w:val="30"/>
          <w:szCs w:val="30"/>
        </w:rPr>
        <w:t xml:space="preserve">1.3 </w:t>
      </w:r>
      <w:r>
        <w:rPr>
          <w:rFonts w:ascii="Times New Roman" w:eastAsia="宋体" w:hAnsi="Times New Roman"/>
          <w:b/>
          <w:sz w:val="30"/>
          <w:szCs w:val="30"/>
        </w:rPr>
        <w:t>评价工作程序</w:t>
      </w:r>
      <w:bookmarkEnd w:id="3"/>
    </w:p>
    <w:p w:rsidR="004B4777" w:rsidRDefault="004B4777">
      <w:pPr>
        <w:ind w:firstLine="480"/>
        <w:rPr>
          <w:rFonts w:ascii="Times New Roman" w:hAnsi="Times New Roman"/>
        </w:rPr>
      </w:pPr>
      <w:r>
        <w:rPr>
          <w:rFonts w:ascii="Times New Roman" w:hAnsi="Times New Roman"/>
        </w:rPr>
        <w:t>本项目环境影响评价的工作程序见图</w:t>
      </w:r>
      <w:r>
        <w:rPr>
          <w:rFonts w:ascii="Times New Roman" w:hAnsi="Times New Roman"/>
        </w:rPr>
        <w:t>1.3-1</w:t>
      </w:r>
      <w:r>
        <w:rPr>
          <w:rFonts w:ascii="Times New Roman" w:hAnsi="Times New Roman"/>
        </w:rPr>
        <w:t>。</w:t>
      </w:r>
    </w:p>
    <w:p w:rsidR="004B4777" w:rsidRDefault="001F6CA0">
      <w:pPr>
        <w:ind w:firstLineChars="0" w:firstLine="0"/>
        <w:jc w:val="center"/>
        <w:rPr>
          <w:rFonts w:ascii="Times New Roman" w:hAnsi="Times New Roman"/>
        </w:rPr>
      </w:pPr>
      <w:r>
        <w:rPr>
          <w:rFonts w:ascii="Times New Roman" w:hAnsi="Times New Roman"/>
          <w:b/>
          <w:noProof/>
          <w:color w:val="000000"/>
        </w:rPr>
        <w:lastRenderedPageBreak/>
        <w:drawing>
          <wp:inline distT="0" distB="0" distL="0" distR="0">
            <wp:extent cx="5676900" cy="5543550"/>
            <wp:effectExtent l="19050" t="0" r="0" b="0"/>
            <wp:docPr id="1" name="图片 3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24"/>
                    <pic:cNvPicPr>
                      <a:picLocks noChangeAspect="1" noChangeArrowheads="1"/>
                    </pic:cNvPicPr>
                  </pic:nvPicPr>
                  <pic:blipFill>
                    <a:blip r:embed="rId13"/>
                    <a:srcRect/>
                    <a:stretch>
                      <a:fillRect/>
                    </a:stretch>
                  </pic:blipFill>
                  <pic:spPr bwMode="auto">
                    <a:xfrm>
                      <a:off x="0" y="0"/>
                      <a:ext cx="5676900" cy="5543550"/>
                    </a:xfrm>
                    <a:prstGeom prst="rect">
                      <a:avLst/>
                    </a:prstGeom>
                    <a:noFill/>
                    <a:ln w="9525">
                      <a:noFill/>
                      <a:miter lim="800000"/>
                      <a:headEnd/>
                      <a:tailEnd/>
                    </a:ln>
                  </pic:spPr>
                </pic:pic>
              </a:graphicData>
            </a:graphic>
          </wp:inline>
        </w:drawing>
      </w:r>
    </w:p>
    <w:p w:rsidR="004B4777" w:rsidRDefault="004B4777">
      <w:pPr>
        <w:ind w:firstLine="482"/>
        <w:jc w:val="center"/>
        <w:rPr>
          <w:rFonts w:ascii="Times New Roman" w:hAnsi="Times New Roman"/>
          <w:b/>
          <w:szCs w:val="24"/>
        </w:rPr>
      </w:pPr>
      <w:r>
        <w:rPr>
          <w:rFonts w:ascii="Times New Roman" w:hAnsi="Times New Roman"/>
          <w:b/>
          <w:szCs w:val="24"/>
        </w:rPr>
        <w:t>图</w:t>
      </w:r>
      <w:r>
        <w:rPr>
          <w:rFonts w:ascii="Times New Roman" w:hAnsi="Times New Roman"/>
          <w:b/>
          <w:szCs w:val="24"/>
        </w:rPr>
        <w:t xml:space="preserve">1.3-1    </w:t>
      </w:r>
      <w:r>
        <w:rPr>
          <w:rFonts w:ascii="Times New Roman" w:hAnsi="Times New Roman"/>
          <w:b/>
          <w:szCs w:val="24"/>
        </w:rPr>
        <w:t>环境影响评价</w:t>
      </w:r>
      <w:r>
        <w:rPr>
          <w:rFonts w:ascii="Times New Roman" w:hAnsi="Times New Roman" w:hint="eastAsia"/>
          <w:b/>
          <w:szCs w:val="24"/>
        </w:rPr>
        <w:t>工作程序</w:t>
      </w:r>
    </w:p>
    <w:p w:rsidR="004B4777" w:rsidRDefault="004B4777">
      <w:pPr>
        <w:pStyle w:val="2"/>
        <w:spacing w:before="0" w:after="0"/>
        <w:rPr>
          <w:rFonts w:ascii="Times New Roman" w:eastAsia="宋体" w:hAnsi="Times New Roman"/>
          <w:b/>
          <w:sz w:val="30"/>
          <w:szCs w:val="30"/>
        </w:rPr>
      </w:pPr>
      <w:bookmarkStart w:id="4" w:name="_Toc523854009"/>
      <w:r>
        <w:rPr>
          <w:rFonts w:ascii="Times New Roman" w:eastAsia="宋体" w:hAnsi="Times New Roman"/>
          <w:b/>
          <w:sz w:val="30"/>
          <w:szCs w:val="30"/>
        </w:rPr>
        <w:t xml:space="preserve">1.4 </w:t>
      </w:r>
      <w:r>
        <w:rPr>
          <w:rFonts w:ascii="Times New Roman" w:eastAsia="宋体" w:hAnsi="Times New Roman"/>
          <w:b/>
          <w:sz w:val="30"/>
          <w:szCs w:val="30"/>
        </w:rPr>
        <w:t>评价关注的环境问题</w:t>
      </w:r>
      <w:bookmarkEnd w:id="4"/>
    </w:p>
    <w:p w:rsidR="004B4777" w:rsidRDefault="004B4777">
      <w:pPr>
        <w:ind w:firstLineChars="0" w:firstLine="480"/>
        <w:jc w:val="left"/>
        <w:rPr>
          <w:rFonts w:ascii="Times New Roman" w:hAnsi="Times New Roman"/>
          <w:szCs w:val="20"/>
        </w:rPr>
      </w:pPr>
      <w:r>
        <w:rPr>
          <w:rFonts w:ascii="Times New Roman" w:hAnsi="Times New Roman"/>
          <w:szCs w:val="20"/>
        </w:rPr>
        <w:t>1</w:t>
      </w:r>
      <w:r>
        <w:rPr>
          <w:rFonts w:ascii="Times New Roman" w:hAnsi="Times New Roman"/>
          <w:szCs w:val="20"/>
        </w:rPr>
        <w:t>．生态方面</w:t>
      </w:r>
    </w:p>
    <w:p w:rsidR="004B4777" w:rsidRDefault="004B4777">
      <w:pPr>
        <w:ind w:firstLineChars="0" w:firstLine="480"/>
        <w:jc w:val="left"/>
        <w:rPr>
          <w:rFonts w:ascii="Times New Roman" w:hAnsi="Times New Roman" w:hint="eastAsia"/>
          <w:szCs w:val="20"/>
        </w:rPr>
      </w:pPr>
      <w:r>
        <w:rPr>
          <w:rFonts w:ascii="Times New Roman" w:hAnsi="Times New Roman"/>
          <w:szCs w:val="20"/>
        </w:rPr>
        <w:t>主要关注项目的采砂活动对下游</w:t>
      </w:r>
      <w:r>
        <w:rPr>
          <w:rFonts w:ascii="Times New Roman" w:hAnsi="Times New Roman" w:hint="eastAsia"/>
          <w:szCs w:val="20"/>
        </w:rPr>
        <w:t>南洞庭湖自然保护区、横岭湖自然保护区、横岭湖湖泊湿地、水产种质资源保护区的扰动及影响。</w:t>
      </w:r>
    </w:p>
    <w:p w:rsidR="004B4777" w:rsidRDefault="004B4777">
      <w:pPr>
        <w:ind w:firstLineChars="0" w:firstLine="480"/>
        <w:jc w:val="left"/>
        <w:rPr>
          <w:rFonts w:ascii="Times New Roman" w:hAnsi="Times New Roman"/>
          <w:szCs w:val="20"/>
        </w:rPr>
      </w:pPr>
      <w:r>
        <w:rPr>
          <w:rFonts w:ascii="Times New Roman" w:hAnsi="Times New Roman"/>
          <w:szCs w:val="20"/>
        </w:rPr>
        <w:t>2</w:t>
      </w:r>
      <w:r>
        <w:rPr>
          <w:rFonts w:ascii="Times New Roman" w:hAnsi="Times New Roman"/>
          <w:szCs w:val="20"/>
        </w:rPr>
        <w:t>．</w:t>
      </w:r>
      <w:r>
        <w:rPr>
          <w:rFonts w:ascii="Times New Roman" w:hAnsi="Times New Roman" w:hint="eastAsia"/>
          <w:szCs w:val="20"/>
        </w:rPr>
        <w:t>废气</w:t>
      </w:r>
      <w:r>
        <w:rPr>
          <w:rFonts w:ascii="Times New Roman" w:hAnsi="Times New Roman"/>
          <w:szCs w:val="20"/>
        </w:rPr>
        <w:t>方面</w:t>
      </w:r>
    </w:p>
    <w:p w:rsidR="004B4777" w:rsidRDefault="004B4777">
      <w:pPr>
        <w:pStyle w:val="af7"/>
        <w:spacing w:line="360" w:lineRule="auto"/>
        <w:ind w:firstLine="480"/>
        <w:jc w:val="left"/>
        <w:rPr>
          <w:rFonts w:ascii="Times New Roman" w:hAnsi="Times New Roman"/>
          <w:spacing w:val="0"/>
        </w:rPr>
      </w:pPr>
      <w:r>
        <w:rPr>
          <w:rFonts w:ascii="Times New Roman" w:hAnsi="Times New Roman"/>
          <w:spacing w:val="0"/>
        </w:rPr>
        <w:t>主要关注项目</w:t>
      </w:r>
      <w:r>
        <w:rPr>
          <w:rFonts w:ascii="Times New Roman" w:hAnsi="Times New Roman" w:hint="eastAsia"/>
          <w:spacing w:val="0"/>
        </w:rPr>
        <w:t>采砂船尾气、</w:t>
      </w:r>
      <w:r>
        <w:rPr>
          <w:rFonts w:ascii="Times New Roman" w:hAnsi="Times New Roman"/>
          <w:spacing w:val="0"/>
        </w:rPr>
        <w:t>采砂扬尘，核算污染源强，分析其治理措施的可行性和总量指标的符合性，预测评价污染物排放对区域环境的影响程度。</w:t>
      </w:r>
    </w:p>
    <w:p w:rsidR="004B4777" w:rsidRDefault="004B4777">
      <w:pPr>
        <w:pStyle w:val="af7"/>
        <w:spacing w:line="360" w:lineRule="auto"/>
        <w:ind w:firstLine="480"/>
        <w:jc w:val="left"/>
        <w:rPr>
          <w:rFonts w:ascii="Times New Roman" w:hAnsi="Times New Roman"/>
          <w:spacing w:val="0"/>
        </w:rPr>
      </w:pPr>
      <w:r>
        <w:rPr>
          <w:rFonts w:ascii="Times New Roman" w:hAnsi="Times New Roman" w:hint="eastAsia"/>
        </w:rPr>
        <w:t>3</w:t>
      </w:r>
      <w:r>
        <w:rPr>
          <w:rFonts w:ascii="Times New Roman" w:hAnsi="Times New Roman" w:hint="eastAsia"/>
        </w:rPr>
        <w:t>、</w:t>
      </w:r>
      <w:r>
        <w:rPr>
          <w:rFonts w:ascii="Times New Roman" w:hAnsi="Times New Roman"/>
          <w:spacing w:val="0"/>
        </w:rPr>
        <w:t>废水方面</w:t>
      </w:r>
    </w:p>
    <w:p w:rsidR="004B4777" w:rsidRDefault="004B4777">
      <w:pPr>
        <w:ind w:firstLineChars="0" w:firstLine="480"/>
        <w:jc w:val="left"/>
        <w:rPr>
          <w:rFonts w:ascii="Times New Roman" w:hAnsi="Times New Roman"/>
        </w:rPr>
      </w:pPr>
      <w:r>
        <w:rPr>
          <w:rFonts w:ascii="Times New Roman" w:hAnsi="Times New Roman"/>
        </w:rPr>
        <w:t>主要关注项目</w:t>
      </w:r>
      <w:r>
        <w:rPr>
          <w:rFonts w:ascii="Times New Roman" w:hAnsi="Times New Roman"/>
          <w:szCs w:val="20"/>
        </w:rPr>
        <w:t>采砂活动对</w:t>
      </w:r>
      <w:r>
        <w:rPr>
          <w:rFonts w:ascii="Times New Roman" w:hAnsi="Times New Roman" w:hint="eastAsia"/>
          <w:szCs w:val="20"/>
        </w:rPr>
        <w:t>上游屈原管理区饮用水水源保护区的扰动及影响，</w:t>
      </w:r>
      <w:r>
        <w:rPr>
          <w:rFonts w:ascii="Times New Roman" w:hAnsi="Times New Roman"/>
        </w:rPr>
        <w:lastRenderedPageBreak/>
        <w:t>各环节废水的水量、水质，及相应的废水收集系统、处理系统。</w:t>
      </w:r>
    </w:p>
    <w:p w:rsidR="004B4777" w:rsidRDefault="004B4777">
      <w:pPr>
        <w:ind w:firstLineChars="0" w:firstLine="480"/>
        <w:jc w:val="left"/>
        <w:rPr>
          <w:rFonts w:ascii="Times New Roman" w:hAnsi="Times New Roman"/>
          <w:szCs w:val="20"/>
        </w:rPr>
      </w:pPr>
      <w:r>
        <w:rPr>
          <w:rFonts w:ascii="Times New Roman" w:hAnsi="Times New Roman" w:hint="eastAsia"/>
          <w:szCs w:val="20"/>
        </w:rPr>
        <w:t>4</w:t>
      </w:r>
      <w:r>
        <w:rPr>
          <w:rFonts w:ascii="Times New Roman" w:hAnsi="Times New Roman" w:hint="eastAsia"/>
          <w:szCs w:val="20"/>
        </w:rPr>
        <w:t>、</w:t>
      </w:r>
      <w:r>
        <w:rPr>
          <w:rFonts w:ascii="Times New Roman" w:hAnsi="Times New Roman"/>
          <w:szCs w:val="20"/>
        </w:rPr>
        <w:t>噪声方面</w:t>
      </w:r>
    </w:p>
    <w:p w:rsidR="004B4777" w:rsidRDefault="004B4777">
      <w:pPr>
        <w:ind w:firstLineChars="0" w:firstLine="480"/>
        <w:jc w:val="left"/>
        <w:rPr>
          <w:rFonts w:ascii="Times New Roman" w:hAnsi="Times New Roman"/>
        </w:rPr>
      </w:pPr>
      <w:r>
        <w:rPr>
          <w:rFonts w:ascii="Times New Roman" w:hAnsi="Times New Roman"/>
        </w:rPr>
        <w:t>主要关注项目</w:t>
      </w:r>
      <w:r>
        <w:rPr>
          <w:rFonts w:ascii="Times New Roman" w:hAnsi="Times New Roman" w:hint="eastAsia"/>
        </w:rPr>
        <w:t>采砂期间</w:t>
      </w:r>
      <w:r>
        <w:rPr>
          <w:rFonts w:ascii="Times New Roman" w:hAnsi="Times New Roman"/>
        </w:rPr>
        <w:t>各项噪声防治措施以及</w:t>
      </w:r>
      <w:r>
        <w:rPr>
          <w:rFonts w:ascii="Times New Roman" w:hAnsi="Times New Roman" w:hint="eastAsia"/>
        </w:rPr>
        <w:t>边</w:t>
      </w:r>
      <w:r>
        <w:rPr>
          <w:rFonts w:ascii="Times New Roman" w:hAnsi="Times New Roman"/>
        </w:rPr>
        <w:t>界噪声达标可行性。</w:t>
      </w:r>
    </w:p>
    <w:p w:rsidR="004B4777" w:rsidRDefault="004B4777">
      <w:pPr>
        <w:ind w:firstLine="480"/>
        <w:rPr>
          <w:rFonts w:ascii="Times New Roman" w:hAnsi="Times New Roman"/>
        </w:rPr>
      </w:pPr>
      <w:r>
        <w:rPr>
          <w:rFonts w:ascii="Times New Roman" w:hAnsi="Times New Roman"/>
        </w:rPr>
        <w:t>5</w:t>
      </w:r>
      <w:r>
        <w:rPr>
          <w:rFonts w:ascii="Times New Roman" w:hAnsi="Times New Roman" w:hint="eastAsia"/>
        </w:rPr>
        <w:t>、</w:t>
      </w:r>
      <w:r>
        <w:rPr>
          <w:rFonts w:ascii="Times New Roman" w:hAnsi="Times New Roman"/>
        </w:rPr>
        <w:t>固体废物方面</w:t>
      </w:r>
    </w:p>
    <w:p w:rsidR="004B4777" w:rsidRDefault="004B4777">
      <w:pPr>
        <w:ind w:firstLine="480"/>
        <w:rPr>
          <w:rFonts w:ascii="Times New Roman" w:hAnsi="Times New Roman"/>
        </w:rPr>
      </w:pPr>
      <w:r>
        <w:rPr>
          <w:rFonts w:ascii="Times New Roman" w:hAnsi="Times New Roman"/>
        </w:rPr>
        <w:t>主要关注项目各类固体废物的产生量，分析暂存设施及其可行性。</w:t>
      </w:r>
    </w:p>
    <w:p w:rsidR="004B4777" w:rsidRDefault="004B4777">
      <w:pPr>
        <w:ind w:firstLineChars="0" w:firstLine="480"/>
        <w:jc w:val="left"/>
        <w:rPr>
          <w:rFonts w:ascii="Times New Roman" w:hAnsi="Times New Roman"/>
          <w:szCs w:val="20"/>
        </w:rPr>
      </w:pPr>
      <w:r>
        <w:rPr>
          <w:rFonts w:ascii="Times New Roman" w:hAnsi="Times New Roman"/>
          <w:szCs w:val="20"/>
        </w:rPr>
        <w:t>6</w:t>
      </w:r>
      <w:r>
        <w:rPr>
          <w:rFonts w:ascii="Times New Roman" w:hAnsi="Times New Roman" w:hint="eastAsia"/>
          <w:szCs w:val="20"/>
        </w:rPr>
        <w:t>、</w:t>
      </w:r>
      <w:r>
        <w:rPr>
          <w:rFonts w:ascii="Times New Roman" w:hAnsi="Times New Roman"/>
          <w:szCs w:val="20"/>
        </w:rPr>
        <w:t>风险方面</w:t>
      </w:r>
    </w:p>
    <w:p w:rsidR="004B4777" w:rsidRDefault="004B4777">
      <w:pPr>
        <w:ind w:firstLineChars="0" w:firstLine="480"/>
        <w:jc w:val="left"/>
        <w:rPr>
          <w:rFonts w:ascii="Times New Roman" w:hAnsi="Times New Roman"/>
          <w:szCs w:val="20"/>
        </w:rPr>
      </w:pPr>
      <w:r>
        <w:rPr>
          <w:rFonts w:ascii="Times New Roman" w:hAnsi="Times New Roman"/>
          <w:szCs w:val="20"/>
        </w:rPr>
        <w:t>主要关注项目溢油事故的风险影响，分析其对</w:t>
      </w:r>
      <w:r>
        <w:rPr>
          <w:rFonts w:ascii="Times New Roman" w:hAnsi="Times New Roman" w:hint="eastAsia"/>
          <w:szCs w:val="20"/>
        </w:rPr>
        <w:t>水源保护区和</w:t>
      </w:r>
      <w:r>
        <w:rPr>
          <w:rFonts w:ascii="Times New Roman" w:hAnsi="Times New Roman" w:hint="eastAsia"/>
          <w:spacing w:val="10"/>
          <w:szCs w:val="20"/>
        </w:rPr>
        <w:t>下游南洞庭湖省级自然保护区、横岭湖省级自然保护区、横岭湖湖泊湿地、南洞庭湖大口鲶青虾中华鳖国家级水产种质资源保护区、</w:t>
      </w:r>
      <w:r>
        <w:rPr>
          <w:rFonts w:ascii="Times New Roman" w:hAnsi="Times New Roman" w:hint="eastAsia"/>
        </w:rPr>
        <w:t>南洞庭湖银鱼三角帆蚌国家级水产种质资源保护区</w:t>
      </w:r>
      <w:r>
        <w:rPr>
          <w:rFonts w:ascii="Times New Roman" w:hAnsi="Times New Roman" w:hint="eastAsia"/>
          <w:spacing w:val="10"/>
          <w:szCs w:val="20"/>
        </w:rPr>
        <w:t>的风险影响情况</w:t>
      </w:r>
      <w:r>
        <w:rPr>
          <w:rFonts w:ascii="Times New Roman" w:hAnsi="Times New Roman"/>
          <w:szCs w:val="20"/>
        </w:rPr>
        <w:t>。</w:t>
      </w:r>
    </w:p>
    <w:p w:rsidR="004B4777" w:rsidRDefault="004B4777">
      <w:pPr>
        <w:pStyle w:val="2"/>
        <w:spacing w:before="0" w:after="0"/>
        <w:rPr>
          <w:rFonts w:ascii="Times New Roman" w:eastAsia="宋体" w:hAnsi="Times New Roman"/>
          <w:b/>
          <w:sz w:val="30"/>
          <w:szCs w:val="30"/>
        </w:rPr>
      </w:pPr>
      <w:bookmarkStart w:id="5" w:name="_Toc523854010"/>
      <w:r>
        <w:rPr>
          <w:rFonts w:ascii="Times New Roman" w:eastAsia="宋体" w:hAnsi="Times New Roman"/>
          <w:b/>
          <w:sz w:val="30"/>
          <w:szCs w:val="30"/>
        </w:rPr>
        <w:t xml:space="preserve">1.5 </w:t>
      </w:r>
      <w:r>
        <w:rPr>
          <w:rFonts w:ascii="Times New Roman" w:eastAsia="宋体" w:hAnsi="Times New Roman"/>
          <w:b/>
          <w:sz w:val="30"/>
          <w:szCs w:val="30"/>
        </w:rPr>
        <w:t>报告书主要结论</w:t>
      </w:r>
      <w:bookmarkEnd w:id="5"/>
    </w:p>
    <w:p w:rsidR="004B4777" w:rsidRDefault="004B4777">
      <w:pPr>
        <w:ind w:firstLine="480"/>
        <w:rPr>
          <w:rFonts w:ascii="Times New Roman" w:hAnsi="Times New Roman"/>
          <w:snapToGrid w:val="0"/>
          <w:kern w:val="0"/>
        </w:rPr>
      </w:pPr>
      <w:r>
        <w:rPr>
          <w:rFonts w:ascii="Times New Roman" w:hAnsi="Times New Roman"/>
        </w:rPr>
        <w:t>综上所述，</w:t>
      </w:r>
      <w:r>
        <w:rPr>
          <w:rFonts w:ascii="Times New Roman" w:hAnsi="Times New Roman"/>
          <w:snapToGrid w:val="0"/>
          <w:kern w:val="0"/>
        </w:rPr>
        <w:t>建设单位在项目</w:t>
      </w:r>
      <w:r>
        <w:rPr>
          <w:rFonts w:ascii="Times New Roman" w:hAnsi="Times New Roman" w:hint="eastAsia"/>
          <w:snapToGrid w:val="0"/>
          <w:kern w:val="0"/>
        </w:rPr>
        <w:t>采砂期间</w:t>
      </w:r>
      <w:r>
        <w:rPr>
          <w:rFonts w:ascii="Times New Roman" w:hAnsi="Times New Roman"/>
          <w:snapToGrid w:val="0"/>
          <w:kern w:val="0"/>
        </w:rPr>
        <w:t>，切实加强对</w:t>
      </w:r>
      <w:r>
        <w:rPr>
          <w:rFonts w:ascii="Times New Roman" w:hAnsi="Times New Roman"/>
          <w:snapToGrid w:val="0"/>
          <w:kern w:val="0"/>
        </w:rPr>
        <w:t>“</w:t>
      </w:r>
      <w:r>
        <w:rPr>
          <w:rFonts w:ascii="Times New Roman" w:hAnsi="Times New Roman"/>
          <w:snapToGrid w:val="0"/>
          <w:kern w:val="0"/>
        </w:rPr>
        <w:t>三废</w:t>
      </w:r>
      <w:r>
        <w:rPr>
          <w:rFonts w:ascii="Times New Roman" w:hAnsi="Times New Roman"/>
          <w:snapToGrid w:val="0"/>
          <w:kern w:val="0"/>
        </w:rPr>
        <w:t>”</w:t>
      </w:r>
      <w:r>
        <w:rPr>
          <w:rFonts w:ascii="Times New Roman" w:hAnsi="Times New Roman"/>
          <w:snapToGrid w:val="0"/>
          <w:kern w:val="0"/>
        </w:rPr>
        <w:t>的治理，认真落实本评价报告所提出的环保要求和各项污染防治措施，切实执行建设项目的</w:t>
      </w:r>
      <w:r>
        <w:rPr>
          <w:rFonts w:ascii="Times New Roman" w:hAnsi="Times New Roman"/>
          <w:snapToGrid w:val="0"/>
          <w:kern w:val="0"/>
        </w:rPr>
        <w:t>“</w:t>
      </w:r>
      <w:r>
        <w:rPr>
          <w:rFonts w:ascii="Times New Roman" w:hAnsi="Times New Roman"/>
          <w:snapToGrid w:val="0"/>
          <w:kern w:val="0"/>
        </w:rPr>
        <w:t>三同时</w:t>
      </w:r>
      <w:r>
        <w:rPr>
          <w:rFonts w:ascii="Times New Roman" w:hAnsi="Times New Roman"/>
          <w:snapToGrid w:val="0"/>
          <w:kern w:val="0"/>
        </w:rPr>
        <w:t>”</w:t>
      </w:r>
      <w:r>
        <w:rPr>
          <w:rFonts w:ascii="Times New Roman" w:hAnsi="Times New Roman"/>
          <w:snapToGrid w:val="0"/>
          <w:kern w:val="0"/>
        </w:rPr>
        <w:t>制度，则本项目从环保角度论证是可行的。</w:t>
      </w:r>
    </w:p>
    <w:p w:rsidR="004B4777" w:rsidRDefault="004B4777">
      <w:pPr>
        <w:pStyle w:val="af7"/>
        <w:spacing w:line="360" w:lineRule="auto"/>
        <w:ind w:firstLine="480"/>
        <w:jc w:val="left"/>
        <w:rPr>
          <w:rFonts w:ascii="Times New Roman" w:hAnsi="Times New Roman"/>
        </w:rPr>
      </w:pPr>
    </w:p>
    <w:p w:rsidR="004B4777" w:rsidRDefault="004B4777">
      <w:pPr>
        <w:ind w:firstLine="480"/>
        <w:rPr>
          <w:rFonts w:ascii="Times New Roman" w:hAnsi="Times New Roman"/>
        </w:rPr>
        <w:sectPr w:rsidR="004B4777">
          <w:headerReference w:type="even" r:id="rId14"/>
          <w:headerReference w:type="default" r:id="rId15"/>
          <w:footerReference w:type="default" r:id="rId16"/>
          <w:headerReference w:type="first" r:id="rId17"/>
          <w:pgSz w:w="11906" w:h="16838"/>
          <w:pgMar w:top="1440" w:right="1800" w:bottom="1440" w:left="1800" w:header="851" w:footer="992" w:gutter="0"/>
          <w:pgNumType w:start="1"/>
          <w:cols w:space="720"/>
          <w:docGrid w:type="lines" w:linePitch="312"/>
        </w:sectPr>
      </w:pPr>
    </w:p>
    <w:p w:rsidR="004B4777" w:rsidRDefault="004B4777">
      <w:pPr>
        <w:pStyle w:val="1"/>
        <w:spacing w:before="0" w:after="0" w:line="360" w:lineRule="auto"/>
        <w:rPr>
          <w:rFonts w:ascii="Times New Roman" w:eastAsia="宋体" w:hAnsi="Times New Roman"/>
          <w:b/>
          <w:sz w:val="32"/>
          <w:szCs w:val="32"/>
        </w:rPr>
      </w:pPr>
      <w:bookmarkStart w:id="6" w:name="_Toc523854011"/>
      <w:r>
        <w:rPr>
          <w:rFonts w:ascii="Times New Roman" w:eastAsia="宋体" w:hAnsi="Times New Roman"/>
          <w:b/>
          <w:sz w:val="32"/>
          <w:szCs w:val="32"/>
        </w:rPr>
        <w:lastRenderedPageBreak/>
        <w:t>第</w:t>
      </w:r>
      <w:r>
        <w:rPr>
          <w:rFonts w:ascii="Times New Roman" w:eastAsia="宋体" w:hAnsi="Times New Roman"/>
          <w:b/>
          <w:sz w:val="32"/>
          <w:szCs w:val="32"/>
        </w:rPr>
        <w:t>2</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总</w:t>
      </w:r>
      <w:r>
        <w:rPr>
          <w:rFonts w:ascii="Times New Roman" w:eastAsia="宋体" w:hAnsi="Times New Roman"/>
          <w:b/>
          <w:sz w:val="32"/>
          <w:szCs w:val="32"/>
        </w:rPr>
        <w:t xml:space="preserve"> </w:t>
      </w:r>
      <w:r>
        <w:rPr>
          <w:rFonts w:ascii="Times New Roman" w:eastAsia="宋体" w:hAnsi="Times New Roman"/>
          <w:b/>
          <w:sz w:val="32"/>
          <w:szCs w:val="32"/>
        </w:rPr>
        <w:t>则</w:t>
      </w:r>
      <w:bookmarkEnd w:id="6"/>
    </w:p>
    <w:p w:rsidR="004B4777" w:rsidRDefault="004B4777">
      <w:pPr>
        <w:pStyle w:val="2"/>
        <w:spacing w:before="0" w:after="0"/>
        <w:rPr>
          <w:rFonts w:ascii="Times New Roman" w:eastAsia="宋体" w:hAnsi="Times New Roman"/>
          <w:b/>
          <w:sz w:val="30"/>
          <w:szCs w:val="30"/>
        </w:rPr>
      </w:pPr>
      <w:bookmarkStart w:id="7" w:name="_Toc523854012"/>
      <w:r>
        <w:rPr>
          <w:rFonts w:ascii="Times New Roman" w:eastAsia="宋体" w:hAnsi="Times New Roman"/>
          <w:b/>
          <w:sz w:val="30"/>
          <w:szCs w:val="30"/>
        </w:rPr>
        <w:t xml:space="preserve">2.1 </w:t>
      </w:r>
      <w:r>
        <w:rPr>
          <w:rFonts w:ascii="Times New Roman" w:eastAsia="宋体" w:hAnsi="Times New Roman"/>
          <w:b/>
          <w:sz w:val="30"/>
          <w:szCs w:val="30"/>
        </w:rPr>
        <w:t>编制依据</w:t>
      </w:r>
      <w:bookmarkEnd w:id="7"/>
    </w:p>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2.1.1 </w:t>
      </w:r>
      <w:r>
        <w:rPr>
          <w:rFonts w:ascii="Times New Roman" w:eastAsia="宋体" w:hAnsi="Times New Roman"/>
          <w:b/>
        </w:rPr>
        <w:t>国家环境保护法律法规</w:t>
      </w:r>
      <w:r>
        <w:rPr>
          <w:rFonts w:ascii="Times New Roman" w:eastAsia="宋体" w:hAnsi="Times New Roman" w:hint="eastAsia"/>
          <w:b/>
        </w:rPr>
        <w:t>及文件</w:t>
      </w:r>
    </w:p>
    <w:p w:rsidR="004B4777" w:rsidRDefault="004B4777">
      <w:pPr>
        <w:numPr>
          <w:ilvl w:val="0"/>
          <w:numId w:val="6"/>
        </w:numPr>
        <w:snapToGrid w:val="0"/>
        <w:ind w:left="0" w:firstLineChars="0" w:firstLine="480"/>
        <w:jc w:val="left"/>
        <w:rPr>
          <w:rFonts w:ascii="Times New Roman" w:hAnsi="Times New Roman"/>
        </w:rPr>
      </w:pPr>
      <w:bookmarkStart w:id="8" w:name="_Toc199840469"/>
      <w:bookmarkStart w:id="9" w:name="_Toc205805521"/>
      <w:r>
        <w:rPr>
          <w:rFonts w:ascii="Times New Roman" w:hAnsi="Times New Roman"/>
        </w:rPr>
        <w:t>《中华人民共和国环境保护法》（</w:t>
      </w:r>
      <w:r>
        <w:rPr>
          <w:rFonts w:ascii="Times New Roman" w:hAnsi="Times New Roman"/>
        </w:rPr>
        <w:t>2015</w:t>
      </w:r>
      <w:r>
        <w:rPr>
          <w:rFonts w:ascii="Times New Roman" w:hAnsi="Times New Roman"/>
        </w:rPr>
        <w:t>年</w:t>
      </w:r>
      <w:r>
        <w:rPr>
          <w:rFonts w:ascii="Times New Roman" w:hAnsi="Times New Roman"/>
        </w:rPr>
        <w:t>4</w:t>
      </w:r>
      <w:r>
        <w:rPr>
          <w:rFonts w:ascii="Times New Roman" w:hAnsi="Times New Roman"/>
        </w:rPr>
        <w:t>月修订）；</w:t>
      </w:r>
      <w:bookmarkStart w:id="10" w:name="_Toc197308963"/>
      <w:bookmarkStart w:id="11" w:name="_Toc197692796"/>
      <w:bookmarkStart w:id="12" w:name="_Toc198031515"/>
      <w:bookmarkStart w:id="13" w:name="_Toc198203705"/>
      <w:bookmarkEnd w:id="8"/>
      <w:bookmarkEnd w:id="9"/>
    </w:p>
    <w:p w:rsidR="004B4777" w:rsidRDefault="004B4777">
      <w:pPr>
        <w:numPr>
          <w:ilvl w:val="0"/>
          <w:numId w:val="6"/>
        </w:numPr>
        <w:snapToGrid w:val="0"/>
        <w:ind w:left="0" w:firstLineChars="0" w:firstLine="480"/>
        <w:jc w:val="left"/>
        <w:rPr>
          <w:rFonts w:ascii="Times New Roman" w:hAnsi="Times New Roman"/>
        </w:rPr>
      </w:pPr>
      <w:bookmarkStart w:id="14" w:name="_Toc199840470"/>
      <w:bookmarkStart w:id="15" w:name="_Toc205805522"/>
      <w:r>
        <w:rPr>
          <w:rFonts w:ascii="Times New Roman" w:hAnsi="Times New Roman"/>
        </w:rPr>
        <w:t>《中华人民共和国环境影响评价法》（</w:t>
      </w:r>
      <w:r>
        <w:rPr>
          <w:rFonts w:ascii="Times New Roman" w:hAnsi="Times New Roman"/>
        </w:rPr>
        <w:t>2016</w:t>
      </w:r>
      <w:r>
        <w:rPr>
          <w:rFonts w:ascii="Times New Roman" w:hAnsi="Times New Roman"/>
        </w:rPr>
        <w:t>年</w:t>
      </w:r>
      <w:r>
        <w:rPr>
          <w:rFonts w:ascii="Times New Roman" w:hAnsi="Times New Roman"/>
        </w:rPr>
        <w:t>7</w:t>
      </w:r>
      <w:r>
        <w:rPr>
          <w:rFonts w:ascii="Times New Roman" w:hAnsi="Times New Roman"/>
        </w:rPr>
        <w:t>月修订）；</w:t>
      </w:r>
      <w:bookmarkStart w:id="16" w:name="_Toc197308964"/>
      <w:bookmarkStart w:id="17" w:name="_Toc197692797"/>
      <w:bookmarkStart w:id="18" w:name="_Toc198031516"/>
      <w:bookmarkStart w:id="19" w:name="_Toc198203706"/>
      <w:bookmarkEnd w:id="10"/>
      <w:bookmarkEnd w:id="11"/>
      <w:bookmarkEnd w:id="12"/>
      <w:bookmarkEnd w:id="13"/>
      <w:bookmarkEnd w:id="14"/>
      <w:bookmarkEnd w:id="15"/>
    </w:p>
    <w:p w:rsidR="004B4777" w:rsidRDefault="004B4777">
      <w:pPr>
        <w:numPr>
          <w:ilvl w:val="0"/>
          <w:numId w:val="6"/>
        </w:numPr>
        <w:snapToGrid w:val="0"/>
        <w:ind w:left="0" w:firstLineChars="0" w:firstLine="480"/>
        <w:jc w:val="left"/>
        <w:rPr>
          <w:rFonts w:ascii="Times New Roman" w:hAnsi="Times New Roman"/>
        </w:rPr>
      </w:pPr>
      <w:bookmarkStart w:id="20" w:name="_Toc199840471"/>
      <w:bookmarkStart w:id="21" w:name="_Toc205805523"/>
      <w:r>
        <w:rPr>
          <w:rFonts w:ascii="Times New Roman" w:hAnsi="Times New Roman"/>
        </w:rPr>
        <w:t>《中华人民共和国水污染防治法》（</w:t>
      </w:r>
      <w:r>
        <w:rPr>
          <w:rFonts w:ascii="Times New Roman" w:hAnsi="Times New Roman"/>
        </w:rPr>
        <w:t>2017</w:t>
      </w:r>
      <w:r>
        <w:rPr>
          <w:rFonts w:ascii="Times New Roman" w:hAnsi="Times New Roman"/>
        </w:rPr>
        <w:t>年</w:t>
      </w:r>
      <w:r>
        <w:rPr>
          <w:rFonts w:ascii="Times New Roman" w:hAnsi="Times New Roman"/>
        </w:rPr>
        <w:t>6</w:t>
      </w:r>
      <w:r>
        <w:rPr>
          <w:rFonts w:ascii="Times New Roman" w:hAnsi="Times New Roman"/>
        </w:rPr>
        <w:t>月修订）；</w:t>
      </w:r>
      <w:bookmarkStart w:id="22" w:name="_Toc197308966"/>
      <w:bookmarkStart w:id="23" w:name="_Toc197692799"/>
      <w:bookmarkStart w:id="24" w:name="_Toc198031518"/>
      <w:bookmarkStart w:id="25" w:name="_Toc198203708"/>
      <w:bookmarkEnd w:id="16"/>
      <w:bookmarkEnd w:id="17"/>
      <w:bookmarkEnd w:id="18"/>
      <w:bookmarkEnd w:id="19"/>
      <w:bookmarkEnd w:id="20"/>
      <w:bookmarkEnd w:id="21"/>
    </w:p>
    <w:p w:rsidR="004B4777" w:rsidRDefault="004B4777">
      <w:pPr>
        <w:numPr>
          <w:ilvl w:val="0"/>
          <w:numId w:val="6"/>
        </w:numPr>
        <w:snapToGrid w:val="0"/>
        <w:ind w:left="0" w:firstLineChars="0" w:firstLine="480"/>
        <w:jc w:val="left"/>
        <w:rPr>
          <w:rFonts w:ascii="Times New Roman" w:hAnsi="Times New Roman"/>
        </w:rPr>
      </w:pPr>
      <w:bookmarkStart w:id="26" w:name="_Toc199840472"/>
      <w:bookmarkStart w:id="27" w:name="_Toc205805524"/>
      <w:r>
        <w:rPr>
          <w:rFonts w:ascii="Times New Roman" w:hAnsi="Times New Roman"/>
        </w:rPr>
        <w:t>《中华人民共和国大气污染防治法》（</w:t>
      </w:r>
      <w:r>
        <w:rPr>
          <w:rFonts w:ascii="Times New Roman" w:hAnsi="Times New Roman"/>
        </w:rPr>
        <w:t>2015</w:t>
      </w:r>
      <w:r>
        <w:rPr>
          <w:rFonts w:ascii="Times New Roman" w:hAnsi="Times New Roman"/>
        </w:rPr>
        <w:t>年</w:t>
      </w:r>
      <w:r>
        <w:rPr>
          <w:rFonts w:ascii="Times New Roman" w:hAnsi="Times New Roman"/>
        </w:rPr>
        <w:t>8</w:t>
      </w:r>
      <w:r>
        <w:rPr>
          <w:rFonts w:ascii="Times New Roman" w:hAnsi="Times New Roman"/>
        </w:rPr>
        <w:t>月修订）；</w:t>
      </w:r>
      <w:bookmarkStart w:id="28" w:name="_Toc197308967"/>
      <w:bookmarkStart w:id="29" w:name="_Toc197692800"/>
      <w:bookmarkStart w:id="30" w:name="_Toc198031519"/>
      <w:bookmarkStart w:id="31" w:name="_Toc198203709"/>
      <w:bookmarkEnd w:id="22"/>
      <w:bookmarkEnd w:id="23"/>
      <w:bookmarkEnd w:id="24"/>
      <w:bookmarkEnd w:id="25"/>
      <w:bookmarkEnd w:id="26"/>
      <w:bookmarkEnd w:id="27"/>
    </w:p>
    <w:p w:rsidR="004B4777" w:rsidRDefault="004B4777">
      <w:pPr>
        <w:numPr>
          <w:ilvl w:val="0"/>
          <w:numId w:val="6"/>
        </w:numPr>
        <w:snapToGrid w:val="0"/>
        <w:ind w:left="0" w:firstLineChars="0" w:firstLine="480"/>
        <w:jc w:val="left"/>
        <w:rPr>
          <w:rFonts w:ascii="Times New Roman" w:hAnsi="Times New Roman"/>
        </w:rPr>
      </w:pPr>
      <w:bookmarkStart w:id="32" w:name="_Toc199840473"/>
      <w:bookmarkStart w:id="33" w:name="_Toc205805525"/>
      <w:r>
        <w:rPr>
          <w:rFonts w:ascii="Times New Roman" w:hAnsi="Times New Roman"/>
        </w:rPr>
        <w:t>《中华人民共和国环境噪声污染防治法》（</w:t>
      </w:r>
      <w:r>
        <w:rPr>
          <w:rFonts w:ascii="Times New Roman" w:hAnsi="Times New Roman"/>
        </w:rPr>
        <w:t>1997</w:t>
      </w:r>
      <w:r>
        <w:rPr>
          <w:rFonts w:ascii="Times New Roman" w:hAnsi="Times New Roman"/>
        </w:rPr>
        <w:t>年</w:t>
      </w:r>
      <w:r>
        <w:rPr>
          <w:rFonts w:ascii="Times New Roman" w:hAnsi="Times New Roman"/>
        </w:rPr>
        <w:t>3</w:t>
      </w:r>
      <w:r>
        <w:rPr>
          <w:rFonts w:ascii="Times New Roman" w:hAnsi="Times New Roman"/>
        </w:rPr>
        <w:t>月）；</w:t>
      </w:r>
      <w:bookmarkStart w:id="34" w:name="_Toc197308968"/>
      <w:bookmarkStart w:id="35" w:name="_Toc197692801"/>
      <w:bookmarkStart w:id="36" w:name="_Toc198031520"/>
      <w:bookmarkStart w:id="37" w:name="_Toc198203710"/>
      <w:bookmarkEnd w:id="28"/>
      <w:bookmarkEnd w:id="29"/>
      <w:bookmarkEnd w:id="30"/>
      <w:bookmarkEnd w:id="31"/>
      <w:bookmarkEnd w:id="32"/>
      <w:bookmarkEnd w:id="33"/>
    </w:p>
    <w:p w:rsidR="004B4777" w:rsidRDefault="004B4777">
      <w:pPr>
        <w:numPr>
          <w:ilvl w:val="0"/>
          <w:numId w:val="6"/>
        </w:numPr>
        <w:snapToGrid w:val="0"/>
        <w:ind w:left="0" w:firstLineChars="0" w:firstLine="480"/>
        <w:jc w:val="left"/>
        <w:rPr>
          <w:rFonts w:ascii="Times New Roman" w:hAnsi="Times New Roman"/>
        </w:rPr>
      </w:pPr>
      <w:bookmarkStart w:id="38" w:name="_Toc199840474"/>
      <w:bookmarkStart w:id="39" w:name="_Toc205805526"/>
      <w:r>
        <w:rPr>
          <w:rFonts w:ascii="Times New Roman" w:hAnsi="Times New Roman"/>
        </w:rPr>
        <w:t>《中华人民共和国固体废物污染环境防治法》（</w:t>
      </w:r>
      <w:r>
        <w:rPr>
          <w:rFonts w:ascii="Times New Roman" w:hAnsi="Times New Roman"/>
        </w:rPr>
        <w:t>201</w:t>
      </w:r>
      <w:r>
        <w:rPr>
          <w:rFonts w:ascii="Times New Roman" w:hAnsi="Times New Roman" w:hint="eastAsia"/>
        </w:rPr>
        <w:t>6</w:t>
      </w:r>
      <w:r>
        <w:rPr>
          <w:rFonts w:ascii="Times New Roman" w:hAnsi="Times New Roman"/>
        </w:rPr>
        <w:t>年</w:t>
      </w:r>
      <w:r>
        <w:rPr>
          <w:rFonts w:ascii="Times New Roman" w:hAnsi="Times New Roman" w:hint="eastAsia"/>
        </w:rPr>
        <w:t>7</w:t>
      </w:r>
      <w:r>
        <w:rPr>
          <w:rFonts w:ascii="Times New Roman" w:hAnsi="Times New Roman"/>
        </w:rPr>
        <w:t>月修订）；</w:t>
      </w:r>
      <w:bookmarkStart w:id="40" w:name="_Toc197308969"/>
      <w:bookmarkStart w:id="41" w:name="_Toc197692802"/>
      <w:bookmarkStart w:id="42" w:name="_Toc198031521"/>
      <w:bookmarkStart w:id="43" w:name="_Toc198203711"/>
      <w:bookmarkEnd w:id="34"/>
      <w:bookmarkEnd w:id="35"/>
      <w:bookmarkEnd w:id="36"/>
      <w:bookmarkEnd w:id="37"/>
      <w:bookmarkEnd w:id="38"/>
      <w:bookmarkEnd w:id="39"/>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《中华人民共和国放射性污染防治法》（</w:t>
      </w:r>
      <w:r>
        <w:rPr>
          <w:rFonts w:ascii="Times New Roman" w:hAnsi="Times New Roman"/>
        </w:rPr>
        <w:t>2003</w:t>
      </w:r>
      <w:r>
        <w:rPr>
          <w:rFonts w:ascii="Times New Roman" w:hAnsi="Times New Roman"/>
        </w:rPr>
        <w:t>年</w:t>
      </w:r>
      <w:r>
        <w:rPr>
          <w:rFonts w:ascii="Times New Roman" w:hAnsi="Times New Roman"/>
        </w:rPr>
        <w:t>6</w:t>
      </w:r>
      <w:r>
        <w:rPr>
          <w:rFonts w:ascii="Times New Roman" w:hAnsi="Times New Roman"/>
        </w:rPr>
        <w:t>月）；</w:t>
      </w:r>
    </w:p>
    <w:p w:rsidR="004B4777" w:rsidRDefault="004B4777">
      <w:pPr>
        <w:numPr>
          <w:ilvl w:val="0"/>
          <w:numId w:val="6"/>
        </w:numPr>
        <w:snapToGrid w:val="0"/>
        <w:ind w:left="0" w:firstLineChars="0" w:firstLine="480"/>
        <w:jc w:val="left"/>
        <w:rPr>
          <w:rFonts w:ascii="Times New Roman" w:hAnsi="Times New Roman"/>
        </w:rPr>
      </w:pPr>
      <w:bookmarkStart w:id="44" w:name="_Toc199840475"/>
      <w:bookmarkStart w:id="45" w:name="_Toc205805527"/>
      <w:r>
        <w:rPr>
          <w:rFonts w:ascii="Times New Roman" w:hAnsi="Times New Roman"/>
        </w:rPr>
        <w:t>《中华人民共和国土地管理法》（</w:t>
      </w:r>
      <w:r>
        <w:rPr>
          <w:rFonts w:ascii="Times New Roman" w:hAnsi="Times New Roman"/>
        </w:rPr>
        <w:t>2004</w:t>
      </w:r>
      <w:r>
        <w:rPr>
          <w:rFonts w:ascii="Times New Roman" w:hAnsi="Times New Roman"/>
        </w:rPr>
        <w:t>年</w:t>
      </w:r>
      <w:r>
        <w:rPr>
          <w:rFonts w:ascii="Times New Roman" w:hAnsi="Times New Roman"/>
        </w:rPr>
        <w:t>8</w:t>
      </w:r>
      <w:r>
        <w:rPr>
          <w:rFonts w:ascii="Times New Roman" w:hAnsi="Times New Roman"/>
        </w:rPr>
        <w:t>月第二次修正）；</w:t>
      </w:r>
      <w:bookmarkStart w:id="46" w:name="_Toc197308970"/>
      <w:bookmarkStart w:id="47" w:name="_Toc197692803"/>
      <w:bookmarkStart w:id="48" w:name="_Toc198031522"/>
      <w:bookmarkStart w:id="49" w:name="_Toc198203712"/>
      <w:bookmarkEnd w:id="40"/>
      <w:bookmarkEnd w:id="41"/>
      <w:bookmarkEnd w:id="42"/>
      <w:bookmarkEnd w:id="43"/>
      <w:bookmarkEnd w:id="44"/>
      <w:bookmarkEnd w:id="45"/>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《中华人民共和国水土保持法》（</w:t>
      </w:r>
      <w:r>
        <w:rPr>
          <w:rFonts w:ascii="Times New Roman" w:hAnsi="Times New Roman"/>
        </w:rPr>
        <w:t>2011</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w:t>
      </w:r>
      <w:r>
        <w:rPr>
          <w:rFonts w:ascii="Times New Roman" w:hAnsi="Times New Roman"/>
        </w:rPr>
        <w:t>日起施行）；</w:t>
      </w:r>
      <w:bookmarkStart w:id="50" w:name="_Toc197308971"/>
      <w:bookmarkStart w:id="51" w:name="_Toc197692804"/>
      <w:bookmarkStart w:id="52" w:name="_Toc198031523"/>
      <w:bookmarkStart w:id="53" w:name="_Toc198203713"/>
      <w:bookmarkEnd w:id="46"/>
      <w:bookmarkEnd w:id="47"/>
      <w:bookmarkEnd w:id="48"/>
      <w:bookmarkEnd w:id="49"/>
    </w:p>
    <w:p w:rsidR="004B4777" w:rsidRDefault="004B4777">
      <w:pPr>
        <w:numPr>
          <w:ilvl w:val="0"/>
          <w:numId w:val="6"/>
        </w:numPr>
        <w:snapToGrid w:val="0"/>
        <w:ind w:left="0" w:firstLineChars="0" w:firstLine="480"/>
        <w:jc w:val="left"/>
        <w:rPr>
          <w:rFonts w:ascii="Times New Roman" w:hAnsi="Times New Roman" w:hint="eastAsia"/>
        </w:rPr>
      </w:pPr>
      <w:r>
        <w:rPr>
          <w:rFonts w:ascii="Times New Roman" w:hAnsi="Times New Roman"/>
        </w:rPr>
        <w:t>《中华人民共和国森林法》（</w:t>
      </w:r>
      <w:r>
        <w:rPr>
          <w:rFonts w:ascii="Times New Roman" w:hAnsi="Times New Roman"/>
        </w:rPr>
        <w:t>1998</w:t>
      </w:r>
      <w:r>
        <w:rPr>
          <w:rFonts w:ascii="Times New Roman" w:hAnsi="Times New Roman"/>
        </w:rPr>
        <w:t>年</w:t>
      </w:r>
      <w:r>
        <w:rPr>
          <w:rFonts w:ascii="Times New Roman" w:hAnsi="Times New Roman"/>
        </w:rPr>
        <w:t>4</w:t>
      </w:r>
      <w:r>
        <w:rPr>
          <w:rFonts w:ascii="Times New Roman" w:hAnsi="Times New Roman"/>
        </w:rPr>
        <w:t>月修正）；</w:t>
      </w:r>
    </w:p>
    <w:p w:rsidR="004B4777" w:rsidRDefault="004B4777">
      <w:pPr>
        <w:numPr>
          <w:ilvl w:val="0"/>
          <w:numId w:val="6"/>
        </w:numPr>
        <w:snapToGrid w:val="0"/>
        <w:ind w:left="0" w:firstLineChars="0" w:firstLine="480"/>
        <w:jc w:val="left"/>
        <w:rPr>
          <w:rFonts w:ascii="Times New Roman" w:hAnsi="Times New Roman" w:hint="eastAsia"/>
        </w:rPr>
      </w:pPr>
      <w:r>
        <w:rPr>
          <w:rFonts w:ascii="Times New Roman" w:hAnsi="Times New Roman" w:hint="eastAsia"/>
        </w:rPr>
        <w:t>《中华人民共和国自然保护区条例》（</w:t>
      </w:r>
      <w:r>
        <w:rPr>
          <w:rFonts w:ascii="Times New Roman" w:hAnsi="Times New Roman" w:hint="eastAsia"/>
        </w:rPr>
        <w:t>2017</w:t>
      </w:r>
      <w:r>
        <w:rPr>
          <w:rFonts w:ascii="Times New Roman" w:hAnsi="Times New Roman" w:hint="eastAsia"/>
        </w:rPr>
        <w:t>年</w:t>
      </w:r>
      <w:r>
        <w:rPr>
          <w:rFonts w:ascii="Times New Roman" w:hAnsi="Times New Roman" w:hint="eastAsia"/>
        </w:rPr>
        <w:t>10</w:t>
      </w:r>
      <w:r>
        <w:rPr>
          <w:rFonts w:ascii="Times New Roman" w:hAnsi="Times New Roman" w:hint="eastAsia"/>
        </w:rPr>
        <w:t>月</w:t>
      </w:r>
      <w:r>
        <w:rPr>
          <w:rFonts w:ascii="Times New Roman" w:hAnsi="Times New Roman" w:hint="eastAsia"/>
        </w:rPr>
        <w:t>7</w:t>
      </w:r>
      <w:r>
        <w:rPr>
          <w:rFonts w:ascii="Times New Roman" w:hAnsi="Times New Roman" w:hint="eastAsia"/>
        </w:rPr>
        <w:t>日修正）；</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《中华人民共和国矿产资源法》（</w:t>
      </w:r>
      <w:r>
        <w:rPr>
          <w:rFonts w:ascii="Times New Roman" w:hAnsi="Times New Roman"/>
        </w:rPr>
        <w:t>1996</w:t>
      </w:r>
      <w:r>
        <w:rPr>
          <w:rFonts w:ascii="Times New Roman" w:hAnsi="Times New Roman"/>
        </w:rPr>
        <w:t>年</w:t>
      </w:r>
      <w:r>
        <w:rPr>
          <w:rFonts w:ascii="Times New Roman" w:hAnsi="Times New Roman"/>
        </w:rPr>
        <w:t>8</w:t>
      </w:r>
      <w:r>
        <w:rPr>
          <w:rFonts w:ascii="Times New Roman" w:hAnsi="Times New Roman"/>
        </w:rPr>
        <w:t>月修正）；</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《中华人民共和国清洁生产促进法》（</w:t>
      </w:r>
      <w:r>
        <w:rPr>
          <w:rFonts w:ascii="Times New Roman" w:hAnsi="Times New Roman"/>
        </w:rPr>
        <w:t>2012</w:t>
      </w:r>
      <w:r>
        <w:rPr>
          <w:rFonts w:ascii="Times New Roman" w:hAnsi="Times New Roman"/>
        </w:rPr>
        <w:t>年</w:t>
      </w:r>
      <w:r>
        <w:rPr>
          <w:rFonts w:ascii="Times New Roman" w:hAnsi="Times New Roman"/>
        </w:rPr>
        <w:t>2</w:t>
      </w:r>
      <w:r>
        <w:rPr>
          <w:rFonts w:ascii="Times New Roman" w:hAnsi="Times New Roman"/>
        </w:rPr>
        <w:t>月修正）；</w:t>
      </w:r>
      <w:bookmarkStart w:id="54" w:name="_Toc197308972"/>
      <w:bookmarkStart w:id="55" w:name="_Toc197692805"/>
      <w:bookmarkStart w:id="56" w:name="_Toc198031524"/>
      <w:bookmarkStart w:id="57" w:name="_Toc198203714"/>
      <w:bookmarkEnd w:id="50"/>
      <w:bookmarkEnd w:id="51"/>
      <w:bookmarkEnd w:id="52"/>
      <w:bookmarkEnd w:id="53"/>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《中华人民共和国节约能源法》（</w:t>
      </w:r>
      <w:r>
        <w:rPr>
          <w:rFonts w:ascii="Times New Roman" w:hAnsi="Times New Roman"/>
        </w:rPr>
        <w:t>2016</w:t>
      </w:r>
      <w:r>
        <w:rPr>
          <w:rFonts w:ascii="Times New Roman" w:hAnsi="Times New Roman"/>
        </w:rPr>
        <w:t>年</w:t>
      </w:r>
      <w:r>
        <w:rPr>
          <w:rFonts w:ascii="Times New Roman" w:hAnsi="Times New Roman"/>
        </w:rPr>
        <w:t>7</w:t>
      </w:r>
      <w:r>
        <w:rPr>
          <w:rFonts w:ascii="Times New Roman" w:hAnsi="Times New Roman"/>
        </w:rPr>
        <w:t>月修订）；</w:t>
      </w:r>
      <w:bookmarkStart w:id="58" w:name="_Toc197308973"/>
      <w:bookmarkStart w:id="59" w:name="_Toc197692806"/>
      <w:bookmarkStart w:id="60" w:name="_Toc198031525"/>
      <w:bookmarkStart w:id="61" w:name="_Toc198203715"/>
      <w:bookmarkEnd w:id="54"/>
      <w:bookmarkEnd w:id="55"/>
      <w:bookmarkEnd w:id="56"/>
      <w:bookmarkEnd w:id="57"/>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《中华人民共和国循环经济促进法》（</w:t>
      </w:r>
      <w:r>
        <w:rPr>
          <w:rFonts w:ascii="Times New Roman" w:hAnsi="Times New Roman"/>
        </w:rPr>
        <w:t>2009</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日起施行）；</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《中华人民共和国农业法》（</w:t>
      </w:r>
      <w:r>
        <w:rPr>
          <w:rFonts w:ascii="Times New Roman" w:hAnsi="Times New Roman"/>
        </w:rPr>
        <w:t>2002</w:t>
      </w:r>
      <w:r>
        <w:rPr>
          <w:rFonts w:ascii="Times New Roman" w:hAnsi="Times New Roman"/>
        </w:rPr>
        <w:t>年</w:t>
      </w:r>
      <w:r>
        <w:rPr>
          <w:rFonts w:ascii="Times New Roman" w:hAnsi="Times New Roman"/>
        </w:rPr>
        <w:t>12</w:t>
      </w:r>
      <w:r>
        <w:rPr>
          <w:rFonts w:ascii="Times New Roman" w:hAnsi="Times New Roman"/>
        </w:rPr>
        <w:t>月修订）；</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《中华人民共和国野生动物保护法》（</w:t>
      </w:r>
      <w:r>
        <w:rPr>
          <w:rFonts w:ascii="Times New Roman" w:hAnsi="Times New Roman"/>
        </w:rPr>
        <w:t>2004</w:t>
      </w:r>
      <w:r>
        <w:rPr>
          <w:rFonts w:ascii="Times New Roman" w:hAnsi="Times New Roman"/>
        </w:rPr>
        <w:t>年</w:t>
      </w:r>
      <w:r>
        <w:rPr>
          <w:rFonts w:ascii="Times New Roman" w:hAnsi="Times New Roman"/>
        </w:rPr>
        <w:t>8</w:t>
      </w:r>
      <w:r>
        <w:rPr>
          <w:rFonts w:ascii="Times New Roman" w:hAnsi="Times New Roman"/>
        </w:rPr>
        <w:t>月修正）；</w:t>
      </w:r>
    </w:p>
    <w:p w:rsidR="004B4777" w:rsidRDefault="004B4777">
      <w:pPr>
        <w:numPr>
          <w:ilvl w:val="0"/>
          <w:numId w:val="6"/>
        </w:numPr>
        <w:snapToGrid w:val="0"/>
        <w:ind w:left="0" w:firstLineChars="0" w:firstLine="480"/>
        <w:jc w:val="left"/>
        <w:rPr>
          <w:rFonts w:ascii="Times New Roman" w:hAnsi="Times New Roman"/>
        </w:rPr>
      </w:pPr>
      <w:bookmarkStart w:id="62" w:name="_Toc197308983"/>
      <w:bookmarkStart w:id="63" w:name="_Toc197692816"/>
      <w:bookmarkStart w:id="64" w:name="_Toc198031535"/>
      <w:bookmarkStart w:id="65" w:name="_Toc198203725"/>
      <w:bookmarkStart w:id="66" w:name="_Toc199840478"/>
      <w:bookmarkStart w:id="67" w:name="_Toc205805530"/>
      <w:bookmarkEnd w:id="58"/>
      <w:bookmarkEnd w:id="59"/>
      <w:bookmarkEnd w:id="60"/>
      <w:bookmarkEnd w:id="61"/>
      <w:r>
        <w:rPr>
          <w:rFonts w:ascii="Times New Roman" w:hAnsi="Times New Roman"/>
        </w:rPr>
        <w:t>《产业结构调整指导目录》（</w:t>
      </w:r>
      <w:r>
        <w:rPr>
          <w:rFonts w:ascii="Times New Roman" w:hAnsi="Times New Roman"/>
        </w:rPr>
        <w:t>2011</w:t>
      </w:r>
      <w:r>
        <w:rPr>
          <w:rFonts w:ascii="Times New Roman" w:hAnsi="Times New Roman"/>
        </w:rPr>
        <w:t>年本</w:t>
      </w:r>
      <w:r>
        <w:rPr>
          <w:rFonts w:ascii="Times New Roman" w:hAnsi="Times New Roman" w:hint="eastAsia"/>
        </w:rPr>
        <w:t>，</w:t>
      </w:r>
      <w:r>
        <w:rPr>
          <w:rFonts w:ascii="Times New Roman" w:hAnsi="Times New Roman" w:hint="eastAsia"/>
        </w:rPr>
        <w:t>2013</w:t>
      </w:r>
      <w:r>
        <w:rPr>
          <w:rFonts w:ascii="Times New Roman" w:hAnsi="Times New Roman" w:hint="eastAsia"/>
        </w:rPr>
        <w:t>年修正</w:t>
      </w:r>
      <w:r>
        <w:rPr>
          <w:rFonts w:ascii="Times New Roman" w:hAnsi="Times New Roman"/>
        </w:rPr>
        <w:t>）；</w:t>
      </w:r>
      <w:bookmarkEnd w:id="62"/>
      <w:bookmarkEnd w:id="63"/>
      <w:bookmarkEnd w:id="64"/>
      <w:bookmarkEnd w:id="65"/>
      <w:bookmarkEnd w:id="66"/>
      <w:bookmarkEnd w:id="67"/>
    </w:p>
    <w:p w:rsidR="004B4777" w:rsidRDefault="004B4777">
      <w:pPr>
        <w:numPr>
          <w:ilvl w:val="0"/>
          <w:numId w:val="6"/>
        </w:numPr>
        <w:snapToGrid w:val="0"/>
        <w:ind w:left="0" w:firstLineChars="0" w:firstLine="480"/>
        <w:jc w:val="left"/>
        <w:rPr>
          <w:rFonts w:ascii="Times New Roman" w:hAnsi="Times New Roman"/>
        </w:rPr>
      </w:pPr>
      <w:bookmarkStart w:id="68" w:name="_Toc199840489"/>
      <w:bookmarkStart w:id="69" w:name="_Toc205805541"/>
      <w:r>
        <w:rPr>
          <w:rFonts w:ascii="Times New Roman" w:hAnsi="Times New Roman"/>
        </w:rPr>
        <w:t>《国务院关于落实科学发展观加强环境保护的决定》（国发</w:t>
      </w:r>
      <w:r>
        <w:rPr>
          <w:rFonts w:ascii="Times New Roman" w:hAnsi="Times New Roman" w:hint="eastAsia"/>
        </w:rPr>
        <w:t>[</w:t>
      </w:r>
      <w:r>
        <w:rPr>
          <w:rFonts w:ascii="Times New Roman" w:hAnsi="Times New Roman"/>
        </w:rPr>
        <w:t>2005]39</w:t>
      </w:r>
      <w:r>
        <w:rPr>
          <w:rFonts w:ascii="Times New Roman" w:hAnsi="Times New Roman"/>
        </w:rPr>
        <w:t>号</w:t>
      </w:r>
      <w:bookmarkEnd w:id="68"/>
      <w:bookmarkEnd w:id="69"/>
      <w:r>
        <w:rPr>
          <w:rFonts w:ascii="Times New Roman" w:hAnsi="Times New Roman"/>
        </w:rPr>
        <w:t>）；</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bCs/>
        </w:rPr>
        <w:t>关于印发《环境影响评价公众参与暂行办法》的通知</w:t>
      </w:r>
      <w:r>
        <w:rPr>
          <w:rFonts w:ascii="Times New Roman" w:hAnsi="Times New Roman"/>
        </w:rPr>
        <w:t>（环发</w:t>
      </w:r>
      <w:r>
        <w:rPr>
          <w:rFonts w:ascii="Times New Roman" w:hAnsi="Times New Roman" w:hint="eastAsia"/>
        </w:rPr>
        <w:t>[</w:t>
      </w:r>
      <w:r>
        <w:rPr>
          <w:rFonts w:ascii="Times New Roman" w:hAnsi="Times New Roman"/>
        </w:rPr>
        <w:t>2006]28</w:t>
      </w:r>
      <w:r>
        <w:rPr>
          <w:rFonts w:ascii="Times New Roman" w:hAnsi="Times New Roman"/>
        </w:rPr>
        <w:t>号）；</w:t>
      </w:r>
    </w:p>
    <w:p w:rsidR="004B4777" w:rsidRDefault="004B4777">
      <w:pPr>
        <w:numPr>
          <w:ilvl w:val="0"/>
          <w:numId w:val="6"/>
        </w:numPr>
        <w:snapToGrid w:val="0"/>
        <w:ind w:left="0" w:firstLineChars="0" w:firstLine="480"/>
        <w:jc w:val="left"/>
        <w:rPr>
          <w:rFonts w:ascii="Times New Roman" w:hAnsi="Times New Roman"/>
        </w:rPr>
      </w:pPr>
      <w:bookmarkStart w:id="70" w:name="_Toc199840487"/>
      <w:bookmarkStart w:id="71" w:name="_Toc205805539"/>
      <w:r>
        <w:rPr>
          <w:rFonts w:ascii="Times New Roman" w:hAnsi="Times New Roman"/>
        </w:rPr>
        <w:t>《全国生物物种资源保护与利用规划纲要》（环发</w:t>
      </w:r>
      <w:r>
        <w:rPr>
          <w:rFonts w:ascii="Times New Roman" w:hAnsi="Times New Roman" w:hint="eastAsia"/>
        </w:rPr>
        <w:t>[</w:t>
      </w:r>
      <w:r>
        <w:rPr>
          <w:rFonts w:ascii="Times New Roman" w:hAnsi="Times New Roman"/>
        </w:rPr>
        <w:t>2007]163</w:t>
      </w:r>
      <w:r>
        <w:rPr>
          <w:rFonts w:ascii="Times New Roman" w:hAnsi="Times New Roman"/>
        </w:rPr>
        <w:t>号）；</w:t>
      </w:r>
      <w:bookmarkEnd w:id="70"/>
      <w:bookmarkEnd w:id="71"/>
    </w:p>
    <w:p w:rsidR="004B4777" w:rsidRDefault="004B4777">
      <w:pPr>
        <w:numPr>
          <w:ilvl w:val="0"/>
          <w:numId w:val="6"/>
        </w:numPr>
        <w:snapToGrid w:val="0"/>
        <w:ind w:left="0" w:firstLineChars="0" w:firstLine="480"/>
        <w:jc w:val="left"/>
        <w:rPr>
          <w:rFonts w:ascii="Times New Roman" w:hAnsi="Times New Roman"/>
        </w:rPr>
      </w:pPr>
      <w:bookmarkStart w:id="72" w:name="_Toc197308981"/>
      <w:bookmarkStart w:id="73" w:name="_Toc197692814"/>
      <w:bookmarkStart w:id="74" w:name="_Toc198031533"/>
      <w:bookmarkStart w:id="75" w:name="_Toc198203723"/>
      <w:bookmarkStart w:id="76" w:name="_Toc199840476"/>
      <w:bookmarkStart w:id="77" w:name="_Toc205805528"/>
      <w:r>
        <w:rPr>
          <w:rFonts w:ascii="Times New Roman" w:hAnsi="Times New Roman"/>
        </w:rPr>
        <w:t>《国家危险废物名录》（</w:t>
      </w:r>
      <w:r>
        <w:rPr>
          <w:rFonts w:ascii="Times New Roman" w:hAnsi="Times New Roman"/>
        </w:rPr>
        <w:t>2016</w:t>
      </w:r>
      <w:r>
        <w:rPr>
          <w:rFonts w:ascii="Times New Roman" w:hAnsi="Times New Roman"/>
        </w:rPr>
        <w:t>年版）；</w:t>
      </w:r>
      <w:bookmarkStart w:id="78" w:name="_Toc197308982"/>
      <w:bookmarkStart w:id="79" w:name="_Toc197692815"/>
      <w:bookmarkStart w:id="80" w:name="_Toc198031534"/>
      <w:bookmarkStart w:id="81" w:name="_Toc198203724"/>
      <w:bookmarkEnd w:id="72"/>
      <w:bookmarkEnd w:id="73"/>
      <w:bookmarkEnd w:id="74"/>
      <w:bookmarkEnd w:id="75"/>
      <w:bookmarkEnd w:id="76"/>
      <w:bookmarkEnd w:id="77"/>
    </w:p>
    <w:bookmarkEnd w:id="78"/>
    <w:bookmarkEnd w:id="79"/>
    <w:bookmarkEnd w:id="80"/>
    <w:bookmarkEnd w:id="81"/>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《国务院办公厅转发环境保护部等部门关于加强重金属污染防治工作指导意见的通知》（国办发</w:t>
      </w:r>
      <w:r>
        <w:rPr>
          <w:rFonts w:ascii="Times New Roman" w:hAnsi="Times New Roman" w:hint="eastAsia"/>
        </w:rPr>
        <w:t>[</w:t>
      </w:r>
      <w:r>
        <w:rPr>
          <w:rFonts w:ascii="Times New Roman" w:hAnsi="Times New Roman"/>
        </w:rPr>
        <w:t>2009]61</w:t>
      </w:r>
      <w:r>
        <w:rPr>
          <w:rFonts w:ascii="Times New Roman" w:hAnsi="Times New Roman"/>
        </w:rPr>
        <w:t>号）；</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lastRenderedPageBreak/>
        <w:t>《关于切实加强风险防范严格环境影响评价管理的通知》（环发</w:t>
      </w:r>
      <w:r>
        <w:rPr>
          <w:rFonts w:ascii="Times New Roman" w:hAnsi="Times New Roman" w:hint="eastAsia"/>
        </w:rPr>
        <w:t>[</w:t>
      </w:r>
      <w:r>
        <w:rPr>
          <w:rFonts w:ascii="Times New Roman" w:hAnsi="Times New Roman"/>
        </w:rPr>
        <w:t>2012]98</w:t>
      </w:r>
      <w:r>
        <w:rPr>
          <w:rFonts w:ascii="Times New Roman" w:hAnsi="Times New Roman"/>
        </w:rPr>
        <w:t>号）；</w:t>
      </w:r>
    </w:p>
    <w:p w:rsidR="004B4777" w:rsidRDefault="004B4777">
      <w:pPr>
        <w:numPr>
          <w:ilvl w:val="0"/>
          <w:numId w:val="6"/>
        </w:numPr>
        <w:snapToGrid w:val="0"/>
        <w:ind w:left="0" w:firstLineChars="0" w:firstLine="480"/>
        <w:jc w:val="left"/>
        <w:rPr>
          <w:rFonts w:ascii="Times New Roman" w:hAnsi="Times New Roman"/>
        </w:rPr>
      </w:pPr>
      <w:r>
        <w:rPr>
          <w:rFonts w:ascii="Times New Roman" w:hAnsi="Times New Roman"/>
        </w:rPr>
        <w:t>《国务院关于印发大气污染防治行动计划的通知》（国发</w:t>
      </w:r>
      <w:r>
        <w:rPr>
          <w:rFonts w:ascii="Times New Roman" w:hAnsi="Times New Roman" w:hint="eastAsia"/>
        </w:rPr>
        <w:t>[</w:t>
      </w:r>
      <w:r>
        <w:rPr>
          <w:rFonts w:ascii="Times New Roman" w:hAnsi="Times New Roman"/>
        </w:rPr>
        <w:t>2013]37</w:t>
      </w:r>
      <w:r>
        <w:rPr>
          <w:rFonts w:ascii="Times New Roman" w:hAnsi="Times New Roman"/>
        </w:rPr>
        <w:t>号）；</w:t>
      </w:r>
    </w:p>
    <w:p w:rsidR="004B4777" w:rsidRDefault="004B4777">
      <w:pPr>
        <w:pStyle w:val="aff2"/>
        <w:widowControl/>
        <w:numPr>
          <w:ilvl w:val="0"/>
          <w:numId w:val="6"/>
        </w:numPr>
        <w:adjustRightInd/>
        <w:ind w:left="0" w:firstLineChars="0" w:firstLine="397"/>
        <w:jc w:val="left"/>
        <w:rPr>
          <w:rFonts w:ascii="Times New Roman" w:hAnsi="Times New Roman"/>
        </w:rPr>
      </w:pPr>
      <w:r>
        <w:rPr>
          <w:rFonts w:ascii="Times New Roman" w:hAnsi="Times New Roman"/>
          <w:color w:val="000000"/>
        </w:rPr>
        <w:t>《中华人民共和国水法》（</w:t>
      </w:r>
      <w:r>
        <w:rPr>
          <w:rFonts w:ascii="Times New Roman" w:hAnsi="Times New Roman"/>
          <w:color w:val="000000"/>
        </w:rPr>
        <w:t>2016</w:t>
      </w:r>
      <w:r>
        <w:rPr>
          <w:rFonts w:ascii="Times New Roman" w:hAnsi="Times New Roman"/>
          <w:color w:val="000000"/>
        </w:rPr>
        <w:t>年</w:t>
      </w:r>
      <w:r>
        <w:rPr>
          <w:rFonts w:ascii="Times New Roman" w:hAnsi="Times New Roman"/>
          <w:color w:val="000000"/>
        </w:rPr>
        <w:t>6</w:t>
      </w:r>
      <w:r>
        <w:rPr>
          <w:rFonts w:ascii="Times New Roman" w:hAnsi="Times New Roman"/>
          <w:color w:val="000000"/>
        </w:rPr>
        <w:t>月</w:t>
      </w:r>
      <w:r>
        <w:rPr>
          <w:rFonts w:ascii="Times New Roman" w:hAnsi="Times New Roman"/>
          <w:color w:val="000000"/>
        </w:rPr>
        <w:t>28</w:t>
      </w:r>
      <w:r>
        <w:rPr>
          <w:rFonts w:ascii="Times New Roman" w:hAnsi="Times New Roman"/>
          <w:color w:val="000000"/>
        </w:rPr>
        <w:t>日修订）；</w:t>
      </w:r>
    </w:p>
    <w:p w:rsidR="004B4777" w:rsidRDefault="004B4777">
      <w:pPr>
        <w:pStyle w:val="aff2"/>
        <w:widowControl/>
        <w:numPr>
          <w:ilvl w:val="0"/>
          <w:numId w:val="6"/>
        </w:numPr>
        <w:adjustRightInd/>
        <w:ind w:left="0" w:firstLineChars="0" w:firstLine="397"/>
        <w:jc w:val="left"/>
        <w:rPr>
          <w:rFonts w:ascii="Times New Roman" w:hAnsi="Times New Roman" w:hint="eastAsia"/>
        </w:rPr>
      </w:pPr>
      <w:r>
        <w:rPr>
          <w:rFonts w:ascii="Times New Roman" w:hAnsi="Times New Roman"/>
          <w:color w:val="000000"/>
        </w:rPr>
        <w:t>《中华人民共和国防洪法》（</w:t>
      </w:r>
      <w:r>
        <w:rPr>
          <w:rFonts w:ascii="Times New Roman" w:hAnsi="Times New Roman"/>
          <w:color w:val="000000"/>
        </w:rPr>
        <w:t>2016</w:t>
      </w:r>
      <w:r>
        <w:rPr>
          <w:rFonts w:ascii="Times New Roman" w:hAnsi="Times New Roman"/>
          <w:color w:val="000000"/>
        </w:rPr>
        <w:t>年</w:t>
      </w:r>
      <w:r>
        <w:rPr>
          <w:rFonts w:ascii="Times New Roman" w:hAnsi="Times New Roman"/>
          <w:color w:val="000000"/>
        </w:rPr>
        <w:t>7</w:t>
      </w:r>
      <w:r>
        <w:rPr>
          <w:rFonts w:ascii="Times New Roman" w:hAnsi="Times New Roman"/>
          <w:color w:val="000000"/>
        </w:rPr>
        <w:t>月</w:t>
      </w:r>
      <w:r>
        <w:rPr>
          <w:rFonts w:ascii="Times New Roman" w:hAnsi="Times New Roman"/>
          <w:color w:val="000000"/>
        </w:rPr>
        <w:t>2</w:t>
      </w:r>
      <w:r>
        <w:rPr>
          <w:rFonts w:ascii="Times New Roman" w:hAnsi="Times New Roman"/>
          <w:color w:val="000000"/>
        </w:rPr>
        <w:t>日修订）</w:t>
      </w:r>
      <w:r>
        <w:rPr>
          <w:rFonts w:ascii="Times New Roman" w:hAnsi="Times New Roman" w:hint="eastAsia"/>
          <w:color w:val="000000"/>
        </w:rPr>
        <w:t>；</w:t>
      </w:r>
    </w:p>
    <w:p w:rsidR="004B4777" w:rsidRDefault="004B4777">
      <w:pPr>
        <w:pStyle w:val="aff2"/>
        <w:widowControl/>
        <w:numPr>
          <w:ilvl w:val="0"/>
          <w:numId w:val="6"/>
        </w:numPr>
        <w:adjustRightInd/>
        <w:ind w:left="0" w:firstLineChars="0" w:firstLine="397"/>
        <w:jc w:val="left"/>
        <w:rPr>
          <w:rFonts w:ascii="Times New Roman" w:hAnsi="Times New Roman" w:hint="eastAsia"/>
        </w:rPr>
      </w:pPr>
      <w:r>
        <w:rPr>
          <w:rFonts w:ascii="Times New Roman" w:hAnsi="Times New Roman" w:hint="eastAsia"/>
          <w:color w:val="000000"/>
        </w:rPr>
        <w:t>《国家环境保护</w:t>
      </w:r>
      <w:r>
        <w:rPr>
          <w:rFonts w:ascii="Times New Roman" w:hAnsi="Times New Roman"/>
          <w:color w:val="000000"/>
        </w:rPr>
        <w:t>“</w:t>
      </w:r>
      <w:r>
        <w:rPr>
          <w:rFonts w:ascii="Times New Roman" w:hAnsi="Times New Roman" w:hint="eastAsia"/>
          <w:color w:val="000000"/>
        </w:rPr>
        <w:t>十三五</w:t>
      </w:r>
      <w:r>
        <w:rPr>
          <w:rFonts w:ascii="Times New Roman" w:hAnsi="Times New Roman"/>
          <w:color w:val="000000"/>
        </w:rPr>
        <w:t>”</w:t>
      </w:r>
      <w:r>
        <w:rPr>
          <w:rFonts w:ascii="Times New Roman" w:hAnsi="Times New Roman" w:hint="eastAsia"/>
          <w:color w:val="000000"/>
        </w:rPr>
        <w:t>规划》；</w:t>
      </w:r>
    </w:p>
    <w:p w:rsidR="004B4777" w:rsidRDefault="004B4777">
      <w:pPr>
        <w:pStyle w:val="aff2"/>
        <w:widowControl/>
        <w:numPr>
          <w:ilvl w:val="0"/>
          <w:numId w:val="6"/>
        </w:numPr>
        <w:adjustRightInd/>
        <w:ind w:left="0" w:firstLineChars="0" w:firstLine="397"/>
        <w:jc w:val="left"/>
        <w:rPr>
          <w:rFonts w:ascii="Times New Roman" w:hAnsi="Times New Roman" w:hint="eastAsia"/>
        </w:rPr>
      </w:pPr>
      <w:r>
        <w:rPr>
          <w:rFonts w:ascii="Times New Roman" w:hAnsi="Times New Roman"/>
          <w:bCs/>
          <w:snapToGrid w:val="0"/>
          <w:color w:val="000000"/>
        </w:rPr>
        <w:t>《中华人民共和国河道管理条例》（</w:t>
      </w:r>
      <w:r>
        <w:rPr>
          <w:rFonts w:ascii="Times New Roman" w:hAnsi="Times New Roman"/>
          <w:bCs/>
          <w:snapToGrid w:val="0"/>
          <w:color w:val="000000"/>
        </w:rPr>
        <w:t>2017</w:t>
      </w:r>
      <w:r>
        <w:rPr>
          <w:rFonts w:ascii="Times New Roman" w:hAnsi="Times New Roman"/>
          <w:bCs/>
          <w:snapToGrid w:val="0"/>
          <w:color w:val="000000"/>
        </w:rPr>
        <w:t>年</w:t>
      </w:r>
      <w:r>
        <w:rPr>
          <w:rFonts w:ascii="Times New Roman" w:hAnsi="Times New Roman"/>
          <w:bCs/>
          <w:snapToGrid w:val="0"/>
          <w:color w:val="000000"/>
        </w:rPr>
        <w:t>3</w:t>
      </w:r>
      <w:r>
        <w:rPr>
          <w:rFonts w:ascii="Times New Roman" w:hAnsi="Times New Roman"/>
          <w:bCs/>
          <w:snapToGrid w:val="0"/>
          <w:color w:val="000000"/>
        </w:rPr>
        <w:t>月</w:t>
      </w:r>
      <w:r>
        <w:rPr>
          <w:rFonts w:ascii="Times New Roman" w:hAnsi="Times New Roman"/>
          <w:bCs/>
          <w:snapToGrid w:val="0"/>
          <w:color w:val="000000"/>
        </w:rPr>
        <w:t>1</w:t>
      </w:r>
      <w:r>
        <w:rPr>
          <w:rFonts w:ascii="Times New Roman" w:hAnsi="Times New Roman"/>
          <w:bCs/>
          <w:snapToGrid w:val="0"/>
          <w:color w:val="000000"/>
        </w:rPr>
        <w:t>日）</w:t>
      </w:r>
      <w:r>
        <w:rPr>
          <w:rFonts w:ascii="Times New Roman" w:hAnsi="Times New Roman" w:hint="eastAsia"/>
          <w:bCs/>
          <w:snapToGrid w:val="0"/>
          <w:color w:val="000000"/>
        </w:rPr>
        <w:t>；</w:t>
      </w:r>
    </w:p>
    <w:p w:rsidR="004B4777" w:rsidRDefault="004B4777">
      <w:pPr>
        <w:pStyle w:val="aff2"/>
        <w:widowControl/>
        <w:numPr>
          <w:ilvl w:val="0"/>
          <w:numId w:val="6"/>
        </w:numPr>
        <w:adjustRightInd/>
        <w:ind w:left="0" w:firstLineChars="0" w:firstLine="397"/>
        <w:jc w:val="left"/>
        <w:rPr>
          <w:rFonts w:ascii="Times New Roman" w:hAnsi="Times New Roman" w:hint="eastAsia"/>
        </w:rPr>
      </w:pPr>
      <w:r>
        <w:rPr>
          <w:rFonts w:ascii="Times New Roman" w:hAnsi="Times New Roman"/>
          <w:szCs w:val="24"/>
        </w:rPr>
        <w:t>《湿地保护管理规定》（</w:t>
      </w:r>
      <w:r>
        <w:rPr>
          <w:rFonts w:ascii="Times New Roman" w:hAnsi="Times New Roman"/>
          <w:szCs w:val="24"/>
        </w:rPr>
        <w:t>2017</w:t>
      </w:r>
      <w:r>
        <w:rPr>
          <w:rFonts w:ascii="Times New Roman" w:hAnsi="Times New Roman" w:hint="eastAsia"/>
          <w:szCs w:val="24"/>
        </w:rPr>
        <w:t>年</w:t>
      </w:r>
      <w:r>
        <w:rPr>
          <w:rFonts w:ascii="Times New Roman" w:hAnsi="Times New Roman"/>
          <w:szCs w:val="24"/>
        </w:rPr>
        <w:t>11</w:t>
      </w:r>
      <w:r>
        <w:rPr>
          <w:rFonts w:ascii="Times New Roman" w:hAnsi="Times New Roman" w:hint="eastAsia"/>
          <w:szCs w:val="24"/>
        </w:rPr>
        <w:t>月</w:t>
      </w:r>
      <w:r>
        <w:rPr>
          <w:rFonts w:ascii="Times New Roman" w:hAnsi="Times New Roman"/>
          <w:szCs w:val="24"/>
        </w:rPr>
        <w:t>修订）</w:t>
      </w:r>
      <w:r>
        <w:rPr>
          <w:rFonts w:ascii="Times New Roman" w:hAnsi="Times New Roman" w:hint="eastAsia"/>
          <w:szCs w:val="24"/>
        </w:rPr>
        <w:t>；</w:t>
      </w:r>
    </w:p>
    <w:p w:rsidR="004B4777" w:rsidRDefault="004B4777">
      <w:pPr>
        <w:pStyle w:val="aff2"/>
        <w:widowControl/>
        <w:numPr>
          <w:ilvl w:val="0"/>
          <w:numId w:val="6"/>
        </w:numPr>
        <w:adjustRightInd/>
        <w:ind w:left="0" w:firstLineChars="0" w:firstLine="397"/>
        <w:jc w:val="left"/>
        <w:rPr>
          <w:rFonts w:ascii="Times New Roman" w:hAnsi="Times New Roman"/>
        </w:rPr>
      </w:pPr>
      <w:r>
        <w:rPr>
          <w:rFonts w:ascii="Times New Roman" w:hAnsi="Times New Roman"/>
        </w:rPr>
        <w:t>《关于</w:t>
      </w:r>
      <w:r>
        <w:rPr>
          <w:rFonts w:ascii="Times New Roman" w:hAnsi="Times New Roman"/>
          <w:szCs w:val="24"/>
        </w:rPr>
        <w:t>加强湿地保护管理的通知》（国办发〔</w:t>
      </w:r>
      <w:r>
        <w:rPr>
          <w:rFonts w:ascii="Times New Roman" w:hAnsi="Times New Roman"/>
          <w:szCs w:val="24"/>
        </w:rPr>
        <w:t>2004</w:t>
      </w:r>
      <w:r>
        <w:rPr>
          <w:rFonts w:ascii="Times New Roman" w:hAnsi="Times New Roman"/>
          <w:szCs w:val="24"/>
        </w:rPr>
        <w:t>〕</w:t>
      </w:r>
      <w:r>
        <w:rPr>
          <w:rFonts w:ascii="Times New Roman" w:hAnsi="Times New Roman"/>
          <w:szCs w:val="24"/>
        </w:rPr>
        <w:t>50</w:t>
      </w:r>
      <w:r>
        <w:rPr>
          <w:rFonts w:ascii="Times New Roman" w:hAnsi="Times New Roman"/>
          <w:szCs w:val="24"/>
        </w:rPr>
        <w:t>号）</w:t>
      </w:r>
      <w:r>
        <w:rPr>
          <w:rFonts w:ascii="Times New Roman" w:hAnsi="Times New Roman" w:hint="eastAsia"/>
        </w:rPr>
        <w:t>。</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2.1.2 </w:t>
      </w:r>
      <w:r>
        <w:rPr>
          <w:rFonts w:ascii="Times New Roman" w:eastAsia="宋体" w:hAnsi="Times New Roman"/>
          <w:b/>
        </w:rPr>
        <w:t>地方环保法律法规</w:t>
      </w:r>
      <w:r>
        <w:rPr>
          <w:rFonts w:ascii="Times New Roman" w:eastAsia="宋体" w:hAnsi="Times New Roman" w:hint="eastAsia"/>
          <w:b/>
        </w:rPr>
        <w:t>、政策及文件</w:t>
      </w:r>
    </w:p>
    <w:p w:rsidR="004B4777" w:rsidRDefault="004B4777">
      <w:pPr>
        <w:pStyle w:val="af4"/>
        <w:spacing w:after="0"/>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）《湖南省人民政府关于落实科学发展观加强环境保护的决定》；</w:t>
      </w:r>
    </w:p>
    <w:p w:rsidR="004B4777" w:rsidRDefault="004B4777">
      <w:pPr>
        <w:pStyle w:val="af4"/>
        <w:spacing w:after="0"/>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）《湖南省主要水系地表水环境功能区划》</w:t>
      </w:r>
      <w:r>
        <w:rPr>
          <w:rFonts w:ascii="Times New Roman" w:hAnsi="Times New Roman"/>
        </w:rPr>
        <w:t>DB43/023-2005</w:t>
      </w:r>
      <w:r>
        <w:rPr>
          <w:rFonts w:ascii="Times New Roman" w:hAnsi="Times New Roman"/>
        </w:rPr>
        <w:t>；</w:t>
      </w:r>
    </w:p>
    <w:p w:rsidR="004B4777" w:rsidRDefault="004B4777">
      <w:pPr>
        <w:pStyle w:val="af4"/>
        <w:spacing w:after="0"/>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）《湖南省主体功能区规划》；</w:t>
      </w:r>
    </w:p>
    <w:p w:rsidR="004B4777" w:rsidRDefault="004B4777">
      <w:pPr>
        <w:pStyle w:val="af4"/>
        <w:spacing w:after="0"/>
        <w:ind w:firstLine="480"/>
        <w:rPr>
          <w:rFonts w:ascii="Times New Roman" w:hAnsi="Times New Roman" w:hint="eastAsia"/>
        </w:rPr>
      </w:pPr>
      <w:r>
        <w:rPr>
          <w:rFonts w:ascii="Times New Roman" w:hAnsi="Times New Roman"/>
        </w:rPr>
        <w:t>（</w:t>
      </w:r>
      <w:r>
        <w:rPr>
          <w:rFonts w:ascii="Times New Roman" w:hAnsi="Times New Roman" w:hint="eastAsia"/>
        </w:rPr>
        <w:t>4</w:t>
      </w:r>
      <w:r>
        <w:rPr>
          <w:rFonts w:ascii="Times New Roman" w:hAnsi="Times New Roman"/>
        </w:rPr>
        <w:t>）《湖南省人民政府关于加强土地利用总体规划和计划管理的通知》湘政发</w:t>
      </w:r>
      <w:r>
        <w:rPr>
          <w:rFonts w:ascii="Times New Roman" w:hAnsi="Times New Roman" w:hint="eastAsia"/>
        </w:rPr>
        <w:t>[</w:t>
      </w:r>
      <w:r>
        <w:rPr>
          <w:rFonts w:ascii="Times New Roman" w:hAnsi="Times New Roman"/>
        </w:rPr>
        <w:t>2011</w:t>
      </w:r>
      <w:r>
        <w:rPr>
          <w:rFonts w:ascii="Times New Roman" w:hAnsi="Times New Roman" w:hint="eastAsia"/>
        </w:rPr>
        <w:t>]</w:t>
      </w:r>
      <w:r>
        <w:rPr>
          <w:rFonts w:ascii="Times New Roman" w:hAnsi="Times New Roman"/>
        </w:rPr>
        <w:t>29</w:t>
      </w:r>
      <w:r>
        <w:rPr>
          <w:rFonts w:ascii="Times New Roman" w:hAnsi="Times New Roman"/>
        </w:rPr>
        <w:t>号；</w:t>
      </w:r>
    </w:p>
    <w:p w:rsidR="004B4777" w:rsidRDefault="004B4777">
      <w:pPr>
        <w:pStyle w:val="af4"/>
        <w:spacing w:after="0"/>
        <w:ind w:firstLine="480"/>
        <w:rPr>
          <w:rFonts w:ascii="Times New Roman" w:hAnsi="Times New Roman" w:hint="eastAsia"/>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rPr>
        <w:t>《湖南省人民政府关于</w:t>
      </w:r>
      <w:r>
        <w:rPr>
          <w:rFonts w:ascii="Times New Roman" w:hAnsi="Times New Roman" w:hint="eastAsia"/>
        </w:rPr>
        <w:t>印发湖南省河道采砂</w:t>
      </w:r>
      <w:r>
        <w:rPr>
          <w:rFonts w:ascii="Times New Roman" w:hAnsi="Times New Roman"/>
        </w:rPr>
        <w:t>管理</w:t>
      </w:r>
      <w:r>
        <w:rPr>
          <w:rFonts w:ascii="Times New Roman" w:hAnsi="Times New Roman" w:hint="eastAsia"/>
        </w:rPr>
        <w:t>办法</w:t>
      </w:r>
      <w:r>
        <w:rPr>
          <w:rFonts w:ascii="Times New Roman" w:hAnsi="Times New Roman"/>
        </w:rPr>
        <w:t>的通知》湘政发</w:t>
      </w:r>
      <w:r>
        <w:rPr>
          <w:rFonts w:ascii="Times New Roman" w:hAnsi="Times New Roman" w:hint="eastAsia"/>
        </w:rPr>
        <w:t>[</w:t>
      </w:r>
      <w:r>
        <w:rPr>
          <w:rFonts w:ascii="Times New Roman" w:hAnsi="Times New Roman"/>
        </w:rPr>
        <w:t>201</w:t>
      </w:r>
      <w:r>
        <w:rPr>
          <w:rFonts w:ascii="Times New Roman" w:hAnsi="Times New Roman" w:hint="eastAsia"/>
        </w:rPr>
        <w:t>7]11</w:t>
      </w:r>
      <w:r>
        <w:rPr>
          <w:rFonts w:ascii="Times New Roman" w:hAnsi="Times New Roman"/>
        </w:rPr>
        <w:t>号；</w:t>
      </w:r>
    </w:p>
    <w:p w:rsidR="004B4777" w:rsidRDefault="004B4777">
      <w:pPr>
        <w:pStyle w:val="af4"/>
        <w:spacing w:after="0"/>
        <w:ind w:firstLine="480"/>
        <w:rPr>
          <w:rFonts w:ascii="Times New Roman" w:hAnsi="Times New Roman" w:hint="eastAsia"/>
        </w:rPr>
      </w:pPr>
      <w:r>
        <w:rPr>
          <w:rFonts w:ascii="Times New Roman" w:hAnsi="Times New Roman" w:hint="eastAsia"/>
        </w:rPr>
        <w:t>（</w:t>
      </w:r>
      <w:r>
        <w:rPr>
          <w:rFonts w:ascii="Times New Roman" w:hAnsi="Times New Roman" w:hint="eastAsia"/>
        </w:rPr>
        <w:t>6</w:t>
      </w:r>
      <w:r>
        <w:rPr>
          <w:rFonts w:ascii="Times New Roman" w:hAnsi="Times New Roman" w:hint="eastAsia"/>
        </w:rPr>
        <w:t>）《湖南省“十三五”环境保护规划》；</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7</w:t>
      </w:r>
      <w:r>
        <w:rPr>
          <w:rFonts w:ascii="Times New Roman" w:hAnsi="Times New Roman" w:hint="eastAsia"/>
        </w:rPr>
        <w:t>）《岳阳市生态环境保护“十三五”规划》；</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8</w:t>
      </w:r>
      <w:r>
        <w:rPr>
          <w:rFonts w:ascii="Times New Roman" w:hAnsi="Times New Roman" w:hint="eastAsia"/>
        </w:rPr>
        <w:t>）《湖南省岳阳市水利发展“十三五”规划》；</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9</w:t>
      </w:r>
      <w:r>
        <w:rPr>
          <w:rFonts w:ascii="Times New Roman" w:hAnsi="Times New Roman" w:hint="eastAsia"/>
        </w:rPr>
        <w:t>）《岳阳市土地利用总体规划》</w:t>
      </w:r>
      <w:r>
        <w:rPr>
          <w:rFonts w:ascii="Times New Roman" w:hAnsi="Times New Roman" w:hint="eastAsia"/>
        </w:rPr>
        <w:t xml:space="preserve"> (2006-2020</w:t>
      </w:r>
      <w:r>
        <w:rPr>
          <w:rFonts w:ascii="Times New Roman" w:hAnsi="Times New Roman" w:hint="eastAsia"/>
        </w:rPr>
        <w:t>年</w:t>
      </w:r>
      <w:r>
        <w:rPr>
          <w:rFonts w:ascii="Times New Roman" w:hAnsi="Times New Roman" w:hint="eastAsia"/>
        </w:rPr>
        <w:t>)</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10</w:t>
      </w:r>
      <w:r>
        <w:rPr>
          <w:rFonts w:ascii="Times New Roman" w:hAnsi="Times New Roman" w:hint="eastAsia"/>
        </w:rPr>
        <w:t>）《岳阳市水功能区划》；</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11</w:t>
      </w:r>
      <w:r>
        <w:rPr>
          <w:rFonts w:ascii="Times New Roman" w:hAnsi="Times New Roman" w:hint="eastAsia"/>
        </w:rPr>
        <w:t>）《洞庭湖区综合规划报告》；</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12</w:t>
      </w:r>
      <w:r>
        <w:rPr>
          <w:rFonts w:ascii="Times New Roman" w:hAnsi="Times New Roman" w:hint="eastAsia"/>
        </w:rPr>
        <w:t>）</w:t>
      </w:r>
      <w:r>
        <w:rPr>
          <w:rFonts w:ascii="Times New Roman" w:hAnsi="Times New Roman"/>
        </w:rPr>
        <w:t>《</w:t>
      </w:r>
      <w:r>
        <w:rPr>
          <w:rFonts w:ascii="Times New Roman" w:hAnsi="Times New Roman" w:hint="eastAsia"/>
        </w:rPr>
        <w:t>岳阳市河道采砂管理暂行办法</w:t>
      </w:r>
      <w:r>
        <w:rPr>
          <w:rFonts w:ascii="Times New Roman" w:hAnsi="Times New Roman"/>
        </w:rPr>
        <w:t>》</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13</w:t>
      </w:r>
      <w:r>
        <w:rPr>
          <w:rFonts w:ascii="Times New Roman" w:hAnsi="Times New Roman" w:hint="eastAsia"/>
        </w:rPr>
        <w:t>）《洞庭湖生态环境专项整治三年行动计划</w:t>
      </w:r>
      <w:r>
        <w:rPr>
          <w:rFonts w:ascii="Times New Roman" w:hAnsi="Times New Roman" w:hint="eastAsia"/>
        </w:rPr>
        <w:t>(2018-2020</w:t>
      </w:r>
      <w:r>
        <w:rPr>
          <w:rFonts w:ascii="Times New Roman" w:hAnsi="Times New Roman" w:hint="eastAsia"/>
        </w:rPr>
        <w:t>年</w:t>
      </w:r>
      <w:r>
        <w:rPr>
          <w:rFonts w:ascii="Times New Roman" w:hAnsi="Times New Roman" w:hint="eastAsia"/>
        </w:rPr>
        <w:t>)</w:t>
      </w:r>
      <w:r>
        <w:rPr>
          <w:rFonts w:ascii="Times New Roman" w:hAnsi="Times New Roman" w:hint="eastAsia"/>
        </w:rPr>
        <w:t>》的通知（湘政办发</w:t>
      </w:r>
      <w:r>
        <w:rPr>
          <w:rFonts w:ascii="Times New Roman" w:hAnsi="Times New Roman" w:hint="eastAsia"/>
        </w:rPr>
        <w:t xml:space="preserve"> [2017] 83</w:t>
      </w:r>
      <w:r>
        <w:rPr>
          <w:rFonts w:ascii="Times New Roman" w:hAnsi="Times New Roman" w:hint="eastAsia"/>
        </w:rPr>
        <w:t>号）；</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14</w:t>
      </w:r>
      <w:r>
        <w:rPr>
          <w:rFonts w:ascii="Times New Roman" w:hAnsi="Times New Roman" w:hint="eastAsia"/>
        </w:rPr>
        <w:t>）《湖南省县级以上地表水集中式饮用水水源保护区划定方案》（湘政函〔</w:t>
      </w:r>
      <w:r>
        <w:rPr>
          <w:rFonts w:ascii="Times New Roman" w:hAnsi="Times New Roman" w:hint="eastAsia"/>
        </w:rPr>
        <w:t>2016</w:t>
      </w:r>
      <w:r>
        <w:rPr>
          <w:rFonts w:ascii="Times New Roman" w:hAnsi="Times New Roman" w:hint="eastAsia"/>
        </w:rPr>
        <w:t>〕</w:t>
      </w:r>
      <w:r>
        <w:rPr>
          <w:rFonts w:ascii="Times New Roman" w:hAnsi="Times New Roman" w:hint="eastAsia"/>
        </w:rPr>
        <w:t>176</w:t>
      </w:r>
      <w:r>
        <w:rPr>
          <w:rFonts w:ascii="Times New Roman" w:hAnsi="Times New Roman" w:hint="eastAsia"/>
        </w:rPr>
        <w:t>号）；</w:t>
      </w:r>
    </w:p>
    <w:p w:rsidR="004B4777" w:rsidRDefault="004B4777">
      <w:pPr>
        <w:ind w:firstLine="480"/>
        <w:rPr>
          <w:rFonts w:ascii="Times New Roman" w:hAnsi="Times New Roman"/>
        </w:rPr>
      </w:pPr>
      <w:r>
        <w:rPr>
          <w:rFonts w:ascii="Times New Roman" w:hAnsi="Times New Roman" w:hint="eastAsia"/>
        </w:rPr>
        <w:t>（</w:t>
      </w:r>
      <w:r>
        <w:rPr>
          <w:rFonts w:ascii="Times New Roman" w:hAnsi="Times New Roman" w:hint="eastAsia"/>
        </w:rPr>
        <w:t>15</w:t>
      </w:r>
      <w:r>
        <w:rPr>
          <w:rFonts w:ascii="Times New Roman" w:hAnsi="Times New Roman" w:hint="eastAsia"/>
        </w:rPr>
        <w:t>）湖南省人民政府关于印发《湖南省生态保护红线》的通知（湘政发</w:t>
      </w:r>
      <w:r>
        <w:rPr>
          <w:rFonts w:ascii="Times New Roman" w:hAnsi="Times New Roman" w:hint="eastAsia"/>
          <w:szCs w:val="20"/>
        </w:rPr>
        <w:lastRenderedPageBreak/>
        <w:t>[2018]20</w:t>
      </w:r>
      <w:r>
        <w:rPr>
          <w:rFonts w:ascii="Times New Roman" w:hAnsi="Times New Roman" w:hint="eastAsia"/>
        </w:rPr>
        <w:t>号）。</w:t>
      </w:r>
    </w:p>
    <w:p w:rsidR="004B4777" w:rsidRDefault="004B4777">
      <w:pPr>
        <w:pStyle w:val="3"/>
        <w:spacing w:before="0" w:after="0"/>
        <w:rPr>
          <w:rFonts w:ascii="Times New Roman" w:eastAsia="宋体" w:hAnsi="Times New Roman"/>
          <w:b/>
        </w:rPr>
      </w:pPr>
      <w:r>
        <w:rPr>
          <w:rFonts w:ascii="Times New Roman" w:eastAsia="宋体" w:hAnsi="Times New Roman"/>
          <w:b/>
        </w:rPr>
        <w:t>2.1.3</w:t>
      </w:r>
      <w:r>
        <w:rPr>
          <w:rFonts w:ascii="Times New Roman" w:eastAsia="宋体" w:hAnsi="Times New Roman" w:hint="eastAsia"/>
          <w:b/>
        </w:rPr>
        <w:t>技术导则和技术规范</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w:t>
      </w:r>
      <w:r>
        <w:rPr>
          <w:rFonts w:ascii="Times New Roman" w:hAnsi="Times New Roman" w:hint="eastAsia"/>
        </w:rPr>
        <w:t>建设项目</w:t>
      </w:r>
      <w:r>
        <w:rPr>
          <w:rFonts w:ascii="Times New Roman" w:hAnsi="Times New Roman"/>
        </w:rPr>
        <w:t>环境影响评价技术导则</w:t>
      </w:r>
      <w:r>
        <w:rPr>
          <w:rFonts w:ascii="Times New Roman" w:hAnsi="Times New Roman"/>
        </w:rPr>
        <w:t xml:space="preserve">  </w:t>
      </w:r>
      <w:r>
        <w:rPr>
          <w:rFonts w:ascii="Times New Roman" w:hAnsi="Times New Roman"/>
        </w:rPr>
        <w:t>总纲》（</w:t>
      </w:r>
      <w:r>
        <w:rPr>
          <w:rFonts w:ascii="Times New Roman" w:hAnsi="Times New Roman"/>
        </w:rPr>
        <w:t>HJ2.1-201</w:t>
      </w:r>
      <w:r>
        <w:rPr>
          <w:rFonts w:ascii="Times New Roman" w:hAnsi="Times New Roman" w:hint="eastAsia"/>
        </w:rPr>
        <w:t>6</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《环境影响评价技术导则</w:t>
      </w:r>
      <w:r>
        <w:rPr>
          <w:rFonts w:ascii="Times New Roman" w:hAnsi="Times New Roman"/>
        </w:rPr>
        <w:t xml:space="preserve">  </w:t>
      </w:r>
      <w:r>
        <w:rPr>
          <w:rFonts w:ascii="Times New Roman" w:hAnsi="Times New Roman"/>
        </w:rPr>
        <w:t>大气环境》（</w:t>
      </w:r>
      <w:r>
        <w:rPr>
          <w:rFonts w:ascii="Times New Roman" w:hAnsi="Times New Roman"/>
        </w:rPr>
        <w:t>HJ2.2-2008</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《环境影响评价技术导则</w:t>
      </w:r>
      <w:r>
        <w:rPr>
          <w:rFonts w:ascii="Times New Roman" w:hAnsi="Times New Roman"/>
        </w:rPr>
        <w:t xml:space="preserve">  </w:t>
      </w:r>
      <w:r>
        <w:rPr>
          <w:rFonts w:ascii="Times New Roman" w:hAnsi="Times New Roman"/>
        </w:rPr>
        <w:t>地表水环境》（</w:t>
      </w:r>
      <w:r>
        <w:rPr>
          <w:rFonts w:ascii="Times New Roman" w:hAnsi="Times New Roman"/>
        </w:rPr>
        <w:t>HJ/T2.3-93</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《环境影响评价技术导则</w:t>
      </w:r>
      <w:r>
        <w:rPr>
          <w:rFonts w:ascii="Times New Roman" w:hAnsi="Times New Roman"/>
        </w:rPr>
        <w:t xml:space="preserve">  </w:t>
      </w:r>
      <w:r>
        <w:rPr>
          <w:rFonts w:ascii="Times New Roman" w:hAnsi="Times New Roman"/>
        </w:rPr>
        <w:t>地下水环境》（</w:t>
      </w:r>
      <w:r>
        <w:rPr>
          <w:rFonts w:ascii="Times New Roman" w:hAnsi="Times New Roman"/>
        </w:rPr>
        <w:t>HJ610-2016</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《环境影响评价技术导则</w:t>
      </w:r>
      <w:r>
        <w:rPr>
          <w:rFonts w:ascii="Times New Roman" w:hAnsi="Times New Roman"/>
        </w:rPr>
        <w:t xml:space="preserve">  </w:t>
      </w:r>
      <w:r>
        <w:rPr>
          <w:rFonts w:ascii="Times New Roman" w:hAnsi="Times New Roman"/>
        </w:rPr>
        <w:t>声环境》（</w:t>
      </w:r>
      <w:r>
        <w:rPr>
          <w:rFonts w:ascii="Times New Roman" w:hAnsi="Times New Roman"/>
        </w:rPr>
        <w:t>HJ2.4-2009</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《环境影响评价技术导则</w:t>
      </w:r>
      <w:r>
        <w:rPr>
          <w:rFonts w:ascii="Times New Roman" w:hAnsi="Times New Roman"/>
        </w:rPr>
        <w:t xml:space="preserve">  </w:t>
      </w:r>
      <w:r>
        <w:rPr>
          <w:rFonts w:ascii="Times New Roman" w:hAnsi="Times New Roman"/>
        </w:rPr>
        <w:t>生态影响》（</w:t>
      </w:r>
      <w:r>
        <w:rPr>
          <w:rFonts w:ascii="Times New Roman" w:hAnsi="Times New Roman"/>
        </w:rPr>
        <w:t>HJ19-2011</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hint="eastAsia"/>
        </w:rPr>
      </w:pPr>
      <w:r>
        <w:rPr>
          <w:rFonts w:ascii="Times New Roman" w:hAnsi="Times New Roman"/>
        </w:rPr>
        <w:t>《建设项目环境风险评价技术导则》（</w:t>
      </w:r>
      <w:r>
        <w:rPr>
          <w:rFonts w:ascii="Times New Roman" w:hAnsi="Times New Roman"/>
        </w:rPr>
        <w:t>HJ/T169-2004</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《大气污染治理工程技术导则》（</w:t>
      </w:r>
      <w:r>
        <w:rPr>
          <w:rFonts w:ascii="Times New Roman" w:hAnsi="Times New Roman"/>
        </w:rPr>
        <w:t>HJ2000-2010</w:t>
      </w:r>
      <w:r>
        <w:rPr>
          <w:rFonts w:ascii="Times New Roman" w:hAnsi="Times New Roman"/>
        </w:rPr>
        <w:t>）；</w:t>
      </w:r>
    </w:p>
    <w:p w:rsidR="004B4777" w:rsidRDefault="004B4777">
      <w:pPr>
        <w:pStyle w:val="aff2"/>
        <w:widowControl/>
        <w:numPr>
          <w:ilvl w:val="0"/>
          <w:numId w:val="7"/>
        </w:numPr>
        <w:adjustRightInd/>
        <w:ind w:firstLineChars="0" w:hanging="368"/>
        <w:jc w:val="left"/>
        <w:rPr>
          <w:rFonts w:ascii="Times New Roman" w:hAnsi="Times New Roman"/>
        </w:rPr>
      </w:pPr>
      <w:r>
        <w:rPr>
          <w:rFonts w:ascii="Times New Roman" w:hAnsi="Times New Roman"/>
        </w:rPr>
        <w:t>《水污染治理工程技术导则》（</w:t>
      </w:r>
      <w:r>
        <w:rPr>
          <w:rFonts w:ascii="Times New Roman" w:hAnsi="Times New Roman"/>
        </w:rPr>
        <w:t>HJ2015-2012</w:t>
      </w:r>
      <w:r>
        <w:rPr>
          <w:rFonts w:ascii="Times New Roman" w:hAnsi="Times New Roman"/>
        </w:rPr>
        <w:t>）</w:t>
      </w:r>
      <w:r>
        <w:rPr>
          <w:rFonts w:ascii="Times New Roman" w:hAnsi="Times New Roman" w:hint="eastAsia"/>
        </w:rPr>
        <w:t>。</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2.1.</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hint="eastAsia"/>
          <w:b/>
        </w:rPr>
        <w:t>其他</w:t>
      </w:r>
      <w:r>
        <w:rPr>
          <w:rFonts w:ascii="Times New Roman" w:eastAsia="宋体" w:hAnsi="Times New Roman"/>
          <w:b/>
        </w:rPr>
        <w:t>相关</w:t>
      </w:r>
      <w:r>
        <w:rPr>
          <w:rFonts w:ascii="Times New Roman" w:eastAsia="宋体" w:hAnsi="Times New Roman" w:hint="eastAsia"/>
          <w:b/>
        </w:rPr>
        <w:t>资料</w:t>
      </w:r>
    </w:p>
    <w:p w:rsidR="004B4777" w:rsidRDefault="004B4777">
      <w:pPr>
        <w:ind w:firstLine="480"/>
        <w:rPr>
          <w:rFonts w:ascii="Times New Roman" w:hAnsi="Times New Roman" w:hint="eastAsia"/>
          <w:szCs w:val="24"/>
        </w:rPr>
      </w:pPr>
      <w:r>
        <w:rPr>
          <w:rFonts w:ascii="Times New Roman" w:hAnsi="Times New Roman" w:hint="eastAsia"/>
          <w:szCs w:val="20"/>
        </w:rPr>
        <w:t>（</w:t>
      </w:r>
      <w:r>
        <w:rPr>
          <w:rFonts w:ascii="Times New Roman" w:hAnsi="Times New Roman" w:hint="eastAsia"/>
          <w:szCs w:val="20"/>
        </w:rPr>
        <w:t>1</w:t>
      </w:r>
      <w:r>
        <w:rPr>
          <w:rFonts w:ascii="Times New Roman" w:hAnsi="Times New Roman" w:hint="eastAsia"/>
          <w:szCs w:val="20"/>
        </w:rPr>
        <w:t>）</w:t>
      </w:r>
      <w:r>
        <w:rPr>
          <w:rFonts w:ascii="Times New Roman" w:hAnsi="Times New Roman" w:hint="eastAsia"/>
        </w:rPr>
        <w:t>《湖南省湘江干流及洞庭湖区岳阳段河道采砂规划（</w:t>
      </w:r>
      <w:r>
        <w:rPr>
          <w:rFonts w:ascii="Times New Roman" w:hAnsi="Times New Roman" w:hint="eastAsia"/>
        </w:rPr>
        <w:t>2017~2020</w:t>
      </w:r>
      <w:r>
        <w:rPr>
          <w:rFonts w:ascii="Times New Roman" w:hAnsi="Times New Roman" w:hint="eastAsia"/>
        </w:rPr>
        <w:t>年）》（岳阳市水利水电勘测设计院）</w:t>
      </w:r>
      <w:r>
        <w:rPr>
          <w:rFonts w:ascii="Times New Roman" w:hAnsi="Times New Roman"/>
          <w:szCs w:val="24"/>
        </w:rPr>
        <w:t>；</w:t>
      </w:r>
    </w:p>
    <w:p w:rsidR="004B4777" w:rsidRDefault="004B4777">
      <w:pPr>
        <w:ind w:firstLine="480"/>
        <w:rPr>
          <w:rFonts w:ascii="Times New Roman" w:hAnsi="Times New Roman"/>
          <w:szCs w:val="20"/>
        </w:rPr>
      </w:pPr>
      <w:r>
        <w:rPr>
          <w:rFonts w:ascii="Times New Roman" w:hAnsi="Times New Roman" w:hint="eastAsia"/>
          <w:szCs w:val="20"/>
        </w:rPr>
        <w:t>（</w:t>
      </w:r>
      <w:r>
        <w:rPr>
          <w:rFonts w:ascii="Times New Roman" w:hAnsi="Times New Roman"/>
          <w:szCs w:val="20"/>
        </w:rPr>
        <w:t>2</w:t>
      </w:r>
      <w:r>
        <w:rPr>
          <w:rFonts w:ascii="Times New Roman" w:hAnsi="Times New Roman" w:hint="eastAsia"/>
          <w:szCs w:val="20"/>
        </w:rPr>
        <w:t>）</w:t>
      </w:r>
      <w:r>
        <w:rPr>
          <w:rFonts w:ascii="Times New Roman" w:hAnsi="Times New Roman" w:hint="eastAsia"/>
        </w:rPr>
        <w:t>《湖南省湘江干流及洞庭湖区岳阳段河道采砂规划（</w:t>
      </w:r>
      <w:r>
        <w:rPr>
          <w:rFonts w:ascii="Times New Roman" w:hAnsi="Times New Roman" w:hint="eastAsia"/>
        </w:rPr>
        <w:t>2017~2020</w:t>
      </w:r>
      <w:r>
        <w:rPr>
          <w:rFonts w:ascii="Times New Roman" w:hAnsi="Times New Roman" w:hint="eastAsia"/>
        </w:rPr>
        <w:t>年）环境影响报告书》（湖南葆华环保有限公司）；</w:t>
      </w:r>
    </w:p>
    <w:p w:rsidR="004B4777" w:rsidRDefault="004B4777">
      <w:pPr>
        <w:ind w:firstLine="480"/>
        <w:rPr>
          <w:rFonts w:ascii="Times New Roman" w:hAnsi="Times New Roman" w:hint="eastAsia"/>
        </w:rPr>
      </w:pPr>
      <w:r>
        <w:rPr>
          <w:rFonts w:ascii="Times New Roman" w:hAnsi="Times New Roman" w:hint="eastAsia"/>
          <w:szCs w:val="20"/>
        </w:rPr>
        <w:t>（</w:t>
      </w:r>
      <w:r>
        <w:rPr>
          <w:rFonts w:ascii="Times New Roman" w:hAnsi="Times New Roman" w:hint="eastAsia"/>
          <w:szCs w:val="20"/>
        </w:rPr>
        <w:t>3</w:t>
      </w:r>
      <w:r>
        <w:rPr>
          <w:rFonts w:ascii="Times New Roman" w:hAnsi="Times New Roman" w:hint="eastAsia"/>
          <w:szCs w:val="20"/>
        </w:rPr>
        <w:t>）</w:t>
      </w:r>
      <w:r>
        <w:rPr>
          <w:rFonts w:ascii="Times New Roman" w:hAnsi="Times New Roman" w:hint="eastAsia"/>
        </w:rPr>
        <w:t>《湖南省湘江干流及洞庭湖区岳阳段河道采砂规划（</w:t>
      </w:r>
      <w:r>
        <w:rPr>
          <w:rFonts w:ascii="Times New Roman" w:hAnsi="Times New Roman" w:hint="eastAsia"/>
        </w:rPr>
        <w:t>2017~2020</w:t>
      </w:r>
      <w:r>
        <w:rPr>
          <w:rFonts w:ascii="Times New Roman" w:hAnsi="Times New Roman" w:hint="eastAsia"/>
        </w:rPr>
        <w:t>年）环境影响报告书》审查意见（岳阳市环境保护局）；</w:t>
      </w:r>
    </w:p>
    <w:p w:rsidR="004B4777" w:rsidRDefault="004B4777">
      <w:pPr>
        <w:ind w:firstLine="480"/>
        <w:rPr>
          <w:rFonts w:ascii="Times New Roman" w:hAnsi="Times New Roman" w:hint="eastAsia"/>
          <w:szCs w:val="20"/>
        </w:rPr>
      </w:pPr>
      <w:r>
        <w:rPr>
          <w:rFonts w:ascii="Times New Roman" w:hAnsi="Times New Roman" w:hint="eastAsia"/>
          <w:szCs w:val="20"/>
        </w:rPr>
        <w:t>（</w:t>
      </w:r>
      <w:r>
        <w:rPr>
          <w:rFonts w:ascii="Times New Roman" w:hAnsi="Times New Roman" w:hint="eastAsia"/>
          <w:szCs w:val="20"/>
        </w:rPr>
        <w:t>4</w:t>
      </w:r>
      <w:r>
        <w:rPr>
          <w:rFonts w:ascii="Times New Roman" w:hAnsi="Times New Roman" w:hint="eastAsia"/>
          <w:szCs w:val="20"/>
        </w:rPr>
        <w:t>）《湘阴县易婆塘斗米嘴等等</w:t>
      </w:r>
      <w:r>
        <w:rPr>
          <w:rFonts w:ascii="Times New Roman" w:hAnsi="Times New Roman" w:hint="eastAsia"/>
          <w:szCs w:val="20"/>
        </w:rPr>
        <w:t xml:space="preserve">4 </w:t>
      </w:r>
      <w:r>
        <w:rPr>
          <w:rFonts w:ascii="Times New Roman" w:hAnsi="Times New Roman" w:hint="eastAsia"/>
          <w:szCs w:val="20"/>
        </w:rPr>
        <w:t>个采区采砂对南洞庭湖南方鲶青虾中华鳖国家级水产种质资源保护区影响专题论证报告》（湖南省水产科学研究所，</w:t>
      </w:r>
      <w:r>
        <w:rPr>
          <w:rFonts w:ascii="Times New Roman" w:hAnsi="Times New Roman" w:hint="eastAsia"/>
          <w:szCs w:val="20"/>
        </w:rPr>
        <w:t>2018.06</w:t>
      </w:r>
      <w:r>
        <w:rPr>
          <w:rFonts w:ascii="Times New Roman" w:hAnsi="Times New Roman" w:hint="eastAsia"/>
          <w:szCs w:val="20"/>
        </w:rPr>
        <w:t>）；</w:t>
      </w:r>
    </w:p>
    <w:p w:rsidR="004B4777" w:rsidRDefault="004B4777">
      <w:pPr>
        <w:ind w:firstLine="480"/>
        <w:rPr>
          <w:rFonts w:ascii="Times New Roman" w:hAnsi="Times New Roman"/>
          <w:szCs w:val="20"/>
        </w:rPr>
      </w:pPr>
      <w:r>
        <w:rPr>
          <w:rFonts w:ascii="Times New Roman" w:hAnsi="Times New Roman" w:hint="eastAsia"/>
          <w:szCs w:val="20"/>
        </w:rPr>
        <w:t>（</w:t>
      </w:r>
      <w:r>
        <w:rPr>
          <w:rFonts w:ascii="Times New Roman" w:hAnsi="Times New Roman" w:hint="eastAsia"/>
          <w:szCs w:val="20"/>
        </w:rPr>
        <w:t>5</w:t>
      </w:r>
      <w:r>
        <w:rPr>
          <w:rFonts w:ascii="Times New Roman" w:hAnsi="Times New Roman" w:hint="eastAsia"/>
          <w:szCs w:val="20"/>
        </w:rPr>
        <w:t>）</w:t>
      </w:r>
      <w:r>
        <w:rPr>
          <w:rFonts w:hint="eastAsia"/>
        </w:rPr>
        <w:t>《湘阴县采砂防洪影响评价报告》；</w:t>
      </w:r>
    </w:p>
    <w:p w:rsidR="004B4777" w:rsidRDefault="004B4777">
      <w:pPr>
        <w:ind w:firstLine="480"/>
        <w:rPr>
          <w:rFonts w:ascii="Times New Roman" w:hAnsi="Times New Roman"/>
        </w:rPr>
      </w:pPr>
      <w:r>
        <w:rPr>
          <w:rFonts w:ascii="Times New Roman" w:hAnsi="Times New Roman" w:hint="eastAsia"/>
          <w:szCs w:val="20"/>
        </w:rPr>
        <w:t>（</w:t>
      </w:r>
      <w:r>
        <w:rPr>
          <w:rFonts w:ascii="Times New Roman" w:hAnsi="Times New Roman" w:hint="eastAsia"/>
          <w:szCs w:val="20"/>
        </w:rPr>
        <w:t>6</w:t>
      </w:r>
      <w:r>
        <w:rPr>
          <w:rFonts w:ascii="Times New Roman" w:hAnsi="Times New Roman" w:hint="eastAsia"/>
          <w:szCs w:val="20"/>
        </w:rPr>
        <w:t>）</w:t>
      </w:r>
      <w:r>
        <w:rPr>
          <w:rFonts w:ascii="Times New Roman" w:hAnsi="Times New Roman"/>
          <w:szCs w:val="24"/>
        </w:rPr>
        <w:t>建设单位与评价单位签订的委托书、合同书；</w:t>
      </w:r>
    </w:p>
    <w:p w:rsidR="004B4777" w:rsidRDefault="004B4777">
      <w:pPr>
        <w:ind w:firstLine="480"/>
        <w:rPr>
          <w:rFonts w:ascii="Times New Roman" w:hAnsi="Times New Roman"/>
          <w:szCs w:val="20"/>
        </w:rPr>
      </w:pPr>
      <w:r>
        <w:rPr>
          <w:rFonts w:ascii="Times New Roman" w:hAnsi="Times New Roman" w:hint="eastAsia"/>
          <w:szCs w:val="20"/>
        </w:rPr>
        <w:t>（</w:t>
      </w:r>
      <w:r>
        <w:rPr>
          <w:rFonts w:ascii="Times New Roman" w:hAnsi="Times New Roman" w:hint="eastAsia"/>
          <w:szCs w:val="20"/>
        </w:rPr>
        <w:t>7</w:t>
      </w:r>
      <w:r>
        <w:rPr>
          <w:rFonts w:ascii="Times New Roman" w:hAnsi="Times New Roman" w:hint="eastAsia"/>
          <w:szCs w:val="20"/>
        </w:rPr>
        <w:t>）</w:t>
      </w:r>
      <w:r>
        <w:rPr>
          <w:rFonts w:ascii="Times New Roman" w:hAnsi="Times New Roman"/>
          <w:szCs w:val="24"/>
        </w:rPr>
        <w:t>建设项目执行标准确认</w:t>
      </w:r>
      <w:r>
        <w:rPr>
          <w:rFonts w:ascii="Times New Roman" w:hAnsi="Times New Roman" w:hint="eastAsia"/>
          <w:szCs w:val="24"/>
        </w:rPr>
        <w:t>函</w:t>
      </w:r>
      <w:r>
        <w:rPr>
          <w:rFonts w:ascii="Times New Roman" w:hAnsi="Times New Roman"/>
        </w:rPr>
        <w:t>；</w:t>
      </w:r>
    </w:p>
    <w:p w:rsidR="004B4777" w:rsidRDefault="004B4777">
      <w:pPr>
        <w:ind w:firstLine="480"/>
        <w:rPr>
          <w:rFonts w:ascii="Times New Roman" w:hAnsi="Times New Roman"/>
          <w:szCs w:val="24"/>
        </w:rPr>
      </w:pPr>
      <w:r>
        <w:rPr>
          <w:rFonts w:ascii="Times New Roman" w:hAnsi="Times New Roman" w:hint="eastAsia"/>
          <w:szCs w:val="20"/>
        </w:rPr>
        <w:t>（</w:t>
      </w:r>
      <w:r>
        <w:rPr>
          <w:rFonts w:ascii="Times New Roman" w:hAnsi="Times New Roman" w:hint="eastAsia"/>
          <w:szCs w:val="20"/>
        </w:rPr>
        <w:t>8</w:t>
      </w:r>
      <w:r>
        <w:rPr>
          <w:rFonts w:ascii="Times New Roman" w:hAnsi="Times New Roman" w:hint="eastAsia"/>
          <w:szCs w:val="20"/>
        </w:rPr>
        <w:t>）</w:t>
      </w:r>
      <w:r>
        <w:rPr>
          <w:rFonts w:ascii="Times New Roman" w:hAnsi="Times New Roman"/>
          <w:szCs w:val="24"/>
        </w:rPr>
        <w:t>其它相关资料。</w:t>
      </w:r>
    </w:p>
    <w:p w:rsidR="004B4777" w:rsidRDefault="004B4777">
      <w:pPr>
        <w:pStyle w:val="2"/>
        <w:spacing w:before="0" w:after="0"/>
        <w:rPr>
          <w:rFonts w:ascii="Times New Roman" w:eastAsia="宋体" w:hAnsi="Times New Roman" w:hint="eastAsia"/>
          <w:b/>
          <w:sz w:val="30"/>
          <w:szCs w:val="30"/>
        </w:rPr>
      </w:pPr>
      <w:bookmarkStart w:id="82" w:name="_Toc523854013"/>
      <w:r>
        <w:rPr>
          <w:rFonts w:ascii="Times New Roman" w:eastAsia="宋体" w:hAnsi="Times New Roman"/>
          <w:b/>
          <w:sz w:val="30"/>
          <w:szCs w:val="30"/>
        </w:rPr>
        <w:t xml:space="preserve">2.2 </w:t>
      </w:r>
      <w:r>
        <w:rPr>
          <w:rFonts w:ascii="Times New Roman" w:eastAsia="宋体" w:hAnsi="Times New Roman" w:hint="eastAsia"/>
          <w:b/>
          <w:sz w:val="30"/>
          <w:szCs w:val="30"/>
        </w:rPr>
        <w:t>环境功能</w:t>
      </w:r>
      <w:r>
        <w:rPr>
          <w:rFonts w:ascii="Times New Roman" w:eastAsia="宋体" w:hAnsi="Times New Roman"/>
          <w:b/>
          <w:sz w:val="30"/>
          <w:szCs w:val="30"/>
        </w:rPr>
        <w:t>区划与评价标准</w:t>
      </w:r>
      <w:bookmarkEnd w:id="82"/>
    </w:p>
    <w:p w:rsidR="004B4777" w:rsidRDefault="004B4777">
      <w:pPr>
        <w:pStyle w:val="3"/>
        <w:spacing w:before="0" w:after="0"/>
        <w:rPr>
          <w:rFonts w:ascii="Times New Roman" w:eastAsia="宋体" w:hAnsi="Times New Roman" w:hint="eastAsia"/>
          <w:b/>
        </w:rPr>
      </w:pPr>
      <w:bookmarkStart w:id="83" w:name="_Hlk481746444"/>
      <w:r>
        <w:rPr>
          <w:rFonts w:ascii="Times New Roman" w:eastAsia="宋体" w:hAnsi="Times New Roman"/>
          <w:b/>
        </w:rPr>
        <w:t xml:space="preserve">2.2.1 </w:t>
      </w:r>
      <w:r>
        <w:rPr>
          <w:rFonts w:ascii="Times New Roman" w:eastAsia="宋体" w:hAnsi="Times New Roman" w:hint="eastAsia"/>
          <w:b/>
        </w:rPr>
        <w:t>环境功能</w:t>
      </w:r>
      <w:r>
        <w:rPr>
          <w:rFonts w:ascii="Times New Roman" w:eastAsia="宋体" w:hAnsi="Times New Roman"/>
          <w:b/>
        </w:rPr>
        <w:t>区划</w:t>
      </w:r>
    </w:p>
    <w:bookmarkEnd w:id="83"/>
    <w:p w:rsidR="004B4777" w:rsidRDefault="004B4777">
      <w:pPr>
        <w:ind w:firstLine="480"/>
        <w:rPr>
          <w:rFonts w:ascii="Times New Roman" w:hAnsi="Times New Roman"/>
          <w:szCs w:val="24"/>
        </w:rPr>
      </w:pPr>
      <w:r>
        <w:rPr>
          <w:rFonts w:ascii="Times New Roman" w:hAnsi="Times New Roman"/>
          <w:szCs w:val="24"/>
        </w:rPr>
        <w:t>本项目所在区域环境功能区划类别</w:t>
      </w:r>
      <w:r>
        <w:rPr>
          <w:rFonts w:ascii="Times New Roman" w:hAnsi="Times New Roman" w:hint="eastAsia"/>
          <w:szCs w:val="24"/>
        </w:rPr>
        <w:t>如下：</w:t>
      </w:r>
    </w:p>
    <w:p w:rsidR="004B4777" w:rsidRDefault="004B4777">
      <w:pPr>
        <w:ind w:firstLine="480"/>
        <w:rPr>
          <w:rFonts w:ascii="Times New Roman" w:hAnsi="Times New Roman"/>
        </w:rPr>
      </w:pPr>
      <w:r>
        <w:rPr>
          <w:rFonts w:ascii="Times New Roman" w:hAnsi="Times New Roman"/>
          <w:szCs w:val="24"/>
        </w:rPr>
        <w:lastRenderedPageBreak/>
        <w:t>（</w:t>
      </w:r>
      <w:r>
        <w:rPr>
          <w:rFonts w:ascii="Times New Roman" w:hAnsi="Times New Roman"/>
          <w:szCs w:val="24"/>
        </w:rPr>
        <w:t>1</w:t>
      </w:r>
      <w:r>
        <w:rPr>
          <w:rFonts w:ascii="Times New Roman" w:hAnsi="Times New Roman"/>
          <w:szCs w:val="24"/>
        </w:rPr>
        <w:t>）水环境：本项目采砂区位于</w:t>
      </w:r>
      <w:r>
        <w:rPr>
          <w:rFonts w:ascii="Times New Roman" w:hAnsi="Times New Roman" w:hint="eastAsia"/>
          <w:szCs w:val="24"/>
          <w:lang w:val="en-GB"/>
        </w:rPr>
        <w:t>资江和湘江</w:t>
      </w:r>
      <w:r>
        <w:rPr>
          <w:rFonts w:ascii="Times New Roman" w:hAnsi="Times New Roman"/>
          <w:szCs w:val="24"/>
          <w:lang w:val="en-GB"/>
        </w:rPr>
        <w:t>，</w:t>
      </w:r>
      <w:r>
        <w:rPr>
          <w:rFonts w:ascii="Times New Roman" w:hAnsi="Times New Roman"/>
        </w:rPr>
        <w:t>根据《湖南省主要水系地表水环境功能区划》中的规划，</w:t>
      </w:r>
      <w:r>
        <w:rPr>
          <w:rFonts w:ascii="Times New Roman" w:hAnsi="Times New Roman" w:hint="eastAsia"/>
        </w:rPr>
        <w:t>该段地表水涉及渔业用水区、集中式饮用水水源保护区二级保护区和一级保护区，水质目标分别对应为Ⅲ类和Ⅱ类水体，水域执行Ⅲ类和Ⅱ类水质标准。</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环境</w:t>
      </w:r>
      <w:r>
        <w:rPr>
          <w:rFonts w:ascii="Times New Roman" w:hAnsi="Times New Roman"/>
        </w:rPr>
        <w:t>空气：</w:t>
      </w:r>
      <w:r>
        <w:rPr>
          <w:rFonts w:ascii="Times New Roman" w:hAnsi="Times New Roman" w:hint="eastAsia"/>
        </w:rPr>
        <w:t>采区区域大气环境为二类区，南洞庭湖省级自然保护区和横岭湖省级自然保护区为一类区。</w:t>
      </w:r>
    </w:p>
    <w:p w:rsidR="004B4777" w:rsidRDefault="004B4777">
      <w:pPr>
        <w:ind w:firstLine="480"/>
        <w:rPr>
          <w:rFonts w:ascii="Times New Roman" w:hAnsi="Times New Roman" w:hint="eastAsia"/>
          <w:szCs w:val="24"/>
        </w:rPr>
      </w:pPr>
      <w:r>
        <w:rPr>
          <w:rFonts w:ascii="Times New Roman" w:hAnsi="Times New Roman" w:hint="eastAsia"/>
          <w:szCs w:val="24"/>
        </w:rPr>
        <w:t>（</w:t>
      </w:r>
      <w:r>
        <w:rPr>
          <w:rFonts w:ascii="Times New Roman" w:hAnsi="Times New Roman" w:hint="eastAsia"/>
          <w:szCs w:val="24"/>
        </w:rPr>
        <w:t>3</w:t>
      </w:r>
      <w:r>
        <w:rPr>
          <w:rFonts w:ascii="Times New Roman" w:hAnsi="Times New Roman"/>
          <w:szCs w:val="24"/>
        </w:rPr>
        <w:t>）</w:t>
      </w:r>
      <w:r>
        <w:rPr>
          <w:rFonts w:ascii="Times New Roman" w:hAnsi="Times New Roman" w:hint="eastAsia"/>
          <w:szCs w:val="24"/>
        </w:rPr>
        <w:t>声环境：</w:t>
      </w:r>
      <w:r>
        <w:rPr>
          <w:rFonts w:ascii="Times New Roman" w:hAnsi="Times New Roman"/>
          <w:szCs w:val="24"/>
        </w:rPr>
        <w:t>采砂区</w:t>
      </w:r>
      <w:r>
        <w:rPr>
          <w:rFonts w:ascii="Times New Roman" w:hAnsi="Times New Roman" w:hint="eastAsia"/>
          <w:szCs w:val="24"/>
        </w:rPr>
        <w:t>域</w:t>
      </w:r>
      <w:r>
        <w:rPr>
          <w:rFonts w:ascii="Times New Roman" w:hAnsi="Times New Roman"/>
          <w:szCs w:val="24"/>
        </w:rPr>
        <w:t>执行</w:t>
      </w:r>
      <w:r>
        <w:rPr>
          <w:rFonts w:ascii="Times New Roman" w:hAnsi="Times New Roman" w:hint="eastAsia"/>
          <w:szCs w:val="24"/>
        </w:rPr>
        <w:t>2</w:t>
      </w:r>
      <w:r>
        <w:rPr>
          <w:rFonts w:ascii="Times New Roman" w:hAnsi="Times New Roman" w:hint="eastAsia"/>
          <w:szCs w:val="24"/>
        </w:rPr>
        <w:t>类区</w:t>
      </w:r>
      <w:r>
        <w:rPr>
          <w:rFonts w:ascii="Times New Roman" w:hAnsi="Times New Roman"/>
          <w:szCs w:val="24"/>
        </w:rPr>
        <w:t>。</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2.2.2 </w:t>
      </w:r>
      <w:r>
        <w:rPr>
          <w:rFonts w:ascii="Times New Roman" w:eastAsia="宋体" w:hAnsi="Times New Roman" w:hint="eastAsia"/>
          <w:b/>
        </w:rPr>
        <w:t>环境质量标准</w:t>
      </w:r>
    </w:p>
    <w:p w:rsidR="004B4777" w:rsidRDefault="004B4777">
      <w:pPr>
        <w:ind w:firstLine="480"/>
        <w:rPr>
          <w:rFonts w:ascii="Times New Roman" w:hAnsi="Times New Roman"/>
          <w:szCs w:val="24"/>
        </w:rPr>
      </w:pPr>
      <w:r>
        <w:rPr>
          <w:rFonts w:ascii="Times New Roman" w:hAnsi="Times New Roman" w:hint="eastAsia"/>
          <w:szCs w:val="24"/>
        </w:rPr>
        <w:t>（</w:t>
      </w:r>
      <w:r>
        <w:rPr>
          <w:rFonts w:ascii="Times New Roman" w:hAnsi="Times New Roman" w:hint="eastAsia"/>
          <w:szCs w:val="24"/>
        </w:rPr>
        <w:t>1</w:t>
      </w:r>
      <w:r>
        <w:rPr>
          <w:rFonts w:ascii="Times New Roman" w:hAnsi="Times New Roman"/>
          <w:szCs w:val="24"/>
        </w:rPr>
        <w:t>）</w:t>
      </w:r>
      <w:r>
        <w:rPr>
          <w:rFonts w:ascii="Times New Roman" w:hAnsi="Times New Roman" w:hint="eastAsia"/>
          <w:szCs w:val="24"/>
        </w:rPr>
        <w:t>环境</w:t>
      </w:r>
      <w:r>
        <w:rPr>
          <w:rFonts w:ascii="Times New Roman" w:hAnsi="Times New Roman"/>
          <w:szCs w:val="24"/>
        </w:rPr>
        <w:t>空气质量标准</w:t>
      </w:r>
    </w:p>
    <w:p w:rsidR="004B4777" w:rsidRDefault="004B4777">
      <w:pPr>
        <w:adjustRightInd w:val="0"/>
        <w:ind w:firstLine="480"/>
        <w:rPr>
          <w:rFonts w:ascii="Times New Roman" w:hAnsi="Times New Roman" w:hint="eastAsia"/>
          <w:color w:val="000000"/>
        </w:rPr>
      </w:pPr>
      <w:r>
        <w:rPr>
          <w:rFonts w:ascii="Times New Roman" w:hAnsi="Times New Roman" w:hint="eastAsia"/>
          <w:color w:val="000000"/>
        </w:rPr>
        <w:t>本项目开采区邻近的自然保护区属于环境空气一类区，执行《环境空气质量标准》（</w:t>
      </w:r>
      <w:r>
        <w:rPr>
          <w:rFonts w:ascii="Times New Roman" w:hAnsi="Times New Roman"/>
          <w:color w:val="000000"/>
        </w:rPr>
        <w:t>GB3095-2012</w:t>
      </w:r>
      <w:r>
        <w:rPr>
          <w:rFonts w:ascii="Times New Roman" w:hAnsi="Times New Roman" w:hint="eastAsia"/>
          <w:color w:val="000000"/>
        </w:rPr>
        <w:t>）中一级标准，采区涉及评价范围内非自然保护区属二类环境空气质量功能区</w:t>
      </w:r>
      <w:r>
        <w:rPr>
          <w:rFonts w:ascii="Times New Roman" w:hAnsi="Times New Roman" w:hint="eastAsia"/>
          <w:color w:val="000000"/>
          <w:spacing w:val="-24"/>
        </w:rPr>
        <w:t>，</w:t>
      </w:r>
      <w:r>
        <w:rPr>
          <w:rFonts w:ascii="Times New Roman" w:hAnsi="Times New Roman" w:hint="eastAsia"/>
          <w:color w:val="000000"/>
        </w:rPr>
        <w:t>执</w:t>
      </w:r>
      <w:r>
        <w:rPr>
          <w:rFonts w:ascii="Times New Roman" w:hAnsi="Times New Roman" w:hint="eastAsia"/>
          <w:color w:val="000000"/>
          <w:spacing w:val="-24"/>
        </w:rPr>
        <w:t>行</w:t>
      </w:r>
      <w:r>
        <w:rPr>
          <w:rFonts w:ascii="Times New Roman" w:hAnsi="Times New Roman" w:hint="eastAsia"/>
          <w:color w:val="000000"/>
        </w:rPr>
        <w:t>《环境空气质量标准》（</w:t>
      </w:r>
      <w:r>
        <w:rPr>
          <w:rFonts w:ascii="Times New Roman" w:hAnsi="Times New Roman"/>
          <w:color w:val="000000"/>
        </w:rPr>
        <w:t>GB3095-2012</w:t>
      </w:r>
      <w:r>
        <w:rPr>
          <w:rFonts w:ascii="Times New Roman" w:hAnsi="Times New Roman" w:hint="eastAsia"/>
          <w:color w:val="000000"/>
        </w:rPr>
        <w:t>）中二级标准</w:t>
      </w:r>
      <w:r>
        <w:rPr>
          <w:rFonts w:ascii="Times New Roman" w:hAnsi="Times New Roman" w:hint="eastAsia"/>
          <w:color w:val="000000"/>
          <w:spacing w:val="-1"/>
        </w:rPr>
        <w:t>。</w:t>
      </w:r>
      <w:r>
        <w:rPr>
          <w:rFonts w:ascii="Times New Roman" w:hAnsi="Times New Roman" w:hint="eastAsia"/>
          <w:color w:val="000000"/>
        </w:rPr>
        <w:t>标准摘录见表</w:t>
      </w:r>
      <w:r>
        <w:rPr>
          <w:rFonts w:ascii="Times New Roman" w:hAnsi="Times New Roman"/>
          <w:color w:val="000000"/>
          <w:spacing w:val="-60"/>
        </w:rPr>
        <w:t xml:space="preserve"> </w:t>
      </w:r>
      <w:r>
        <w:rPr>
          <w:rFonts w:ascii="Times New Roman" w:hAnsi="Times New Roman" w:hint="eastAsia"/>
          <w:color w:val="000000"/>
        </w:rPr>
        <w:t>2.2</w:t>
      </w:r>
      <w:r>
        <w:rPr>
          <w:rFonts w:ascii="Times New Roman" w:hAnsi="Times New Roman"/>
          <w:color w:val="000000"/>
        </w:rPr>
        <w:t>-1</w:t>
      </w:r>
      <w:r>
        <w:rPr>
          <w:rFonts w:ascii="Times New Roman" w:hAnsi="Times New Roman" w:hint="eastAsia"/>
          <w:color w:val="000000"/>
        </w:rPr>
        <w:t>。</w:t>
      </w:r>
    </w:p>
    <w:p w:rsidR="004B4777" w:rsidRDefault="004B4777">
      <w:pPr>
        <w:ind w:firstLineChars="0" w:firstLine="0"/>
        <w:jc w:val="center"/>
        <w:rPr>
          <w:rFonts w:ascii="Times New Roman" w:hAnsi="Times New Roman"/>
          <w:b/>
        </w:rPr>
      </w:pPr>
      <w:bookmarkStart w:id="84" w:name="_Ref325291503"/>
      <w:bookmarkStart w:id="85" w:name="_Toc325987159"/>
      <w:bookmarkStart w:id="86" w:name="_Toc364329775"/>
      <w:r>
        <w:rPr>
          <w:rFonts w:ascii="Times New Roman" w:hAnsi="Times New Roman"/>
          <w:b/>
        </w:rPr>
        <w:t>表</w:t>
      </w:r>
      <w:r>
        <w:rPr>
          <w:rFonts w:ascii="Times New Roman" w:hAnsi="Times New Roman" w:hint="eastAsia"/>
          <w:b/>
        </w:rPr>
        <w:t>2.2</w:t>
      </w:r>
      <w:r>
        <w:rPr>
          <w:rFonts w:ascii="Times New Roman" w:hAnsi="Times New Roman"/>
          <w:b/>
        </w:rPr>
        <w:t>-1</w:t>
      </w:r>
      <w:bookmarkEnd w:id="84"/>
      <w:r>
        <w:rPr>
          <w:rFonts w:ascii="Times New Roman" w:hAnsi="Times New Roman"/>
          <w:b/>
        </w:rPr>
        <w:t xml:space="preserve">    </w:t>
      </w:r>
      <w:r>
        <w:rPr>
          <w:rFonts w:ascii="Times New Roman" w:hAnsi="Times New Roman"/>
          <w:b/>
        </w:rPr>
        <w:t>环境空气质量标准（</w:t>
      </w:r>
      <w:r>
        <w:rPr>
          <w:rFonts w:ascii="Times New Roman" w:hAnsi="Times New Roman"/>
          <w:b/>
        </w:rPr>
        <w:t>GB3095-2012</w:t>
      </w:r>
      <w:r>
        <w:rPr>
          <w:rFonts w:ascii="Times New Roman" w:hAnsi="Times New Roman"/>
          <w:b/>
        </w:rPr>
        <w:t>）</w:t>
      </w:r>
      <w:bookmarkEnd w:id="85"/>
      <w:bookmarkEnd w:id="86"/>
      <w:r>
        <w:rPr>
          <w:rFonts w:ascii="Times New Roman" w:hAnsi="Times New Roman" w:hint="eastAsia"/>
          <w:b/>
        </w:rPr>
        <w:t xml:space="preserve">  </w:t>
      </w:r>
      <w:r>
        <w:rPr>
          <w:rFonts w:ascii="Times New Roman" w:hAnsi="Times New Roman" w:hint="eastAsia"/>
          <w:b/>
        </w:rPr>
        <w:t>单位</w:t>
      </w:r>
      <w:r>
        <w:rPr>
          <w:rFonts w:ascii="Times New Roman" w:hAnsi="Times New Roman" w:hint="eastAsia"/>
          <w:b/>
        </w:rPr>
        <w:t xml:space="preserve"> ug/m</w:t>
      </w:r>
      <w:r>
        <w:rPr>
          <w:rFonts w:ascii="Times New Roman" w:hAnsi="Times New Roman" w:hint="eastAsia"/>
          <w:b/>
          <w:vertAlign w:val="superscript"/>
        </w:rPr>
        <w:t>3</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3"/>
        <w:gridCol w:w="1882"/>
        <w:gridCol w:w="1275"/>
        <w:gridCol w:w="1276"/>
        <w:gridCol w:w="1276"/>
        <w:gridCol w:w="2250"/>
      </w:tblGrid>
      <w:tr w:rsidR="004B4777">
        <w:trPr>
          <w:trHeight w:val="340"/>
          <w:jc w:val="center"/>
        </w:trPr>
        <w:tc>
          <w:tcPr>
            <w:tcW w:w="763" w:type="dxa"/>
            <w:vMerge w:val="restart"/>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序号</w:t>
            </w:r>
          </w:p>
        </w:tc>
        <w:tc>
          <w:tcPr>
            <w:tcW w:w="1882" w:type="dxa"/>
            <w:vMerge w:val="restart"/>
            <w:vAlign w:val="center"/>
          </w:tcPr>
          <w:p w:rsidR="004B4777" w:rsidRDefault="004B4777">
            <w:pPr>
              <w:tabs>
                <w:tab w:val="left" w:pos="7776"/>
              </w:tabs>
              <w:adjustRightInd w:val="0"/>
              <w:spacing w:line="240" w:lineRule="exact"/>
              <w:ind w:firstLineChars="95" w:firstLine="199"/>
              <w:jc w:val="center"/>
              <w:rPr>
                <w:rFonts w:ascii="Times New Roman" w:hAnsi="Times New Roman"/>
                <w:bCs/>
                <w:kern w:val="0"/>
                <w:sz w:val="21"/>
                <w:szCs w:val="21"/>
              </w:rPr>
            </w:pPr>
            <w:r>
              <w:rPr>
                <w:rFonts w:ascii="Times New Roman" w:hAnsi="Times New Roman"/>
                <w:bCs/>
                <w:kern w:val="0"/>
                <w:sz w:val="21"/>
                <w:szCs w:val="21"/>
              </w:rPr>
              <w:t>污染物名称</w:t>
            </w:r>
          </w:p>
        </w:tc>
        <w:tc>
          <w:tcPr>
            <w:tcW w:w="3827" w:type="dxa"/>
            <w:gridSpan w:val="3"/>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浓度限值</w:t>
            </w:r>
          </w:p>
        </w:tc>
        <w:tc>
          <w:tcPr>
            <w:tcW w:w="2250" w:type="dxa"/>
            <w:vMerge w:val="restart"/>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标准来源</w:t>
            </w:r>
          </w:p>
        </w:tc>
      </w:tr>
      <w:tr w:rsidR="004B4777">
        <w:trPr>
          <w:trHeight w:val="340"/>
          <w:jc w:val="center"/>
        </w:trPr>
        <w:tc>
          <w:tcPr>
            <w:tcW w:w="763"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c>
          <w:tcPr>
            <w:tcW w:w="1882"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小时平均</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日平均</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年平均</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bookmarkStart w:id="87" w:name="OLE_LINK4" w:colFirst="0" w:colLast="0"/>
            <w:bookmarkStart w:id="88" w:name="OLE_LINK5" w:colFirst="0" w:colLast="0"/>
            <w:bookmarkStart w:id="89" w:name="_Hlk496912931"/>
            <w:r>
              <w:rPr>
                <w:rFonts w:ascii="Times New Roman" w:hAnsi="Times New Roman"/>
                <w:sz w:val="21"/>
                <w:szCs w:val="21"/>
              </w:rPr>
              <w:t>1</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二氧化硫（</w:t>
            </w:r>
            <w:r>
              <w:rPr>
                <w:rFonts w:ascii="Times New Roman" w:hAnsi="Times New Roman"/>
                <w:bCs/>
                <w:kern w:val="0"/>
                <w:sz w:val="21"/>
                <w:szCs w:val="21"/>
              </w:rPr>
              <w:t>SO</w:t>
            </w:r>
            <w:r>
              <w:rPr>
                <w:rFonts w:ascii="Times New Roman" w:hAnsi="Times New Roman"/>
                <w:bCs/>
                <w:kern w:val="0"/>
                <w:sz w:val="21"/>
                <w:szCs w:val="21"/>
                <w:vertAlign w:val="subscript"/>
              </w:rPr>
              <w:t>2</w:t>
            </w:r>
            <w:r>
              <w:rPr>
                <w:rFonts w:ascii="Times New Roman" w:hAnsi="Times New Roman"/>
                <w:bCs/>
                <w:kern w:val="0"/>
                <w:sz w:val="21"/>
                <w:szCs w:val="21"/>
              </w:rPr>
              <w:t>）</w:t>
            </w: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500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150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60</w:t>
            </w:r>
          </w:p>
        </w:tc>
        <w:tc>
          <w:tcPr>
            <w:tcW w:w="2250" w:type="dxa"/>
            <w:vMerge w:val="restart"/>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《环境空气质量标准》（</w:t>
            </w:r>
            <w:r>
              <w:rPr>
                <w:rFonts w:ascii="Times New Roman" w:hAnsi="Times New Roman"/>
                <w:bCs/>
                <w:kern w:val="0"/>
                <w:sz w:val="21"/>
                <w:szCs w:val="21"/>
              </w:rPr>
              <w:t>GB3095-2012</w:t>
            </w:r>
            <w:r>
              <w:rPr>
                <w:rFonts w:ascii="Times New Roman" w:hAnsi="Times New Roman"/>
                <w:bCs/>
                <w:kern w:val="0"/>
                <w:sz w:val="21"/>
                <w:szCs w:val="21"/>
              </w:rPr>
              <w:t>）的二级标准</w:t>
            </w: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sz w:val="21"/>
                <w:szCs w:val="21"/>
              </w:rPr>
              <w:t>2</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二氧化氮（</w:t>
            </w:r>
            <w:r>
              <w:rPr>
                <w:rFonts w:ascii="Times New Roman" w:hAnsi="Times New Roman"/>
                <w:bCs/>
                <w:kern w:val="0"/>
                <w:sz w:val="21"/>
                <w:szCs w:val="21"/>
              </w:rPr>
              <w:t>NO</w:t>
            </w:r>
            <w:r>
              <w:rPr>
                <w:rFonts w:ascii="Times New Roman" w:hAnsi="Times New Roman"/>
                <w:bCs/>
                <w:kern w:val="0"/>
                <w:sz w:val="21"/>
                <w:szCs w:val="21"/>
                <w:vertAlign w:val="subscript"/>
              </w:rPr>
              <w:t>2</w:t>
            </w:r>
            <w:r>
              <w:rPr>
                <w:rFonts w:ascii="Times New Roman" w:hAnsi="Times New Roman"/>
                <w:bCs/>
                <w:kern w:val="0"/>
                <w:sz w:val="21"/>
                <w:szCs w:val="21"/>
              </w:rPr>
              <w:t>）</w:t>
            </w: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200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80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40</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sz w:val="21"/>
                <w:szCs w:val="21"/>
              </w:rPr>
              <w:t>3</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可吸入颗粒物（</w:t>
            </w:r>
            <w:r>
              <w:rPr>
                <w:rFonts w:ascii="Times New Roman" w:hAnsi="Times New Roman"/>
                <w:bCs/>
                <w:kern w:val="0"/>
                <w:sz w:val="21"/>
                <w:szCs w:val="21"/>
              </w:rPr>
              <w:t>PM</w:t>
            </w:r>
            <w:r>
              <w:rPr>
                <w:rFonts w:ascii="Times New Roman" w:hAnsi="Times New Roman"/>
                <w:bCs/>
                <w:kern w:val="0"/>
                <w:sz w:val="21"/>
                <w:szCs w:val="21"/>
                <w:vertAlign w:val="subscript"/>
              </w:rPr>
              <w:t>10</w:t>
            </w:r>
            <w:r>
              <w:rPr>
                <w:rFonts w:ascii="Times New Roman" w:hAnsi="Times New Roman"/>
                <w:bCs/>
                <w:kern w:val="0"/>
                <w:sz w:val="21"/>
                <w:szCs w:val="21"/>
              </w:rPr>
              <w:t>）</w:t>
            </w: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150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70</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sz w:val="21"/>
                <w:szCs w:val="21"/>
              </w:rPr>
              <w:t>4</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可吸入颗粒物（</w:t>
            </w:r>
            <w:r>
              <w:rPr>
                <w:rFonts w:ascii="Times New Roman" w:hAnsi="Times New Roman"/>
                <w:bCs/>
                <w:kern w:val="0"/>
                <w:sz w:val="21"/>
                <w:szCs w:val="21"/>
              </w:rPr>
              <w:t>PM</w:t>
            </w:r>
            <w:r>
              <w:rPr>
                <w:rFonts w:ascii="Times New Roman" w:hAnsi="Times New Roman"/>
                <w:bCs/>
                <w:kern w:val="0"/>
                <w:sz w:val="21"/>
                <w:szCs w:val="21"/>
                <w:vertAlign w:val="subscript"/>
              </w:rPr>
              <w:t>2.5</w:t>
            </w:r>
            <w:r>
              <w:rPr>
                <w:rFonts w:ascii="Times New Roman" w:hAnsi="Times New Roman"/>
                <w:bCs/>
                <w:kern w:val="0"/>
                <w:sz w:val="21"/>
                <w:szCs w:val="21"/>
              </w:rPr>
              <w:t>）</w:t>
            </w: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75</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35</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bookmarkEnd w:id="87"/>
      <w:bookmarkEnd w:id="88"/>
      <w:bookmarkEnd w:id="89"/>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sz w:val="21"/>
                <w:szCs w:val="21"/>
              </w:rPr>
              <w:t>5</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kern w:val="0"/>
                <w:sz w:val="21"/>
                <w:szCs w:val="21"/>
              </w:rPr>
              <w:t>总悬浮颗粒物（</w:t>
            </w:r>
            <w:r>
              <w:rPr>
                <w:rFonts w:ascii="Times New Roman" w:hAnsi="Times New Roman"/>
                <w:kern w:val="0"/>
                <w:sz w:val="21"/>
                <w:szCs w:val="21"/>
              </w:rPr>
              <w:t>TSP</w:t>
            </w:r>
            <w:r>
              <w:rPr>
                <w:rFonts w:ascii="Times New Roman" w:hAnsi="Times New Roman"/>
                <w:kern w:val="0"/>
                <w:sz w:val="21"/>
                <w:szCs w:val="21"/>
              </w:rPr>
              <w:t>）</w:t>
            </w:r>
          </w:p>
        </w:tc>
        <w:tc>
          <w:tcPr>
            <w:tcW w:w="1275" w:type="dxa"/>
            <w:vAlign w:val="center"/>
          </w:tcPr>
          <w:p w:rsidR="004B4777" w:rsidRDefault="004B4777">
            <w:pPr>
              <w:ind w:firstLineChars="0" w:firstLine="0"/>
              <w:jc w:val="center"/>
              <w:rPr>
                <w:rFonts w:ascii="Times New Roman" w:hAnsi="Times New Roman"/>
                <w:sz w:val="21"/>
                <w:szCs w:val="21"/>
              </w:rPr>
            </w:pPr>
            <w:r>
              <w:rPr>
                <w:rFonts w:ascii="Times New Roman" w:hAnsi="Times New Roman"/>
                <w:bCs/>
                <w:kern w:val="0"/>
                <w:sz w:val="21"/>
                <w:szCs w:val="21"/>
              </w:rPr>
              <w:t>－</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300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200</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hint="eastAsia"/>
                <w:sz w:val="21"/>
                <w:szCs w:val="21"/>
              </w:rPr>
              <w:t>6</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二氧化硫（</w:t>
            </w:r>
            <w:r>
              <w:rPr>
                <w:rFonts w:ascii="Times New Roman" w:hAnsi="Times New Roman"/>
                <w:bCs/>
                <w:kern w:val="0"/>
                <w:sz w:val="21"/>
                <w:szCs w:val="21"/>
              </w:rPr>
              <w:t>SO</w:t>
            </w:r>
            <w:r>
              <w:rPr>
                <w:rFonts w:ascii="Times New Roman" w:hAnsi="Times New Roman"/>
                <w:bCs/>
                <w:kern w:val="0"/>
                <w:sz w:val="21"/>
                <w:szCs w:val="21"/>
                <w:vertAlign w:val="subscript"/>
              </w:rPr>
              <w:t>2</w:t>
            </w:r>
            <w:r>
              <w:rPr>
                <w:rFonts w:ascii="Times New Roman" w:hAnsi="Times New Roman"/>
                <w:bCs/>
                <w:kern w:val="0"/>
                <w:sz w:val="21"/>
                <w:szCs w:val="21"/>
              </w:rPr>
              <w:t>）</w:t>
            </w:r>
          </w:p>
        </w:tc>
        <w:tc>
          <w:tcPr>
            <w:tcW w:w="1275" w:type="dxa"/>
            <w:vAlign w:val="center"/>
          </w:tcPr>
          <w:p w:rsidR="004B4777" w:rsidRDefault="004B4777">
            <w:pPr>
              <w:spacing w:line="240" w:lineRule="auto"/>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150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50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20</w:t>
            </w:r>
          </w:p>
        </w:tc>
        <w:tc>
          <w:tcPr>
            <w:tcW w:w="2250" w:type="dxa"/>
            <w:vMerge w:val="restart"/>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《环境空气质量标准》（</w:t>
            </w:r>
            <w:r>
              <w:rPr>
                <w:rFonts w:ascii="Times New Roman" w:hAnsi="Times New Roman"/>
                <w:bCs/>
                <w:kern w:val="0"/>
                <w:sz w:val="21"/>
                <w:szCs w:val="21"/>
              </w:rPr>
              <w:t>GB3095-2012</w:t>
            </w:r>
            <w:r>
              <w:rPr>
                <w:rFonts w:ascii="Times New Roman" w:hAnsi="Times New Roman"/>
                <w:bCs/>
                <w:kern w:val="0"/>
                <w:sz w:val="21"/>
                <w:szCs w:val="21"/>
              </w:rPr>
              <w:t>）的</w:t>
            </w:r>
            <w:r>
              <w:rPr>
                <w:rFonts w:ascii="Times New Roman" w:hAnsi="Times New Roman" w:hint="eastAsia"/>
                <w:bCs/>
                <w:kern w:val="0"/>
                <w:sz w:val="21"/>
                <w:szCs w:val="21"/>
              </w:rPr>
              <w:t>一</w:t>
            </w:r>
            <w:r>
              <w:rPr>
                <w:rFonts w:ascii="Times New Roman" w:hAnsi="Times New Roman"/>
                <w:bCs/>
                <w:kern w:val="0"/>
                <w:sz w:val="21"/>
                <w:szCs w:val="21"/>
              </w:rPr>
              <w:t>级标准</w:t>
            </w: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hint="eastAsia"/>
                <w:sz w:val="21"/>
                <w:szCs w:val="21"/>
              </w:rPr>
              <w:t>7</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二氧化氮（</w:t>
            </w:r>
            <w:r>
              <w:rPr>
                <w:rFonts w:ascii="Times New Roman" w:hAnsi="Times New Roman"/>
                <w:bCs/>
                <w:kern w:val="0"/>
                <w:sz w:val="21"/>
                <w:szCs w:val="21"/>
              </w:rPr>
              <w:t>NO</w:t>
            </w:r>
            <w:r>
              <w:rPr>
                <w:rFonts w:ascii="Times New Roman" w:hAnsi="Times New Roman"/>
                <w:bCs/>
                <w:kern w:val="0"/>
                <w:sz w:val="21"/>
                <w:szCs w:val="21"/>
                <w:vertAlign w:val="subscript"/>
              </w:rPr>
              <w:t>2</w:t>
            </w:r>
            <w:r>
              <w:rPr>
                <w:rFonts w:ascii="Times New Roman" w:hAnsi="Times New Roman"/>
                <w:bCs/>
                <w:kern w:val="0"/>
                <w:sz w:val="21"/>
                <w:szCs w:val="21"/>
              </w:rPr>
              <w:t>）</w:t>
            </w:r>
          </w:p>
        </w:tc>
        <w:tc>
          <w:tcPr>
            <w:tcW w:w="1275" w:type="dxa"/>
            <w:vAlign w:val="center"/>
          </w:tcPr>
          <w:p w:rsidR="004B4777" w:rsidRDefault="004B4777">
            <w:pPr>
              <w:ind w:firstLineChars="0" w:firstLine="0"/>
              <w:jc w:val="center"/>
              <w:rPr>
                <w:rFonts w:ascii="Times New Roman" w:hAnsi="Times New Roman"/>
                <w:bCs/>
                <w:kern w:val="0"/>
                <w:sz w:val="21"/>
                <w:szCs w:val="21"/>
              </w:rPr>
            </w:pPr>
            <w:r>
              <w:rPr>
                <w:rFonts w:ascii="Times New Roman" w:hAnsi="Times New Roman" w:hint="eastAsia"/>
                <w:bCs/>
                <w:kern w:val="0"/>
                <w:sz w:val="21"/>
                <w:szCs w:val="21"/>
              </w:rPr>
              <w:t>200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80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40</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hint="eastAsia"/>
                <w:sz w:val="21"/>
                <w:szCs w:val="21"/>
              </w:rPr>
              <w:t>8</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可吸入颗粒物（</w:t>
            </w:r>
            <w:r>
              <w:rPr>
                <w:rFonts w:ascii="Times New Roman" w:hAnsi="Times New Roman"/>
                <w:bCs/>
                <w:kern w:val="0"/>
                <w:sz w:val="21"/>
                <w:szCs w:val="21"/>
              </w:rPr>
              <w:t>PM</w:t>
            </w:r>
            <w:r>
              <w:rPr>
                <w:rFonts w:ascii="Times New Roman" w:hAnsi="Times New Roman"/>
                <w:bCs/>
                <w:kern w:val="0"/>
                <w:sz w:val="21"/>
                <w:szCs w:val="21"/>
                <w:vertAlign w:val="subscript"/>
              </w:rPr>
              <w:t>10</w:t>
            </w:r>
            <w:r>
              <w:rPr>
                <w:rFonts w:ascii="Times New Roman" w:hAnsi="Times New Roman"/>
                <w:bCs/>
                <w:kern w:val="0"/>
                <w:sz w:val="21"/>
                <w:szCs w:val="21"/>
              </w:rPr>
              <w:t>）</w:t>
            </w: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50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40</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95" w:firstLine="199"/>
              <w:rPr>
                <w:rFonts w:ascii="Times New Roman" w:hAnsi="Times New Roman"/>
                <w:sz w:val="21"/>
                <w:szCs w:val="21"/>
              </w:rPr>
            </w:pPr>
            <w:r>
              <w:rPr>
                <w:rFonts w:ascii="Times New Roman" w:hAnsi="Times New Roman" w:hint="eastAsia"/>
                <w:sz w:val="21"/>
                <w:szCs w:val="21"/>
              </w:rPr>
              <w:t>9</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可吸入颗粒物（</w:t>
            </w:r>
            <w:r>
              <w:rPr>
                <w:rFonts w:ascii="Times New Roman" w:hAnsi="Times New Roman"/>
                <w:bCs/>
                <w:kern w:val="0"/>
                <w:sz w:val="21"/>
                <w:szCs w:val="21"/>
              </w:rPr>
              <w:t>PM</w:t>
            </w:r>
            <w:r>
              <w:rPr>
                <w:rFonts w:ascii="Times New Roman" w:hAnsi="Times New Roman"/>
                <w:bCs/>
                <w:kern w:val="0"/>
                <w:sz w:val="21"/>
                <w:szCs w:val="21"/>
                <w:vertAlign w:val="subscript"/>
              </w:rPr>
              <w:t>2.5</w:t>
            </w:r>
            <w:r>
              <w:rPr>
                <w:rFonts w:ascii="Times New Roman" w:hAnsi="Times New Roman"/>
                <w:bCs/>
                <w:kern w:val="0"/>
                <w:sz w:val="21"/>
                <w:szCs w:val="21"/>
              </w:rPr>
              <w:t>）</w:t>
            </w:r>
          </w:p>
        </w:tc>
        <w:tc>
          <w:tcPr>
            <w:tcW w:w="1275"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bCs/>
                <w:kern w:val="0"/>
                <w:sz w:val="21"/>
                <w:szCs w:val="21"/>
              </w:rPr>
              <w:t>－</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35</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15</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r w:rsidR="004B4777">
        <w:trPr>
          <w:trHeight w:val="480"/>
          <w:jc w:val="center"/>
        </w:trPr>
        <w:tc>
          <w:tcPr>
            <w:tcW w:w="763" w:type="dxa"/>
            <w:vAlign w:val="center"/>
          </w:tcPr>
          <w:p w:rsidR="004B4777" w:rsidRDefault="004B4777">
            <w:pPr>
              <w:ind w:firstLineChars="0" w:firstLine="0"/>
              <w:jc w:val="center"/>
              <w:rPr>
                <w:rFonts w:ascii="Times New Roman" w:hAnsi="Times New Roman"/>
                <w:sz w:val="21"/>
                <w:szCs w:val="21"/>
              </w:rPr>
            </w:pPr>
            <w:r>
              <w:rPr>
                <w:rFonts w:ascii="Times New Roman" w:hAnsi="Times New Roman" w:hint="eastAsia"/>
                <w:sz w:val="21"/>
                <w:szCs w:val="21"/>
              </w:rPr>
              <w:t>10</w:t>
            </w:r>
          </w:p>
        </w:tc>
        <w:tc>
          <w:tcPr>
            <w:tcW w:w="1882" w:type="dxa"/>
            <w:vAlign w:val="center"/>
          </w:tcPr>
          <w:p w:rsidR="004B4777" w:rsidRDefault="004B4777">
            <w:pPr>
              <w:tabs>
                <w:tab w:val="left" w:pos="7776"/>
              </w:tabs>
              <w:adjustRightInd w:val="0"/>
              <w:spacing w:line="240" w:lineRule="exact"/>
              <w:ind w:firstLineChars="0" w:firstLine="0"/>
              <w:jc w:val="center"/>
              <w:rPr>
                <w:rFonts w:ascii="Times New Roman" w:hAnsi="Times New Roman"/>
                <w:bCs/>
                <w:kern w:val="0"/>
                <w:sz w:val="21"/>
                <w:szCs w:val="21"/>
              </w:rPr>
            </w:pPr>
            <w:r>
              <w:rPr>
                <w:rFonts w:ascii="Times New Roman" w:hAnsi="Times New Roman"/>
                <w:kern w:val="0"/>
                <w:sz w:val="21"/>
                <w:szCs w:val="21"/>
              </w:rPr>
              <w:t>总悬浮颗粒物（</w:t>
            </w:r>
            <w:r>
              <w:rPr>
                <w:rFonts w:ascii="Times New Roman" w:hAnsi="Times New Roman"/>
                <w:kern w:val="0"/>
                <w:sz w:val="21"/>
                <w:szCs w:val="21"/>
              </w:rPr>
              <w:t>TSP</w:t>
            </w:r>
            <w:r>
              <w:rPr>
                <w:rFonts w:ascii="Times New Roman" w:hAnsi="Times New Roman"/>
                <w:kern w:val="0"/>
                <w:sz w:val="21"/>
                <w:szCs w:val="21"/>
              </w:rPr>
              <w:t>）</w:t>
            </w:r>
          </w:p>
        </w:tc>
        <w:tc>
          <w:tcPr>
            <w:tcW w:w="1275" w:type="dxa"/>
            <w:vAlign w:val="center"/>
          </w:tcPr>
          <w:p w:rsidR="004B4777" w:rsidRDefault="004B4777">
            <w:pPr>
              <w:ind w:firstLineChars="0" w:firstLine="0"/>
              <w:jc w:val="center"/>
              <w:rPr>
                <w:rFonts w:ascii="Times New Roman" w:hAnsi="Times New Roman"/>
                <w:sz w:val="21"/>
                <w:szCs w:val="21"/>
              </w:rPr>
            </w:pPr>
            <w:r>
              <w:rPr>
                <w:rFonts w:ascii="Times New Roman" w:hAnsi="Times New Roman"/>
                <w:bCs/>
                <w:kern w:val="0"/>
                <w:sz w:val="21"/>
                <w:szCs w:val="21"/>
              </w:rPr>
              <w:t>－</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120</w:t>
            </w:r>
          </w:p>
        </w:tc>
        <w:tc>
          <w:tcPr>
            <w:tcW w:w="1276" w:type="dxa"/>
            <w:vAlign w:val="center"/>
          </w:tcPr>
          <w:p w:rsidR="004B4777" w:rsidRDefault="004B4777">
            <w:pPr>
              <w:tabs>
                <w:tab w:val="left" w:pos="7776"/>
              </w:tabs>
              <w:adjustRightInd w:val="0"/>
              <w:spacing w:line="240" w:lineRule="exact"/>
              <w:ind w:firstLineChars="0" w:firstLine="0"/>
              <w:jc w:val="center"/>
              <w:rPr>
                <w:rFonts w:ascii="Times New Roman" w:hAnsi="Times New Roman" w:hint="eastAsia"/>
                <w:bCs/>
                <w:kern w:val="0"/>
                <w:sz w:val="21"/>
                <w:szCs w:val="21"/>
              </w:rPr>
            </w:pPr>
            <w:r>
              <w:rPr>
                <w:rFonts w:ascii="Times New Roman" w:hAnsi="Times New Roman" w:hint="eastAsia"/>
                <w:bCs/>
                <w:kern w:val="0"/>
                <w:sz w:val="21"/>
                <w:szCs w:val="21"/>
              </w:rPr>
              <w:t>80</w:t>
            </w:r>
          </w:p>
        </w:tc>
        <w:tc>
          <w:tcPr>
            <w:tcW w:w="2250" w:type="dxa"/>
            <w:vMerge/>
            <w:vAlign w:val="center"/>
          </w:tcPr>
          <w:p w:rsidR="004B4777" w:rsidRDefault="004B4777">
            <w:pPr>
              <w:tabs>
                <w:tab w:val="left" w:pos="7776"/>
              </w:tabs>
              <w:adjustRightInd w:val="0"/>
              <w:spacing w:line="240" w:lineRule="exact"/>
              <w:ind w:firstLine="420"/>
              <w:jc w:val="center"/>
              <w:rPr>
                <w:rFonts w:ascii="Times New Roman" w:hAnsi="Times New Roman"/>
                <w:bCs/>
                <w:kern w:val="0"/>
                <w:sz w:val="21"/>
                <w:szCs w:val="21"/>
              </w:rPr>
            </w:pPr>
          </w:p>
        </w:tc>
      </w:tr>
    </w:tbl>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rPr>
        <w:t>）</w:t>
      </w:r>
      <w:r>
        <w:rPr>
          <w:rFonts w:ascii="Times New Roman" w:hAnsi="Times New Roman" w:hint="eastAsia"/>
        </w:rPr>
        <w:t>地表水</w:t>
      </w:r>
      <w:r>
        <w:rPr>
          <w:rFonts w:ascii="Times New Roman" w:hAnsi="Times New Roman"/>
        </w:rPr>
        <w:t>环境质量标准</w:t>
      </w:r>
    </w:p>
    <w:p w:rsidR="004B4777" w:rsidRDefault="004B4777">
      <w:pPr>
        <w:ind w:firstLine="480"/>
        <w:rPr>
          <w:rFonts w:ascii="Times New Roman" w:hAnsi="Times New Roman" w:hint="eastAsia"/>
        </w:rPr>
      </w:pPr>
      <w:r>
        <w:rPr>
          <w:rFonts w:ascii="Times New Roman" w:hAnsi="Times New Roman" w:hint="eastAsia"/>
        </w:rPr>
        <w:t>湘江东支屈原管理区湘江湘阴段饮用水水源保护区鸡啼湖取水口上游</w:t>
      </w:r>
      <w:r>
        <w:rPr>
          <w:rFonts w:ascii="Times New Roman" w:hAnsi="Times New Roman" w:hint="eastAsia"/>
        </w:rPr>
        <w:t>1km</w:t>
      </w:r>
      <w:r>
        <w:rPr>
          <w:rFonts w:ascii="Times New Roman" w:hAnsi="Times New Roman" w:hint="eastAsia"/>
        </w:rPr>
        <w:t>至下游</w:t>
      </w:r>
      <w:r>
        <w:rPr>
          <w:rFonts w:ascii="Times New Roman" w:hAnsi="Times New Roman" w:hint="eastAsia"/>
        </w:rPr>
        <w:t>100m</w:t>
      </w:r>
      <w:r>
        <w:rPr>
          <w:rFonts w:ascii="Times New Roman" w:hAnsi="Times New Roman" w:hint="eastAsia"/>
        </w:rPr>
        <w:t>为饮用水源一级保护区，执行《地表水环境质量标准》（</w:t>
      </w:r>
      <w:r>
        <w:rPr>
          <w:rFonts w:ascii="Times New Roman" w:hAnsi="Times New Roman" w:hint="eastAsia"/>
        </w:rPr>
        <w:t>GB3838</w:t>
      </w:r>
      <w:r>
        <w:rPr>
          <w:rFonts w:ascii="Times New Roman" w:hAnsi="Times New Roman" w:hint="eastAsia"/>
        </w:rPr>
        <w:t>—</w:t>
      </w:r>
      <w:r>
        <w:rPr>
          <w:rFonts w:ascii="Times New Roman" w:hAnsi="Times New Roman" w:hint="eastAsia"/>
        </w:rPr>
        <w:lastRenderedPageBreak/>
        <w:t>2002</w:t>
      </w:r>
      <w:r>
        <w:rPr>
          <w:rFonts w:ascii="Times New Roman" w:hAnsi="Times New Roman" w:hint="eastAsia"/>
        </w:rPr>
        <w:t>）Ⅱ类标准；上述一级保护区外上游</w:t>
      </w:r>
      <w:r>
        <w:rPr>
          <w:rFonts w:ascii="Times New Roman" w:hAnsi="Times New Roman" w:hint="eastAsia"/>
        </w:rPr>
        <w:t>2km</w:t>
      </w:r>
      <w:r>
        <w:rPr>
          <w:rFonts w:ascii="Times New Roman" w:hAnsi="Times New Roman" w:hint="eastAsia"/>
        </w:rPr>
        <w:t>至下游</w:t>
      </w:r>
      <w:r>
        <w:rPr>
          <w:rFonts w:ascii="Times New Roman" w:hAnsi="Times New Roman" w:hint="eastAsia"/>
        </w:rPr>
        <w:t>200m</w:t>
      </w:r>
      <w:r>
        <w:rPr>
          <w:rFonts w:ascii="Times New Roman" w:hAnsi="Times New Roman" w:hint="eastAsia"/>
        </w:rPr>
        <w:t>为二级保护区和斗米咀采区上游</w:t>
      </w:r>
      <w:r>
        <w:rPr>
          <w:rFonts w:ascii="Times New Roman" w:hAnsi="Times New Roman" w:hint="eastAsia"/>
        </w:rPr>
        <w:t>150m</w:t>
      </w:r>
      <w:r>
        <w:rPr>
          <w:rFonts w:ascii="Times New Roman" w:hAnsi="Times New Roman" w:hint="eastAsia"/>
        </w:rPr>
        <w:t>至下游</w:t>
      </w:r>
      <w:r>
        <w:rPr>
          <w:rFonts w:ascii="Times New Roman" w:hAnsi="Times New Roman" w:hint="eastAsia"/>
        </w:rPr>
        <w:t>5km</w:t>
      </w:r>
      <w:r>
        <w:rPr>
          <w:rFonts w:ascii="Times New Roman" w:hAnsi="Times New Roman" w:hint="eastAsia"/>
        </w:rPr>
        <w:t>的湘江河段，执行《地表水环境质量标准》（</w:t>
      </w:r>
      <w:r>
        <w:rPr>
          <w:rFonts w:ascii="Times New Roman" w:hAnsi="Times New Roman" w:hint="eastAsia"/>
        </w:rPr>
        <w:t>GB3838</w:t>
      </w:r>
      <w:r>
        <w:rPr>
          <w:rFonts w:ascii="Times New Roman" w:hAnsi="Times New Roman" w:hint="eastAsia"/>
        </w:rPr>
        <w:t>—</w:t>
      </w:r>
      <w:r>
        <w:rPr>
          <w:rFonts w:ascii="Times New Roman" w:hAnsi="Times New Roman" w:hint="eastAsia"/>
        </w:rPr>
        <w:t>2002</w:t>
      </w:r>
      <w:r>
        <w:rPr>
          <w:rFonts w:ascii="Times New Roman" w:hAnsi="Times New Roman" w:hint="eastAsia"/>
        </w:rPr>
        <w:t>）Ⅲ类标准；易婆塘采区上游</w:t>
      </w:r>
      <w:r>
        <w:rPr>
          <w:rFonts w:ascii="Times New Roman" w:hAnsi="Times New Roman" w:hint="eastAsia"/>
        </w:rPr>
        <w:t>0.5km</w:t>
      </w:r>
      <w:r>
        <w:rPr>
          <w:rFonts w:ascii="Times New Roman" w:hAnsi="Times New Roman" w:hint="eastAsia"/>
        </w:rPr>
        <w:t>、下游</w:t>
      </w:r>
      <w:r>
        <w:rPr>
          <w:rFonts w:ascii="Times New Roman" w:hAnsi="Times New Roman" w:hint="eastAsia"/>
        </w:rPr>
        <w:t>5km</w:t>
      </w:r>
      <w:r>
        <w:rPr>
          <w:rFonts w:ascii="Times New Roman" w:hAnsi="Times New Roman" w:hint="eastAsia"/>
        </w:rPr>
        <w:t>范围资水河段为渔业用水区，执行《地表水环境质量标准》（</w:t>
      </w:r>
      <w:r>
        <w:rPr>
          <w:rFonts w:ascii="Times New Roman" w:hAnsi="Times New Roman" w:hint="eastAsia"/>
        </w:rPr>
        <w:t>GB3838</w:t>
      </w:r>
      <w:r>
        <w:rPr>
          <w:rFonts w:ascii="Times New Roman" w:hAnsi="Times New Roman" w:hint="eastAsia"/>
        </w:rPr>
        <w:t>—</w:t>
      </w:r>
      <w:r>
        <w:rPr>
          <w:rFonts w:ascii="Times New Roman" w:hAnsi="Times New Roman" w:hint="eastAsia"/>
        </w:rPr>
        <w:t>2002</w:t>
      </w:r>
      <w:r>
        <w:rPr>
          <w:rFonts w:ascii="Times New Roman" w:hAnsi="Times New Roman" w:hint="eastAsia"/>
        </w:rPr>
        <w:t>）Ⅲ类标准；标准值列于表</w:t>
      </w:r>
      <w:r>
        <w:rPr>
          <w:rFonts w:ascii="Times New Roman" w:hAnsi="Times New Roman"/>
        </w:rPr>
        <w:t>2.2-2</w:t>
      </w:r>
      <w:r>
        <w:rPr>
          <w:rFonts w:ascii="Times New Roman" w:hAnsi="Times New Roman" w:hint="eastAsia"/>
        </w:rPr>
        <w:t>。</w:t>
      </w:r>
    </w:p>
    <w:p w:rsidR="004B4777" w:rsidRDefault="004B4777">
      <w:pPr>
        <w:ind w:firstLineChars="0" w:firstLine="0"/>
        <w:jc w:val="center"/>
        <w:rPr>
          <w:rFonts w:ascii="Times New Roman" w:hAnsi="Times New Roman"/>
          <w:b/>
        </w:rPr>
      </w:pPr>
      <w:r>
        <w:rPr>
          <w:rFonts w:ascii="Times New Roman" w:hAnsi="Times New Roman"/>
          <w:b/>
        </w:rPr>
        <w:t>表</w:t>
      </w:r>
      <w:r>
        <w:rPr>
          <w:rFonts w:ascii="Times New Roman" w:hAnsi="Times New Roman"/>
          <w:b/>
        </w:rPr>
        <w:t xml:space="preserve">2.2-2    </w:t>
      </w:r>
      <w:r>
        <w:rPr>
          <w:rFonts w:ascii="Times New Roman" w:hAnsi="Times New Roman"/>
          <w:b/>
        </w:rPr>
        <w:t>地表水环境质量标准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8"/>
        <w:gridCol w:w="2462"/>
        <w:gridCol w:w="2437"/>
        <w:gridCol w:w="2959"/>
      </w:tblGrid>
      <w:tr w:rsidR="004B4777">
        <w:trPr>
          <w:trHeight w:val="397"/>
          <w:jc w:val="center"/>
        </w:trPr>
        <w:tc>
          <w:tcPr>
            <w:tcW w:w="1088"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编号</w:t>
            </w:r>
          </w:p>
        </w:tc>
        <w:tc>
          <w:tcPr>
            <w:tcW w:w="2462"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水质指标</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kern w:val="0"/>
                <w:szCs w:val="21"/>
              </w:rPr>
              <w:t>II</w:t>
            </w:r>
            <w:r>
              <w:rPr>
                <w:rFonts w:ascii="Times New Roman" w:hAnsi="Times New Roman"/>
                <w:kern w:val="0"/>
                <w:szCs w:val="21"/>
              </w:rPr>
              <w:t>类</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cs="宋体" w:hint="eastAsia"/>
                <w:kern w:val="0"/>
                <w:szCs w:val="21"/>
              </w:rPr>
              <w:t>Ⅲ</w:t>
            </w:r>
            <w:r>
              <w:rPr>
                <w:rFonts w:ascii="Times New Roman" w:hAnsi="Times New Roman"/>
                <w:kern w:val="0"/>
                <w:szCs w:val="21"/>
              </w:rPr>
              <w:t>类</w:t>
            </w:r>
          </w:p>
        </w:tc>
      </w:tr>
      <w:tr w:rsidR="004B4777">
        <w:trPr>
          <w:trHeight w:val="397"/>
          <w:jc w:val="center"/>
        </w:trPr>
        <w:tc>
          <w:tcPr>
            <w:tcW w:w="1088"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1</w:t>
            </w:r>
          </w:p>
        </w:tc>
        <w:tc>
          <w:tcPr>
            <w:tcW w:w="2462"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水温</w:t>
            </w:r>
          </w:p>
        </w:tc>
        <w:tc>
          <w:tcPr>
            <w:tcW w:w="5396" w:type="dxa"/>
            <w:gridSpan w:val="2"/>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人为造成的环境水温变化应限制在：</w:t>
            </w:r>
          </w:p>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周平均最大温升</w:t>
            </w:r>
            <w:r>
              <w:rPr>
                <w:rFonts w:ascii="Times New Roman" w:hAnsi="Times New Roman"/>
                <w:sz w:val="21"/>
                <w:szCs w:val="21"/>
              </w:rPr>
              <w:t>≤1</w:t>
            </w:r>
            <w:r>
              <w:rPr>
                <w:rFonts w:ascii="Times New Roman" w:hAnsi="Times New Roman"/>
                <w:sz w:val="21"/>
                <w:szCs w:val="21"/>
              </w:rPr>
              <w:t>，周平均最大温降</w:t>
            </w:r>
            <w:r>
              <w:rPr>
                <w:rFonts w:ascii="Times New Roman" w:hAnsi="Times New Roman"/>
                <w:sz w:val="21"/>
                <w:szCs w:val="21"/>
              </w:rPr>
              <w:t>≤2</w:t>
            </w:r>
          </w:p>
        </w:tc>
      </w:tr>
      <w:tr w:rsidR="004B4777">
        <w:trPr>
          <w:trHeight w:val="397"/>
          <w:jc w:val="center"/>
        </w:trPr>
        <w:tc>
          <w:tcPr>
            <w:tcW w:w="1088"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2</w:t>
            </w:r>
          </w:p>
        </w:tc>
        <w:tc>
          <w:tcPr>
            <w:tcW w:w="2462"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pH</w:t>
            </w:r>
            <w:r>
              <w:rPr>
                <w:rFonts w:ascii="Times New Roman" w:hAnsi="Times New Roman"/>
                <w:sz w:val="21"/>
                <w:szCs w:val="21"/>
              </w:rPr>
              <w:t>值</w:t>
            </w:r>
            <w:r>
              <w:rPr>
                <w:rFonts w:ascii="Times New Roman" w:hAnsi="Times New Roman" w:hint="eastAsia"/>
                <w:sz w:val="21"/>
                <w:szCs w:val="21"/>
              </w:rPr>
              <w:t>（无量纲）</w:t>
            </w:r>
          </w:p>
        </w:tc>
        <w:tc>
          <w:tcPr>
            <w:tcW w:w="5396" w:type="dxa"/>
            <w:gridSpan w:val="2"/>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z w:val="21"/>
                <w:szCs w:val="21"/>
              </w:rPr>
              <w:t>6~9</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3</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溶解氧</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悬浮物</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hint="eastAsia"/>
                <w:snapToGrid w:val="0"/>
                <w:kern w:val="0"/>
                <w:sz w:val="21"/>
                <w:szCs w:val="21"/>
              </w:rPr>
            </w:pPr>
            <w:r>
              <w:rPr>
                <w:rFonts w:ascii="Times New Roman" w:hAnsi="Times New Roman"/>
                <w:snapToGrid w:val="0"/>
                <w:kern w:val="0"/>
                <w:sz w:val="21"/>
                <w:szCs w:val="21"/>
              </w:rPr>
              <w:t>≤</w:t>
            </w:r>
            <w:r>
              <w:rPr>
                <w:rFonts w:ascii="Times New Roman" w:hAnsi="Times New Roman" w:hint="eastAsia"/>
                <w:snapToGrid w:val="0"/>
                <w:kern w:val="0"/>
                <w:sz w:val="21"/>
                <w:szCs w:val="21"/>
              </w:rPr>
              <w:t>25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w:t>
            </w:r>
            <w:r>
              <w:rPr>
                <w:rFonts w:ascii="Times New Roman" w:hAnsi="Times New Roman" w:hint="eastAsia"/>
                <w:snapToGrid w:val="0"/>
                <w:kern w:val="0"/>
                <w:sz w:val="21"/>
                <w:szCs w:val="21"/>
              </w:rPr>
              <w:t>3</w:t>
            </w:r>
            <w:r>
              <w:rPr>
                <w:rFonts w:ascii="Times New Roman" w:hAnsi="Times New Roman"/>
                <w:snapToGrid w:val="0"/>
                <w:kern w:val="0"/>
                <w:sz w:val="21"/>
                <w:szCs w:val="21"/>
              </w:rPr>
              <w:t>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化学需氧量</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五日生化需氧量</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≤3</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7</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氨氮</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8</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总磷</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≤0.1</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≤0.2</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9</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氰化物</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≤0.2</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挥发酚</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≤0.002</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≤0.005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11</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石油类</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12</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硫化物</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≤0.1</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≤0.2</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13</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硫酸盐</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≤250</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≤250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14</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硝酸盐</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15</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铜</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16</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锌</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17</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砷</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18</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汞</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≤0.00005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≤0.0001</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19</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镉</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≤0.005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20</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六价铬</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21</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硒</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≤0.01</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≤0.01</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22</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铅</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≤0.01</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≤0.05</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23</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阴离子表面活性剂</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≤0.2</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≤0.2</w:t>
            </w:r>
          </w:p>
        </w:tc>
      </w:tr>
      <w:tr w:rsidR="004B4777">
        <w:trPr>
          <w:trHeight w:val="397"/>
          <w:jc w:val="center"/>
        </w:trPr>
        <w:tc>
          <w:tcPr>
            <w:tcW w:w="1088"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24</w:t>
            </w:r>
          </w:p>
        </w:tc>
        <w:tc>
          <w:tcPr>
            <w:tcW w:w="2462" w:type="dxa"/>
            <w:vAlign w:val="center"/>
          </w:tcPr>
          <w:p w:rsidR="004B4777" w:rsidRDefault="004B4777">
            <w:pPr>
              <w:widowControl/>
              <w:adjustRightInd w:val="0"/>
              <w:snapToGrid w:val="0"/>
              <w:spacing w:line="240" w:lineRule="auto"/>
              <w:ind w:firstLineChars="0" w:firstLine="0"/>
              <w:jc w:val="center"/>
              <w:rPr>
                <w:rFonts w:ascii="Times New Roman" w:hAnsi="Times New Roman" w:cs="宋体"/>
                <w:snapToGrid w:val="0"/>
                <w:kern w:val="0"/>
                <w:sz w:val="21"/>
                <w:szCs w:val="21"/>
              </w:rPr>
            </w:pPr>
            <w:r>
              <w:rPr>
                <w:rFonts w:ascii="Times New Roman" w:hAnsi="Times New Roman" w:cs="宋体" w:hint="eastAsia"/>
                <w:snapToGrid w:val="0"/>
                <w:kern w:val="0"/>
                <w:sz w:val="21"/>
                <w:szCs w:val="21"/>
              </w:rPr>
              <w:t>粪大肠菌群数</w:t>
            </w:r>
          </w:p>
        </w:tc>
        <w:tc>
          <w:tcPr>
            <w:tcW w:w="2437"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≤2000</w:t>
            </w:r>
            <w:r>
              <w:rPr>
                <w:rFonts w:ascii="Times New Roman" w:hAnsi="Times New Roman" w:cs="宋体" w:hint="eastAsia"/>
                <w:snapToGrid w:val="0"/>
                <w:kern w:val="0"/>
                <w:sz w:val="21"/>
                <w:szCs w:val="21"/>
              </w:rPr>
              <w:t>个</w:t>
            </w:r>
            <w:r>
              <w:rPr>
                <w:rFonts w:ascii="Times New Roman" w:hAnsi="Times New Roman"/>
                <w:snapToGrid w:val="0"/>
                <w:kern w:val="0"/>
                <w:sz w:val="21"/>
                <w:szCs w:val="21"/>
              </w:rPr>
              <w:t>/L</w:t>
            </w:r>
          </w:p>
        </w:tc>
        <w:tc>
          <w:tcPr>
            <w:tcW w:w="2959" w:type="dxa"/>
            <w:vAlign w:val="center"/>
          </w:tcPr>
          <w:p w:rsidR="004B4777" w:rsidRDefault="004B4777">
            <w:pPr>
              <w:widowControl/>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≤10000</w:t>
            </w:r>
            <w:r>
              <w:rPr>
                <w:rFonts w:ascii="Times New Roman" w:hAnsi="Times New Roman" w:cs="宋体" w:hint="eastAsia"/>
                <w:snapToGrid w:val="0"/>
                <w:kern w:val="0"/>
                <w:sz w:val="21"/>
                <w:szCs w:val="21"/>
              </w:rPr>
              <w:t>个</w:t>
            </w:r>
            <w:r>
              <w:rPr>
                <w:rFonts w:ascii="Times New Roman" w:hAnsi="Times New Roman"/>
                <w:snapToGrid w:val="0"/>
                <w:kern w:val="0"/>
                <w:sz w:val="21"/>
                <w:szCs w:val="21"/>
              </w:rPr>
              <w:t>/L</w:t>
            </w:r>
          </w:p>
        </w:tc>
      </w:tr>
    </w:tbl>
    <w:p w:rsidR="004B4777" w:rsidRDefault="004B4777">
      <w:pPr>
        <w:spacing w:before="100" w:beforeAutospacing="1"/>
        <w:ind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rPr>
        <w:t>）</w:t>
      </w:r>
      <w:r>
        <w:rPr>
          <w:rFonts w:ascii="Times New Roman" w:hAnsi="Times New Roman" w:hint="eastAsia"/>
        </w:rPr>
        <w:t>声环境</w:t>
      </w:r>
      <w:r>
        <w:rPr>
          <w:rFonts w:ascii="Times New Roman" w:hAnsi="Times New Roman"/>
        </w:rPr>
        <w:t>质量标准</w:t>
      </w:r>
    </w:p>
    <w:p w:rsidR="004B4777" w:rsidRDefault="004B4777">
      <w:pPr>
        <w:ind w:firstLine="480"/>
        <w:rPr>
          <w:rFonts w:ascii="Times New Roman" w:hAnsi="Times New Roman"/>
        </w:rPr>
      </w:pPr>
      <w:r>
        <w:rPr>
          <w:rFonts w:ascii="Times New Roman" w:hAnsi="Times New Roman"/>
          <w:szCs w:val="28"/>
          <w:lang w:val="zh-CN"/>
        </w:rPr>
        <w:lastRenderedPageBreak/>
        <w:t>本项目</w:t>
      </w:r>
      <w:r>
        <w:rPr>
          <w:rFonts w:ascii="Times New Roman" w:hAnsi="Times New Roman" w:hint="eastAsia"/>
          <w:szCs w:val="28"/>
          <w:lang w:val="zh-CN"/>
        </w:rPr>
        <w:t>采砂区</w:t>
      </w:r>
      <w:r>
        <w:rPr>
          <w:rFonts w:ascii="Times New Roman" w:hAnsi="Times New Roman"/>
          <w:szCs w:val="28"/>
          <w:lang w:val="zh-CN"/>
        </w:rPr>
        <w:t>厂界执行《声环境质量标准》（</w:t>
      </w:r>
      <w:r>
        <w:rPr>
          <w:rFonts w:ascii="Times New Roman" w:hAnsi="Times New Roman"/>
          <w:szCs w:val="28"/>
          <w:lang w:val="zh-CN"/>
        </w:rPr>
        <w:t>GB3096-2008</w:t>
      </w:r>
      <w:r>
        <w:rPr>
          <w:rFonts w:ascii="Times New Roman" w:hAnsi="Times New Roman"/>
          <w:szCs w:val="28"/>
          <w:lang w:val="zh-CN"/>
        </w:rPr>
        <w:t>）</w:t>
      </w:r>
      <w:r>
        <w:rPr>
          <w:rFonts w:ascii="Times New Roman" w:hAnsi="Times New Roman"/>
          <w:szCs w:val="28"/>
          <w:lang w:val="zh-CN"/>
        </w:rPr>
        <w:t>2</w:t>
      </w:r>
      <w:r>
        <w:rPr>
          <w:rFonts w:ascii="Times New Roman" w:hAnsi="Times New Roman"/>
          <w:szCs w:val="28"/>
          <w:lang w:val="zh-CN"/>
        </w:rPr>
        <w:t>类标准，</w:t>
      </w:r>
      <w:r>
        <w:rPr>
          <w:rFonts w:ascii="Times New Roman" w:hAnsi="Times New Roman"/>
          <w:szCs w:val="28"/>
        </w:rPr>
        <w:t>各村庄敏感目标执行《声环境质量标准》</w:t>
      </w:r>
      <w:r>
        <w:rPr>
          <w:rFonts w:ascii="Times New Roman" w:hAnsi="Times New Roman"/>
          <w:szCs w:val="28"/>
        </w:rPr>
        <w:t>(GB3096-2008)</w:t>
      </w:r>
      <w:r>
        <w:rPr>
          <w:rFonts w:ascii="Times New Roman" w:hAnsi="Times New Roman" w:hint="eastAsia"/>
          <w:szCs w:val="28"/>
        </w:rPr>
        <w:t>2</w:t>
      </w:r>
      <w:r>
        <w:rPr>
          <w:rFonts w:ascii="Times New Roman" w:hAnsi="Times New Roman"/>
          <w:szCs w:val="28"/>
        </w:rPr>
        <w:t>类标准</w:t>
      </w:r>
      <w:r>
        <w:rPr>
          <w:rFonts w:ascii="Times New Roman" w:hAnsi="Times New Roman" w:hint="eastAsia"/>
          <w:szCs w:val="28"/>
        </w:rPr>
        <w:t>；</w:t>
      </w:r>
      <w:r>
        <w:rPr>
          <w:rFonts w:ascii="Times New Roman" w:hAnsi="Times New Roman"/>
        </w:rPr>
        <w:t>具体标准值见表</w:t>
      </w:r>
      <w:r>
        <w:rPr>
          <w:rFonts w:ascii="Times New Roman" w:hAnsi="Times New Roman"/>
        </w:rPr>
        <w:t>2.2-3</w:t>
      </w:r>
      <w:r>
        <w:rPr>
          <w:rFonts w:ascii="Times New Roman" w:hAnsi="Times New Roman"/>
        </w:rPr>
        <w:t>。</w:t>
      </w:r>
    </w:p>
    <w:p w:rsidR="004B4777" w:rsidRDefault="004B4777">
      <w:pPr>
        <w:ind w:firstLineChars="0" w:firstLine="0"/>
        <w:jc w:val="center"/>
        <w:rPr>
          <w:rFonts w:ascii="Times New Roman" w:hAnsi="Times New Roman"/>
          <w:b/>
          <w:szCs w:val="28"/>
          <w:lang w:val="zh-CN"/>
        </w:rPr>
      </w:pPr>
      <w:r>
        <w:rPr>
          <w:rFonts w:ascii="Times New Roman" w:hAnsi="Times New Roman"/>
          <w:b/>
          <w:szCs w:val="28"/>
          <w:lang w:val="zh-CN"/>
        </w:rPr>
        <w:t>表</w:t>
      </w:r>
      <w:r>
        <w:rPr>
          <w:rFonts w:ascii="Times New Roman" w:hAnsi="Times New Roman"/>
          <w:b/>
          <w:szCs w:val="28"/>
          <w:lang w:val="zh-CN"/>
        </w:rPr>
        <w:t>2.2-</w:t>
      </w:r>
      <w:r>
        <w:rPr>
          <w:rFonts w:ascii="Times New Roman" w:hAnsi="Times New Roman" w:hint="eastAsia"/>
          <w:b/>
          <w:szCs w:val="28"/>
          <w:lang w:val="zh-CN"/>
        </w:rPr>
        <w:t>3</w:t>
      </w:r>
      <w:r>
        <w:rPr>
          <w:rFonts w:ascii="Times New Roman" w:hAnsi="Times New Roman"/>
          <w:b/>
          <w:szCs w:val="28"/>
          <w:lang w:val="zh-CN"/>
        </w:rPr>
        <w:t xml:space="preserve">    </w:t>
      </w:r>
      <w:r>
        <w:rPr>
          <w:rFonts w:ascii="Times New Roman" w:hAnsi="Times New Roman"/>
          <w:b/>
          <w:szCs w:val="28"/>
          <w:lang w:val="zh-CN"/>
        </w:rPr>
        <w:t>声环境质量标准</w:t>
      </w:r>
      <w:r>
        <w:rPr>
          <w:rFonts w:ascii="Times New Roman" w:hAnsi="Times New Roman"/>
          <w:b/>
          <w:szCs w:val="28"/>
          <w:lang w:val="zh-CN"/>
        </w:rPr>
        <w:t xml:space="preserve">   </w:t>
      </w:r>
      <w:r>
        <w:rPr>
          <w:rFonts w:ascii="Times New Roman" w:hAnsi="Times New Roman"/>
          <w:b/>
          <w:szCs w:val="28"/>
          <w:lang w:val="zh-CN"/>
        </w:rPr>
        <w:t>单位：</w:t>
      </w:r>
      <w:r>
        <w:rPr>
          <w:rFonts w:ascii="Times New Roman" w:hAnsi="Times New Roman"/>
          <w:b/>
          <w:szCs w:val="28"/>
          <w:lang w:val="zh-CN"/>
        </w:rPr>
        <w:t>dB</w:t>
      </w:r>
      <w:r>
        <w:rPr>
          <w:rFonts w:ascii="Times New Roman" w:hAnsi="Times New Roman"/>
          <w:b/>
          <w:szCs w:val="28"/>
          <w:lang w:val="zh-CN"/>
        </w:rPr>
        <w:t>（</w:t>
      </w:r>
      <w:r>
        <w:rPr>
          <w:rFonts w:ascii="Times New Roman" w:hAnsi="Times New Roman"/>
          <w:b/>
          <w:szCs w:val="28"/>
          <w:lang w:val="zh-CN"/>
        </w:rPr>
        <w:t>A</w:t>
      </w:r>
      <w:r>
        <w:rPr>
          <w:rFonts w:ascii="Times New Roman" w:hAnsi="Times New Roman"/>
          <w:b/>
          <w:szCs w:val="28"/>
          <w:lang w:val="zh-CN"/>
        </w:rPr>
        <w:t>）</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9"/>
        <w:gridCol w:w="2836"/>
        <w:gridCol w:w="2837"/>
      </w:tblGrid>
      <w:tr w:rsidR="004B4777">
        <w:trPr>
          <w:trHeight w:val="397"/>
          <w:jc w:val="center"/>
        </w:trPr>
        <w:tc>
          <w:tcPr>
            <w:tcW w:w="2849" w:type="dxa"/>
            <w:vMerge w:val="restart"/>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smallCaps/>
                <w:sz w:val="21"/>
                <w:szCs w:val="21"/>
              </w:rPr>
              <w:t>声环境功能区类别</w:t>
            </w:r>
          </w:p>
        </w:tc>
        <w:tc>
          <w:tcPr>
            <w:tcW w:w="5673" w:type="dxa"/>
            <w:gridSpan w:val="2"/>
            <w:vAlign w:val="center"/>
          </w:tcPr>
          <w:p w:rsidR="004B4777" w:rsidRDefault="004B4777">
            <w:pPr>
              <w:spacing w:line="240" w:lineRule="auto"/>
              <w:ind w:firstLineChars="0" w:firstLine="0"/>
              <w:jc w:val="center"/>
              <w:rPr>
                <w:rFonts w:ascii="Times New Roman" w:hAnsi="Times New Roman"/>
                <w:sz w:val="21"/>
              </w:rPr>
            </w:pPr>
            <w:r>
              <w:rPr>
                <w:rFonts w:ascii="Times New Roman" w:hAnsi="Times New Roman"/>
                <w:sz w:val="21"/>
              </w:rPr>
              <w:t>等效声级</w:t>
            </w:r>
            <w:r>
              <w:rPr>
                <w:rFonts w:ascii="Times New Roman" w:hAnsi="Times New Roman"/>
                <w:sz w:val="21"/>
              </w:rPr>
              <w:t>L</w:t>
            </w:r>
            <w:r>
              <w:rPr>
                <w:rFonts w:ascii="Times New Roman" w:hAnsi="Times New Roman"/>
                <w:sz w:val="21"/>
                <w:vertAlign w:val="subscript"/>
              </w:rPr>
              <w:t>Aeq</w:t>
            </w:r>
          </w:p>
        </w:tc>
      </w:tr>
      <w:tr w:rsidR="004B4777">
        <w:trPr>
          <w:trHeight w:val="397"/>
          <w:jc w:val="center"/>
        </w:trPr>
        <w:tc>
          <w:tcPr>
            <w:tcW w:w="2849" w:type="dxa"/>
            <w:vMerge/>
            <w:vAlign w:val="center"/>
          </w:tcPr>
          <w:p w:rsidR="004B4777" w:rsidRDefault="004B4777">
            <w:pPr>
              <w:spacing w:line="240" w:lineRule="auto"/>
              <w:ind w:firstLine="420"/>
              <w:jc w:val="center"/>
              <w:rPr>
                <w:rFonts w:ascii="Times New Roman" w:hAnsi="Times New Roman"/>
                <w:sz w:val="21"/>
              </w:rPr>
            </w:pPr>
          </w:p>
        </w:tc>
        <w:tc>
          <w:tcPr>
            <w:tcW w:w="2836" w:type="dxa"/>
            <w:vAlign w:val="center"/>
          </w:tcPr>
          <w:p w:rsidR="004B4777" w:rsidRDefault="004B4777">
            <w:pPr>
              <w:spacing w:line="240" w:lineRule="auto"/>
              <w:ind w:firstLineChars="0" w:firstLine="0"/>
              <w:jc w:val="center"/>
              <w:rPr>
                <w:rFonts w:ascii="Times New Roman" w:hAnsi="Times New Roman"/>
                <w:sz w:val="21"/>
              </w:rPr>
            </w:pPr>
            <w:r>
              <w:rPr>
                <w:rFonts w:ascii="Times New Roman" w:hAnsi="Times New Roman"/>
                <w:sz w:val="21"/>
              </w:rPr>
              <w:t>昼间</w:t>
            </w:r>
          </w:p>
        </w:tc>
        <w:tc>
          <w:tcPr>
            <w:tcW w:w="2837" w:type="dxa"/>
            <w:vAlign w:val="center"/>
          </w:tcPr>
          <w:p w:rsidR="004B4777" w:rsidRDefault="004B4777">
            <w:pPr>
              <w:spacing w:line="240" w:lineRule="auto"/>
              <w:ind w:firstLineChars="0" w:firstLine="0"/>
              <w:jc w:val="center"/>
              <w:rPr>
                <w:rFonts w:ascii="Times New Roman" w:hAnsi="Times New Roman"/>
                <w:sz w:val="21"/>
              </w:rPr>
            </w:pPr>
            <w:r>
              <w:rPr>
                <w:rFonts w:ascii="Times New Roman" w:hAnsi="Times New Roman"/>
                <w:sz w:val="21"/>
              </w:rPr>
              <w:t>夜间</w:t>
            </w:r>
          </w:p>
        </w:tc>
      </w:tr>
      <w:tr w:rsidR="004B4777">
        <w:trPr>
          <w:trHeight w:val="397"/>
          <w:jc w:val="center"/>
        </w:trPr>
        <w:tc>
          <w:tcPr>
            <w:tcW w:w="2849" w:type="dxa"/>
            <w:vAlign w:val="center"/>
          </w:tcPr>
          <w:p w:rsidR="004B4777" w:rsidRDefault="004B4777">
            <w:pPr>
              <w:spacing w:line="240" w:lineRule="auto"/>
              <w:ind w:firstLineChars="0" w:firstLine="0"/>
              <w:jc w:val="center"/>
              <w:rPr>
                <w:rFonts w:ascii="Times New Roman" w:hAnsi="Times New Roman"/>
                <w:sz w:val="21"/>
              </w:rPr>
            </w:pPr>
            <w:r>
              <w:rPr>
                <w:rFonts w:ascii="Times New Roman" w:hAnsi="Times New Roman"/>
                <w:sz w:val="21"/>
              </w:rPr>
              <w:t>2</w:t>
            </w:r>
            <w:r>
              <w:rPr>
                <w:rFonts w:ascii="Times New Roman" w:hAnsi="Times New Roman"/>
                <w:sz w:val="21"/>
              </w:rPr>
              <w:t>类</w:t>
            </w:r>
          </w:p>
        </w:tc>
        <w:tc>
          <w:tcPr>
            <w:tcW w:w="2836" w:type="dxa"/>
            <w:vAlign w:val="center"/>
          </w:tcPr>
          <w:p w:rsidR="004B4777" w:rsidRDefault="004B4777">
            <w:pPr>
              <w:spacing w:line="240" w:lineRule="auto"/>
              <w:ind w:firstLineChars="0" w:firstLine="0"/>
              <w:jc w:val="center"/>
              <w:rPr>
                <w:rFonts w:ascii="Times New Roman" w:hAnsi="Times New Roman"/>
                <w:sz w:val="21"/>
              </w:rPr>
            </w:pPr>
            <w:r>
              <w:rPr>
                <w:rFonts w:ascii="Times New Roman" w:hAnsi="Times New Roman"/>
                <w:sz w:val="21"/>
              </w:rPr>
              <w:t>60</w:t>
            </w:r>
          </w:p>
        </w:tc>
        <w:tc>
          <w:tcPr>
            <w:tcW w:w="2837" w:type="dxa"/>
            <w:vAlign w:val="center"/>
          </w:tcPr>
          <w:p w:rsidR="004B4777" w:rsidRDefault="004B4777">
            <w:pPr>
              <w:spacing w:line="240" w:lineRule="auto"/>
              <w:ind w:firstLineChars="0" w:firstLine="0"/>
              <w:jc w:val="center"/>
              <w:rPr>
                <w:rFonts w:ascii="Times New Roman" w:hAnsi="Times New Roman"/>
                <w:sz w:val="21"/>
              </w:rPr>
            </w:pPr>
            <w:r>
              <w:rPr>
                <w:rFonts w:ascii="Times New Roman" w:hAnsi="Times New Roman"/>
                <w:sz w:val="21"/>
              </w:rPr>
              <w:t>50</w:t>
            </w:r>
          </w:p>
        </w:tc>
      </w:tr>
    </w:tbl>
    <w:p w:rsidR="004B4777" w:rsidRDefault="004B4777">
      <w:pPr>
        <w:spacing w:before="100" w:beforeAutospacing="1"/>
        <w:ind w:firstLine="480"/>
        <w:rPr>
          <w:rFonts w:ascii="Times New Roman" w:hAnsi="Times New Roman" w:hint="eastAsia"/>
        </w:rPr>
      </w:pPr>
      <w:bookmarkStart w:id="90" w:name="_Hlk481747486"/>
      <w:r>
        <w:rPr>
          <w:rFonts w:ascii="Times New Roman" w:hAnsi="Times New Roman" w:hint="eastAsia"/>
        </w:rPr>
        <w:t>（</w:t>
      </w:r>
      <w:r>
        <w:rPr>
          <w:rFonts w:ascii="Times New Roman" w:hAnsi="Times New Roman" w:hint="eastAsia"/>
        </w:rPr>
        <w:t>4</w:t>
      </w:r>
      <w:r>
        <w:rPr>
          <w:rFonts w:ascii="Times New Roman" w:hAnsi="Times New Roman"/>
        </w:rPr>
        <w:t>）</w:t>
      </w:r>
      <w:r>
        <w:rPr>
          <w:rFonts w:ascii="Times New Roman" w:hAnsi="Times New Roman" w:hint="eastAsia"/>
        </w:rPr>
        <w:t>地下水</w:t>
      </w:r>
      <w:r>
        <w:rPr>
          <w:rFonts w:ascii="Times New Roman" w:hAnsi="Times New Roman"/>
        </w:rPr>
        <w:t>环境质量</w:t>
      </w:r>
      <w:r>
        <w:rPr>
          <w:rFonts w:ascii="Times New Roman" w:hAnsi="Times New Roman" w:hint="eastAsia"/>
        </w:rPr>
        <w:t>标准</w:t>
      </w:r>
    </w:p>
    <w:bookmarkEnd w:id="90"/>
    <w:p w:rsidR="004B4777" w:rsidRDefault="004B4777">
      <w:pPr>
        <w:ind w:firstLine="480"/>
        <w:rPr>
          <w:rFonts w:ascii="Times New Roman" w:hAnsi="Times New Roman"/>
          <w:szCs w:val="28"/>
        </w:rPr>
      </w:pPr>
      <w:r>
        <w:rPr>
          <w:rFonts w:ascii="Times New Roman" w:hAnsi="Times New Roman"/>
          <w:szCs w:val="28"/>
        </w:rPr>
        <w:t>区域地下水环境执行《地下水质量标准》</w:t>
      </w:r>
      <w:r>
        <w:rPr>
          <w:rFonts w:ascii="Times New Roman" w:hAnsi="Times New Roman"/>
          <w:szCs w:val="28"/>
        </w:rPr>
        <w:t>(GB/T14848-</w:t>
      </w:r>
      <w:r>
        <w:rPr>
          <w:rFonts w:ascii="Times New Roman" w:hAnsi="Times New Roman" w:hint="eastAsia"/>
          <w:szCs w:val="28"/>
        </w:rPr>
        <w:t>2017</w:t>
      </w:r>
      <w:r>
        <w:rPr>
          <w:rFonts w:ascii="Times New Roman" w:hAnsi="Times New Roman"/>
          <w:szCs w:val="28"/>
        </w:rPr>
        <w:t>)</w:t>
      </w:r>
      <w:r>
        <w:rPr>
          <w:rFonts w:ascii="宋体" w:hAnsi="宋体" w:cs="宋体" w:hint="eastAsia"/>
          <w:szCs w:val="28"/>
        </w:rPr>
        <w:t>Ⅲ</w:t>
      </w:r>
      <w:r>
        <w:rPr>
          <w:rFonts w:ascii="Times New Roman" w:hAnsi="Times New Roman"/>
          <w:szCs w:val="28"/>
        </w:rPr>
        <w:t>类标准，具体标准限值见表</w:t>
      </w:r>
      <w:r>
        <w:rPr>
          <w:rFonts w:ascii="Times New Roman" w:hAnsi="Times New Roman"/>
          <w:szCs w:val="28"/>
        </w:rPr>
        <w:t>2.2-</w:t>
      </w:r>
      <w:r>
        <w:rPr>
          <w:rFonts w:ascii="Times New Roman" w:hAnsi="Times New Roman" w:hint="eastAsia"/>
          <w:szCs w:val="28"/>
        </w:rPr>
        <w:t>4</w:t>
      </w:r>
      <w:r>
        <w:rPr>
          <w:rFonts w:ascii="Times New Roman" w:hAnsi="Times New Roman" w:hint="eastAsia"/>
          <w:szCs w:val="28"/>
        </w:rPr>
        <w:t>。</w:t>
      </w:r>
    </w:p>
    <w:p w:rsidR="004B4777" w:rsidRDefault="004B4777">
      <w:pPr>
        <w:ind w:firstLineChars="0" w:firstLine="0"/>
        <w:jc w:val="center"/>
        <w:rPr>
          <w:rFonts w:ascii="Times New Roman" w:hAnsi="Times New Roman"/>
          <w:b/>
          <w:szCs w:val="28"/>
        </w:rPr>
      </w:pPr>
      <w:r>
        <w:rPr>
          <w:rFonts w:ascii="Times New Roman" w:hAnsi="Times New Roman"/>
          <w:b/>
          <w:szCs w:val="28"/>
        </w:rPr>
        <w:t>表</w:t>
      </w:r>
      <w:r>
        <w:rPr>
          <w:rFonts w:ascii="Times New Roman" w:hAnsi="Times New Roman"/>
          <w:b/>
          <w:szCs w:val="28"/>
        </w:rPr>
        <w:t>2.2-</w:t>
      </w:r>
      <w:r>
        <w:rPr>
          <w:rFonts w:ascii="Times New Roman" w:hAnsi="Times New Roman" w:hint="eastAsia"/>
          <w:b/>
          <w:szCs w:val="28"/>
        </w:rPr>
        <w:t>4</w:t>
      </w:r>
      <w:r>
        <w:rPr>
          <w:rFonts w:ascii="Times New Roman" w:hAnsi="Times New Roman"/>
          <w:b/>
          <w:szCs w:val="28"/>
        </w:rPr>
        <w:t xml:space="preserve"> </w:t>
      </w:r>
      <w:r>
        <w:rPr>
          <w:rFonts w:ascii="Times New Roman" w:hAnsi="Times New Roman" w:hint="eastAsia"/>
          <w:b/>
          <w:szCs w:val="28"/>
        </w:rPr>
        <w:t xml:space="preserve"> </w:t>
      </w:r>
      <w:r>
        <w:rPr>
          <w:rFonts w:ascii="Times New Roman" w:hAnsi="Times New Roman"/>
          <w:b/>
          <w:szCs w:val="28"/>
        </w:rPr>
        <w:t xml:space="preserve"> </w:t>
      </w:r>
      <w:r>
        <w:rPr>
          <w:rFonts w:ascii="Times New Roman" w:hAnsi="Times New Roman"/>
          <w:b/>
          <w:szCs w:val="28"/>
        </w:rPr>
        <w:t>地下水质量标准</w:t>
      </w:r>
    </w:p>
    <w:tbl>
      <w:tblPr>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205"/>
        <w:gridCol w:w="4967"/>
        <w:gridCol w:w="2140"/>
      </w:tblGrid>
      <w:tr w:rsidR="004B4777">
        <w:trPr>
          <w:trHeight w:val="397"/>
          <w:tblHeader/>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b/>
                <w:color w:val="000000"/>
                <w:kern w:val="0"/>
                <w:sz w:val="21"/>
                <w:szCs w:val="21"/>
              </w:rPr>
            </w:pPr>
            <w:r>
              <w:rPr>
                <w:rFonts w:ascii="Times New Roman" w:hAnsi="Times New Roman"/>
                <w:b/>
                <w:color w:val="000000"/>
                <w:kern w:val="0"/>
                <w:sz w:val="21"/>
                <w:szCs w:val="21"/>
              </w:rPr>
              <w:t>序号</w:t>
            </w:r>
          </w:p>
        </w:tc>
        <w:tc>
          <w:tcPr>
            <w:tcW w:w="4967"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b/>
                <w:color w:val="000000"/>
                <w:kern w:val="0"/>
                <w:sz w:val="21"/>
                <w:szCs w:val="21"/>
              </w:rPr>
            </w:pPr>
            <w:r>
              <w:rPr>
                <w:rFonts w:ascii="Times New Roman" w:hAnsi="Times New Roman"/>
                <w:b/>
                <w:color w:val="000000"/>
                <w:kern w:val="0"/>
                <w:sz w:val="21"/>
                <w:szCs w:val="21"/>
              </w:rPr>
              <w:t>评价因子</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b/>
                <w:color w:val="000000"/>
                <w:kern w:val="0"/>
                <w:sz w:val="21"/>
                <w:szCs w:val="21"/>
              </w:rPr>
            </w:pPr>
            <w:r>
              <w:rPr>
                <w:rFonts w:ascii="宋体" w:hAnsi="宋体" w:cs="宋体" w:hint="eastAsia"/>
                <w:b/>
                <w:color w:val="000000"/>
                <w:kern w:val="0"/>
                <w:sz w:val="21"/>
                <w:szCs w:val="21"/>
              </w:rPr>
              <w:t>Ⅲ</w:t>
            </w:r>
            <w:r>
              <w:rPr>
                <w:rFonts w:ascii="Times New Roman" w:hAnsi="Times New Roman"/>
                <w:b/>
                <w:color w:val="000000"/>
                <w:kern w:val="0"/>
                <w:sz w:val="21"/>
                <w:szCs w:val="21"/>
              </w:rPr>
              <w:t>类标准</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4967" w:type="dxa"/>
            <w:shd w:val="clear" w:color="auto" w:fill="FFFFFF"/>
            <w:vAlign w:val="center"/>
          </w:tcPr>
          <w:p w:rsidR="004B4777" w:rsidRDefault="004B4777">
            <w:pPr>
              <w:pStyle w:val="affff8"/>
              <w:rPr>
                <w:rFonts w:eastAsia="宋体"/>
              </w:rPr>
            </w:pPr>
            <w:r>
              <w:rPr>
                <w:rFonts w:eastAsia="宋体"/>
              </w:rPr>
              <w:t>pH</w:t>
            </w:r>
            <w:r>
              <w:rPr>
                <w:rFonts w:eastAsia="宋体"/>
              </w:rPr>
              <w:t>值（无量纲）</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6.5-8.5</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4967"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color w:val="000000"/>
                <w:kern w:val="0"/>
                <w:sz w:val="21"/>
                <w:szCs w:val="21"/>
              </w:rPr>
            </w:pPr>
            <w:r>
              <w:rPr>
                <w:rFonts w:ascii="Times New Roman" w:hAnsi="Times New Roman" w:hint="eastAsia"/>
                <w:color w:val="000000"/>
                <w:kern w:val="0"/>
                <w:sz w:val="21"/>
                <w:szCs w:val="21"/>
              </w:rPr>
              <w:t>耗氧量（</w:t>
            </w:r>
            <w:r>
              <w:rPr>
                <w:rFonts w:ascii="Times New Roman" w:hAnsi="Times New Roman" w:hint="eastAsia"/>
                <w:color w:val="000000"/>
                <w:kern w:val="0"/>
                <w:sz w:val="21"/>
                <w:szCs w:val="21"/>
              </w:rPr>
              <w:t>COD</w:t>
            </w:r>
            <w:r>
              <w:rPr>
                <w:rFonts w:ascii="Times New Roman" w:hAnsi="Times New Roman" w:hint="eastAsia"/>
                <w:color w:val="000000"/>
                <w:kern w:val="0"/>
                <w:sz w:val="21"/>
                <w:szCs w:val="21"/>
                <w:vertAlign w:val="subscript"/>
              </w:rPr>
              <w:t>Mn</w:t>
            </w:r>
            <w:r>
              <w:rPr>
                <w:rFonts w:ascii="Times New Roman" w:hAnsi="Times New Roman" w:hint="eastAsia"/>
                <w:color w:val="000000"/>
                <w:kern w:val="0"/>
                <w:sz w:val="21"/>
                <w:szCs w:val="21"/>
              </w:rPr>
              <w:t>法，</w:t>
            </w:r>
            <w:r>
              <w:rPr>
                <w:rFonts w:ascii="Times New Roman" w:hAnsi="Times New Roman"/>
                <w:color w:val="000000"/>
                <w:kern w:val="0"/>
                <w:sz w:val="21"/>
                <w:szCs w:val="21"/>
              </w:rPr>
              <w:t>mg/L</w:t>
            </w:r>
            <w:r>
              <w:rPr>
                <w:rFonts w:ascii="Times New Roman" w:hAnsi="Times New Roman" w:hint="eastAsia"/>
                <w:color w:val="000000"/>
                <w:kern w:val="0"/>
                <w:sz w:val="21"/>
                <w:szCs w:val="21"/>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3.00</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3</w:t>
            </w:r>
          </w:p>
        </w:tc>
        <w:tc>
          <w:tcPr>
            <w:tcW w:w="4967"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hint="eastAsia"/>
                <w:color w:val="000000"/>
                <w:kern w:val="0"/>
                <w:sz w:val="21"/>
                <w:szCs w:val="21"/>
              </w:rPr>
              <w:t>总硬度</w:t>
            </w:r>
            <w:r>
              <w:rPr>
                <w:rFonts w:ascii="Times New Roman" w:hAnsi="Times New Roman" w:hint="eastAsia"/>
                <w:color w:val="000000"/>
                <w:kern w:val="0"/>
                <w:sz w:val="21"/>
                <w:szCs w:val="21"/>
              </w:rPr>
              <w:t>(</w:t>
            </w:r>
            <w:r>
              <w:rPr>
                <w:rFonts w:ascii="Times New Roman" w:hAnsi="Times New Roman" w:hint="eastAsia"/>
                <w:color w:val="000000"/>
                <w:kern w:val="0"/>
                <w:sz w:val="21"/>
                <w:szCs w:val="21"/>
              </w:rPr>
              <w:t>以</w:t>
            </w:r>
            <w:r>
              <w:rPr>
                <w:rFonts w:ascii="Times New Roman" w:hAnsi="Times New Roman" w:hint="eastAsia"/>
                <w:color w:val="000000"/>
                <w:kern w:val="0"/>
                <w:sz w:val="21"/>
                <w:szCs w:val="21"/>
              </w:rPr>
              <w:t>CaCO3</w:t>
            </w:r>
            <w:r>
              <w:rPr>
                <w:rFonts w:ascii="Times New Roman" w:hAnsi="Times New Roman" w:hint="eastAsia"/>
                <w:color w:val="000000"/>
                <w:kern w:val="0"/>
                <w:sz w:val="21"/>
                <w:szCs w:val="21"/>
              </w:rPr>
              <w:t>计</w:t>
            </w:r>
            <w:r>
              <w:rPr>
                <w:rFonts w:ascii="Times New Roman" w:hAnsi="Times New Roman" w:hint="eastAsia"/>
                <w:color w:val="000000"/>
                <w:kern w:val="0"/>
                <w:sz w:val="21"/>
                <w:szCs w:val="21"/>
              </w:rPr>
              <w:t>)</w:t>
            </w:r>
            <w:r>
              <w:rPr>
                <w:rFonts w:ascii="Times New Roman" w:hAnsi="Times New Roman"/>
                <w:color w:val="000000"/>
                <w:kern w:val="0"/>
                <w:sz w:val="21"/>
                <w:szCs w:val="21"/>
              </w:rPr>
              <w:t xml:space="preserve"> </w:t>
            </w:r>
            <w:r>
              <w:rPr>
                <w:rFonts w:ascii="Times New Roman" w:hAnsi="Times New Roman" w:hint="eastAsia"/>
                <w:color w:val="000000"/>
                <w:kern w:val="0"/>
                <w:sz w:val="21"/>
                <w:szCs w:val="21"/>
              </w:rPr>
              <w:t>（</w:t>
            </w:r>
            <w:r>
              <w:rPr>
                <w:rFonts w:ascii="Times New Roman" w:hAnsi="Times New Roman"/>
                <w:color w:val="000000"/>
                <w:kern w:val="0"/>
                <w:sz w:val="21"/>
                <w:szCs w:val="21"/>
              </w:rPr>
              <w:t>mg/L</w:t>
            </w:r>
            <w:r>
              <w:rPr>
                <w:rFonts w:ascii="Times New Roman" w:hAnsi="Times New Roman" w:hint="eastAsia"/>
                <w:color w:val="000000"/>
                <w:kern w:val="0"/>
                <w:sz w:val="21"/>
                <w:szCs w:val="21"/>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450</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4</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氨氮</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0.50</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氟化物</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1.0</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6</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铁</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≤0.</w:t>
            </w:r>
            <w:r>
              <w:rPr>
                <w:rFonts w:ascii="Times New Roman" w:hAnsi="Times New Roman" w:hint="eastAsia"/>
                <w:color w:val="000000"/>
                <w:kern w:val="0"/>
                <w:sz w:val="21"/>
                <w:szCs w:val="21"/>
              </w:rPr>
              <w:t>3</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7</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铜</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1.00</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8</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锌</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1.00</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9</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镍</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0.02</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hint="eastAsia"/>
                <w:color w:val="000000"/>
                <w:kern w:val="0"/>
                <w:sz w:val="21"/>
                <w:szCs w:val="21"/>
              </w:rPr>
              <w:t>10</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砷</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≤0.0</w:t>
            </w:r>
            <w:r>
              <w:rPr>
                <w:rFonts w:ascii="Times New Roman" w:hAnsi="Times New Roman" w:hint="eastAsia"/>
                <w:color w:val="000000"/>
                <w:kern w:val="0"/>
                <w:sz w:val="21"/>
                <w:szCs w:val="21"/>
              </w:rPr>
              <w:t>1</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hint="eastAsia"/>
                <w:color w:val="000000"/>
                <w:kern w:val="0"/>
                <w:sz w:val="21"/>
                <w:szCs w:val="21"/>
              </w:rPr>
              <w:t>11</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铅</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≤0.0</w:t>
            </w:r>
            <w:r>
              <w:rPr>
                <w:rFonts w:ascii="Times New Roman" w:hAnsi="Times New Roman" w:hint="eastAsia"/>
                <w:color w:val="000000"/>
                <w:kern w:val="0"/>
                <w:sz w:val="21"/>
                <w:szCs w:val="21"/>
              </w:rPr>
              <w:t>1</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hint="eastAsia"/>
                <w:color w:val="000000"/>
                <w:kern w:val="0"/>
                <w:sz w:val="21"/>
                <w:szCs w:val="21"/>
              </w:rPr>
              <w:t>12</w:t>
            </w:r>
          </w:p>
        </w:tc>
        <w:tc>
          <w:tcPr>
            <w:tcW w:w="4967" w:type="dxa"/>
            <w:shd w:val="clear" w:color="auto" w:fill="FFFFFF"/>
            <w:vAlign w:val="center"/>
          </w:tcPr>
          <w:p w:rsidR="004B4777" w:rsidRDefault="004B4777">
            <w:pPr>
              <w:pStyle w:val="affff8"/>
              <w:rPr>
                <w:rFonts w:eastAsia="宋体" w:cs="宋体"/>
              </w:rPr>
            </w:pPr>
            <w:r>
              <w:rPr>
                <w:rFonts w:eastAsia="宋体" w:cs="宋体" w:hint="eastAsia"/>
              </w:rPr>
              <w:t>六价铬</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0.05</w:t>
            </w:r>
          </w:p>
        </w:tc>
      </w:tr>
      <w:tr w:rsidR="004B4777">
        <w:trPr>
          <w:trHeight w:val="397"/>
        </w:trPr>
        <w:tc>
          <w:tcPr>
            <w:tcW w:w="1205"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color w:val="000000"/>
                <w:kern w:val="0"/>
                <w:sz w:val="21"/>
                <w:szCs w:val="21"/>
              </w:rPr>
            </w:pPr>
            <w:r>
              <w:rPr>
                <w:rFonts w:ascii="Times New Roman" w:hAnsi="Times New Roman" w:hint="eastAsia"/>
                <w:color w:val="000000"/>
                <w:kern w:val="0"/>
                <w:sz w:val="21"/>
                <w:szCs w:val="21"/>
              </w:rPr>
              <w:t>13</w:t>
            </w:r>
          </w:p>
        </w:tc>
        <w:tc>
          <w:tcPr>
            <w:tcW w:w="4967" w:type="dxa"/>
            <w:shd w:val="clear" w:color="auto" w:fill="FFFFFF"/>
            <w:vAlign w:val="center"/>
          </w:tcPr>
          <w:p w:rsidR="004B4777" w:rsidRDefault="004B4777">
            <w:pPr>
              <w:pStyle w:val="affff8"/>
              <w:rPr>
                <w:rFonts w:eastAsia="宋体" w:cs="宋体" w:hint="eastAsia"/>
              </w:rPr>
            </w:pPr>
            <w:r>
              <w:rPr>
                <w:rFonts w:eastAsia="宋体" w:cs="宋体" w:hint="eastAsia"/>
              </w:rPr>
              <w:t>锰</w:t>
            </w:r>
            <w:r>
              <w:rPr>
                <w:rFonts w:eastAsia="宋体" w:cs="宋体" w:hint="eastAsia"/>
                <w:color w:val="000000"/>
              </w:rPr>
              <w:t>（</w:t>
            </w:r>
            <w:r>
              <w:rPr>
                <w:rFonts w:eastAsia="宋体"/>
                <w:color w:val="000000"/>
              </w:rPr>
              <w:t>mg/L</w:t>
            </w:r>
            <w:r>
              <w:rPr>
                <w:rFonts w:eastAsia="宋体" w:cs="宋体" w:hint="eastAsia"/>
                <w:color w:val="000000"/>
              </w:rPr>
              <w:t>）</w:t>
            </w:r>
          </w:p>
        </w:tc>
        <w:tc>
          <w:tcPr>
            <w:tcW w:w="2140" w:type="dxa"/>
            <w:shd w:val="clear" w:color="auto" w:fill="FFFFFF"/>
            <w:vAlign w:val="center"/>
          </w:tcPr>
          <w:p w:rsidR="004B4777" w:rsidRDefault="004B4777">
            <w:pPr>
              <w:autoSpaceDE w:val="0"/>
              <w:autoSpaceDN w:val="0"/>
              <w:adjustRightInd w:val="0"/>
              <w:spacing w:line="240" w:lineRule="auto"/>
              <w:ind w:firstLineChars="0" w:firstLine="0"/>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ascii="Times New Roman" w:hAnsi="Times New Roman" w:hint="eastAsia"/>
                <w:color w:val="000000"/>
                <w:kern w:val="0"/>
                <w:sz w:val="21"/>
                <w:szCs w:val="21"/>
              </w:rPr>
              <w:t>0.1</w:t>
            </w:r>
          </w:p>
        </w:tc>
      </w:tr>
    </w:tbl>
    <w:p w:rsidR="004B4777" w:rsidRDefault="004B4777">
      <w:pPr>
        <w:spacing w:before="100" w:beforeAutospacing="1"/>
        <w:ind w:firstLine="480"/>
        <w:rPr>
          <w:rFonts w:ascii="Times New Roman" w:hAnsi="Times New Roman" w:hint="eastAsia"/>
        </w:rPr>
      </w:pPr>
      <w:r>
        <w:rPr>
          <w:rFonts w:ascii="Times New Roman" w:hAnsi="Times New Roman" w:hint="eastAsia"/>
        </w:rPr>
        <w:t>（</w:t>
      </w:r>
      <w:r>
        <w:rPr>
          <w:rFonts w:ascii="Times New Roman" w:hAnsi="Times New Roman"/>
        </w:rPr>
        <w:t>5</w:t>
      </w:r>
      <w:r>
        <w:rPr>
          <w:rFonts w:ascii="Times New Roman" w:hAnsi="Times New Roman"/>
        </w:rPr>
        <w:t>）</w:t>
      </w:r>
      <w:r>
        <w:rPr>
          <w:rFonts w:ascii="Times New Roman" w:hAnsi="Times New Roman" w:hint="eastAsia"/>
        </w:rPr>
        <w:t>土壤</w:t>
      </w:r>
      <w:r>
        <w:rPr>
          <w:rFonts w:ascii="Times New Roman" w:hAnsi="Times New Roman"/>
        </w:rPr>
        <w:t>底泥环境质量</w:t>
      </w:r>
    </w:p>
    <w:p w:rsidR="004B4777" w:rsidRDefault="004B4777">
      <w:pPr>
        <w:ind w:firstLine="480"/>
        <w:rPr>
          <w:rFonts w:ascii="Times New Roman" w:hAnsi="Times New Roman"/>
        </w:rPr>
      </w:pPr>
      <w:r>
        <w:rPr>
          <w:rFonts w:ascii="Times New Roman" w:hAnsi="Times New Roman" w:hint="eastAsia"/>
        </w:rPr>
        <w:t>底泥</w:t>
      </w:r>
      <w:r>
        <w:rPr>
          <w:rFonts w:ascii="Times New Roman" w:hAnsi="Times New Roman"/>
        </w:rPr>
        <w:t>执行《土壤环境质量</w:t>
      </w:r>
      <w:r>
        <w:rPr>
          <w:rFonts w:ascii="Times New Roman" w:hAnsi="Times New Roman" w:hint="eastAsia"/>
        </w:rPr>
        <w:t xml:space="preserve"> </w:t>
      </w:r>
      <w:r>
        <w:rPr>
          <w:rFonts w:ascii="Times New Roman" w:hAnsi="Times New Roman" w:hint="eastAsia"/>
        </w:rPr>
        <w:t>农用地土壤污染风险管控</w:t>
      </w:r>
      <w:r>
        <w:rPr>
          <w:rFonts w:ascii="Times New Roman" w:hAnsi="Times New Roman"/>
        </w:rPr>
        <w:t>标准》（</w:t>
      </w:r>
      <w:r>
        <w:rPr>
          <w:rFonts w:ascii="Times New Roman" w:hAnsi="Times New Roman"/>
        </w:rPr>
        <w:t>GB15618-</w:t>
      </w:r>
      <w:r>
        <w:rPr>
          <w:rFonts w:ascii="Times New Roman" w:hAnsi="Times New Roman" w:hint="eastAsia"/>
        </w:rPr>
        <w:t>2018</w:t>
      </w:r>
      <w:r>
        <w:rPr>
          <w:rFonts w:ascii="Times New Roman" w:hAnsi="Times New Roman"/>
        </w:rPr>
        <w:t>）</w:t>
      </w:r>
      <w:r>
        <w:rPr>
          <w:rFonts w:ascii="Times New Roman" w:hAnsi="Times New Roman" w:hint="eastAsia"/>
        </w:rPr>
        <w:t>风险筛选值</w:t>
      </w:r>
      <w:r>
        <w:rPr>
          <w:rFonts w:ascii="Times New Roman" w:hAnsi="Times New Roman"/>
        </w:rPr>
        <w:t>，详见表</w:t>
      </w:r>
      <w:r>
        <w:rPr>
          <w:rFonts w:ascii="Times New Roman" w:hAnsi="Times New Roman" w:hint="eastAsia"/>
        </w:rPr>
        <w:t>2.2</w:t>
      </w:r>
      <w:r>
        <w:rPr>
          <w:rFonts w:ascii="Times New Roman" w:hAnsi="Times New Roman"/>
        </w:rPr>
        <w:t>-</w:t>
      </w:r>
      <w:r>
        <w:rPr>
          <w:rFonts w:ascii="Times New Roman" w:hAnsi="Times New Roman" w:hint="eastAsia"/>
        </w:rPr>
        <w:t>5</w:t>
      </w:r>
      <w:r>
        <w:rPr>
          <w:rFonts w:ascii="Times New Roman" w:hAnsi="Times New Roman"/>
        </w:rPr>
        <w:t>。</w:t>
      </w:r>
    </w:p>
    <w:p w:rsidR="004B4777" w:rsidRDefault="004B4777">
      <w:pPr>
        <w:ind w:firstLineChars="0" w:firstLine="0"/>
        <w:jc w:val="center"/>
        <w:rPr>
          <w:rFonts w:ascii="Times New Roman" w:hAnsi="Times New Roman" w:hint="eastAsia"/>
          <w:b/>
          <w:szCs w:val="28"/>
        </w:rPr>
      </w:pPr>
      <w:r>
        <w:rPr>
          <w:rFonts w:ascii="Times New Roman" w:hAnsi="Times New Roman"/>
          <w:b/>
          <w:szCs w:val="28"/>
        </w:rPr>
        <w:t>表</w:t>
      </w:r>
      <w:r>
        <w:rPr>
          <w:rFonts w:ascii="Times New Roman" w:hAnsi="Times New Roman" w:hint="eastAsia"/>
          <w:b/>
          <w:szCs w:val="28"/>
        </w:rPr>
        <w:t>2.2</w:t>
      </w:r>
      <w:r>
        <w:rPr>
          <w:rFonts w:ascii="Times New Roman" w:hAnsi="Times New Roman"/>
          <w:b/>
          <w:szCs w:val="28"/>
        </w:rPr>
        <w:t>-</w:t>
      </w:r>
      <w:r>
        <w:rPr>
          <w:rFonts w:ascii="Times New Roman" w:hAnsi="Times New Roman" w:hint="eastAsia"/>
          <w:b/>
          <w:szCs w:val="28"/>
        </w:rPr>
        <w:t>5</w:t>
      </w:r>
      <w:r>
        <w:rPr>
          <w:rFonts w:ascii="Times New Roman" w:hAnsi="Times New Roman"/>
          <w:b/>
          <w:szCs w:val="28"/>
        </w:rPr>
        <w:t xml:space="preserve">     </w:t>
      </w:r>
      <w:r>
        <w:rPr>
          <w:rFonts w:ascii="Times New Roman" w:hAnsi="Times New Roman"/>
          <w:b/>
          <w:szCs w:val="28"/>
        </w:rPr>
        <w:t>土壤环境质量标准值</w:t>
      </w:r>
      <w:r>
        <w:rPr>
          <w:rFonts w:ascii="Times New Roman" w:hAnsi="Times New Roman"/>
          <w:b/>
          <w:szCs w:val="28"/>
        </w:rPr>
        <w:t xml:space="preserve">    </w:t>
      </w:r>
      <w:r>
        <w:rPr>
          <w:rFonts w:ascii="Times New Roman" w:hAnsi="Times New Roman"/>
          <w:b/>
          <w:szCs w:val="28"/>
        </w:rPr>
        <w:t>单位：</w:t>
      </w:r>
      <w:r>
        <w:rPr>
          <w:rFonts w:ascii="Times New Roman" w:hAnsi="Times New Roman"/>
          <w:b/>
          <w:szCs w:val="28"/>
        </w:rPr>
        <w:t>mg/kg</w:t>
      </w:r>
      <w:r>
        <w:rPr>
          <w:rFonts w:ascii="Times New Roman" w:hAnsi="Times New Roman" w:hint="eastAsia"/>
          <w:b/>
          <w:szCs w:val="28"/>
        </w:rPr>
        <w:t xml:space="preserve">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5"/>
        <w:gridCol w:w="1207"/>
        <w:gridCol w:w="1585"/>
        <w:gridCol w:w="1585"/>
        <w:gridCol w:w="1585"/>
        <w:gridCol w:w="1585"/>
      </w:tblGrid>
      <w:tr w:rsidR="004B4777">
        <w:trPr>
          <w:trHeight w:val="397"/>
        </w:trPr>
        <w:tc>
          <w:tcPr>
            <w:tcW w:w="2182" w:type="dxa"/>
            <w:gridSpan w:val="2"/>
            <w:vMerge w:val="restart"/>
            <w:vAlign w:val="center"/>
          </w:tcPr>
          <w:p w:rsidR="004B4777" w:rsidRDefault="004B4777">
            <w:pPr>
              <w:overflowPunct w:val="0"/>
              <w:autoSpaceDE w:val="0"/>
              <w:autoSpaceDN w:val="0"/>
              <w:adjustRightInd w:val="0"/>
              <w:spacing w:line="320" w:lineRule="atLeast"/>
              <w:ind w:firstLineChars="0" w:firstLine="42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级别</w:t>
            </w:r>
          </w:p>
        </w:tc>
        <w:tc>
          <w:tcPr>
            <w:tcW w:w="6340" w:type="dxa"/>
            <w:gridSpan w:val="4"/>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GB15618-</w:t>
            </w:r>
            <w:r>
              <w:rPr>
                <w:rFonts w:ascii="Times New Roman" w:hAnsi="Times New Roman" w:cs="宋体" w:hint="eastAsia"/>
                <w:color w:val="000000"/>
                <w:kern w:val="0"/>
                <w:sz w:val="21"/>
                <w:szCs w:val="21"/>
              </w:rPr>
              <w:t>2018</w:t>
            </w:r>
            <w:r>
              <w:rPr>
                <w:rFonts w:ascii="Times New Roman" w:hAnsi="Times New Roman" w:cs="宋体" w:hint="eastAsia"/>
                <w:color w:val="000000"/>
                <w:kern w:val="0"/>
                <w:sz w:val="21"/>
                <w:szCs w:val="21"/>
              </w:rPr>
              <w:t>风险筛选值</w:t>
            </w:r>
          </w:p>
        </w:tc>
      </w:tr>
      <w:tr w:rsidR="004B4777">
        <w:trPr>
          <w:trHeight w:val="397"/>
        </w:trPr>
        <w:tc>
          <w:tcPr>
            <w:tcW w:w="2182" w:type="dxa"/>
            <w:gridSpan w:val="2"/>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pH</w:t>
            </w:r>
            <w:r>
              <w:rPr>
                <w:rFonts w:ascii="Times New Roman" w:hAnsi="Times New Roman" w:cs="宋体" w:hint="eastAsia"/>
                <w:color w:val="000000"/>
                <w:kern w:val="0"/>
                <w:sz w:val="21"/>
                <w:szCs w:val="21"/>
              </w:rPr>
              <w:t>≤</w:t>
            </w:r>
            <w:r>
              <w:rPr>
                <w:rFonts w:ascii="Times New Roman" w:hAnsi="Times New Roman" w:cs="宋体" w:hint="eastAsia"/>
                <w:color w:val="000000"/>
                <w:kern w:val="0"/>
                <w:sz w:val="21"/>
                <w:szCs w:val="21"/>
              </w:rPr>
              <w:t>5</w:t>
            </w:r>
            <w:r>
              <w:rPr>
                <w:rFonts w:ascii="Times New Roman" w:hAnsi="Times New Roman" w:cs="宋体"/>
                <w:color w:val="000000"/>
                <w:kern w:val="0"/>
                <w:sz w:val="21"/>
                <w:szCs w:val="21"/>
              </w:rPr>
              <w:t>.5</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5</w:t>
            </w:r>
            <w:r>
              <w:rPr>
                <w:rFonts w:ascii="Times New Roman" w:hAnsi="Times New Roman" w:cs="宋体"/>
                <w:color w:val="000000"/>
                <w:kern w:val="0"/>
                <w:sz w:val="21"/>
                <w:szCs w:val="21"/>
              </w:rPr>
              <w:t>.5&lt;</w:t>
            </w:r>
            <w:r>
              <w:rPr>
                <w:rFonts w:ascii="Times New Roman" w:hAnsi="Times New Roman" w:cs="宋体" w:hint="eastAsia"/>
                <w:color w:val="000000"/>
                <w:kern w:val="0"/>
                <w:sz w:val="21"/>
                <w:szCs w:val="21"/>
              </w:rPr>
              <w:t>pH</w:t>
            </w:r>
            <w:r>
              <w:rPr>
                <w:rFonts w:ascii="Times New Roman" w:hAnsi="Times New Roman" w:cs="宋体" w:hint="eastAsia"/>
                <w:color w:val="000000"/>
                <w:kern w:val="0"/>
                <w:sz w:val="21"/>
                <w:szCs w:val="21"/>
              </w:rPr>
              <w:t>≤</w:t>
            </w:r>
            <w:r>
              <w:rPr>
                <w:rFonts w:ascii="Times New Roman" w:hAnsi="Times New Roman" w:cs="宋体" w:hint="eastAsia"/>
                <w:color w:val="000000"/>
                <w:kern w:val="0"/>
                <w:sz w:val="21"/>
                <w:szCs w:val="21"/>
              </w:rPr>
              <w:t>6</w:t>
            </w:r>
            <w:r>
              <w:rPr>
                <w:rFonts w:ascii="Times New Roman" w:hAnsi="Times New Roman" w:cs="宋体"/>
                <w:color w:val="000000"/>
                <w:kern w:val="0"/>
                <w:sz w:val="21"/>
                <w:szCs w:val="21"/>
              </w:rPr>
              <w:t>.5</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6</w:t>
            </w:r>
            <w:r>
              <w:rPr>
                <w:rFonts w:ascii="Times New Roman" w:hAnsi="Times New Roman" w:cs="宋体"/>
                <w:color w:val="000000"/>
                <w:kern w:val="0"/>
                <w:sz w:val="21"/>
                <w:szCs w:val="21"/>
              </w:rPr>
              <w:t>.5&lt;</w:t>
            </w:r>
            <w:r>
              <w:rPr>
                <w:rFonts w:ascii="Times New Roman" w:hAnsi="Times New Roman" w:cs="宋体" w:hint="eastAsia"/>
                <w:color w:val="000000"/>
                <w:kern w:val="0"/>
                <w:sz w:val="21"/>
                <w:szCs w:val="21"/>
              </w:rPr>
              <w:t>pH</w:t>
            </w:r>
            <w:r>
              <w:rPr>
                <w:rFonts w:ascii="Times New Roman" w:hAnsi="Times New Roman" w:cs="宋体" w:hint="eastAsia"/>
                <w:color w:val="000000"/>
                <w:kern w:val="0"/>
                <w:sz w:val="21"/>
                <w:szCs w:val="21"/>
              </w:rPr>
              <w:t>≤</w:t>
            </w:r>
            <w:r>
              <w:rPr>
                <w:rFonts w:ascii="Times New Roman" w:hAnsi="Times New Roman" w:cs="宋体" w:hint="eastAsia"/>
                <w:color w:val="000000"/>
                <w:kern w:val="0"/>
                <w:sz w:val="21"/>
                <w:szCs w:val="21"/>
              </w:rPr>
              <w:t>7</w:t>
            </w:r>
            <w:r>
              <w:rPr>
                <w:rFonts w:ascii="Times New Roman" w:hAnsi="Times New Roman" w:cs="宋体"/>
                <w:color w:val="000000"/>
                <w:kern w:val="0"/>
                <w:sz w:val="21"/>
                <w:szCs w:val="21"/>
              </w:rPr>
              <w:t>.5</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pH</w:t>
            </w:r>
            <w:r>
              <w:rPr>
                <w:rFonts w:ascii="Times New Roman" w:hAnsi="Times New Roman" w:cs="宋体"/>
                <w:color w:val="000000"/>
                <w:kern w:val="0"/>
                <w:sz w:val="21"/>
                <w:szCs w:val="21"/>
              </w:rPr>
              <w:t xml:space="preserve"> &gt;7.5</w:t>
            </w:r>
          </w:p>
        </w:tc>
      </w:tr>
      <w:tr w:rsidR="004B4777">
        <w:trPr>
          <w:trHeight w:val="397"/>
        </w:trPr>
        <w:tc>
          <w:tcPr>
            <w:tcW w:w="975" w:type="dxa"/>
            <w:vMerge w:val="restart"/>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lastRenderedPageBreak/>
              <w:t>镉</w:t>
            </w: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水田</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0.3</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0.4</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0.6</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0.8</w:t>
            </w:r>
          </w:p>
        </w:tc>
      </w:tr>
      <w:tr w:rsidR="004B4777">
        <w:trPr>
          <w:trHeight w:val="397"/>
        </w:trPr>
        <w:tc>
          <w:tcPr>
            <w:tcW w:w="975" w:type="dxa"/>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其他</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0.3</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0.3</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0.3</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0.6</w:t>
            </w:r>
          </w:p>
        </w:tc>
      </w:tr>
      <w:tr w:rsidR="004B4777">
        <w:trPr>
          <w:trHeight w:val="397"/>
        </w:trPr>
        <w:tc>
          <w:tcPr>
            <w:tcW w:w="975" w:type="dxa"/>
            <w:vMerge w:val="restart"/>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汞</w:t>
            </w: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水田</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0.5</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0.5</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0.6</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1.0</w:t>
            </w:r>
          </w:p>
        </w:tc>
      </w:tr>
      <w:tr w:rsidR="004B4777">
        <w:trPr>
          <w:trHeight w:val="397"/>
        </w:trPr>
        <w:tc>
          <w:tcPr>
            <w:tcW w:w="975" w:type="dxa"/>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其他</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1.3</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1.8</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2.4</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3.4</w:t>
            </w:r>
          </w:p>
        </w:tc>
      </w:tr>
      <w:tr w:rsidR="004B4777">
        <w:trPr>
          <w:trHeight w:val="397"/>
        </w:trPr>
        <w:tc>
          <w:tcPr>
            <w:tcW w:w="975" w:type="dxa"/>
            <w:vMerge w:val="restart"/>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砷</w:t>
            </w: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水田</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30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30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25</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20</w:t>
            </w:r>
          </w:p>
        </w:tc>
      </w:tr>
      <w:tr w:rsidR="004B4777">
        <w:trPr>
          <w:trHeight w:val="397"/>
        </w:trPr>
        <w:tc>
          <w:tcPr>
            <w:tcW w:w="975" w:type="dxa"/>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其他</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40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40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30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25</w:t>
            </w:r>
          </w:p>
        </w:tc>
      </w:tr>
      <w:tr w:rsidR="004B4777">
        <w:trPr>
          <w:trHeight w:val="397"/>
        </w:trPr>
        <w:tc>
          <w:tcPr>
            <w:tcW w:w="975" w:type="dxa"/>
            <w:vMerge w:val="restart"/>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铅</w:t>
            </w: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水田</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80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140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240</w:t>
            </w:r>
          </w:p>
        </w:tc>
      </w:tr>
      <w:tr w:rsidR="004B4777">
        <w:trPr>
          <w:trHeight w:val="397"/>
        </w:trPr>
        <w:tc>
          <w:tcPr>
            <w:tcW w:w="975" w:type="dxa"/>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其他</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70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90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120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170</w:t>
            </w:r>
          </w:p>
        </w:tc>
      </w:tr>
      <w:tr w:rsidR="004B4777">
        <w:trPr>
          <w:trHeight w:val="397"/>
        </w:trPr>
        <w:tc>
          <w:tcPr>
            <w:tcW w:w="975" w:type="dxa"/>
            <w:vMerge w:val="restart"/>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铬</w:t>
            </w: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水田</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300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350</w:t>
            </w:r>
          </w:p>
        </w:tc>
      </w:tr>
      <w:tr w:rsidR="004B4777">
        <w:trPr>
          <w:trHeight w:val="397"/>
        </w:trPr>
        <w:tc>
          <w:tcPr>
            <w:tcW w:w="975" w:type="dxa"/>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其他</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250</w:t>
            </w:r>
          </w:p>
        </w:tc>
      </w:tr>
      <w:tr w:rsidR="004B4777">
        <w:trPr>
          <w:trHeight w:val="397"/>
        </w:trPr>
        <w:tc>
          <w:tcPr>
            <w:tcW w:w="975" w:type="dxa"/>
            <w:vMerge w:val="restart"/>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铜</w:t>
            </w: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水田</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200</w:t>
            </w:r>
          </w:p>
        </w:tc>
      </w:tr>
      <w:tr w:rsidR="004B4777">
        <w:trPr>
          <w:trHeight w:val="397"/>
        </w:trPr>
        <w:tc>
          <w:tcPr>
            <w:tcW w:w="975" w:type="dxa"/>
            <w:vMerge/>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p>
        </w:tc>
        <w:tc>
          <w:tcPr>
            <w:tcW w:w="1207"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其他</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100</w:t>
            </w:r>
          </w:p>
        </w:tc>
      </w:tr>
      <w:tr w:rsidR="004B4777">
        <w:trPr>
          <w:trHeight w:val="397"/>
        </w:trPr>
        <w:tc>
          <w:tcPr>
            <w:tcW w:w="2182" w:type="dxa"/>
            <w:gridSpan w:val="2"/>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hint="eastAsia"/>
                <w:color w:val="000000"/>
                <w:kern w:val="0"/>
                <w:sz w:val="21"/>
                <w:szCs w:val="21"/>
              </w:rPr>
            </w:pPr>
            <w:r>
              <w:rPr>
                <w:rFonts w:ascii="Times New Roman" w:hAnsi="Times New Roman" w:cs="宋体" w:hint="eastAsia"/>
                <w:color w:val="000000"/>
                <w:kern w:val="0"/>
                <w:sz w:val="21"/>
                <w:szCs w:val="21"/>
              </w:rPr>
              <w:t>镍</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60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70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190</w:t>
            </w:r>
          </w:p>
        </w:tc>
      </w:tr>
      <w:tr w:rsidR="004B4777">
        <w:trPr>
          <w:trHeight w:val="397"/>
        </w:trPr>
        <w:tc>
          <w:tcPr>
            <w:tcW w:w="2182" w:type="dxa"/>
            <w:gridSpan w:val="2"/>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锌</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hint="eastAsia"/>
                <w:color w:val="000000"/>
                <w:kern w:val="0"/>
                <w:sz w:val="21"/>
                <w:szCs w:val="21"/>
              </w:rPr>
              <w:t>200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200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250</w:t>
            </w:r>
          </w:p>
        </w:tc>
        <w:tc>
          <w:tcPr>
            <w:tcW w:w="1585" w:type="dxa"/>
            <w:vAlign w:val="center"/>
          </w:tcPr>
          <w:p w:rsidR="004B4777" w:rsidRDefault="004B4777">
            <w:pPr>
              <w:overflowPunct w:val="0"/>
              <w:autoSpaceDE w:val="0"/>
              <w:autoSpaceDN w:val="0"/>
              <w:adjustRightInd w:val="0"/>
              <w:spacing w:line="320" w:lineRule="atLeast"/>
              <w:ind w:firstLineChars="0" w:firstLine="0"/>
              <w:jc w:val="center"/>
              <w:textAlignment w:val="baseline"/>
              <w:rPr>
                <w:rFonts w:ascii="Times New Roman" w:hAnsi="Times New Roman" w:cs="宋体"/>
                <w:color w:val="000000"/>
                <w:kern w:val="0"/>
                <w:sz w:val="21"/>
                <w:szCs w:val="21"/>
              </w:rPr>
            </w:pPr>
            <w:r>
              <w:rPr>
                <w:rFonts w:ascii="Times New Roman" w:hAnsi="Times New Roman" w:cs="宋体"/>
                <w:color w:val="000000"/>
                <w:kern w:val="0"/>
                <w:sz w:val="21"/>
                <w:szCs w:val="21"/>
              </w:rPr>
              <w:t>300</w:t>
            </w:r>
          </w:p>
        </w:tc>
      </w:tr>
    </w:tbl>
    <w:p w:rsidR="004B4777" w:rsidRDefault="004B4777">
      <w:pPr>
        <w:pStyle w:val="3"/>
        <w:spacing w:before="100" w:beforeAutospacing="1" w:after="0"/>
        <w:rPr>
          <w:rFonts w:ascii="Times New Roman" w:eastAsia="宋体" w:hAnsi="Times New Roman" w:hint="eastAsia"/>
          <w:b/>
        </w:rPr>
      </w:pPr>
      <w:r>
        <w:rPr>
          <w:rFonts w:ascii="Times New Roman" w:eastAsia="宋体" w:hAnsi="Times New Roman"/>
          <w:b/>
        </w:rPr>
        <w:t xml:space="preserve">2.2.3 </w:t>
      </w:r>
      <w:r>
        <w:rPr>
          <w:rFonts w:ascii="Times New Roman" w:eastAsia="宋体" w:hAnsi="Times New Roman" w:hint="eastAsia"/>
          <w:b/>
        </w:rPr>
        <w:t>污染物排放</w:t>
      </w:r>
      <w:r>
        <w:rPr>
          <w:rFonts w:ascii="Times New Roman" w:eastAsia="宋体" w:hAnsi="Times New Roman"/>
          <w:b/>
        </w:rPr>
        <w:t>标准</w:t>
      </w:r>
    </w:p>
    <w:p w:rsidR="004B4777" w:rsidRDefault="004B4777">
      <w:pPr>
        <w:ind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rPr>
        <w:t>）</w:t>
      </w:r>
      <w:r>
        <w:rPr>
          <w:rFonts w:ascii="Times New Roman" w:hAnsi="Times New Roman" w:hint="eastAsia"/>
        </w:rPr>
        <w:t>大气</w:t>
      </w:r>
      <w:r>
        <w:rPr>
          <w:rFonts w:ascii="Times New Roman" w:hAnsi="Times New Roman"/>
        </w:rPr>
        <w:t>污染物排放标准</w:t>
      </w:r>
    </w:p>
    <w:p w:rsidR="004B4777" w:rsidRDefault="004B4777">
      <w:pPr>
        <w:ind w:firstLineChars="0" w:firstLine="476"/>
        <w:rPr>
          <w:rFonts w:ascii="Times New Roman" w:hAnsi="Times New Roman"/>
          <w:szCs w:val="28"/>
        </w:rPr>
      </w:pPr>
      <w:r>
        <w:rPr>
          <w:rFonts w:ascii="Times New Roman" w:hAnsi="Times New Roman"/>
          <w:szCs w:val="28"/>
        </w:rPr>
        <w:t>主要为船舶的动力来源</w:t>
      </w:r>
      <w:r>
        <w:rPr>
          <w:rFonts w:ascii="Times New Roman" w:hAnsi="Times New Roman"/>
          <w:szCs w:val="28"/>
        </w:rPr>
        <w:t>-</w:t>
      </w:r>
      <w:r>
        <w:rPr>
          <w:rFonts w:ascii="Times New Roman" w:hAnsi="Times New Roman"/>
          <w:szCs w:val="28"/>
        </w:rPr>
        <w:t>柴油机工作的排放废气，</w:t>
      </w:r>
      <w:r>
        <w:rPr>
          <w:rFonts w:ascii="Times New Roman" w:hAnsi="Times New Roman" w:hint="eastAsia"/>
          <w:color w:val="000000"/>
        </w:rPr>
        <w:t>执行《非道路移动机械用柴油机排气污染物排放限值及测量方案（中国第三、第四阶段）》</w:t>
      </w:r>
      <w:r>
        <w:rPr>
          <w:rFonts w:ascii="Times New Roman" w:hAnsi="Times New Roman"/>
          <w:color w:val="000000"/>
        </w:rPr>
        <w:t>（</w:t>
      </w:r>
      <w:r>
        <w:rPr>
          <w:rFonts w:ascii="Times New Roman" w:hAnsi="Times New Roman"/>
          <w:color w:val="000000"/>
        </w:rPr>
        <w:t>GB20891-2014</w:t>
      </w:r>
      <w:r>
        <w:rPr>
          <w:rFonts w:ascii="Times New Roman" w:hAnsi="Times New Roman"/>
          <w:color w:val="000000"/>
        </w:rPr>
        <w:t>）中表</w:t>
      </w:r>
      <w:r>
        <w:rPr>
          <w:rFonts w:ascii="Times New Roman" w:hAnsi="Times New Roman"/>
          <w:color w:val="000000"/>
        </w:rPr>
        <w:t>2“</w:t>
      </w:r>
      <w:r>
        <w:rPr>
          <w:rFonts w:ascii="Times New Roman" w:hAnsi="Times New Roman"/>
          <w:color w:val="000000"/>
        </w:rPr>
        <w:t>非道路移动机械用柴油机污染物排放限值</w:t>
      </w:r>
      <w:r>
        <w:rPr>
          <w:rFonts w:ascii="Times New Roman" w:hAnsi="Times New Roman"/>
          <w:color w:val="000000"/>
        </w:rPr>
        <w:t>”</w:t>
      </w:r>
      <w:r>
        <w:rPr>
          <w:rFonts w:ascii="Times New Roman" w:hAnsi="Times New Roman"/>
          <w:color w:val="000000"/>
        </w:rPr>
        <w:t>中的第三阶段额定净功率大于</w:t>
      </w:r>
      <w:r>
        <w:rPr>
          <w:rFonts w:ascii="Times New Roman" w:hAnsi="Times New Roman"/>
          <w:color w:val="000000"/>
        </w:rPr>
        <w:t>560kW</w:t>
      </w:r>
      <w:r>
        <w:rPr>
          <w:rFonts w:ascii="Times New Roman" w:hAnsi="Times New Roman"/>
          <w:color w:val="000000"/>
        </w:rPr>
        <w:t>的污染物浓度限值要求，详见表</w:t>
      </w:r>
      <w:r>
        <w:rPr>
          <w:rFonts w:ascii="Times New Roman" w:hAnsi="Times New Roman"/>
          <w:color w:val="000000"/>
        </w:rPr>
        <w:t>2.2-6</w:t>
      </w:r>
      <w:r>
        <w:rPr>
          <w:rFonts w:ascii="Times New Roman" w:hAnsi="Times New Roman"/>
          <w:color w:val="000000"/>
        </w:rPr>
        <w:t>。</w:t>
      </w:r>
    </w:p>
    <w:p w:rsidR="004B4777" w:rsidRDefault="004B4777">
      <w:pPr>
        <w:ind w:firstLineChars="0" w:firstLine="0"/>
        <w:jc w:val="center"/>
        <w:rPr>
          <w:rFonts w:ascii="Times New Roman" w:hAnsi="Times New Roman"/>
          <w:b/>
          <w:sz w:val="18"/>
          <w:szCs w:val="18"/>
        </w:rPr>
      </w:pPr>
      <w:r>
        <w:rPr>
          <w:rFonts w:ascii="Times New Roman" w:hAnsi="Times New Roman"/>
          <w:b/>
          <w:sz w:val="18"/>
          <w:szCs w:val="18"/>
        </w:rPr>
        <w:t>表</w:t>
      </w:r>
      <w:r>
        <w:rPr>
          <w:rFonts w:ascii="Times New Roman" w:hAnsi="Times New Roman"/>
          <w:b/>
          <w:sz w:val="18"/>
          <w:szCs w:val="18"/>
        </w:rPr>
        <w:t>2.2-</w:t>
      </w:r>
      <w:r>
        <w:rPr>
          <w:rFonts w:ascii="Times New Roman" w:hAnsi="Times New Roman" w:hint="eastAsia"/>
          <w:b/>
          <w:sz w:val="18"/>
          <w:szCs w:val="18"/>
        </w:rPr>
        <w:t xml:space="preserve">6 </w:t>
      </w:r>
      <w:r>
        <w:rPr>
          <w:rFonts w:ascii="Times New Roman" w:hAnsi="Times New Roman"/>
          <w:b/>
          <w:sz w:val="18"/>
          <w:szCs w:val="18"/>
        </w:rPr>
        <w:t xml:space="preserve">   </w:t>
      </w:r>
      <w:r>
        <w:rPr>
          <w:rFonts w:ascii="Times New Roman" w:hAnsi="Times New Roman" w:hint="eastAsia"/>
          <w:b/>
          <w:color w:val="000000"/>
          <w:sz w:val="18"/>
          <w:szCs w:val="18"/>
        </w:rPr>
        <w:t>非道路移动机械用柴油机排气污染物排放限值及测量方案（中国第三、第四阶段）</w:t>
      </w:r>
    </w:p>
    <w:tbl>
      <w:tblPr>
        <w:tblW w:w="0" w:type="auto"/>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809"/>
        <w:gridCol w:w="1342"/>
        <w:gridCol w:w="1344"/>
        <w:gridCol w:w="1341"/>
        <w:gridCol w:w="1343"/>
        <w:gridCol w:w="1343"/>
      </w:tblGrid>
      <w:tr w:rsidR="004B4777">
        <w:trPr>
          <w:trHeight w:val="409"/>
          <w:jc w:val="center"/>
        </w:trPr>
        <w:tc>
          <w:tcPr>
            <w:tcW w:w="1809" w:type="dxa"/>
            <w:tcBorders>
              <w:right w:val="single" w:sz="4" w:space="0" w:color="auto"/>
            </w:tcBorders>
            <w:vAlign w:val="center"/>
          </w:tcPr>
          <w:p w:rsidR="004B4777" w:rsidRDefault="004B4777">
            <w:pPr>
              <w:widowControl/>
              <w:spacing w:line="240" w:lineRule="auto"/>
              <w:ind w:firstLineChars="0" w:firstLine="0"/>
              <w:jc w:val="center"/>
              <w:rPr>
                <w:rFonts w:ascii="Times New Roman" w:hAnsi="Times New Roman" w:hint="eastAsia"/>
                <w:kern w:val="0"/>
                <w:sz w:val="21"/>
                <w:szCs w:val="24"/>
              </w:rPr>
            </w:pPr>
            <w:r>
              <w:rPr>
                <w:rFonts w:ascii="Times New Roman" w:hAnsi="Times New Roman" w:hint="eastAsia"/>
                <w:kern w:val="0"/>
                <w:sz w:val="21"/>
                <w:szCs w:val="24"/>
              </w:rPr>
              <w:t>额定净功率</w:t>
            </w:r>
          </w:p>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r>
              <w:rPr>
                <w:rFonts w:ascii="Times New Roman" w:hAnsi="Times New Roman" w:hint="eastAsia"/>
                <w:kern w:val="0"/>
                <w:sz w:val="21"/>
                <w:szCs w:val="24"/>
              </w:rPr>
              <w:t>P</w:t>
            </w:r>
            <w:r>
              <w:rPr>
                <w:rFonts w:ascii="Times New Roman" w:hAnsi="Times New Roman" w:hint="eastAsia"/>
                <w:kern w:val="0"/>
                <w:sz w:val="21"/>
                <w:szCs w:val="24"/>
                <w:vertAlign w:val="subscript"/>
              </w:rPr>
              <w:t>max</w:t>
            </w:r>
            <w:r>
              <w:rPr>
                <w:rFonts w:ascii="Times New Roman" w:hAnsi="Times New Roman" w:hint="eastAsia"/>
                <w:kern w:val="0"/>
                <w:sz w:val="21"/>
                <w:szCs w:val="24"/>
              </w:rPr>
              <w:t>）（</w:t>
            </w:r>
            <w:r>
              <w:rPr>
                <w:rFonts w:ascii="Times New Roman" w:hAnsi="Times New Roman" w:hint="eastAsia"/>
                <w:kern w:val="0"/>
                <w:sz w:val="21"/>
                <w:szCs w:val="24"/>
              </w:rPr>
              <w:t>kW</w:t>
            </w:r>
            <w:r>
              <w:rPr>
                <w:rFonts w:ascii="Times New Roman" w:hAnsi="Times New Roman" w:hint="eastAsia"/>
                <w:kern w:val="0"/>
                <w:sz w:val="21"/>
                <w:szCs w:val="24"/>
              </w:rPr>
              <w:t>）</w:t>
            </w:r>
          </w:p>
        </w:tc>
        <w:tc>
          <w:tcPr>
            <w:tcW w:w="1342" w:type="dxa"/>
            <w:tcBorders>
              <w:left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hint="eastAsia"/>
                <w:kern w:val="0"/>
                <w:sz w:val="21"/>
                <w:szCs w:val="24"/>
              </w:rPr>
            </w:pPr>
            <w:r>
              <w:rPr>
                <w:rFonts w:ascii="Times New Roman" w:hAnsi="Times New Roman" w:hint="eastAsia"/>
                <w:kern w:val="0"/>
                <w:sz w:val="21"/>
                <w:szCs w:val="24"/>
              </w:rPr>
              <w:t>CO</w:t>
            </w:r>
          </w:p>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r>
              <w:rPr>
                <w:rFonts w:ascii="Times New Roman" w:hAnsi="Times New Roman" w:hint="eastAsia"/>
                <w:kern w:val="0"/>
                <w:sz w:val="21"/>
                <w:szCs w:val="24"/>
              </w:rPr>
              <w:t>g/kWh</w:t>
            </w:r>
            <w:r>
              <w:rPr>
                <w:rFonts w:ascii="Times New Roman" w:hAnsi="Times New Roman" w:hint="eastAsia"/>
                <w:kern w:val="0"/>
                <w:sz w:val="21"/>
                <w:szCs w:val="24"/>
              </w:rPr>
              <w:t>）</w:t>
            </w:r>
          </w:p>
        </w:tc>
        <w:tc>
          <w:tcPr>
            <w:tcW w:w="1344" w:type="dxa"/>
            <w:tcBorders>
              <w:left w:val="single" w:sz="4" w:space="0" w:color="auto"/>
            </w:tcBorders>
            <w:vAlign w:val="center"/>
          </w:tcPr>
          <w:p w:rsidR="004B4777" w:rsidRDefault="004B4777">
            <w:pPr>
              <w:widowControl/>
              <w:spacing w:line="240" w:lineRule="auto"/>
              <w:ind w:firstLineChars="0" w:firstLine="0"/>
              <w:jc w:val="center"/>
              <w:rPr>
                <w:rFonts w:ascii="Times New Roman" w:hAnsi="Times New Roman" w:hint="eastAsia"/>
                <w:kern w:val="0"/>
                <w:sz w:val="21"/>
                <w:szCs w:val="24"/>
              </w:rPr>
            </w:pPr>
            <w:r>
              <w:rPr>
                <w:rFonts w:ascii="Times New Roman" w:hAnsi="Times New Roman" w:hint="eastAsia"/>
                <w:kern w:val="0"/>
                <w:sz w:val="21"/>
                <w:szCs w:val="24"/>
              </w:rPr>
              <w:t>HC</w:t>
            </w:r>
          </w:p>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r>
              <w:rPr>
                <w:rFonts w:ascii="Times New Roman" w:hAnsi="Times New Roman" w:hint="eastAsia"/>
                <w:kern w:val="0"/>
                <w:sz w:val="21"/>
                <w:szCs w:val="24"/>
              </w:rPr>
              <w:t>g/kWh</w:t>
            </w:r>
            <w:r>
              <w:rPr>
                <w:rFonts w:ascii="Times New Roman" w:hAnsi="Times New Roman" w:hint="eastAsia"/>
                <w:kern w:val="0"/>
                <w:sz w:val="21"/>
                <w:szCs w:val="24"/>
              </w:rPr>
              <w:t>）</w:t>
            </w:r>
          </w:p>
        </w:tc>
        <w:tc>
          <w:tcPr>
            <w:tcW w:w="1341" w:type="dxa"/>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NO</w:t>
            </w:r>
            <w:r>
              <w:rPr>
                <w:rFonts w:ascii="Times New Roman" w:hAnsi="Times New Roman" w:hint="eastAsia"/>
                <w:kern w:val="0"/>
                <w:sz w:val="21"/>
                <w:szCs w:val="24"/>
                <w:vertAlign w:val="subscript"/>
              </w:rPr>
              <w:t>X</w:t>
            </w:r>
            <w:r>
              <w:rPr>
                <w:rFonts w:ascii="Times New Roman" w:hAnsi="Times New Roman" w:hint="eastAsia"/>
                <w:kern w:val="0"/>
                <w:sz w:val="21"/>
                <w:szCs w:val="24"/>
              </w:rPr>
              <w:t>（</w:t>
            </w:r>
            <w:r>
              <w:rPr>
                <w:rFonts w:ascii="Times New Roman" w:hAnsi="Times New Roman" w:hint="eastAsia"/>
                <w:kern w:val="0"/>
                <w:sz w:val="21"/>
                <w:szCs w:val="24"/>
              </w:rPr>
              <w:t>g/kWh</w:t>
            </w:r>
            <w:r>
              <w:rPr>
                <w:rFonts w:ascii="Times New Roman" w:hAnsi="Times New Roman" w:hint="eastAsia"/>
                <w:kern w:val="0"/>
                <w:sz w:val="21"/>
                <w:szCs w:val="24"/>
              </w:rPr>
              <w:t>）</w:t>
            </w:r>
          </w:p>
        </w:tc>
        <w:tc>
          <w:tcPr>
            <w:tcW w:w="1343" w:type="dxa"/>
            <w:vAlign w:val="center"/>
          </w:tcPr>
          <w:p w:rsidR="004B4777" w:rsidRDefault="004B4777">
            <w:pPr>
              <w:widowControl/>
              <w:spacing w:line="240" w:lineRule="auto"/>
              <w:ind w:firstLineChars="0" w:firstLine="0"/>
              <w:jc w:val="center"/>
              <w:rPr>
                <w:rFonts w:ascii="Times New Roman" w:hAnsi="Times New Roman" w:hint="eastAsia"/>
                <w:kern w:val="0"/>
                <w:sz w:val="21"/>
                <w:szCs w:val="24"/>
              </w:rPr>
            </w:pPr>
            <w:r>
              <w:rPr>
                <w:rFonts w:ascii="Times New Roman" w:hAnsi="Times New Roman" w:hint="eastAsia"/>
                <w:kern w:val="0"/>
                <w:sz w:val="21"/>
                <w:szCs w:val="24"/>
              </w:rPr>
              <w:t>HC</w:t>
            </w:r>
            <w:r>
              <w:rPr>
                <w:rFonts w:ascii="Times New Roman" w:hAnsi="Times New Roman"/>
                <w:kern w:val="0"/>
                <w:sz w:val="21"/>
                <w:szCs w:val="24"/>
              </w:rPr>
              <w:t>+</w:t>
            </w:r>
            <w:r>
              <w:rPr>
                <w:rFonts w:ascii="Times New Roman" w:hAnsi="Times New Roman" w:hint="eastAsia"/>
                <w:kern w:val="0"/>
                <w:sz w:val="21"/>
                <w:szCs w:val="24"/>
              </w:rPr>
              <w:t>NO</w:t>
            </w:r>
            <w:r>
              <w:rPr>
                <w:rFonts w:ascii="Times New Roman" w:hAnsi="Times New Roman" w:hint="eastAsia"/>
                <w:kern w:val="0"/>
                <w:sz w:val="21"/>
                <w:szCs w:val="24"/>
                <w:vertAlign w:val="subscript"/>
              </w:rPr>
              <w:t>X</w:t>
            </w:r>
          </w:p>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r>
              <w:rPr>
                <w:rFonts w:ascii="Times New Roman" w:hAnsi="Times New Roman" w:hint="eastAsia"/>
                <w:kern w:val="0"/>
                <w:sz w:val="21"/>
                <w:szCs w:val="24"/>
              </w:rPr>
              <w:t>g/kWh</w:t>
            </w:r>
            <w:r>
              <w:rPr>
                <w:rFonts w:ascii="Times New Roman" w:hAnsi="Times New Roman" w:hint="eastAsia"/>
                <w:kern w:val="0"/>
                <w:sz w:val="21"/>
                <w:szCs w:val="24"/>
              </w:rPr>
              <w:t>）</w:t>
            </w:r>
          </w:p>
        </w:tc>
        <w:tc>
          <w:tcPr>
            <w:tcW w:w="1343" w:type="dxa"/>
            <w:vAlign w:val="center"/>
          </w:tcPr>
          <w:p w:rsidR="004B4777" w:rsidRDefault="004B4777">
            <w:pPr>
              <w:widowControl/>
              <w:spacing w:line="240" w:lineRule="auto"/>
              <w:ind w:firstLineChars="0" w:firstLine="0"/>
              <w:jc w:val="center"/>
              <w:rPr>
                <w:rFonts w:ascii="Times New Roman" w:hAnsi="Times New Roman" w:hint="eastAsia"/>
                <w:kern w:val="0"/>
                <w:sz w:val="21"/>
                <w:szCs w:val="24"/>
              </w:rPr>
            </w:pPr>
            <w:r>
              <w:rPr>
                <w:rFonts w:ascii="Times New Roman" w:hAnsi="Times New Roman" w:hint="eastAsia"/>
                <w:kern w:val="0"/>
                <w:sz w:val="21"/>
                <w:szCs w:val="24"/>
              </w:rPr>
              <w:t>PM</w:t>
            </w:r>
          </w:p>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r>
              <w:rPr>
                <w:rFonts w:ascii="Times New Roman" w:hAnsi="Times New Roman" w:hint="eastAsia"/>
                <w:kern w:val="0"/>
                <w:sz w:val="21"/>
                <w:szCs w:val="24"/>
              </w:rPr>
              <w:t>g/kWh</w:t>
            </w:r>
            <w:r>
              <w:rPr>
                <w:rFonts w:ascii="Times New Roman" w:hAnsi="Times New Roman" w:hint="eastAsia"/>
                <w:kern w:val="0"/>
                <w:sz w:val="21"/>
                <w:szCs w:val="24"/>
              </w:rPr>
              <w:t>）</w:t>
            </w:r>
          </w:p>
        </w:tc>
      </w:tr>
      <w:tr w:rsidR="004B4777">
        <w:trPr>
          <w:trHeight w:val="409"/>
          <w:jc w:val="center"/>
        </w:trPr>
        <w:tc>
          <w:tcPr>
            <w:tcW w:w="1809" w:type="dxa"/>
            <w:tcBorders>
              <w:right w:val="single" w:sz="4" w:space="0" w:color="auto"/>
            </w:tcBorders>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P</w:t>
            </w:r>
            <w:r>
              <w:rPr>
                <w:rFonts w:ascii="Times New Roman" w:hAnsi="Times New Roman" w:hint="eastAsia"/>
                <w:kern w:val="0"/>
                <w:sz w:val="21"/>
                <w:szCs w:val="24"/>
                <w:vertAlign w:val="subscript"/>
              </w:rPr>
              <w:t>max</w:t>
            </w:r>
            <w:r>
              <w:rPr>
                <w:rFonts w:ascii="Times New Roman" w:hAnsi="Times New Roman"/>
                <w:sz w:val="21"/>
                <w:szCs w:val="21"/>
              </w:rPr>
              <w:t xml:space="preserve"> &gt;</w:t>
            </w:r>
            <w:r>
              <w:rPr>
                <w:rFonts w:ascii="Times New Roman" w:hAnsi="Times New Roman" w:hint="eastAsia"/>
                <w:sz w:val="21"/>
                <w:szCs w:val="21"/>
              </w:rPr>
              <w:t>560</w:t>
            </w:r>
          </w:p>
        </w:tc>
        <w:tc>
          <w:tcPr>
            <w:tcW w:w="1342" w:type="dxa"/>
            <w:tcBorders>
              <w:left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3.5</w:t>
            </w:r>
          </w:p>
        </w:tc>
        <w:tc>
          <w:tcPr>
            <w:tcW w:w="1344" w:type="dxa"/>
            <w:tcBorders>
              <w:left w:val="single" w:sz="4" w:space="0" w:color="auto"/>
            </w:tcBorders>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p>
        </w:tc>
        <w:tc>
          <w:tcPr>
            <w:tcW w:w="1341" w:type="dxa"/>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w:t>
            </w:r>
          </w:p>
        </w:tc>
        <w:tc>
          <w:tcPr>
            <w:tcW w:w="1343" w:type="dxa"/>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6.4</w:t>
            </w:r>
          </w:p>
        </w:tc>
        <w:tc>
          <w:tcPr>
            <w:tcW w:w="1343" w:type="dxa"/>
            <w:vAlign w:val="center"/>
          </w:tcPr>
          <w:p w:rsidR="004B4777" w:rsidRDefault="004B4777">
            <w:pPr>
              <w:widowControl/>
              <w:spacing w:line="240" w:lineRule="auto"/>
              <w:ind w:firstLineChars="0" w:firstLine="0"/>
              <w:jc w:val="center"/>
              <w:rPr>
                <w:rFonts w:ascii="Times New Roman" w:hAnsi="Times New Roman"/>
                <w:kern w:val="0"/>
                <w:sz w:val="21"/>
                <w:szCs w:val="24"/>
              </w:rPr>
            </w:pPr>
            <w:r>
              <w:rPr>
                <w:rFonts w:ascii="Times New Roman" w:hAnsi="Times New Roman" w:hint="eastAsia"/>
                <w:kern w:val="0"/>
                <w:sz w:val="21"/>
                <w:szCs w:val="24"/>
              </w:rPr>
              <w:t>0.2</w:t>
            </w:r>
          </w:p>
        </w:tc>
      </w:tr>
    </w:tbl>
    <w:p w:rsidR="004B4777" w:rsidRDefault="004B4777">
      <w:pPr>
        <w:spacing w:before="100" w:beforeAutospacing="1"/>
        <w:ind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rPr>
        <w:t>）</w:t>
      </w:r>
      <w:r>
        <w:rPr>
          <w:rFonts w:ascii="Times New Roman" w:hAnsi="Times New Roman" w:hint="eastAsia"/>
        </w:rPr>
        <w:t>水</w:t>
      </w:r>
      <w:r>
        <w:rPr>
          <w:rFonts w:ascii="Times New Roman" w:hAnsi="Times New Roman"/>
        </w:rPr>
        <w:t>污染物排放标准</w:t>
      </w:r>
    </w:p>
    <w:p w:rsidR="004B4777" w:rsidRDefault="004B4777">
      <w:pPr>
        <w:adjustRightInd w:val="0"/>
        <w:ind w:firstLine="480"/>
        <w:rPr>
          <w:rFonts w:hint="eastAsia"/>
          <w:color w:val="000000"/>
          <w:spacing w:val="-1"/>
          <w:u w:val="single"/>
        </w:rPr>
      </w:pPr>
      <w:r>
        <w:rPr>
          <w:rFonts w:ascii="Times New Roman" w:hAnsi="Times New Roman" w:hint="eastAsia"/>
          <w:color w:val="000000"/>
          <w:u w:val="single"/>
        </w:rPr>
        <w:t>项目废水主要为生活污水与含油污水，</w:t>
      </w:r>
      <w:r>
        <w:rPr>
          <w:rFonts w:hint="eastAsia"/>
          <w:color w:val="000000"/>
          <w:u w:val="single"/>
        </w:rPr>
        <w:t>采砂船产生的生活污水以及含油污水全部运回陆面交由有资质单位处理</w:t>
      </w:r>
      <w:r>
        <w:rPr>
          <w:rFonts w:hint="eastAsia"/>
          <w:color w:val="000000"/>
          <w:spacing w:val="-1"/>
          <w:u w:val="single"/>
        </w:rPr>
        <w:t>。</w:t>
      </w:r>
    </w:p>
    <w:p w:rsidR="004B4777" w:rsidRDefault="004B4777">
      <w:pPr>
        <w:adjustRightInd w:val="0"/>
        <w:ind w:firstLine="480"/>
        <w:rPr>
          <w:rFonts w:ascii="Times New Roman" w:hAnsi="Times New Roman" w:hint="eastAsia"/>
        </w:rPr>
      </w:pPr>
      <w:r>
        <w:rPr>
          <w:rFonts w:ascii="Times New Roman" w:hAnsi="Times New Roman" w:hint="eastAsia"/>
        </w:rPr>
        <w:t>（</w:t>
      </w:r>
      <w:r>
        <w:rPr>
          <w:rFonts w:ascii="Times New Roman" w:hAnsi="Times New Roman" w:hint="eastAsia"/>
        </w:rPr>
        <w:t>3</w:t>
      </w:r>
      <w:r>
        <w:rPr>
          <w:rFonts w:ascii="Times New Roman" w:hAnsi="Times New Roman"/>
        </w:rPr>
        <w:t>）</w:t>
      </w:r>
      <w:r>
        <w:rPr>
          <w:rFonts w:ascii="Times New Roman" w:hAnsi="Times New Roman" w:hint="eastAsia"/>
        </w:rPr>
        <w:t>噪声排放标准</w:t>
      </w:r>
    </w:p>
    <w:p w:rsidR="004B4777" w:rsidRDefault="004B4777">
      <w:pPr>
        <w:ind w:firstLine="480"/>
        <w:rPr>
          <w:rFonts w:ascii="Times New Roman" w:hAnsi="Times New Roman" w:hint="eastAsia"/>
        </w:rPr>
      </w:pPr>
      <w:r>
        <w:rPr>
          <w:rFonts w:ascii="Times New Roman" w:hAnsi="Times New Roman" w:hint="eastAsia"/>
        </w:rPr>
        <w:t>采砂区噪声排放执行《工业企业厂界环境噪声排放标准》（</w:t>
      </w:r>
      <w:r>
        <w:rPr>
          <w:rFonts w:ascii="Times New Roman" w:hAnsi="Times New Roman" w:hint="eastAsia"/>
        </w:rPr>
        <w:t>GB12348</w:t>
      </w:r>
      <w:r>
        <w:rPr>
          <w:rFonts w:ascii="Times New Roman" w:hAnsi="Times New Roman" w:hint="eastAsia"/>
        </w:rPr>
        <w:t>－</w:t>
      </w:r>
      <w:r>
        <w:rPr>
          <w:rFonts w:ascii="Times New Roman" w:hAnsi="Times New Roman" w:hint="eastAsia"/>
        </w:rPr>
        <w:t>2008</w:t>
      </w:r>
      <w:r>
        <w:rPr>
          <w:rFonts w:ascii="Times New Roman" w:hAnsi="Times New Roman" w:hint="eastAsia"/>
        </w:rPr>
        <w:t>）中的</w:t>
      </w:r>
      <w:r>
        <w:rPr>
          <w:rFonts w:ascii="Times New Roman" w:hAnsi="Times New Roman"/>
        </w:rPr>
        <w:t>2</w:t>
      </w:r>
      <w:r>
        <w:rPr>
          <w:rFonts w:ascii="Times New Roman" w:hAnsi="Times New Roman" w:hint="eastAsia"/>
        </w:rPr>
        <w:t>类标准，噪声限值列于表</w:t>
      </w:r>
      <w:r>
        <w:rPr>
          <w:rFonts w:ascii="Times New Roman" w:hAnsi="Times New Roman"/>
        </w:rPr>
        <w:t>2.2-</w:t>
      </w:r>
      <w:r>
        <w:rPr>
          <w:rFonts w:ascii="Times New Roman" w:hAnsi="Times New Roman" w:hint="eastAsia"/>
        </w:rPr>
        <w:t>7</w:t>
      </w:r>
      <w:r>
        <w:rPr>
          <w:rFonts w:ascii="Times New Roman" w:hAnsi="Times New Roman" w:hint="eastAsia"/>
        </w:rPr>
        <w:t>。</w:t>
      </w:r>
    </w:p>
    <w:p w:rsidR="004B4777" w:rsidRDefault="004B4777">
      <w:pPr>
        <w:ind w:firstLineChars="0" w:firstLine="0"/>
        <w:jc w:val="center"/>
        <w:rPr>
          <w:rFonts w:ascii="Times New Roman" w:hAnsi="Times New Roman" w:hint="eastAsia"/>
          <w:b/>
          <w:szCs w:val="28"/>
        </w:rPr>
      </w:pPr>
      <w:r>
        <w:rPr>
          <w:rFonts w:ascii="Times New Roman" w:hAnsi="Times New Roman"/>
          <w:b/>
          <w:szCs w:val="28"/>
        </w:rPr>
        <w:lastRenderedPageBreak/>
        <w:t>表</w:t>
      </w:r>
      <w:r>
        <w:rPr>
          <w:rFonts w:ascii="Times New Roman" w:hAnsi="Times New Roman"/>
          <w:b/>
          <w:szCs w:val="28"/>
        </w:rPr>
        <w:t>2.2-</w:t>
      </w:r>
      <w:r>
        <w:rPr>
          <w:rFonts w:ascii="Times New Roman" w:hAnsi="Times New Roman" w:hint="eastAsia"/>
          <w:b/>
          <w:szCs w:val="28"/>
        </w:rPr>
        <w:t xml:space="preserve">7   </w:t>
      </w:r>
      <w:r>
        <w:rPr>
          <w:rFonts w:ascii="Times New Roman" w:hAnsi="Times New Roman"/>
          <w:b/>
          <w:szCs w:val="28"/>
        </w:rPr>
        <w:t>《工业企业厂界</w:t>
      </w:r>
      <w:r>
        <w:rPr>
          <w:rFonts w:ascii="Times New Roman" w:hAnsi="Times New Roman" w:hint="eastAsia"/>
          <w:b/>
          <w:szCs w:val="28"/>
        </w:rPr>
        <w:t>环境</w:t>
      </w:r>
      <w:r>
        <w:rPr>
          <w:rFonts w:ascii="Times New Roman" w:hAnsi="Times New Roman"/>
          <w:b/>
          <w:szCs w:val="28"/>
        </w:rPr>
        <w:t>噪声</w:t>
      </w:r>
      <w:r>
        <w:rPr>
          <w:rFonts w:ascii="Times New Roman" w:hAnsi="Times New Roman" w:hint="eastAsia"/>
          <w:b/>
          <w:szCs w:val="28"/>
        </w:rPr>
        <w:t>排放</w:t>
      </w:r>
      <w:r>
        <w:rPr>
          <w:rFonts w:ascii="Times New Roman" w:hAnsi="Times New Roman"/>
          <w:b/>
          <w:szCs w:val="28"/>
        </w:rPr>
        <w:t>标准》</w:t>
      </w:r>
      <w:r>
        <w:rPr>
          <w:rFonts w:ascii="Times New Roman" w:hAnsi="Times New Roman" w:hint="eastAsia"/>
          <w:b/>
          <w:szCs w:val="28"/>
        </w:rPr>
        <w:t xml:space="preserve">    </w:t>
      </w:r>
      <w:r>
        <w:rPr>
          <w:rFonts w:ascii="Times New Roman" w:hAnsi="Times New Roman"/>
          <w:b/>
          <w:szCs w:val="28"/>
        </w:rPr>
        <w:t>（等效声级</w:t>
      </w:r>
      <w:r>
        <w:rPr>
          <w:rFonts w:ascii="Times New Roman" w:hAnsi="Times New Roman"/>
          <w:b/>
          <w:szCs w:val="28"/>
        </w:rPr>
        <w:t>LAeq</w:t>
      </w:r>
      <w:r>
        <w:rPr>
          <w:rFonts w:ascii="Times New Roman" w:hAnsi="Times New Roman"/>
          <w:b/>
          <w:szCs w:val="28"/>
        </w:rPr>
        <w:t>：</w:t>
      </w:r>
      <w:r>
        <w:rPr>
          <w:rFonts w:ascii="Times New Roman" w:hAnsi="Times New Roman"/>
          <w:b/>
          <w:szCs w:val="28"/>
        </w:rPr>
        <w:t>dB</w:t>
      </w:r>
      <w:r>
        <w:rPr>
          <w:rFonts w:ascii="Times New Roman" w:hAnsi="Times New Roman"/>
          <w:b/>
          <w:szCs w:val="28"/>
        </w:rPr>
        <w:t>）</w:t>
      </w:r>
    </w:p>
    <w:tbl>
      <w:tblPr>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1"/>
        <w:gridCol w:w="2841"/>
        <w:gridCol w:w="2840"/>
      </w:tblGrid>
      <w:tr w:rsidR="004B4777">
        <w:trPr>
          <w:trHeight w:val="397"/>
          <w:jc w:val="center"/>
        </w:trPr>
        <w:tc>
          <w:tcPr>
            <w:tcW w:w="2841" w:type="dxa"/>
            <w:vAlign w:val="center"/>
          </w:tcPr>
          <w:p w:rsidR="004B4777" w:rsidRDefault="004B4777">
            <w:pPr>
              <w:adjustRightInd w:val="0"/>
              <w:snapToGrid w:val="0"/>
              <w:spacing w:beforeLines="25" w:afterLines="25" w:line="240" w:lineRule="auto"/>
              <w:ind w:firstLineChars="0" w:firstLine="0"/>
              <w:jc w:val="center"/>
              <w:rPr>
                <w:rFonts w:ascii="Times New Roman" w:hAnsi="Times New Roman"/>
                <w:b/>
                <w:sz w:val="21"/>
                <w:szCs w:val="21"/>
              </w:rPr>
            </w:pPr>
            <w:r>
              <w:rPr>
                <w:rFonts w:ascii="Times New Roman" w:hAnsi="Times New Roman"/>
                <w:b/>
                <w:sz w:val="21"/>
                <w:szCs w:val="21"/>
              </w:rPr>
              <w:t>类别</w:t>
            </w:r>
          </w:p>
        </w:tc>
        <w:tc>
          <w:tcPr>
            <w:tcW w:w="2841" w:type="dxa"/>
            <w:vAlign w:val="center"/>
          </w:tcPr>
          <w:p w:rsidR="004B4777" w:rsidRDefault="004B4777">
            <w:pPr>
              <w:adjustRightInd w:val="0"/>
              <w:snapToGrid w:val="0"/>
              <w:spacing w:beforeLines="25" w:afterLines="25" w:line="240" w:lineRule="auto"/>
              <w:ind w:firstLineChars="0" w:firstLine="0"/>
              <w:jc w:val="center"/>
              <w:rPr>
                <w:rFonts w:ascii="Times New Roman" w:hAnsi="Times New Roman"/>
                <w:b/>
                <w:sz w:val="21"/>
                <w:szCs w:val="21"/>
              </w:rPr>
            </w:pPr>
            <w:r>
              <w:rPr>
                <w:rFonts w:ascii="Times New Roman" w:hAnsi="Times New Roman"/>
                <w:b/>
                <w:sz w:val="21"/>
                <w:szCs w:val="21"/>
              </w:rPr>
              <w:t>昼间</w:t>
            </w:r>
          </w:p>
        </w:tc>
        <w:tc>
          <w:tcPr>
            <w:tcW w:w="2840" w:type="dxa"/>
            <w:vAlign w:val="center"/>
          </w:tcPr>
          <w:p w:rsidR="004B4777" w:rsidRDefault="004B4777">
            <w:pPr>
              <w:adjustRightInd w:val="0"/>
              <w:snapToGrid w:val="0"/>
              <w:spacing w:beforeLines="25" w:afterLines="25" w:line="240" w:lineRule="auto"/>
              <w:ind w:firstLineChars="0" w:firstLine="0"/>
              <w:jc w:val="center"/>
              <w:rPr>
                <w:rFonts w:ascii="Times New Roman" w:hAnsi="Times New Roman"/>
                <w:b/>
                <w:sz w:val="21"/>
                <w:szCs w:val="21"/>
              </w:rPr>
            </w:pPr>
            <w:r>
              <w:rPr>
                <w:rFonts w:ascii="Times New Roman" w:hAnsi="Times New Roman"/>
                <w:b/>
                <w:sz w:val="21"/>
                <w:szCs w:val="21"/>
              </w:rPr>
              <w:t>夜间</w:t>
            </w:r>
          </w:p>
        </w:tc>
      </w:tr>
      <w:tr w:rsidR="004B4777">
        <w:trPr>
          <w:trHeight w:val="397"/>
          <w:jc w:val="center"/>
        </w:trPr>
        <w:tc>
          <w:tcPr>
            <w:tcW w:w="2841" w:type="dxa"/>
            <w:vAlign w:val="center"/>
          </w:tcPr>
          <w:p w:rsidR="004B4777" w:rsidRDefault="004B4777">
            <w:pPr>
              <w:adjustRightInd w:val="0"/>
              <w:snapToGrid w:val="0"/>
              <w:spacing w:beforeLines="25" w:afterLines="25"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2</w:t>
            </w:r>
          </w:p>
        </w:tc>
        <w:tc>
          <w:tcPr>
            <w:tcW w:w="2841" w:type="dxa"/>
            <w:vAlign w:val="center"/>
          </w:tcPr>
          <w:p w:rsidR="004B4777" w:rsidRDefault="004B4777">
            <w:pPr>
              <w:adjustRightInd w:val="0"/>
              <w:snapToGrid w:val="0"/>
              <w:spacing w:beforeLines="25" w:afterLines="25"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60</w:t>
            </w:r>
          </w:p>
        </w:tc>
        <w:tc>
          <w:tcPr>
            <w:tcW w:w="2840" w:type="dxa"/>
            <w:vAlign w:val="center"/>
          </w:tcPr>
          <w:p w:rsidR="004B4777" w:rsidRDefault="004B4777">
            <w:pPr>
              <w:adjustRightInd w:val="0"/>
              <w:snapToGrid w:val="0"/>
              <w:spacing w:beforeLines="25" w:afterLines="25"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50</w:t>
            </w:r>
          </w:p>
        </w:tc>
      </w:tr>
    </w:tbl>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4</w:t>
      </w:r>
      <w:r>
        <w:rPr>
          <w:rFonts w:ascii="Times New Roman" w:hAnsi="Times New Roman"/>
        </w:rPr>
        <w:t>）</w:t>
      </w:r>
      <w:r>
        <w:rPr>
          <w:rFonts w:ascii="Times New Roman" w:hAnsi="Times New Roman" w:hint="eastAsia"/>
          <w:szCs w:val="24"/>
        </w:rPr>
        <w:t>固体废物排放</w:t>
      </w:r>
      <w:r>
        <w:rPr>
          <w:rFonts w:ascii="Times New Roman" w:hAnsi="Times New Roman"/>
        </w:rPr>
        <w:t>标准</w:t>
      </w:r>
    </w:p>
    <w:p w:rsidR="004B4777" w:rsidRDefault="004B4777">
      <w:pPr>
        <w:ind w:firstLine="480"/>
        <w:rPr>
          <w:rFonts w:ascii="Times New Roman" w:hAnsi="Times New Roman" w:hint="eastAsia"/>
        </w:rPr>
      </w:pPr>
      <w:r>
        <w:rPr>
          <w:rFonts w:ascii="Times New Roman" w:hAnsi="Times New Roman" w:hint="eastAsia"/>
        </w:rPr>
        <w:t>本项目采砂船所产生的船舶垃圾（含塑料制品、飘浮物、食品废弃物及其他垃圾）执行《船舶水污染物排放控制标准》（</w:t>
      </w:r>
      <w:r>
        <w:rPr>
          <w:rFonts w:ascii="Times New Roman" w:hAnsi="Times New Roman" w:hint="eastAsia"/>
        </w:rPr>
        <w:t>GB3552-2018</w:t>
      </w:r>
      <w:r>
        <w:rPr>
          <w:rFonts w:ascii="Times New Roman" w:hAnsi="Times New Roman" w:hint="eastAsia"/>
        </w:rPr>
        <w:t>）相关要求：内河禁止倾倒船舶垃圾；本项目产生的一般固废和危险固废污染物分别执行《一般工业固体废物贮存、处置场污染控制标准》</w:t>
      </w:r>
      <w:r>
        <w:rPr>
          <w:rFonts w:ascii="Times New Roman" w:hAnsi="Times New Roman" w:hint="eastAsia"/>
        </w:rPr>
        <w:t>(GB18599-2001</w:t>
      </w:r>
      <w:r>
        <w:rPr>
          <w:rFonts w:ascii="Times New Roman" w:hAnsi="Times New Roman" w:hint="eastAsia"/>
        </w:rPr>
        <w:t>及</w:t>
      </w:r>
      <w:r>
        <w:rPr>
          <w:rFonts w:ascii="Times New Roman" w:hAnsi="Times New Roman"/>
        </w:rPr>
        <w:t>2013</w:t>
      </w:r>
      <w:r>
        <w:rPr>
          <w:rFonts w:ascii="Times New Roman" w:hAnsi="Times New Roman" w:hint="eastAsia"/>
        </w:rPr>
        <w:t>年修改单</w:t>
      </w:r>
      <w:r>
        <w:rPr>
          <w:rFonts w:ascii="Times New Roman" w:hAnsi="Times New Roman" w:hint="eastAsia"/>
        </w:rPr>
        <w:t>)</w:t>
      </w:r>
      <w:r>
        <w:rPr>
          <w:rFonts w:ascii="Times New Roman" w:hAnsi="Times New Roman" w:hint="eastAsia"/>
        </w:rPr>
        <w:t>和《危险废物贮存污染控制标准》</w:t>
      </w:r>
      <w:r>
        <w:rPr>
          <w:rFonts w:ascii="Times New Roman" w:hAnsi="Times New Roman" w:hint="eastAsia"/>
        </w:rPr>
        <w:t>(GB18596-2001</w:t>
      </w:r>
      <w:r>
        <w:rPr>
          <w:rFonts w:ascii="Times New Roman" w:hAnsi="Times New Roman" w:hint="eastAsia"/>
        </w:rPr>
        <w:t>及</w:t>
      </w:r>
      <w:r>
        <w:rPr>
          <w:rFonts w:ascii="Times New Roman" w:hAnsi="Times New Roman"/>
        </w:rPr>
        <w:t>2013</w:t>
      </w:r>
      <w:r>
        <w:rPr>
          <w:rFonts w:ascii="Times New Roman" w:hAnsi="Times New Roman" w:hint="eastAsia"/>
        </w:rPr>
        <w:t>年修改单</w:t>
      </w:r>
      <w:r>
        <w:rPr>
          <w:rFonts w:ascii="Times New Roman" w:hAnsi="Times New Roman" w:hint="eastAsia"/>
        </w:rPr>
        <w:t>)</w:t>
      </w:r>
      <w:r>
        <w:rPr>
          <w:rFonts w:ascii="Times New Roman" w:hAnsi="Times New Roman" w:hint="eastAsia"/>
        </w:rPr>
        <w:t>。</w:t>
      </w:r>
    </w:p>
    <w:p w:rsidR="004B4777" w:rsidRDefault="004B4777">
      <w:pPr>
        <w:pStyle w:val="2"/>
        <w:spacing w:before="0" w:after="0"/>
        <w:rPr>
          <w:rFonts w:ascii="Times New Roman" w:eastAsia="宋体" w:hAnsi="Times New Roman" w:hint="eastAsia"/>
          <w:b/>
          <w:sz w:val="30"/>
          <w:szCs w:val="30"/>
        </w:rPr>
      </w:pPr>
      <w:bookmarkStart w:id="91" w:name="_Toc523854014"/>
      <w:r>
        <w:rPr>
          <w:rFonts w:ascii="Times New Roman" w:eastAsia="宋体" w:hAnsi="Times New Roman"/>
          <w:b/>
          <w:sz w:val="30"/>
          <w:szCs w:val="30"/>
        </w:rPr>
        <w:t xml:space="preserve">2.3 </w:t>
      </w:r>
      <w:r>
        <w:rPr>
          <w:rFonts w:ascii="Times New Roman" w:eastAsia="宋体" w:hAnsi="Times New Roman" w:hint="eastAsia"/>
          <w:b/>
          <w:sz w:val="30"/>
          <w:szCs w:val="30"/>
        </w:rPr>
        <w:t>环境影响</w:t>
      </w:r>
      <w:r>
        <w:rPr>
          <w:rFonts w:ascii="Times New Roman" w:eastAsia="宋体" w:hAnsi="Times New Roman"/>
          <w:b/>
          <w:sz w:val="30"/>
          <w:szCs w:val="30"/>
        </w:rPr>
        <w:t>因素和评价因子</w:t>
      </w:r>
      <w:bookmarkEnd w:id="91"/>
    </w:p>
    <w:p w:rsidR="004B4777" w:rsidRDefault="004B4777">
      <w:pPr>
        <w:pStyle w:val="3"/>
        <w:spacing w:before="0" w:after="0"/>
        <w:rPr>
          <w:rFonts w:ascii="Times New Roman" w:eastAsia="宋体" w:hAnsi="Times New Roman"/>
          <w:b/>
        </w:rPr>
      </w:pPr>
      <w:r>
        <w:rPr>
          <w:rFonts w:ascii="Times New Roman" w:eastAsia="宋体" w:hAnsi="Times New Roman"/>
          <w:b/>
        </w:rPr>
        <w:t xml:space="preserve">2.3.1 </w:t>
      </w:r>
      <w:r>
        <w:rPr>
          <w:rFonts w:ascii="Times New Roman" w:eastAsia="宋体" w:hAnsi="Times New Roman"/>
          <w:b/>
        </w:rPr>
        <w:t>环境影响因素识别</w:t>
      </w:r>
    </w:p>
    <w:p w:rsidR="004B4777" w:rsidRDefault="004B4777">
      <w:pPr>
        <w:ind w:firstLineChars="0" w:firstLine="476"/>
        <w:rPr>
          <w:rFonts w:ascii="Times New Roman" w:hAnsi="Times New Roman"/>
          <w:szCs w:val="20"/>
        </w:rPr>
      </w:pPr>
      <w:r>
        <w:rPr>
          <w:rFonts w:ascii="Times New Roman" w:hAnsi="Times New Roman"/>
          <w:szCs w:val="20"/>
        </w:rPr>
        <w:t>本项目环境影响</w:t>
      </w:r>
      <w:r>
        <w:rPr>
          <w:rFonts w:ascii="Times New Roman" w:hAnsi="Times New Roman" w:hint="eastAsia"/>
          <w:szCs w:val="20"/>
        </w:rPr>
        <w:t>因素</w:t>
      </w:r>
      <w:r>
        <w:rPr>
          <w:rFonts w:ascii="Times New Roman" w:hAnsi="Times New Roman"/>
          <w:szCs w:val="20"/>
        </w:rPr>
        <w:t>识别见表</w:t>
      </w:r>
      <w:r>
        <w:rPr>
          <w:rFonts w:ascii="Times New Roman" w:hAnsi="Times New Roman"/>
          <w:szCs w:val="20"/>
        </w:rPr>
        <w:t>2.3-1</w:t>
      </w:r>
      <w:r>
        <w:rPr>
          <w:rFonts w:ascii="Times New Roman" w:hAnsi="Times New Roman"/>
          <w:szCs w:val="20"/>
        </w:rPr>
        <w:t>。</w:t>
      </w:r>
    </w:p>
    <w:p w:rsidR="004B4777" w:rsidRDefault="004B4777">
      <w:pPr>
        <w:ind w:firstLineChars="0" w:firstLine="0"/>
        <w:jc w:val="center"/>
        <w:rPr>
          <w:rFonts w:ascii="Times New Roman" w:hAnsi="Times New Roman"/>
          <w:b/>
          <w:szCs w:val="28"/>
        </w:rPr>
      </w:pPr>
      <w:r>
        <w:rPr>
          <w:rFonts w:ascii="Times New Roman" w:hAnsi="Times New Roman"/>
          <w:b/>
          <w:szCs w:val="28"/>
        </w:rPr>
        <w:t>表</w:t>
      </w:r>
      <w:r>
        <w:rPr>
          <w:rFonts w:ascii="Times New Roman" w:hAnsi="Times New Roman"/>
          <w:b/>
          <w:szCs w:val="28"/>
        </w:rPr>
        <w:t xml:space="preserve">2.3-1    </w:t>
      </w:r>
      <w:r>
        <w:rPr>
          <w:rFonts w:ascii="Times New Roman" w:hAnsi="Times New Roman"/>
          <w:b/>
          <w:szCs w:val="28"/>
        </w:rPr>
        <w:t>环境影响因</w:t>
      </w:r>
      <w:r>
        <w:rPr>
          <w:rFonts w:ascii="Times New Roman" w:hAnsi="Times New Roman" w:hint="eastAsia"/>
          <w:b/>
          <w:szCs w:val="28"/>
        </w:rPr>
        <w:t>子</w:t>
      </w:r>
      <w:r>
        <w:rPr>
          <w:rFonts w:ascii="Times New Roman" w:hAnsi="Times New Roman"/>
          <w:b/>
          <w:szCs w:val="28"/>
        </w:rPr>
        <w:t>识别一览表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969"/>
        <w:gridCol w:w="1893"/>
      </w:tblGrid>
      <w:tr w:rsidR="004B4777">
        <w:trPr>
          <w:trHeight w:val="397"/>
          <w:tblHeader/>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b/>
                <w:color w:val="000000"/>
                <w:sz w:val="21"/>
                <w:szCs w:val="21"/>
              </w:rPr>
            </w:pPr>
            <w:r>
              <w:rPr>
                <w:rFonts w:ascii="Times New Roman" w:hAnsi="Times New Roman"/>
                <w:b/>
                <w:color w:val="000000"/>
                <w:sz w:val="21"/>
                <w:szCs w:val="21"/>
              </w:rPr>
              <w:t>影响</w:t>
            </w:r>
            <w:r>
              <w:rPr>
                <w:rFonts w:ascii="Times New Roman" w:hAnsi="Times New Roman" w:hint="eastAsia"/>
                <w:b/>
                <w:color w:val="000000"/>
                <w:sz w:val="21"/>
                <w:szCs w:val="21"/>
              </w:rPr>
              <w:t>因素</w:t>
            </w:r>
            <w:r>
              <w:rPr>
                <w:rFonts w:ascii="Times New Roman" w:hAnsi="Times New Roman"/>
                <w:b/>
                <w:color w:val="000000"/>
                <w:sz w:val="21"/>
                <w:szCs w:val="21"/>
              </w:rPr>
              <w:t>类型</w:t>
            </w:r>
          </w:p>
        </w:tc>
        <w:tc>
          <w:tcPr>
            <w:tcW w:w="3969" w:type="dxa"/>
            <w:vAlign w:val="center"/>
          </w:tcPr>
          <w:p w:rsidR="004B4777" w:rsidRDefault="004B4777">
            <w:pPr>
              <w:spacing w:line="240" w:lineRule="auto"/>
              <w:ind w:firstLineChars="0" w:firstLine="0"/>
              <w:contextualSpacing/>
              <w:jc w:val="center"/>
              <w:rPr>
                <w:rFonts w:ascii="Times New Roman" w:hAnsi="Times New Roman"/>
                <w:b/>
                <w:color w:val="000000"/>
                <w:sz w:val="21"/>
                <w:szCs w:val="21"/>
              </w:rPr>
            </w:pPr>
            <w:r>
              <w:rPr>
                <w:rFonts w:ascii="Times New Roman" w:hAnsi="Times New Roman"/>
                <w:b/>
                <w:color w:val="000000"/>
                <w:sz w:val="21"/>
                <w:szCs w:val="21"/>
              </w:rPr>
              <w:t>可能产生的环境影响</w:t>
            </w:r>
          </w:p>
        </w:tc>
        <w:tc>
          <w:tcPr>
            <w:tcW w:w="1893" w:type="dxa"/>
            <w:vAlign w:val="center"/>
          </w:tcPr>
          <w:p w:rsidR="004B4777" w:rsidRDefault="004B4777">
            <w:pPr>
              <w:spacing w:line="240" w:lineRule="auto"/>
              <w:ind w:firstLineChars="0" w:firstLine="0"/>
              <w:contextualSpacing/>
              <w:jc w:val="center"/>
              <w:rPr>
                <w:rFonts w:ascii="Times New Roman" w:hAnsi="Times New Roman"/>
                <w:b/>
                <w:color w:val="000000"/>
                <w:sz w:val="21"/>
                <w:szCs w:val="21"/>
              </w:rPr>
            </w:pPr>
            <w:r>
              <w:rPr>
                <w:rFonts w:ascii="Times New Roman" w:hAnsi="Times New Roman"/>
                <w:b/>
                <w:color w:val="000000"/>
                <w:sz w:val="21"/>
                <w:szCs w:val="21"/>
              </w:rPr>
              <w:t>产生</w:t>
            </w:r>
            <w:r>
              <w:rPr>
                <w:rFonts w:ascii="Times New Roman" w:hAnsi="Times New Roman" w:hint="eastAsia"/>
                <w:b/>
                <w:color w:val="000000"/>
                <w:sz w:val="21"/>
                <w:szCs w:val="21"/>
              </w:rPr>
              <w:t>影响</w:t>
            </w:r>
            <w:r>
              <w:rPr>
                <w:rFonts w:ascii="Times New Roman" w:hAnsi="Times New Roman"/>
                <w:b/>
                <w:color w:val="000000"/>
                <w:sz w:val="21"/>
                <w:szCs w:val="21"/>
              </w:rPr>
              <w:t>的时期</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河流环境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采砂作业引起的</w:t>
            </w:r>
            <w:r>
              <w:rPr>
                <w:rFonts w:ascii="Times New Roman" w:hAnsi="Times New Roman"/>
                <w:color w:val="000000"/>
                <w:sz w:val="21"/>
                <w:szCs w:val="21"/>
              </w:rPr>
              <w:t>SS</w:t>
            </w:r>
            <w:r>
              <w:rPr>
                <w:rFonts w:ascii="Times New Roman" w:hAnsi="Times New Roman"/>
                <w:color w:val="000000"/>
                <w:sz w:val="21"/>
                <w:szCs w:val="21"/>
              </w:rPr>
              <w:t>增加引起水体污染</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河流沉积物环境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扰动河床，使底泥沉积物发生再悬浮；造成一定量的河底沉积物迁移和河床冲淤</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河流生态和生物资源环境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可能对项目周围水域的河流生态、渔业资源造成影响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水文动力环境和水文情势</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对水文情势可能造成</w:t>
            </w:r>
            <w:r>
              <w:rPr>
                <w:rFonts w:ascii="Times New Roman" w:hAnsi="Times New Roman" w:hint="eastAsia"/>
                <w:color w:val="000000"/>
                <w:sz w:val="21"/>
                <w:szCs w:val="21"/>
              </w:rPr>
              <w:t>的</w:t>
            </w:r>
            <w:r>
              <w:rPr>
                <w:rFonts w:ascii="Times New Roman" w:hAnsi="Times New Roman"/>
                <w:color w:val="000000"/>
                <w:sz w:val="21"/>
                <w:szCs w:val="21"/>
              </w:rPr>
              <w:t>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地形地貌</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对地形地貌与冲淤环境的影响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岸滩稳定性</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对岸滩稳定性的影响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通航环境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对通航环境的影响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环境风险</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溢油事故</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bl>
    <w:p w:rsidR="004B4777" w:rsidRDefault="004B4777">
      <w:pPr>
        <w:pStyle w:val="3"/>
        <w:spacing w:before="0" w:after="0"/>
        <w:rPr>
          <w:rFonts w:ascii="Times New Roman" w:eastAsia="宋体" w:hAnsi="Times New Roman" w:hint="eastAsia"/>
          <w:b/>
        </w:rPr>
      </w:pPr>
      <w:bookmarkStart w:id="92" w:name="_Toc203905431"/>
      <w:bookmarkStart w:id="93" w:name="_Toc211310323"/>
      <w:r>
        <w:rPr>
          <w:rFonts w:ascii="Times New Roman" w:eastAsia="宋体" w:hAnsi="Times New Roman"/>
          <w:b/>
        </w:rPr>
        <w:t xml:space="preserve">2.3.2 </w:t>
      </w:r>
      <w:r>
        <w:rPr>
          <w:rFonts w:ascii="Times New Roman" w:eastAsia="宋体" w:hAnsi="Times New Roman" w:hint="eastAsia"/>
          <w:b/>
        </w:rPr>
        <w:t>评价因子</w:t>
      </w:r>
    </w:p>
    <w:bookmarkEnd w:id="92"/>
    <w:bookmarkEnd w:id="93"/>
    <w:p w:rsidR="004B4777" w:rsidRDefault="004B4777">
      <w:pPr>
        <w:ind w:firstLineChars="0" w:firstLine="476"/>
        <w:rPr>
          <w:rFonts w:ascii="Times New Roman" w:hAnsi="Times New Roman"/>
          <w:szCs w:val="20"/>
        </w:rPr>
      </w:pPr>
      <w:r>
        <w:rPr>
          <w:rFonts w:ascii="Times New Roman" w:hAnsi="Times New Roman"/>
          <w:szCs w:val="20"/>
        </w:rPr>
        <w:t>由环境影响</w:t>
      </w:r>
      <w:r>
        <w:rPr>
          <w:rFonts w:ascii="Times New Roman" w:hAnsi="Times New Roman" w:hint="eastAsia"/>
          <w:szCs w:val="20"/>
        </w:rPr>
        <w:t>因素</w:t>
      </w:r>
      <w:r>
        <w:rPr>
          <w:rFonts w:ascii="Times New Roman" w:hAnsi="Times New Roman"/>
          <w:szCs w:val="20"/>
        </w:rPr>
        <w:t>的识别，确定本项目评价因子见表</w:t>
      </w:r>
      <w:r>
        <w:rPr>
          <w:rFonts w:ascii="Times New Roman" w:hAnsi="Times New Roman"/>
          <w:szCs w:val="20"/>
        </w:rPr>
        <w:t>2.3-2</w:t>
      </w:r>
      <w:r>
        <w:rPr>
          <w:rFonts w:ascii="Times New Roman" w:hAnsi="Times New Roman"/>
          <w:szCs w:val="20"/>
        </w:rPr>
        <w:t>。</w:t>
      </w:r>
    </w:p>
    <w:p w:rsidR="004B4777" w:rsidRDefault="004B4777">
      <w:pPr>
        <w:ind w:firstLineChars="0" w:firstLine="0"/>
        <w:jc w:val="center"/>
        <w:rPr>
          <w:rFonts w:ascii="Times New Roman" w:hAnsi="Times New Roman" w:hint="eastAsia"/>
          <w:b/>
          <w:szCs w:val="28"/>
        </w:rPr>
      </w:pPr>
    </w:p>
    <w:p w:rsidR="004B4777" w:rsidRDefault="004B4777">
      <w:pPr>
        <w:ind w:firstLineChars="0" w:firstLine="0"/>
        <w:jc w:val="center"/>
        <w:rPr>
          <w:rFonts w:ascii="Times New Roman" w:hAnsi="Times New Roman"/>
          <w:b/>
          <w:szCs w:val="28"/>
        </w:rPr>
      </w:pPr>
      <w:r>
        <w:rPr>
          <w:rFonts w:ascii="Times New Roman" w:hAnsi="Times New Roman"/>
          <w:b/>
          <w:szCs w:val="28"/>
        </w:rPr>
        <w:t>表</w:t>
      </w:r>
      <w:r>
        <w:rPr>
          <w:rFonts w:ascii="Times New Roman" w:hAnsi="Times New Roman"/>
          <w:b/>
          <w:szCs w:val="28"/>
        </w:rPr>
        <w:t xml:space="preserve">2.3-2  </w:t>
      </w:r>
      <w:r>
        <w:rPr>
          <w:rFonts w:ascii="Times New Roman" w:hAnsi="Times New Roman"/>
          <w:b/>
          <w:szCs w:val="28"/>
        </w:rPr>
        <w:t>项目评价因子识别一览表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7"/>
        <w:gridCol w:w="3336"/>
        <w:gridCol w:w="2548"/>
        <w:gridCol w:w="1611"/>
      </w:tblGrid>
      <w:tr w:rsidR="004B4777">
        <w:trPr>
          <w:trHeight w:val="397"/>
          <w:tblHeader/>
          <w:jc w:val="center"/>
        </w:trPr>
        <w:tc>
          <w:tcPr>
            <w:tcW w:w="1027"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环境</w:t>
            </w:r>
          </w:p>
        </w:tc>
        <w:tc>
          <w:tcPr>
            <w:tcW w:w="3336"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现状评价因子</w:t>
            </w:r>
          </w:p>
        </w:tc>
        <w:tc>
          <w:tcPr>
            <w:tcW w:w="2548"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影响评价因子</w:t>
            </w:r>
          </w:p>
        </w:tc>
        <w:tc>
          <w:tcPr>
            <w:tcW w:w="1611"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总量控制因子</w:t>
            </w:r>
          </w:p>
        </w:tc>
      </w:tr>
      <w:tr w:rsidR="004B4777">
        <w:trPr>
          <w:trHeight w:val="397"/>
          <w:jc w:val="center"/>
        </w:trPr>
        <w:tc>
          <w:tcPr>
            <w:tcW w:w="1027"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大气</w:t>
            </w:r>
          </w:p>
        </w:tc>
        <w:tc>
          <w:tcPr>
            <w:tcW w:w="3336"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SO</w:t>
            </w:r>
            <w:r>
              <w:rPr>
                <w:rFonts w:ascii="Times New Roman" w:hAnsi="Times New Roman"/>
                <w:sz w:val="21"/>
                <w:szCs w:val="20"/>
                <w:vertAlign w:val="subscript"/>
              </w:rPr>
              <w:t>2</w:t>
            </w:r>
            <w:r>
              <w:rPr>
                <w:rFonts w:ascii="Times New Roman" w:hAnsi="Times New Roman"/>
                <w:sz w:val="21"/>
                <w:szCs w:val="20"/>
              </w:rPr>
              <w:t>、</w:t>
            </w:r>
            <w:r>
              <w:rPr>
                <w:rFonts w:ascii="Times New Roman" w:hAnsi="Times New Roman"/>
                <w:sz w:val="21"/>
                <w:szCs w:val="20"/>
              </w:rPr>
              <w:t>NO</w:t>
            </w:r>
            <w:r>
              <w:rPr>
                <w:rFonts w:ascii="Times New Roman" w:hAnsi="Times New Roman"/>
                <w:sz w:val="21"/>
                <w:szCs w:val="20"/>
                <w:vertAlign w:val="subscript"/>
              </w:rPr>
              <w:t>2</w:t>
            </w:r>
            <w:r>
              <w:rPr>
                <w:rFonts w:ascii="Times New Roman" w:hAnsi="Times New Roman"/>
                <w:sz w:val="21"/>
                <w:szCs w:val="20"/>
              </w:rPr>
              <w:t>、</w:t>
            </w:r>
            <w:r>
              <w:rPr>
                <w:rFonts w:ascii="Times New Roman" w:hAnsi="Times New Roman"/>
                <w:sz w:val="21"/>
                <w:szCs w:val="20"/>
              </w:rPr>
              <w:t>PM</w:t>
            </w:r>
            <w:r>
              <w:rPr>
                <w:rFonts w:ascii="Times New Roman" w:hAnsi="Times New Roman"/>
                <w:sz w:val="21"/>
                <w:szCs w:val="20"/>
                <w:vertAlign w:val="subscript"/>
              </w:rPr>
              <w:t>10</w:t>
            </w:r>
            <w:r>
              <w:rPr>
                <w:rFonts w:ascii="Times New Roman" w:hAnsi="Times New Roman"/>
                <w:sz w:val="21"/>
                <w:szCs w:val="20"/>
              </w:rPr>
              <w:t>、</w:t>
            </w:r>
            <w:r>
              <w:rPr>
                <w:rFonts w:ascii="Times New Roman" w:hAnsi="Times New Roman"/>
                <w:sz w:val="21"/>
                <w:szCs w:val="20"/>
              </w:rPr>
              <w:t>PM</w:t>
            </w:r>
            <w:r>
              <w:rPr>
                <w:rFonts w:ascii="Times New Roman" w:hAnsi="Times New Roman" w:hint="eastAsia"/>
                <w:sz w:val="21"/>
                <w:szCs w:val="20"/>
                <w:vertAlign w:val="subscript"/>
              </w:rPr>
              <w:t>2.5</w:t>
            </w:r>
            <w:r>
              <w:rPr>
                <w:rFonts w:ascii="Times New Roman" w:hAnsi="Times New Roman"/>
                <w:sz w:val="21"/>
                <w:szCs w:val="20"/>
              </w:rPr>
              <w:t>、</w:t>
            </w:r>
            <w:r>
              <w:rPr>
                <w:rFonts w:ascii="Times New Roman" w:hAnsi="Times New Roman"/>
                <w:sz w:val="21"/>
                <w:szCs w:val="20"/>
              </w:rPr>
              <w:t>TSP</w:t>
            </w:r>
          </w:p>
        </w:tc>
        <w:tc>
          <w:tcPr>
            <w:tcW w:w="2548"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SO</w:t>
            </w:r>
            <w:r>
              <w:rPr>
                <w:rFonts w:ascii="Times New Roman" w:hAnsi="Times New Roman"/>
                <w:sz w:val="21"/>
                <w:szCs w:val="20"/>
                <w:vertAlign w:val="subscript"/>
              </w:rPr>
              <w:t>2</w:t>
            </w:r>
            <w:r>
              <w:rPr>
                <w:rFonts w:ascii="Times New Roman" w:hAnsi="Times New Roman"/>
                <w:sz w:val="21"/>
                <w:szCs w:val="20"/>
              </w:rPr>
              <w:t>、</w:t>
            </w:r>
            <w:r>
              <w:rPr>
                <w:rFonts w:ascii="Times New Roman" w:hAnsi="Times New Roman"/>
                <w:sz w:val="21"/>
                <w:szCs w:val="20"/>
              </w:rPr>
              <w:t>NO</w:t>
            </w:r>
            <w:r>
              <w:rPr>
                <w:rFonts w:ascii="Times New Roman" w:hAnsi="Times New Roman"/>
                <w:sz w:val="21"/>
                <w:szCs w:val="20"/>
                <w:vertAlign w:val="subscript"/>
              </w:rPr>
              <w:t>2</w:t>
            </w:r>
            <w:r>
              <w:rPr>
                <w:rFonts w:ascii="Times New Roman" w:hAnsi="Times New Roman"/>
                <w:sz w:val="21"/>
                <w:szCs w:val="20"/>
              </w:rPr>
              <w:t>、</w:t>
            </w:r>
            <w:r>
              <w:rPr>
                <w:rFonts w:ascii="Times New Roman" w:hAnsi="Times New Roman"/>
                <w:sz w:val="21"/>
                <w:szCs w:val="20"/>
              </w:rPr>
              <w:t>PM</w:t>
            </w:r>
            <w:r>
              <w:rPr>
                <w:rFonts w:ascii="Times New Roman" w:hAnsi="Times New Roman"/>
                <w:sz w:val="21"/>
                <w:szCs w:val="20"/>
                <w:vertAlign w:val="subscript"/>
              </w:rPr>
              <w:t>10</w:t>
            </w:r>
            <w:r>
              <w:rPr>
                <w:rFonts w:ascii="Times New Roman" w:hAnsi="Times New Roman"/>
                <w:sz w:val="21"/>
                <w:szCs w:val="20"/>
              </w:rPr>
              <w:t>、</w:t>
            </w:r>
            <w:r>
              <w:rPr>
                <w:rFonts w:ascii="Times New Roman" w:hAnsi="Times New Roman"/>
                <w:sz w:val="21"/>
                <w:szCs w:val="20"/>
              </w:rPr>
              <w:t>PM</w:t>
            </w:r>
            <w:r>
              <w:rPr>
                <w:rFonts w:ascii="Times New Roman" w:hAnsi="Times New Roman" w:hint="eastAsia"/>
                <w:sz w:val="21"/>
                <w:szCs w:val="20"/>
                <w:vertAlign w:val="subscript"/>
              </w:rPr>
              <w:t>2.5</w:t>
            </w:r>
            <w:r>
              <w:rPr>
                <w:rFonts w:ascii="Times New Roman" w:hAnsi="Times New Roman"/>
                <w:sz w:val="21"/>
                <w:szCs w:val="20"/>
              </w:rPr>
              <w:t>、</w:t>
            </w:r>
            <w:r>
              <w:rPr>
                <w:rFonts w:ascii="Times New Roman" w:hAnsi="Times New Roman"/>
                <w:sz w:val="21"/>
                <w:szCs w:val="20"/>
              </w:rPr>
              <w:t>TSP</w:t>
            </w:r>
          </w:p>
        </w:tc>
        <w:tc>
          <w:tcPr>
            <w:tcW w:w="1611" w:type="dxa"/>
            <w:vAlign w:val="center"/>
          </w:tcPr>
          <w:p w:rsidR="004B4777" w:rsidRDefault="004B4777">
            <w:pPr>
              <w:spacing w:line="320" w:lineRule="exact"/>
              <w:ind w:firstLineChars="0" w:firstLine="0"/>
              <w:jc w:val="center"/>
              <w:rPr>
                <w:rFonts w:ascii="Times New Roman" w:hAnsi="Times New Roman" w:hint="eastAsia"/>
                <w:sz w:val="21"/>
                <w:szCs w:val="20"/>
              </w:rPr>
            </w:pPr>
            <w:r>
              <w:rPr>
                <w:rFonts w:ascii="Times New Roman" w:hAnsi="Times New Roman"/>
                <w:sz w:val="21"/>
                <w:szCs w:val="20"/>
              </w:rPr>
              <w:t>—</w:t>
            </w:r>
          </w:p>
        </w:tc>
      </w:tr>
      <w:tr w:rsidR="004B4777">
        <w:trPr>
          <w:trHeight w:val="397"/>
          <w:jc w:val="center"/>
        </w:trPr>
        <w:tc>
          <w:tcPr>
            <w:tcW w:w="1027"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lastRenderedPageBreak/>
              <w:t>地表水</w:t>
            </w:r>
          </w:p>
        </w:tc>
        <w:tc>
          <w:tcPr>
            <w:tcW w:w="3336" w:type="dxa"/>
            <w:vAlign w:val="center"/>
          </w:tcPr>
          <w:p w:rsidR="004B4777" w:rsidRDefault="004B4777">
            <w:pPr>
              <w:pStyle w:val="nndd"/>
              <w:ind w:left="-120" w:right="-120"/>
              <w:rPr>
                <w:rFonts w:ascii="Times New Roman" w:hAnsi="Times New Roman"/>
                <w:shd w:val="pct10" w:color="auto" w:fill="FFFFFF"/>
              </w:rPr>
            </w:pPr>
            <w:r>
              <w:rPr>
                <w:rFonts w:ascii="Times New Roman" w:hAnsi="Times New Roman"/>
                <w:szCs w:val="21"/>
              </w:rPr>
              <w:t>水温、</w:t>
            </w:r>
            <w:r>
              <w:rPr>
                <w:rFonts w:ascii="Times New Roman" w:hAnsi="Times New Roman"/>
                <w:szCs w:val="21"/>
              </w:rPr>
              <w:t>pH</w:t>
            </w:r>
            <w:r>
              <w:rPr>
                <w:rFonts w:ascii="Times New Roman" w:hAnsi="Times New Roman"/>
                <w:szCs w:val="21"/>
              </w:rPr>
              <w:t>、</w:t>
            </w:r>
            <w:r>
              <w:rPr>
                <w:rFonts w:ascii="Times New Roman" w:hAnsi="Times New Roman"/>
                <w:szCs w:val="21"/>
              </w:rPr>
              <w:t>DO</w:t>
            </w:r>
            <w:r>
              <w:rPr>
                <w:rFonts w:ascii="Times New Roman" w:hAnsi="Times New Roman"/>
                <w:szCs w:val="21"/>
              </w:rPr>
              <w:t>、</w:t>
            </w:r>
            <w:r>
              <w:rPr>
                <w:rFonts w:ascii="Times New Roman" w:hAnsi="Times New Roman"/>
                <w:szCs w:val="21"/>
              </w:rPr>
              <w:t>CODcr</w:t>
            </w:r>
            <w:r>
              <w:rPr>
                <w:rFonts w:ascii="Times New Roman" w:hAnsi="Times New Roman"/>
                <w:szCs w:val="21"/>
              </w:rPr>
              <w:t>、</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、氨氮、总磷、铜、锌、砷、汞、镉、铬（</w:t>
            </w:r>
            <w:r>
              <w:rPr>
                <w:rFonts w:ascii="Times New Roman" w:hAnsi="Times New Roman"/>
                <w:szCs w:val="21"/>
              </w:rPr>
              <w:t>Cr</w:t>
            </w:r>
            <w:r>
              <w:rPr>
                <w:rFonts w:ascii="Times New Roman" w:hAnsi="Times New Roman"/>
                <w:szCs w:val="21"/>
                <w:vertAlign w:val="superscript"/>
              </w:rPr>
              <w:t>6+</w:t>
            </w:r>
            <w:r>
              <w:rPr>
                <w:rFonts w:ascii="Times New Roman" w:hAnsi="Times New Roman"/>
                <w:szCs w:val="21"/>
              </w:rPr>
              <w:t>）、铅、硒、氰化物、挥发酚、石油类、硫化物、阴离子表面活性剂、粪大肠菌群</w:t>
            </w:r>
            <w:r>
              <w:rPr>
                <w:rFonts w:ascii="Times New Roman" w:hAnsi="Times New Roman" w:hint="eastAsia"/>
                <w:szCs w:val="21"/>
              </w:rPr>
              <w:t>、</w:t>
            </w:r>
            <w:r>
              <w:rPr>
                <w:rFonts w:ascii="Times New Roman" w:hAnsi="Times New Roman"/>
                <w:szCs w:val="21"/>
              </w:rPr>
              <w:t>悬浮物、硫酸盐、硝酸盐、镍、流速、流量</w:t>
            </w:r>
          </w:p>
        </w:tc>
        <w:tc>
          <w:tcPr>
            <w:tcW w:w="2548"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w:t>
            </w:r>
          </w:p>
        </w:tc>
        <w:tc>
          <w:tcPr>
            <w:tcW w:w="1611" w:type="dxa"/>
            <w:vAlign w:val="center"/>
          </w:tcPr>
          <w:p w:rsidR="004B4777" w:rsidRDefault="004B4777">
            <w:pPr>
              <w:spacing w:line="320" w:lineRule="exact"/>
              <w:ind w:firstLineChars="0" w:firstLine="0"/>
              <w:jc w:val="center"/>
              <w:rPr>
                <w:rFonts w:ascii="Times New Roman" w:hAnsi="Times New Roman" w:hint="eastAsia"/>
                <w:sz w:val="21"/>
                <w:szCs w:val="20"/>
              </w:rPr>
            </w:pPr>
            <w:r>
              <w:rPr>
                <w:rFonts w:ascii="Times New Roman" w:hAnsi="Times New Roman"/>
                <w:sz w:val="21"/>
                <w:szCs w:val="20"/>
              </w:rPr>
              <w:t>—</w:t>
            </w:r>
          </w:p>
        </w:tc>
      </w:tr>
      <w:tr w:rsidR="004B4777">
        <w:trPr>
          <w:trHeight w:val="397"/>
          <w:jc w:val="center"/>
        </w:trPr>
        <w:tc>
          <w:tcPr>
            <w:tcW w:w="1027" w:type="dxa"/>
            <w:vAlign w:val="center"/>
          </w:tcPr>
          <w:p w:rsidR="004B4777" w:rsidRDefault="004B4777">
            <w:pPr>
              <w:widowControl/>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地下水</w:t>
            </w:r>
          </w:p>
        </w:tc>
        <w:tc>
          <w:tcPr>
            <w:tcW w:w="3336" w:type="dxa"/>
            <w:vAlign w:val="center"/>
          </w:tcPr>
          <w:p w:rsidR="004B4777" w:rsidRDefault="004B4777">
            <w:pPr>
              <w:widowControl/>
              <w:spacing w:line="240" w:lineRule="auto"/>
              <w:ind w:firstLineChars="0" w:firstLine="0"/>
              <w:jc w:val="center"/>
              <w:rPr>
                <w:rFonts w:ascii="Times New Roman" w:hAnsi="Times New Roman"/>
                <w:kern w:val="0"/>
                <w:sz w:val="21"/>
                <w:szCs w:val="21"/>
              </w:rPr>
            </w:pPr>
            <w:r>
              <w:rPr>
                <w:rFonts w:ascii="Times New Roman" w:hAnsi="Times New Roman"/>
                <w:snapToGrid w:val="0"/>
                <w:spacing w:val="8"/>
                <w:kern w:val="0"/>
                <w:sz w:val="21"/>
                <w:szCs w:val="21"/>
              </w:rPr>
              <w:t>水位、井深、</w:t>
            </w:r>
            <w:r>
              <w:rPr>
                <w:rFonts w:ascii="Times New Roman" w:hAnsi="Times New Roman"/>
                <w:snapToGrid w:val="0"/>
                <w:spacing w:val="8"/>
                <w:kern w:val="0"/>
                <w:sz w:val="21"/>
                <w:szCs w:val="21"/>
              </w:rPr>
              <w:t>pH</w:t>
            </w:r>
            <w:r>
              <w:rPr>
                <w:rFonts w:ascii="Times New Roman" w:hAnsi="Times New Roman"/>
                <w:snapToGrid w:val="0"/>
                <w:spacing w:val="8"/>
                <w:kern w:val="0"/>
                <w:sz w:val="21"/>
                <w:szCs w:val="21"/>
              </w:rPr>
              <w:t>、氟化物、</w:t>
            </w:r>
            <w:r>
              <w:rPr>
                <w:rFonts w:ascii="Times New Roman" w:hAnsi="Times New Roman"/>
                <w:snapToGrid w:val="0"/>
                <w:spacing w:val="8"/>
                <w:kern w:val="0"/>
                <w:sz w:val="21"/>
                <w:szCs w:val="21"/>
              </w:rPr>
              <w:t>COD</w:t>
            </w:r>
            <w:r>
              <w:rPr>
                <w:rFonts w:ascii="Times New Roman" w:hAnsi="Times New Roman"/>
                <w:snapToGrid w:val="0"/>
                <w:spacing w:val="8"/>
                <w:kern w:val="0"/>
                <w:sz w:val="21"/>
                <w:szCs w:val="21"/>
              </w:rPr>
              <w:t>、氨氮、总硬度、铁（</w:t>
            </w:r>
            <w:r>
              <w:rPr>
                <w:rFonts w:ascii="Times New Roman" w:hAnsi="Times New Roman"/>
                <w:snapToGrid w:val="0"/>
                <w:spacing w:val="8"/>
                <w:kern w:val="0"/>
                <w:sz w:val="21"/>
                <w:szCs w:val="21"/>
              </w:rPr>
              <w:t>Fe</w:t>
            </w:r>
            <w:r>
              <w:rPr>
                <w:rFonts w:ascii="Times New Roman" w:hAnsi="Times New Roman"/>
                <w:snapToGrid w:val="0"/>
                <w:spacing w:val="8"/>
                <w:kern w:val="0"/>
                <w:sz w:val="21"/>
                <w:szCs w:val="21"/>
              </w:rPr>
              <w:t>）、锰（</w:t>
            </w:r>
            <w:r>
              <w:rPr>
                <w:rFonts w:ascii="Times New Roman" w:hAnsi="Times New Roman"/>
                <w:snapToGrid w:val="0"/>
                <w:spacing w:val="8"/>
                <w:kern w:val="0"/>
                <w:sz w:val="21"/>
                <w:szCs w:val="21"/>
              </w:rPr>
              <w:t>Mn</w:t>
            </w:r>
            <w:r>
              <w:rPr>
                <w:rFonts w:ascii="Times New Roman" w:hAnsi="Times New Roman"/>
                <w:snapToGrid w:val="0"/>
                <w:spacing w:val="8"/>
                <w:kern w:val="0"/>
                <w:sz w:val="21"/>
                <w:szCs w:val="21"/>
              </w:rPr>
              <w:t>）、铜（</w:t>
            </w:r>
            <w:r>
              <w:rPr>
                <w:rFonts w:ascii="Times New Roman" w:hAnsi="Times New Roman"/>
                <w:snapToGrid w:val="0"/>
                <w:spacing w:val="8"/>
                <w:kern w:val="0"/>
                <w:sz w:val="21"/>
                <w:szCs w:val="21"/>
              </w:rPr>
              <w:t>Cu</w:t>
            </w:r>
            <w:r>
              <w:rPr>
                <w:rFonts w:ascii="Times New Roman" w:hAnsi="Times New Roman"/>
                <w:snapToGrid w:val="0"/>
                <w:spacing w:val="8"/>
                <w:kern w:val="0"/>
                <w:sz w:val="21"/>
                <w:szCs w:val="21"/>
              </w:rPr>
              <w:t>）、锌（</w:t>
            </w:r>
            <w:r>
              <w:rPr>
                <w:rFonts w:ascii="Times New Roman" w:hAnsi="Times New Roman"/>
                <w:snapToGrid w:val="0"/>
                <w:spacing w:val="8"/>
                <w:kern w:val="0"/>
                <w:sz w:val="21"/>
                <w:szCs w:val="21"/>
              </w:rPr>
              <w:t>Zn</w:t>
            </w:r>
            <w:r>
              <w:rPr>
                <w:rFonts w:ascii="Times New Roman" w:hAnsi="Times New Roman"/>
                <w:snapToGrid w:val="0"/>
                <w:spacing w:val="8"/>
                <w:kern w:val="0"/>
                <w:sz w:val="21"/>
                <w:szCs w:val="21"/>
              </w:rPr>
              <w:t>）、镍、砷（</w:t>
            </w:r>
            <w:r>
              <w:rPr>
                <w:rFonts w:ascii="Times New Roman" w:hAnsi="Times New Roman"/>
                <w:snapToGrid w:val="0"/>
                <w:spacing w:val="8"/>
                <w:kern w:val="0"/>
                <w:sz w:val="21"/>
                <w:szCs w:val="21"/>
              </w:rPr>
              <w:t>As</w:t>
            </w:r>
            <w:r>
              <w:rPr>
                <w:rFonts w:ascii="Times New Roman" w:hAnsi="Times New Roman"/>
                <w:snapToGrid w:val="0"/>
                <w:spacing w:val="8"/>
                <w:kern w:val="0"/>
                <w:sz w:val="21"/>
                <w:szCs w:val="21"/>
              </w:rPr>
              <w:t>）、铅（</w:t>
            </w:r>
            <w:r>
              <w:rPr>
                <w:rFonts w:ascii="Times New Roman" w:hAnsi="Times New Roman"/>
                <w:snapToGrid w:val="0"/>
                <w:spacing w:val="8"/>
                <w:kern w:val="0"/>
                <w:sz w:val="21"/>
                <w:szCs w:val="21"/>
              </w:rPr>
              <w:t>Pb</w:t>
            </w:r>
            <w:r>
              <w:rPr>
                <w:rFonts w:ascii="Times New Roman" w:hAnsi="Times New Roman"/>
                <w:snapToGrid w:val="0"/>
                <w:spacing w:val="8"/>
                <w:kern w:val="0"/>
                <w:sz w:val="21"/>
                <w:szCs w:val="21"/>
              </w:rPr>
              <w:t>）、六价铬（</w:t>
            </w:r>
            <w:r>
              <w:rPr>
                <w:rFonts w:ascii="Times New Roman" w:hAnsi="Times New Roman"/>
                <w:snapToGrid w:val="0"/>
                <w:spacing w:val="8"/>
                <w:kern w:val="0"/>
                <w:sz w:val="21"/>
                <w:szCs w:val="21"/>
              </w:rPr>
              <w:t>Cr</w:t>
            </w:r>
            <w:r>
              <w:rPr>
                <w:rFonts w:ascii="Times New Roman" w:hAnsi="Times New Roman"/>
                <w:snapToGrid w:val="0"/>
                <w:spacing w:val="8"/>
                <w:kern w:val="0"/>
                <w:sz w:val="21"/>
                <w:szCs w:val="21"/>
                <w:vertAlign w:val="superscript"/>
              </w:rPr>
              <w:t>6+</w:t>
            </w:r>
            <w:r>
              <w:rPr>
                <w:rFonts w:ascii="Times New Roman" w:hAnsi="Times New Roman"/>
                <w:snapToGrid w:val="0"/>
                <w:spacing w:val="8"/>
                <w:kern w:val="0"/>
                <w:sz w:val="21"/>
                <w:szCs w:val="21"/>
              </w:rPr>
              <w:t>）、汞（</w:t>
            </w:r>
            <w:r>
              <w:rPr>
                <w:rFonts w:ascii="Times New Roman" w:hAnsi="Times New Roman"/>
                <w:snapToGrid w:val="0"/>
                <w:spacing w:val="8"/>
                <w:kern w:val="0"/>
                <w:sz w:val="21"/>
                <w:szCs w:val="21"/>
              </w:rPr>
              <w:t>Hg</w:t>
            </w:r>
            <w:r>
              <w:rPr>
                <w:rFonts w:ascii="Times New Roman" w:hAnsi="Times New Roman"/>
                <w:snapToGrid w:val="0"/>
                <w:spacing w:val="8"/>
                <w:kern w:val="0"/>
                <w:sz w:val="21"/>
                <w:szCs w:val="21"/>
              </w:rPr>
              <w:t>）</w:t>
            </w:r>
          </w:p>
        </w:tc>
        <w:tc>
          <w:tcPr>
            <w:tcW w:w="2548"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w:t>
            </w:r>
          </w:p>
        </w:tc>
        <w:tc>
          <w:tcPr>
            <w:tcW w:w="1611" w:type="dxa"/>
            <w:vAlign w:val="center"/>
          </w:tcPr>
          <w:p w:rsidR="004B4777" w:rsidRDefault="004B4777">
            <w:pPr>
              <w:spacing w:line="320" w:lineRule="exact"/>
              <w:ind w:firstLineChars="0" w:firstLine="0"/>
              <w:jc w:val="center"/>
              <w:rPr>
                <w:rFonts w:ascii="Times New Roman" w:hAnsi="Times New Roman" w:hint="eastAsia"/>
                <w:sz w:val="21"/>
                <w:szCs w:val="20"/>
              </w:rPr>
            </w:pPr>
            <w:r>
              <w:rPr>
                <w:rFonts w:ascii="Times New Roman" w:hAnsi="Times New Roman"/>
                <w:sz w:val="21"/>
                <w:szCs w:val="20"/>
              </w:rPr>
              <w:t>—</w:t>
            </w:r>
          </w:p>
        </w:tc>
      </w:tr>
      <w:tr w:rsidR="004B4777">
        <w:trPr>
          <w:trHeight w:val="397"/>
          <w:jc w:val="center"/>
        </w:trPr>
        <w:tc>
          <w:tcPr>
            <w:tcW w:w="1027" w:type="dxa"/>
            <w:vAlign w:val="center"/>
          </w:tcPr>
          <w:p w:rsidR="004B4777" w:rsidRDefault="004B4777">
            <w:pPr>
              <w:widowControl/>
              <w:spacing w:line="240" w:lineRule="auto"/>
              <w:ind w:firstLineChars="0" w:firstLine="0"/>
              <w:jc w:val="center"/>
              <w:rPr>
                <w:rFonts w:ascii="Times New Roman" w:hAnsi="Times New Roman"/>
                <w:kern w:val="0"/>
                <w:sz w:val="21"/>
                <w:szCs w:val="21"/>
              </w:rPr>
            </w:pPr>
            <w:r>
              <w:rPr>
                <w:rFonts w:ascii="Times New Roman" w:hAnsi="Times New Roman" w:hint="eastAsia"/>
                <w:bCs/>
                <w:kern w:val="0"/>
                <w:sz w:val="21"/>
                <w:szCs w:val="21"/>
              </w:rPr>
              <w:t>河流</w:t>
            </w:r>
            <w:r>
              <w:rPr>
                <w:rFonts w:ascii="Times New Roman" w:hAnsi="Times New Roman"/>
                <w:bCs/>
                <w:kern w:val="0"/>
                <w:sz w:val="21"/>
                <w:szCs w:val="21"/>
              </w:rPr>
              <w:t>底泥</w:t>
            </w:r>
          </w:p>
        </w:tc>
        <w:tc>
          <w:tcPr>
            <w:tcW w:w="3336" w:type="dxa"/>
            <w:vAlign w:val="center"/>
          </w:tcPr>
          <w:p w:rsidR="004B4777" w:rsidRDefault="004B4777">
            <w:pPr>
              <w:widowControl/>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pH</w:t>
            </w:r>
            <w:r>
              <w:rPr>
                <w:rFonts w:ascii="Times New Roman" w:hAnsi="Times New Roman"/>
                <w:kern w:val="0"/>
                <w:sz w:val="21"/>
                <w:szCs w:val="21"/>
              </w:rPr>
              <w:t>、铜、铅、锌、</w:t>
            </w:r>
            <w:r>
              <w:rPr>
                <w:rFonts w:ascii="Times New Roman" w:hAnsi="Times New Roman" w:hint="eastAsia"/>
                <w:kern w:val="0"/>
                <w:sz w:val="21"/>
                <w:szCs w:val="21"/>
              </w:rPr>
              <w:t>砷</w:t>
            </w:r>
            <w:r>
              <w:rPr>
                <w:rFonts w:ascii="Times New Roman" w:hAnsi="Times New Roman"/>
                <w:kern w:val="0"/>
                <w:sz w:val="21"/>
                <w:szCs w:val="21"/>
              </w:rPr>
              <w:t>、镉、镍、总铬</w:t>
            </w:r>
          </w:p>
        </w:tc>
        <w:tc>
          <w:tcPr>
            <w:tcW w:w="2548"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w:t>
            </w:r>
          </w:p>
        </w:tc>
        <w:tc>
          <w:tcPr>
            <w:tcW w:w="1611" w:type="dxa"/>
            <w:vAlign w:val="center"/>
          </w:tcPr>
          <w:p w:rsidR="004B4777" w:rsidRDefault="004B4777">
            <w:pPr>
              <w:spacing w:line="320" w:lineRule="exact"/>
              <w:ind w:firstLineChars="0" w:firstLine="0"/>
              <w:jc w:val="center"/>
              <w:rPr>
                <w:rFonts w:ascii="Times New Roman" w:hAnsi="Times New Roman" w:hint="eastAsia"/>
                <w:sz w:val="21"/>
                <w:szCs w:val="20"/>
              </w:rPr>
            </w:pPr>
            <w:r>
              <w:rPr>
                <w:rFonts w:ascii="Times New Roman" w:hAnsi="Times New Roman"/>
                <w:sz w:val="21"/>
                <w:szCs w:val="20"/>
              </w:rPr>
              <w:t>—</w:t>
            </w:r>
          </w:p>
        </w:tc>
      </w:tr>
      <w:tr w:rsidR="004B4777">
        <w:trPr>
          <w:trHeight w:val="397"/>
          <w:jc w:val="center"/>
        </w:trPr>
        <w:tc>
          <w:tcPr>
            <w:tcW w:w="1027"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声环境</w:t>
            </w:r>
          </w:p>
        </w:tc>
        <w:tc>
          <w:tcPr>
            <w:tcW w:w="3336"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等效连续</w:t>
            </w:r>
            <w:r>
              <w:rPr>
                <w:rFonts w:ascii="Times New Roman" w:hAnsi="Times New Roman"/>
                <w:sz w:val="21"/>
                <w:szCs w:val="20"/>
              </w:rPr>
              <w:t>A</w:t>
            </w:r>
            <w:r>
              <w:rPr>
                <w:rFonts w:ascii="Times New Roman" w:hAnsi="Times New Roman"/>
                <w:sz w:val="21"/>
                <w:szCs w:val="20"/>
              </w:rPr>
              <w:t>声级</w:t>
            </w:r>
          </w:p>
        </w:tc>
        <w:tc>
          <w:tcPr>
            <w:tcW w:w="2548"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等效连续</w:t>
            </w:r>
            <w:r>
              <w:rPr>
                <w:rFonts w:ascii="Times New Roman" w:hAnsi="Times New Roman"/>
                <w:sz w:val="21"/>
                <w:szCs w:val="20"/>
              </w:rPr>
              <w:t>A</w:t>
            </w:r>
            <w:r>
              <w:rPr>
                <w:rFonts w:ascii="Times New Roman" w:hAnsi="Times New Roman"/>
                <w:sz w:val="21"/>
                <w:szCs w:val="20"/>
              </w:rPr>
              <w:t>声级</w:t>
            </w:r>
          </w:p>
        </w:tc>
        <w:tc>
          <w:tcPr>
            <w:tcW w:w="1611"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w:t>
            </w:r>
          </w:p>
        </w:tc>
      </w:tr>
      <w:tr w:rsidR="004B4777">
        <w:trPr>
          <w:trHeight w:val="397"/>
          <w:jc w:val="center"/>
        </w:trPr>
        <w:tc>
          <w:tcPr>
            <w:tcW w:w="1027"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固体废物</w:t>
            </w:r>
          </w:p>
        </w:tc>
        <w:tc>
          <w:tcPr>
            <w:tcW w:w="5884" w:type="dxa"/>
            <w:gridSpan w:val="2"/>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hint="eastAsia"/>
                <w:sz w:val="21"/>
                <w:szCs w:val="20"/>
              </w:rPr>
              <w:t>生活垃圾</w:t>
            </w:r>
            <w:r>
              <w:rPr>
                <w:rFonts w:ascii="Times New Roman" w:hAnsi="Times New Roman"/>
                <w:sz w:val="21"/>
                <w:szCs w:val="20"/>
              </w:rPr>
              <w:t>等</w:t>
            </w:r>
          </w:p>
        </w:tc>
        <w:tc>
          <w:tcPr>
            <w:tcW w:w="1611"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w:t>
            </w:r>
          </w:p>
        </w:tc>
      </w:tr>
      <w:tr w:rsidR="004B4777">
        <w:trPr>
          <w:trHeight w:val="397"/>
          <w:jc w:val="center"/>
        </w:trPr>
        <w:tc>
          <w:tcPr>
            <w:tcW w:w="1027" w:type="dxa"/>
            <w:vAlign w:val="center"/>
          </w:tcPr>
          <w:p w:rsidR="004B4777" w:rsidRDefault="004B4777">
            <w:pPr>
              <w:spacing w:line="320" w:lineRule="exact"/>
              <w:ind w:firstLineChars="0" w:firstLine="0"/>
              <w:jc w:val="center"/>
              <w:rPr>
                <w:rFonts w:ascii="Times New Roman" w:hAnsi="Times New Roman" w:hint="eastAsia"/>
                <w:sz w:val="21"/>
                <w:szCs w:val="20"/>
              </w:rPr>
            </w:pPr>
            <w:r>
              <w:rPr>
                <w:rFonts w:ascii="Times New Roman" w:hAnsi="Times New Roman" w:hint="eastAsia"/>
                <w:sz w:val="21"/>
                <w:szCs w:val="20"/>
              </w:rPr>
              <w:t>生态</w:t>
            </w:r>
            <w:r>
              <w:rPr>
                <w:rFonts w:ascii="Times New Roman" w:hAnsi="Times New Roman"/>
                <w:sz w:val="21"/>
                <w:szCs w:val="20"/>
              </w:rPr>
              <w:t>环境</w:t>
            </w:r>
          </w:p>
        </w:tc>
        <w:tc>
          <w:tcPr>
            <w:tcW w:w="5884" w:type="dxa"/>
            <w:gridSpan w:val="2"/>
            <w:vAlign w:val="center"/>
          </w:tcPr>
          <w:p w:rsidR="004B4777" w:rsidRDefault="004B4777">
            <w:pPr>
              <w:spacing w:line="320" w:lineRule="exact"/>
              <w:ind w:firstLineChars="0" w:firstLine="0"/>
              <w:jc w:val="center"/>
              <w:rPr>
                <w:rFonts w:ascii="Times New Roman" w:hAnsi="Times New Roman" w:hint="eastAsia"/>
                <w:sz w:val="21"/>
                <w:szCs w:val="20"/>
              </w:rPr>
            </w:pPr>
            <w:r>
              <w:rPr>
                <w:rFonts w:ascii="Times New Roman" w:hAnsi="Times New Roman" w:hint="eastAsia"/>
                <w:sz w:val="21"/>
                <w:szCs w:val="20"/>
              </w:rPr>
              <w:t>水生生态、鱼类、</w:t>
            </w:r>
            <w:r>
              <w:rPr>
                <w:rFonts w:ascii="Times New Roman" w:hAnsi="Times New Roman"/>
                <w:sz w:val="21"/>
                <w:szCs w:val="20"/>
              </w:rPr>
              <w:t>自然保护区、</w:t>
            </w:r>
            <w:r>
              <w:rPr>
                <w:rFonts w:ascii="Times New Roman" w:hAnsi="Times New Roman" w:hint="eastAsia"/>
                <w:sz w:val="21"/>
                <w:szCs w:val="20"/>
              </w:rPr>
              <w:t>湿地、水产种质资源保护区、底泥</w:t>
            </w:r>
            <w:r>
              <w:rPr>
                <w:rFonts w:ascii="Times New Roman" w:hAnsi="Times New Roman"/>
                <w:sz w:val="21"/>
                <w:szCs w:val="20"/>
              </w:rPr>
              <w:t>等</w:t>
            </w:r>
          </w:p>
        </w:tc>
        <w:tc>
          <w:tcPr>
            <w:tcW w:w="1611" w:type="dxa"/>
            <w:vAlign w:val="center"/>
          </w:tcPr>
          <w:p w:rsidR="004B4777" w:rsidRDefault="004B4777">
            <w:pPr>
              <w:spacing w:line="320" w:lineRule="exact"/>
              <w:ind w:firstLineChars="0" w:firstLine="0"/>
              <w:jc w:val="center"/>
              <w:rPr>
                <w:rFonts w:ascii="Times New Roman" w:hAnsi="Times New Roman"/>
                <w:sz w:val="21"/>
                <w:szCs w:val="20"/>
              </w:rPr>
            </w:pPr>
            <w:r>
              <w:rPr>
                <w:rFonts w:ascii="Times New Roman" w:hAnsi="Times New Roman"/>
                <w:sz w:val="21"/>
                <w:szCs w:val="20"/>
              </w:rPr>
              <w:t>—</w:t>
            </w:r>
          </w:p>
        </w:tc>
      </w:tr>
    </w:tbl>
    <w:p w:rsidR="004B4777" w:rsidRDefault="004B4777">
      <w:pPr>
        <w:pStyle w:val="2"/>
        <w:spacing w:before="0" w:after="0"/>
        <w:rPr>
          <w:rFonts w:ascii="Times New Roman" w:eastAsia="宋体" w:hAnsi="Times New Roman" w:hint="eastAsia"/>
          <w:b/>
          <w:sz w:val="30"/>
          <w:szCs w:val="30"/>
        </w:rPr>
      </w:pPr>
      <w:bookmarkStart w:id="94" w:name="_Toc523854015"/>
      <w:r>
        <w:rPr>
          <w:rFonts w:ascii="Times New Roman" w:eastAsia="宋体" w:hAnsi="Times New Roman"/>
          <w:b/>
          <w:sz w:val="30"/>
          <w:szCs w:val="30"/>
        </w:rPr>
        <w:t xml:space="preserve">2.4 </w:t>
      </w:r>
      <w:r>
        <w:rPr>
          <w:rFonts w:ascii="Times New Roman" w:eastAsia="宋体" w:hAnsi="Times New Roman"/>
          <w:b/>
          <w:sz w:val="30"/>
          <w:szCs w:val="30"/>
        </w:rPr>
        <w:t>评价等级和评价</w:t>
      </w:r>
      <w:r>
        <w:rPr>
          <w:rFonts w:ascii="Times New Roman" w:eastAsia="宋体" w:hAnsi="Times New Roman" w:hint="eastAsia"/>
          <w:b/>
          <w:sz w:val="30"/>
          <w:szCs w:val="30"/>
        </w:rPr>
        <w:t>范围</w:t>
      </w:r>
      <w:bookmarkEnd w:id="94"/>
    </w:p>
    <w:p w:rsidR="004B4777" w:rsidRDefault="004B4777">
      <w:pPr>
        <w:pStyle w:val="3"/>
        <w:spacing w:before="0" w:after="0"/>
        <w:rPr>
          <w:rFonts w:ascii="Times New Roman" w:eastAsia="宋体" w:hAnsi="Times New Roman"/>
          <w:b/>
        </w:rPr>
      </w:pPr>
      <w:r>
        <w:rPr>
          <w:rFonts w:ascii="Times New Roman" w:eastAsia="宋体" w:hAnsi="Times New Roman"/>
          <w:b/>
        </w:rPr>
        <w:t xml:space="preserve">2.4.1 </w:t>
      </w:r>
      <w:r>
        <w:rPr>
          <w:rFonts w:ascii="Times New Roman" w:eastAsia="宋体" w:hAnsi="Times New Roman"/>
          <w:b/>
        </w:rPr>
        <w:t>评价等级</w:t>
      </w:r>
    </w:p>
    <w:p w:rsidR="004B4777" w:rsidRDefault="004B4777">
      <w:pPr>
        <w:ind w:firstLine="480"/>
        <w:rPr>
          <w:rFonts w:ascii="Times New Roman" w:hAnsi="Times New Roman"/>
        </w:rPr>
      </w:pPr>
      <w:r>
        <w:rPr>
          <w:rFonts w:ascii="Times New Roman" w:hAnsi="Times New Roman"/>
        </w:rPr>
        <w:t>根据《环境影响评价技术导则》（</w:t>
      </w:r>
      <w:r>
        <w:rPr>
          <w:rFonts w:ascii="Times New Roman" w:hAnsi="Times New Roman"/>
        </w:rPr>
        <w:t>HJ2.1-2016</w:t>
      </w:r>
      <w:r>
        <w:rPr>
          <w:rFonts w:ascii="Times New Roman" w:hAnsi="Times New Roman"/>
        </w:rPr>
        <w:t>、</w:t>
      </w:r>
      <w:r>
        <w:rPr>
          <w:rFonts w:ascii="Times New Roman" w:hAnsi="Times New Roman"/>
        </w:rPr>
        <w:t>HJ/T2.3-93</w:t>
      </w:r>
      <w:r>
        <w:rPr>
          <w:rFonts w:ascii="Times New Roman" w:hAnsi="Times New Roman"/>
        </w:rPr>
        <w:t>、</w:t>
      </w:r>
      <w:r>
        <w:rPr>
          <w:rFonts w:ascii="Times New Roman" w:hAnsi="Times New Roman"/>
        </w:rPr>
        <w:t>HJ2.2-2008</w:t>
      </w:r>
      <w:r>
        <w:rPr>
          <w:rFonts w:ascii="Times New Roman" w:hAnsi="Times New Roman"/>
        </w:rPr>
        <w:t>、</w:t>
      </w:r>
      <w:r>
        <w:rPr>
          <w:rFonts w:ascii="Times New Roman" w:hAnsi="Times New Roman"/>
        </w:rPr>
        <w:t>HJ610-2016</w:t>
      </w:r>
      <w:r>
        <w:rPr>
          <w:rFonts w:ascii="Times New Roman" w:hAnsi="Times New Roman"/>
        </w:rPr>
        <w:t>、</w:t>
      </w:r>
      <w:r>
        <w:rPr>
          <w:rFonts w:ascii="Times New Roman" w:hAnsi="Times New Roman"/>
        </w:rPr>
        <w:t>HJ2.4-2009</w:t>
      </w:r>
      <w:r>
        <w:rPr>
          <w:rFonts w:ascii="Times New Roman" w:hAnsi="Times New Roman"/>
        </w:rPr>
        <w:t>、</w:t>
      </w:r>
      <w:r>
        <w:rPr>
          <w:rFonts w:ascii="Times New Roman" w:hAnsi="Times New Roman"/>
        </w:rPr>
        <w:t>HJ19-2011</w:t>
      </w:r>
      <w:r>
        <w:rPr>
          <w:rFonts w:ascii="Times New Roman" w:hAnsi="Times New Roman"/>
        </w:rPr>
        <w:t>）和《建设项目环境风险评价技术导则》（</w:t>
      </w:r>
      <w:r>
        <w:rPr>
          <w:rFonts w:ascii="Times New Roman" w:hAnsi="Times New Roman"/>
        </w:rPr>
        <w:t>HJ/T169-2004</w:t>
      </w:r>
      <w:r>
        <w:rPr>
          <w:rFonts w:ascii="Times New Roman" w:hAnsi="Times New Roman"/>
        </w:rPr>
        <w:t>）中有关环评工作等级划分规则，确定本评价等级。</w:t>
      </w:r>
    </w:p>
    <w:p w:rsidR="004B4777" w:rsidRDefault="004B4777">
      <w:pPr>
        <w:ind w:firstLine="480"/>
        <w:rPr>
          <w:rFonts w:ascii="Times New Roman" w:hAnsi="Times New Roman"/>
        </w:rPr>
      </w:pPr>
      <w:r>
        <w:rPr>
          <w:rFonts w:ascii="Times New Roman" w:hAnsi="Times New Roman"/>
        </w:rPr>
        <w:t>1</w:t>
      </w:r>
      <w:r>
        <w:rPr>
          <w:rFonts w:ascii="Times New Roman" w:hAnsi="Times New Roman"/>
        </w:rPr>
        <w:t>．大气环境影响评价等级</w:t>
      </w:r>
    </w:p>
    <w:p w:rsidR="004B4777" w:rsidRDefault="004B4777">
      <w:pPr>
        <w:ind w:firstLine="480"/>
        <w:rPr>
          <w:rFonts w:ascii="Times New Roman" w:hAnsi="Times New Roman"/>
        </w:rPr>
      </w:pPr>
      <w:r>
        <w:rPr>
          <w:rFonts w:ascii="Times New Roman" w:hAnsi="Times New Roman"/>
        </w:rPr>
        <w:t>大气环境影响评价工作的分级是根据评价项目的主要污染物排放量、周围的环境状况、周围地形复杂程度以及评价执行的环境空气质量标准等因素确定。根据工程分析可知，本项目主要大气污染物</w:t>
      </w:r>
      <w:r>
        <w:rPr>
          <w:rFonts w:ascii="Times New Roman" w:hAnsi="Times New Roman" w:hint="eastAsia"/>
        </w:rPr>
        <w:t>为</w:t>
      </w:r>
      <w:r>
        <w:rPr>
          <w:rFonts w:ascii="Times New Roman" w:hAnsi="Times New Roman"/>
        </w:rPr>
        <w:t>船舶废气</w:t>
      </w:r>
      <w:r>
        <w:rPr>
          <w:rFonts w:ascii="Times New Roman" w:hAnsi="Times New Roman" w:hint="eastAsia"/>
        </w:rPr>
        <w:t>，根据工程分析，项目无组织排放废气在厂界即达标，</w:t>
      </w:r>
      <w:r>
        <w:rPr>
          <w:rFonts w:ascii="Times New Roman" w:hAnsi="Times New Roman"/>
        </w:rPr>
        <w:t>根据《环境影响评价技术导则</w:t>
      </w:r>
      <w:r>
        <w:rPr>
          <w:rFonts w:ascii="Times New Roman" w:hAnsi="Times New Roman"/>
        </w:rPr>
        <w:t>—</w:t>
      </w:r>
      <w:r>
        <w:rPr>
          <w:rFonts w:ascii="Times New Roman" w:hAnsi="Times New Roman"/>
        </w:rPr>
        <w:t>大气环境》（</w:t>
      </w:r>
      <w:r>
        <w:rPr>
          <w:rFonts w:ascii="Times New Roman" w:hAnsi="Times New Roman"/>
        </w:rPr>
        <w:t>HJ2.2-2008</w:t>
      </w:r>
      <w:r>
        <w:rPr>
          <w:rFonts w:ascii="Times New Roman" w:hAnsi="Times New Roman"/>
        </w:rPr>
        <w:t>），确定本项目大气环境影响评价工作等级为三级。</w:t>
      </w:r>
    </w:p>
    <w:p w:rsidR="004B4777" w:rsidRDefault="004B4777">
      <w:pPr>
        <w:ind w:firstLine="480"/>
        <w:rPr>
          <w:rFonts w:ascii="Times New Roman" w:hAnsi="Times New Roman"/>
        </w:rPr>
      </w:pPr>
      <w:r>
        <w:rPr>
          <w:rFonts w:ascii="Times New Roman" w:hAnsi="Times New Roman"/>
        </w:rPr>
        <w:t>2</w:t>
      </w:r>
      <w:r>
        <w:rPr>
          <w:rFonts w:ascii="Times New Roman" w:hAnsi="Times New Roman"/>
        </w:rPr>
        <w:t>．水环境影响评价等级</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）地表水</w:t>
      </w:r>
    </w:p>
    <w:p w:rsidR="004B4777" w:rsidRDefault="004B4777">
      <w:pPr>
        <w:ind w:firstLine="480"/>
        <w:rPr>
          <w:rFonts w:ascii="Times New Roman" w:hAnsi="Times New Roman"/>
        </w:rPr>
      </w:pPr>
      <w:r>
        <w:rPr>
          <w:rFonts w:ascii="Times New Roman" w:hAnsi="Times New Roman"/>
        </w:rPr>
        <w:t>本项目最大废水排放量为</w:t>
      </w:r>
      <w:r>
        <w:rPr>
          <w:rFonts w:ascii="Times New Roman" w:hAnsi="Times New Roman" w:hint="eastAsia"/>
        </w:rPr>
        <w:t>40.8</w:t>
      </w:r>
      <w:r>
        <w:rPr>
          <w:rFonts w:ascii="Times New Roman" w:hAnsi="Times New Roman"/>
        </w:rPr>
        <w:t>m</w:t>
      </w:r>
      <w:r>
        <w:rPr>
          <w:rFonts w:ascii="Times New Roman" w:hAnsi="Times New Roman"/>
          <w:vertAlign w:val="superscript"/>
        </w:rPr>
        <w:t>3</w:t>
      </w:r>
      <w:r>
        <w:rPr>
          <w:rFonts w:ascii="Times New Roman" w:hAnsi="Times New Roman"/>
        </w:rPr>
        <w:t>/d</w:t>
      </w:r>
      <w:r>
        <w:rPr>
          <w:rFonts w:ascii="Times New Roman" w:hAnsi="Times New Roman"/>
        </w:rPr>
        <w:t>，小于</w:t>
      </w:r>
      <w:r>
        <w:rPr>
          <w:rFonts w:ascii="Times New Roman" w:hAnsi="Times New Roman"/>
        </w:rPr>
        <w:t>1000m</w:t>
      </w:r>
      <w:r>
        <w:rPr>
          <w:rFonts w:ascii="Times New Roman" w:hAnsi="Times New Roman"/>
          <w:vertAlign w:val="superscript"/>
        </w:rPr>
        <w:t>3</w:t>
      </w:r>
      <w:r>
        <w:rPr>
          <w:rFonts w:ascii="Times New Roman" w:hAnsi="Times New Roman"/>
        </w:rPr>
        <w:t>/d</w:t>
      </w:r>
      <w:r>
        <w:rPr>
          <w:rFonts w:ascii="Times New Roman" w:hAnsi="Times New Roman"/>
        </w:rPr>
        <w:t>，废水中主要污染因子为石油类、</w:t>
      </w:r>
      <w:r>
        <w:rPr>
          <w:rFonts w:ascii="Times New Roman" w:hAnsi="Times New Roman"/>
        </w:rPr>
        <w:t>pH</w:t>
      </w:r>
      <w:r>
        <w:rPr>
          <w:rFonts w:ascii="Times New Roman" w:hAnsi="Times New Roman"/>
        </w:rPr>
        <w:t>、</w:t>
      </w:r>
      <w:r>
        <w:rPr>
          <w:rFonts w:ascii="Times New Roman" w:hAnsi="Times New Roman"/>
        </w:rPr>
        <w:t>COD</w:t>
      </w:r>
      <w:r>
        <w:rPr>
          <w:rFonts w:ascii="Times New Roman" w:hAnsi="Times New Roman"/>
          <w:vertAlign w:val="subscript"/>
        </w:rPr>
        <w:t>Cr</w:t>
      </w:r>
      <w:r>
        <w:rPr>
          <w:rFonts w:ascii="Times New Roman" w:hAnsi="Times New Roman"/>
        </w:rPr>
        <w:t>、</w:t>
      </w:r>
      <w:r>
        <w:rPr>
          <w:rFonts w:ascii="Times New Roman" w:hAnsi="Times New Roman"/>
        </w:rPr>
        <w:t>BOD</w:t>
      </w:r>
      <w:r>
        <w:rPr>
          <w:rFonts w:ascii="Times New Roman" w:hAnsi="Times New Roman"/>
          <w:vertAlign w:val="subscript"/>
        </w:rPr>
        <w:t>5</w:t>
      </w:r>
      <w:r>
        <w:rPr>
          <w:rFonts w:ascii="Times New Roman" w:hAnsi="Times New Roman"/>
        </w:rPr>
        <w:t>、</w:t>
      </w:r>
      <w:r>
        <w:rPr>
          <w:rFonts w:ascii="Times New Roman" w:hAnsi="Times New Roman"/>
        </w:rPr>
        <w:t>NH</w:t>
      </w:r>
      <w:r>
        <w:rPr>
          <w:rFonts w:ascii="Times New Roman" w:hAnsi="Times New Roman"/>
          <w:vertAlign w:val="subscript"/>
        </w:rPr>
        <w:t>3</w:t>
      </w:r>
      <w:r>
        <w:rPr>
          <w:rFonts w:ascii="Times New Roman" w:hAnsi="Times New Roman"/>
        </w:rPr>
        <w:t>-N</w:t>
      </w:r>
      <w:r>
        <w:rPr>
          <w:rFonts w:ascii="Times New Roman" w:hAnsi="Times New Roman"/>
        </w:rPr>
        <w:t>等，水质复杂程度为中等。</w:t>
      </w:r>
    </w:p>
    <w:p w:rsidR="004B4777" w:rsidRDefault="004B4777">
      <w:pPr>
        <w:ind w:firstLine="480"/>
        <w:rPr>
          <w:rFonts w:ascii="Times New Roman" w:hAnsi="Times New Roman"/>
        </w:rPr>
      </w:pPr>
      <w:r>
        <w:rPr>
          <w:rFonts w:ascii="Times New Roman" w:hAnsi="Times New Roman"/>
          <w:u w:val="single"/>
        </w:rPr>
        <w:lastRenderedPageBreak/>
        <w:t>船舶废水</w:t>
      </w:r>
      <w:r>
        <w:rPr>
          <w:rFonts w:ascii="Times New Roman" w:hAnsi="Times New Roman" w:hint="eastAsia"/>
          <w:u w:val="single"/>
        </w:rPr>
        <w:t>经处理后委托有资质单位定点接收处置</w:t>
      </w:r>
      <w:r>
        <w:rPr>
          <w:rFonts w:ascii="Times New Roman" w:hAnsi="Times New Roman"/>
        </w:rPr>
        <w:t>，根据《环境影响评价技术导则</w:t>
      </w:r>
      <w:r>
        <w:rPr>
          <w:rFonts w:ascii="Times New Roman" w:hAnsi="Times New Roman"/>
        </w:rPr>
        <w:t xml:space="preserve"> </w:t>
      </w:r>
      <w:r>
        <w:rPr>
          <w:rFonts w:ascii="Times New Roman" w:hAnsi="Times New Roman"/>
        </w:rPr>
        <w:t>地面水环境》（</w:t>
      </w:r>
      <w:r>
        <w:rPr>
          <w:rFonts w:ascii="Times New Roman" w:hAnsi="Times New Roman"/>
        </w:rPr>
        <w:t>HJ/T2.3-93</w:t>
      </w:r>
      <w:r>
        <w:rPr>
          <w:rFonts w:ascii="Times New Roman" w:hAnsi="Times New Roman"/>
        </w:rPr>
        <w:t>）中有关规定，水环境影响评价等级为三级。</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）地下水</w:t>
      </w:r>
    </w:p>
    <w:p w:rsidR="004B4777" w:rsidRDefault="004B4777">
      <w:pPr>
        <w:adjustRightInd w:val="0"/>
        <w:snapToGrid w:val="0"/>
        <w:ind w:firstLine="480"/>
        <w:jc w:val="left"/>
        <w:rPr>
          <w:rFonts w:ascii="Times New Roman" w:hAnsi="Times New Roman"/>
        </w:rPr>
      </w:pPr>
      <w:r>
        <w:rPr>
          <w:rFonts w:ascii="Times New Roman" w:hAnsi="Times New Roman"/>
        </w:rPr>
        <w:t>本项目为采砂工程，属于《地下水环境影响评价导则》（</w:t>
      </w:r>
      <w:r>
        <w:rPr>
          <w:rFonts w:ascii="Times New Roman" w:hAnsi="Times New Roman"/>
        </w:rPr>
        <w:t>HJ610-2016</w:t>
      </w:r>
      <w:r>
        <w:rPr>
          <w:rFonts w:ascii="Times New Roman" w:hAnsi="Times New Roman"/>
        </w:rPr>
        <w:t>）中规定的</w:t>
      </w:r>
      <w:r>
        <w:rPr>
          <w:rFonts w:ascii="宋体" w:hAnsi="宋体" w:cs="宋体" w:hint="eastAsia"/>
        </w:rPr>
        <w:t>Ⅳ</w:t>
      </w:r>
      <w:r>
        <w:rPr>
          <w:rFonts w:ascii="Times New Roman" w:hAnsi="Times New Roman"/>
        </w:rPr>
        <w:t>类建设项目，</w:t>
      </w:r>
      <w:r>
        <w:rPr>
          <w:rFonts w:ascii="Times New Roman" w:hAnsi="Times New Roman" w:hint="eastAsia"/>
        </w:rPr>
        <w:t>地下水</w:t>
      </w:r>
      <w:r>
        <w:rPr>
          <w:rFonts w:ascii="Times New Roman" w:hAnsi="Times New Roman"/>
        </w:rPr>
        <w:t>评价等级标准见表</w:t>
      </w:r>
      <w:r>
        <w:rPr>
          <w:rFonts w:ascii="Times New Roman" w:hAnsi="Times New Roman"/>
        </w:rPr>
        <w:t>2.4-1</w:t>
      </w:r>
      <w:r>
        <w:rPr>
          <w:rFonts w:ascii="Times New Roman" w:hAnsi="Times New Roman" w:hint="eastAsia"/>
        </w:rPr>
        <w:t>。</w:t>
      </w:r>
    </w:p>
    <w:p w:rsidR="004B4777" w:rsidRDefault="004B4777">
      <w:pPr>
        <w:adjustRightInd w:val="0"/>
        <w:snapToGrid w:val="0"/>
        <w:ind w:firstLine="482"/>
        <w:jc w:val="center"/>
        <w:rPr>
          <w:rFonts w:ascii="Times New Roman" w:hAnsi="Times New Roman"/>
          <w:b/>
          <w:szCs w:val="24"/>
        </w:rPr>
      </w:pPr>
      <w:r>
        <w:rPr>
          <w:rFonts w:ascii="Times New Roman" w:hAnsi="Times New Roman"/>
          <w:b/>
          <w:szCs w:val="24"/>
        </w:rPr>
        <w:t>表</w:t>
      </w:r>
      <w:r>
        <w:rPr>
          <w:rFonts w:ascii="Times New Roman" w:hAnsi="Times New Roman"/>
          <w:b/>
          <w:szCs w:val="24"/>
        </w:rPr>
        <w:t xml:space="preserve">2.4-1    </w:t>
      </w:r>
      <w:r>
        <w:rPr>
          <w:rFonts w:ascii="Times New Roman" w:hAnsi="Times New Roman"/>
          <w:b/>
          <w:szCs w:val="24"/>
        </w:rPr>
        <w:t>地下水评价工作等级分级表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131"/>
      </w:tblGrid>
      <w:tr w:rsidR="004B4777">
        <w:trPr>
          <w:trHeight w:val="397"/>
        </w:trPr>
        <w:tc>
          <w:tcPr>
            <w:tcW w:w="2130" w:type="dxa"/>
            <w:tcBorders>
              <w:tl2br w:val="single" w:sz="4" w:space="0" w:color="auto"/>
            </w:tcBorders>
            <w:vAlign w:val="center"/>
          </w:tcPr>
          <w:p w:rsidR="004B4777" w:rsidRDefault="004B4777">
            <w:pPr>
              <w:spacing w:line="240" w:lineRule="auto"/>
              <w:ind w:firstLineChars="0" w:firstLine="0"/>
              <w:jc w:val="right"/>
              <w:rPr>
                <w:rFonts w:ascii="Times New Roman" w:hAnsi="Times New Roman"/>
                <w:sz w:val="21"/>
                <w:szCs w:val="21"/>
              </w:rPr>
            </w:pPr>
            <w:r>
              <w:rPr>
                <w:rFonts w:ascii="Times New Roman" w:hAnsi="Times New Roman" w:hint="eastAsia"/>
                <w:sz w:val="21"/>
                <w:szCs w:val="21"/>
              </w:rPr>
              <w:t>项目类别</w:t>
            </w:r>
          </w:p>
          <w:p w:rsidR="004B4777" w:rsidRDefault="004B4777">
            <w:pPr>
              <w:spacing w:line="240" w:lineRule="auto"/>
              <w:ind w:firstLineChars="0" w:firstLine="0"/>
              <w:rPr>
                <w:rFonts w:ascii="Times New Roman" w:hAnsi="Times New Roman"/>
                <w:sz w:val="21"/>
                <w:szCs w:val="21"/>
              </w:rPr>
            </w:pPr>
            <w:r>
              <w:rPr>
                <w:rFonts w:ascii="Times New Roman" w:hAnsi="Times New Roman" w:hint="eastAsia"/>
                <w:sz w:val="21"/>
                <w:szCs w:val="21"/>
              </w:rPr>
              <w:t>环境敏感程度</w:t>
            </w:r>
          </w:p>
        </w:tc>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宋体" w:hAnsi="宋体" w:cs="宋体" w:hint="eastAsia"/>
                <w:sz w:val="21"/>
                <w:szCs w:val="21"/>
              </w:rPr>
              <w:t>Ⅰ</w:t>
            </w:r>
            <w:r>
              <w:rPr>
                <w:rFonts w:ascii="Times New Roman" w:hAnsi="Times New Roman"/>
                <w:sz w:val="21"/>
                <w:szCs w:val="21"/>
              </w:rPr>
              <w:t>类项目</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宋体" w:hAnsi="宋体" w:cs="宋体" w:hint="eastAsia"/>
                <w:sz w:val="21"/>
                <w:szCs w:val="21"/>
              </w:rPr>
              <w:t>Ⅱ</w:t>
            </w:r>
            <w:r>
              <w:rPr>
                <w:rFonts w:ascii="Times New Roman" w:hAnsi="Times New Roman"/>
                <w:sz w:val="21"/>
                <w:szCs w:val="21"/>
              </w:rPr>
              <w:t>类项目</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宋体" w:hAnsi="宋体" w:cs="宋体" w:hint="eastAsia"/>
                <w:sz w:val="21"/>
                <w:szCs w:val="21"/>
              </w:rPr>
              <w:t>Ⅲ</w:t>
            </w:r>
            <w:r>
              <w:rPr>
                <w:rFonts w:ascii="Times New Roman" w:hAnsi="Times New Roman"/>
                <w:sz w:val="21"/>
                <w:szCs w:val="21"/>
              </w:rPr>
              <w:t>类项目</w:t>
            </w:r>
          </w:p>
        </w:tc>
      </w:tr>
      <w:tr w:rsidR="004B4777">
        <w:trPr>
          <w:trHeight w:val="397"/>
        </w:trPr>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敏感</w:t>
            </w:r>
          </w:p>
        </w:tc>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一</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一</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二</w:t>
            </w:r>
          </w:p>
        </w:tc>
      </w:tr>
      <w:tr w:rsidR="004B4777">
        <w:trPr>
          <w:trHeight w:val="397"/>
        </w:trPr>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较敏感</w:t>
            </w:r>
          </w:p>
        </w:tc>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一</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二</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三</w:t>
            </w:r>
          </w:p>
        </w:tc>
      </w:tr>
      <w:tr w:rsidR="004B4777">
        <w:trPr>
          <w:trHeight w:val="397"/>
        </w:trPr>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不敏感</w:t>
            </w:r>
          </w:p>
        </w:tc>
        <w:tc>
          <w:tcPr>
            <w:tcW w:w="2130"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二</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三</w:t>
            </w:r>
          </w:p>
        </w:tc>
        <w:tc>
          <w:tcPr>
            <w:tcW w:w="2131" w:type="dxa"/>
            <w:vAlign w:val="center"/>
          </w:tcPr>
          <w:p w:rsidR="004B4777" w:rsidRDefault="004B4777">
            <w:pPr>
              <w:spacing w:line="240" w:lineRule="auto"/>
              <w:ind w:firstLineChars="0" w:firstLine="0"/>
              <w:jc w:val="center"/>
              <w:rPr>
                <w:rFonts w:ascii="Times New Roman" w:hAnsi="Times New Roman"/>
                <w:sz w:val="21"/>
                <w:szCs w:val="21"/>
              </w:rPr>
            </w:pPr>
            <w:r>
              <w:rPr>
                <w:rFonts w:ascii="Times New Roman" w:hAnsi="Times New Roman" w:hint="eastAsia"/>
                <w:sz w:val="21"/>
                <w:szCs w:val="21"/>
              </w:rPr>
              <w:t>三</w:t>
            </w:r>
          </w:p>
        </w:tc>
      </w:tr>
    </w:tbl>
    <w:p w:rsidR="004B4777" w:rsidRDefault="004B4777">
      <w:pPr>
        <w:spacing w:beforeLines="50"/>
        <w:ind w:firstLine="480"/>
        <w:jc w:val="left"/>
        <w:rPr>
          <w:rFonts w:ascii="Times New Roman" w:hAnsi="Times New Roman"/>
        </w:rPr>
      </w:pPr>
      <w:r>
        <w:rPr>
          <w:rFonts w:ascii="Times New Roman" w:hAnsi="Times New Roman"/>
        </w:rPr>
        <w:t>因此项目不需要开展地下水环境影响评价。</w:t>
      </w:r>
    </w:p>
    <w:p w:rsidR="004B4777" w:rsidRDefault="004B4777">
      <w:pPr>
        <w:tabs>
          <w:tab w:val="left" w:pos="420"/>
        </w:tabs>
        <w:ind w:firstLine="480"/>
        <w:rPr>
          <w:rFonts w:ascii="Times New Roman" w:hAnsi="Times New Roman"/>
        </w:rPr>
      </w:pPr>
      <w:r>
        <w:rPr>
          <w:rFonts w:ascii="Times New Roman" w:hAnsi="Times New Roman"/>
        </w:rPr>
        <w:t>3</w:t>
      </w:r>
      <w:r>
        <w:rPr>
          <w:rFonts w:ascii="Times New Roman" w:hAnsi="Times New Roman"/>
        </w:rPr>
        <w:t>．声环境影响评价等级</w:t>
      </w:r>
    </w:p>
    <w:p w:rsidR="004B4777" w:rsidRDefault="004B4777">
      <w:pPr>
        <w:ind w:firstLine="480"/>
        <w:rPr>
          <w:rFonts w:ascii="Times New Roman" w:hAnsi="Times New Roman"/>
        </w:rPr>
      </w:pPr>
      <w:r>
        <w:rPr>
          <w:rFonts w:ascii="Times New Roman" w:hAnsi="Times New Roman"/>
        </w:rPr>
        <w:t>本项目属于《声环境质量标准》（</w:t>
      </w:r>
      <w:r>
        <w:rPr>
          <w:rFonts w:ascii="Times New Roman" w:hAnsi="Times New Roman"/>
        </w:rPr>
        <w:t>GB3096-2008</w:t>
      </w:r>
      <w:r>
        <w:rPr>
          <w:rFonts w:ascii="Times New Roman" w:hAnsi="Times New Roman"/>
        </w:rPr>
        <w:t>）中的</w:t>
      </w:r>
      <w:r>
        <w:rPr>
          <w:rFonts w:ascii="Times New Roman" w:hAnsi="Times New Roman"/>
        </w:rPr>
        <w:t>2</w:t>
      </w:r>
      <w:r>
        <w:rPr>
          <w:rFonts w:ascii="Times New Roman" w:hAnsi="Times New Roman"/>
        </w:rPr>
        <w:t>类区，建设前后周边敏感点噪声级增高量小于</w:t>
      </w:r>
      <w:r>
        <w:rPr>
          <w:rFonts w:ascii="Times New Roman" w:hAnsi="Times New Roman"/>
        </w:rPr>
        <w:t>3dB</w:t>
      </w:r>
      <w:r>
        <w:rPr>
          <w:rFonts w:ascii="Times New Roman" w:hAnsi="Times New Roman"/>
        </w:rPr>
        <w:t>，且受噪声影响人口数量变化不大。根据《噪声环境影响评价技术原则与方法》中工作等级划分判据及建设项目所在地的声环境功能要求，根据导则有关规定，确定环境噪声影响评价等级为二级</w:t>
      </w:r>
      <w:r>
        <w:rPr>
          <w:rFonts w:ascii="Times New Roman" w:hAnsi="Times New Roman" w:hint="eastAsia"/>
        </w:rPr>
        <w:t>，声环境</w:t>
      </w:r>
      <w:r>
        <w:rPr>
          <w:rFonts w:ascii="Times New Roman" w:hAnsi="Times New Roman"/>
        </w:rPr>
        <w:t>评价等级标准见表</w:t>
      </w:r>
      <w:r>
        <w:rPr>
          <w:rFonts w:ascii="Times New Roman" w:hAnsi="Times New Roman"/>
        </w:rPr>
        <w:t>2.4-2</w:t>
      </w:r>
      <w:r>
        <w:rPr>
          <w:rFonts w:ascii="Times New Roman" w:hAnsi="Times New Roman"/>
        </w:rPr>
        <w:t>。</w:t>
      </w:r>
    </w:p>
    <w:p w:rsidR="004B4777" w:rsidRDefault="004B4777">
      <w:pPr>
        <w:pStyle w:val="af7"/>
        <w:spacing w:line="360" w:lineRule="auto"/>
        <w:ind w:firstLine="0"/>
        <w:jc w:val="center"/>
        <w:rPr>
          <w:rFonts w:ascii="Times New Roman" w:hAnsi="Times New Roman"/>
          <w:b/>
          <w:szCs w:val="24"/>
        </w:rPr>
      </w:pPr>
      <w:r>
        <w:rPr>
          <w:rFonts w:ascii="Times New Roman" w:hAnsi="Times New Roman"/>
          <w:b/>
          <w:szCs w:val="24"/>
        </w:rPr>
        <w:t>表</w:t>
      </w:r>
      <w:r>
        <w:rPr>
          <w:rFonts w:ascii="Times New Roman" w:hAnsi="Times New Roman"/>
          <w:b/>
          <w:szCs w:val="24"/>
        </w:rPr>
        <w:t xml:space="preserve">2.4-2    </w:t>
      </w:r>
      <w:r>
        <w:rPr>
          <w:rFonts w:ascii="Times New Roman" w:hAnsi="Times New Roman"/>
          <w:b/>
          <w:szCs w:val="24"/>
        </w:rPr>
        <w:t>声环境评价等级</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0"/>
        <w:gridCol w:w="3157"/>
        <w:gridCol w:w="2032"/>
        <w:gridCol w:w="1133"/>
      </w:tblGrid>
      <w:tr w:rsidR="004B4777">
        <w:trPr>
          <w:trHeight w:val="397"/>
        </w:trPr>
        <w:tc>
          <w:tcPr>
            <w:tcW w:w="2200" w:type="dxa"/>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声环境功能区</w:t>
            </w:r>
          </w:p>
        </w:tc>
        <w:tc>
          <w:tcPr>
            <w:tcW w:w="3157" w:type="dxa"/>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或项目建设前后噪声级增加量</w:t>
            </w:r>
          </w:p>
        </w:tc>
        <w:tc>
          <w:tcPr>
            <w:tcW w:w="2032" w:type="dxa"/>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或受影响人口数量</w:t>
            </w:r>
          </w:p>
        </w:tc>
        <w:tc>
          <w:tcPr>
            <w:tcW w:w="1133" w:type="dxa"/>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评价等级</w:t>
            </w:r>
          </w:p>
        </w:tc>
      </w:tr>
      <w:tr w:rsidR="004B4777">
        <w:trPr>
          <w:trHeight w:val="397"/>
        </w:trPr>
        <w:tc>
          <w:tcPr>
            <w:tcW w:w="220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0</w:t>
            </w:r>
            <w:r>
              <w:rPr>
                <w:rFonts w:ascii="Times New Roman" w:hAnsi="Times New Roman"/>
                <w:sz w:val="21"/>
                <w:szCs w:val="21"/>
              </w:rPr>
              <w:t>类区或有敏感目标</w:t>
            </w:r>
          </w:p>
        </w:tc>
        <w:tc>
          <w:tcPr>
            <w:tcW w:w="3157"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&gt;5dB</w:t>
            </w:r>
            <w:r>
              <w:rPr>
                <w:rFonts w:ascii="Times New Roman" w:hAnsi="Times New Roman"/>
                <w:sz w:val="21"/>
                <w:szCs w:val="21"/>
              </w:rPr>
              <w:t>（</w:t>
            </w:r>
            <w:r>
              <w:rPr>
                <w:rFonts w:ascii="Times New Roman" w:hAnsi="Times New Roman"/>
                <w:sz w:val="21"/>
                <w:szCs w:val="21"/>
              </w:rPr>
              <w:t>A</w:t>
            </w:r>
            <w:r>
              <w:rPr>
                <w:rFonts w:ascii="Times New Roman" w:hAnsi="Times New Roman"/>
                <w:sz w:val="21"/>
                <w:szCs w:val="21"/>
              </w:rPr>
              <w:t>）</w:t>
            </w:r>
          </w:p>
        </w:tc>
        <w:tc>
          <w:tcPr>
            <w:tcW w:w="2032"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显著增多</w:t>
            </w:r>
          </w:p>
        </w:tc>
        <w:tc>
          <w:tcPr>
            <w:tcW w:w="1133"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一级</w:t>
            </w:r>
          </w:p>
        </w:tc>
      </w:tr>
      <w:tr w:rsidR="004B4777">
        <w:trPr>
          <w:trHeight w:val="397"/>
        </w:trPr>
        <w:tc>
          <w:tcPr>
            <w:tcW w:w="220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类、</w:t>
            </w:r>
            <w:r>
              <w:rPr>
                <w:rFonts w:ascii="Times New Roman" w:hAnsi="Times New Roman"/>
                <w:sz w:val="21"/>
                <w:szCs w:val="21"/>
              </w:rPr>
              <w:t>2</w:t>
            </w:r>
            <w:r>
              <w:rPr>
                <w:rFonts w:ascii="Times New Roman" w:hAnsi="Times New Roman"/>
                <w:sz w:val="21"/>
                <w:szCs w:val="21"/>
              </w:rPr>
              <w:t>类区</w:t>
            </w:r>
          </w:p>
        </w:tc>
        <w:tc>
          <w:tcPr>
            <w:tcW w:w="3157"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3~5dB</w:t>
            </w:r>
            <w:r>
              <w:rPr>
                <w:rFonts w:ascii="Times New Roman" w:hAnsi="Times New Roman"/>
                <w:sz w:val="21"/>
                <w:szCs w:val="21"/>
              </w:rPr>
              <w:t>（</w:t>
            </w:r>
            <w:r>
              <w:rPr>
                <w:rFonts w:ascii="Times New Roman" w:hAnsi="Times New Roman"/>
                <w:sz w:val="21"/>
                <w:szCs w:val="21"/>
              </w:rPr>
              <w:t>A</w:t>
            </w:r>
            <w:r>
              <w:rPr>
                <w:rFonts w:ascii="Times New Roman" w:hAnsi="Times New Roman"/>
                <w:sz w:val="21"/>
                <w:szCs w:val="21"/>
              </w:rPr>
              <w:t>）</w:t>
            </w:r>
          </w:p>
        </w:tc>
        <w:tc>
          <w:tcPr>
            <w:tcW w:w="2032"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增加较多</w:t>
            </w:r>
          </w:p>
        </w:tc>
        <w:tc>
          <w:tcPr>
            <w:tcW w:w="1133"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二级</w:t>
            </w:r>
          </w:p>
        </w:tc>
      </w:tr>
      <w:tr w:rsidR="004B4777">
        <w:trPr>
          <w:trHeight w:val="397"/>
        </w:trPr>
        <w:tc>
          <w:tcPr>
            <w:tcW w:w="220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类、</w:t>
            </w:r>
            <w:r>
              <w:rPr>
                <w:rFonts w:ascii="Times New Roman" w:hAnsi="Times New Roman"/>
                <w:sz w:val="21"/>
                <w:szCs w:val="21"/>
              </w:rPr>
              <w:t>4</w:t>
            </w:r>
            <w:r>
              <w:rPr>
                <w:rFonts w:ascii="Times New Roman" w:hAnsi="Times New Roman"/>
                <w:sz w:val="21"/>
                <w:szCs w:val="21"/>
              </w:rPr>
              <w:t>类区</w:t>
            </w:r>
          </w:p>
        </w:tc>
        <w:tc>
          <w:tcPr>
            <w:tcW w:w="3157"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&lt;3dB</w:t>
            </w:r>
            <w:r>
              <w:rPr>
                <w:rFonts w:ascii="Times New Roman" w:hAnsi="Times New Roman"/>
                <w:sz w:val="21"/>
                <w:szCs w:val="21"/>
              </w:rPr>
              <w:t>（</w:t>
            </w:r>
            <w:r>
              <w:rPr>
                <w:rFonts w:ascii="Times New Roman" w:hAnsi="Times New Roman"/>
                <w:sz w:val="21"/>
                <w:szCs w:val="21"/>
              </w:rPr>
              <w:t>A</w:t>
            </w:r>
            <w:r>
              <w:rPr>
                <w:rFonts w:ascii="Times New Roman" w:hAnsi="Times New Roman"/>
                <w:sz w:val="21"/>
                <w:szCs w:val="21"/>
              </w:rPr>
              <w:t>）</w:t>
            </w:r>
          </w:p>
        </w:tc>
        <w:tc>
          <w:tcPr>
            <w:tcW w:w="2032"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变化不大</w:t>
            </w:r>
          </w:p>
        </w:tc>
        <w:tc>
          <w:tcPr>
            <w:tcW w:w="1133"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三级</w:t>
            </w:r>
          </w:p>
        </w:tc>
      </w:tr>
      <w:tr w:rsidR="004B4777">
        <w:trPr>
          <w:trHeight w:val="397"/>
        </w:trPr>
        <w:tc>
          <w:tcPr>
            <w:tcW w:w="220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本项目</w:t>
            </w:r>
          </w:p>
        </w:tc>
        <w:tc>
          <w:tcPr>
            <w:tcW w:w="6322" w:type="dxa"/>
            <w:gridSpan w:val="3"/>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类声环境功能区</w:t>
            </w:r>
          </w:p>
        </w:tc>
      </w:tr>
      <w:tr w:rsidR="004B4777">
        <w:trPr>
          <w:trHeight w:val="397"/>
        </w:trPr>
        <w:tc>
          <w:tcPr>
            <w:tcW w:w="220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评价等级</w:t>
            </w:r>
          </w:p>
        </w:tc>
        <w:tc>
          <w:tcPr>
            <w:tcW w:w="6322" w:type="dxa"/>
            <w:gridSpan w:val="3"/>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二级</w:t>
            </w:r>
          </w:p>
        </w:tc>
      </w:tr>
    </w:tbl>
    <w:p w:rsidR="004B4777" w:rsidRDefault="004B4777">
      <w:pPr>
        <w:tabs>
          <w:tab w:val="left" w:pos="420"/>
        </w:tabs>
        <w:ind w:firstLine="480"/>
        <w:rPr>
          <w:rFonts w:ascii="Times New Roman" w:hAnsi="Times New Roman"/>
        </w:rPr>
      </w:pPr>
      <w:r>
        <w:rPr>
          <w:rFonts w:ascii="Times New Roman" w:hAnsi="Times New Roman"/>
        </w:rPr>
        <w:t>4</w:t>
      </w:r>
      <w:r>
        <w:rPr>
          <w:rFonts w:ascii="Times New Roman" w:hAnsi="Times New Roman"/>
        </w:rPr>
        <w:t>．生态环境影响评价等级</w:t>
      </w:r>
    </w:p>
    <w:p w:rsidR="004B4777" w:rsidRDefault="004B4777">
      <w:pPr>
        <w:ind w:firstLine="480"/>
        <w:rPr>
          <w:rFonts w:ascii="Times New Roman" w:hAnsi="宋体"/>
          <w:szCs w:val="24"/>
          <w:u w:val="single"/>
        </w:rPr>
      </w:pPr>
      <w:r>
        <w:rPr>
          <w:rFonts w:ascii="Times New Roman" w:hAnsi="宋体"/>
          <w:szCs w:val="24"/>
          <w:u w:val="single"/>
        </w:rPr>
        <w:t>本工程斗米咀</w:t>
      </w:r>
      <w:r>
        <w:rPr>
          <w:rFonts w:ascii="Times New Roman" w:hAnsi="宋体" w:hint="eastAsia"/>
          <w:szCs w:val="24"/>
          <w:u w:val="single"/>
        </w:rPr>
        <w:t>采砂</w:t>
      </w:r>
      <w:r>
        <w:rPr>
          <w:rFonts w:ascii="Times New Roman" w:hAnsi="宋体"/>
          <w:szCs w:val="24"/>
          <w:u w:val="single"/>
        </w:rPr>
        <w:t>区</w:t>
      </w:r>
      <w:r>
        <w:rPr>
          <w:rFonts w:ascii="Times New Roman" w:hAnsi="宋体" w:hint="eastAsia"/>
          <w:szCs w:val="24"/>
          <w:u w:val="single"/>
        </w:rPr>
        <w:t>长</w:t>
      </w:r>
      <w:r>
        <w:rPr>
          <w:rFonts w:ascii="Times New Roman" w:hAnsi="宋体" w:hint="eastAsia"/>
          <w:szCs w:val="24"/>
          <w:u w:val="single"/>
        </w:rPr>
        <w:t>1120m</w:t>
      </w:r>
      <w:r>
        <w:rPr>
          <w:rFonts w:ascii="Times New Roman" w:hAnsi="宋体" w:hint="eastAsia"/>
          <w:szCs w:val="24"/>
          <w:u w:val="single"/>
        </w:rPr>
        <w:t>、宽</w:t>
      </w:r>
      <w:r>
        <w:rPr>
          <w:rFonts w:ascii="Times New Roman" w:hAnsi="宋体" w:hint="eastAsia"/>
          <w:szCs w:val="24"/>
          <w:u w:val="single"/>
        </w:rPr>
        <w:t>630m</w:t>
      </w:r>
      <w:r>
        <w:rPr>
          <w:rFonts w:ascii="Times New Roman" w:hAnsi="宋体" w:hint="eastAsia"/>
          <w:szCs w:val="24"/>
          <w:u w:val="single"/>
        </w:rPr>
        <w:t>；易婆塘采砂区长</w:t>
      </w:r>
      <w:r>
        <w:rPr>
          <w:rFonts w:ascii="Times New Roman" w:hAnsi="宋体" w:hint="eastAsia"/>
          <w:szCs w:val="24"/>
          <w:u w:val="single"/>
        </w:rPr>
        <w:t>10200m</w:t>
      </w:r>
      <w:r>
        <w:rPr>
          <w:rFonts w:ascii="Times New Roman" w:hAnsi="宋体" w:hint="eastAsia"/>
          <w:szCs w:val="24"/>
          <w:u w:val="single"/>
        </w:rPr>
        <w:t>、宽</w:t>
      </w:r>
      <w:r>
        <w:rPr>
          <w:rFonts w:ascii="Times New Roman" w:hAnsi="宋体" w:hint="eastAsia"/>
          <w:szCs w:val="24"/>
          <w:u w:val="single"/>
        </w:rPr>
        <w:t>384m</w:t>
      </w:r>
      <w:r>
        <w:rPr>
          <w:rFonts w:ascii="Times New Roman" w:hAnsi="宋体" w:hint="eastAsia"/>
          <w:szCs w:val="24"/>
          <w:u w:val="single"/>
        </w:rPr>
        <w:t>。由于该采砂区临近</w:t>
      </w:r>
      <w:r>
        <w:rPr>
          <w:rFonts w:ascii="Times New Roman" w:hAnsi="Times New Roman"/>
          <w:szCs w:val="24"/>
          <w:u w:val="single"/>
        </w:rPr>
        <w:t>2</w:t>
      </w:r>
      <w:r>
        <w:rPr>
          <w:rFonts w:ascii="Times New Roman" w:hAnsi="宋体"/>
          <w:szCs w:val="24"/>
          <w:u w:val="single"/>
        </w:rPr>
        <w:t>个特殊生态敏感区：</w:t>
      </w:r>
      <w:r>
        <w:rPr>
          <w:rFonts w:ascii="Times New Roman" w:hAnsi="宋体" w:hint="eastAsia"/>
          <w:szCs w:val="24"/>
          <w:u w:val="single"/>
        </w:rPr>
        <w:t>湖南横岭湖省级自然保护区、湖南南洞庭湖省级自然保护区；</w:t>
      </w:r>
      <w:r>
        <w:rPr>
          <w:rFonts w:ascii="Times New Roman" w:hAnsi="宋体" w:hint="eastAsia"/>
          <w:szCs w:val="24"/>
          <w:u w:val="single"/>
        </w:rPr>
        <w:t>2</w:t>
      </w:r>
      <w:r>
        <w:rPr>
          <w:rFonts w:ascii="Times New Roman" w:hAnsi="宋体" w:hint="eastAsia"/>
          <w:szCs w:val="24"/>
          <w:u w:val="single"/>
        </w:rPr>
        <w:t>个重要生态敏感区：南洞庭湖大口鲶中华鳖青虾国家级水产种质资源保护区、南洞庭湖银鱼三角帆蚌国家级水产种质资源保护区，因此</w:t>
      </w:r>
      <w:r>
        <w:rPr>
          <w:rFonts w:ascii="Times New Roman" w:hAnsi="宋体" w:hint="eastAsia"/>
          <w:szCs w:val="24"/>
          <w:u w:val="single"/>
        </w:rPr>
        <w:lastRenderedPageBreak/>
        <w:t>将生态评价等级上确定为一级</w:t>
      </w:r>
      <w:r>
        <w:rPr>
          <w:rFonts w:ascii="Times New Roman" w:hAnsi="宋体" w:hint="eastAsia"/>
          <w:szCs w:val="24"/>
        </w:rPr>
        <w:t>，</w:t>
      </w:r>
      <w:r>
        <w:rPr>
          <w:rFonts w:ascii="Times New Roman" w:hAnsi="Times New Roman"/>
        </w:rPr>
        <w:t>具体见生态专题</w:t>
      </w:r>
      <w:r>
        <w:rPr>
          <w:rFonts w:ascii="Times New Roman" w:hAnsi="Times New Roman" w:hint="eastAsia"/>
        </w:rPr>
        <w:t>，</w:t>
      </w:r>
      <w:r>
        <w:rPr>
          <w:rFonts w:ascii="Times New Roman" w:hAnsi="Times New Roman"/>
        </w:rPr>
        <w:t>生态评价等级标准见表</w:t>
      </w:r>
      <w:r>
        <w:rPr>
          <w:rFonts w:ascii="Times New Roman" w:hAnsi="Times New Roman" w:hint="eastAsia"/>
        </w:rPr>
        <w:t>2.4</w:t>
      </w:r>
      <w:r>
        <w:rPr>
          <w:rFonts w:ascii="Times New Roman" w:hAnsi="Times New Roman"/>
        </w:rPr>
        <w:t>-3</w:t>
      </w:r>
      <w:r>
        <w:rPr>
          <w:rFonts w:ascii="Times New Roman" w:hAnsi="Times New Roman"/>
        </w:rPr>
        <w:t>。</w:t>
      </w:r>
    </w:p>
    <w:p w:rsidR="004B4777" w:rsidRDefault="004B4777">
      <w:pPr>
        <w:pStyle w:val="af7"/>
        <w:spacing w:line="360" w:lineRule="auto"/>
        <w:ind w:firstLine="0"/>
        <w:jc w:val="center"/>
        <w:rPr>
          <w:rFonts w:ascii="Times New Roman" w:hAnsi="Times New Roman"/>
          <w:b/>
          <w:szCs w:val="24"/>
        </w:rPr>
      </w:pPr>
      <w:r>
        <w:rPr>
          <w:rFonts w:ascii="Times New Roman" w:hAnsi="Times New Roman"/>
          <w:b/>
          <w:szCs w:val="24"/>
        </w:rPr>
        <w:t>表</w:t>
      </w:r>
      <w:r>
        <w:rPr>
          <w:rFonts w:ascii="Times New Roman" w:hAnsi="Times New Roman"/>
          <w:b/>
          <w:szCs w:val="24"/>
        </w:rPr>
        <w:t xml:space="preserve">2.4-3   </w:t>
      </w:r>
      <w:r>
        <w:rPr>
          <w:rFonts w:ascii="Times New Roman" w:hAnsi="Times New Roman"/>
          <w:b/>
          <w:szCs w:val="24"/>
        </w:rPr>
        <w:t>生态环境评价等级</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2"/>
        <w:gridCol w:w="2145"/>
        <w:gridCol w:w="2175"/>
        <w:gridCol w:w="2130"/>
      </w:tblGrid>
      <w:tr w:rsidR="004B4777">
        <w:trPr>
          <w:trHeight w:val="397"/>
        </w:trPr>
        <w:tc>
          <w:tcPr>
            <w:tcW w:w="2072" w:type="dxa"/>
            <w:vMerge w:val="restart"/>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影响区域生态敏感性</w:t>
            </w:r>
          </w:p>
        </w:tc>
        <w:tc>
          <w:tcPr>
            <w:tcW w:w="6450" w:type="dxa"/>
            <w:gridSpan w:val="3"/>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工程占地（水域）范围</w:t>
            </w:r>
          </w:p>
        </w:tc>
      </w:tr>
      <w:tr w:rsidR="004B4777">
        <w:trPr>
          <w:trHeight w:val="397"/>
        </w:trPr>
        <w:tc>
          <w:tcPr>
            <w:tcW w:w="2072" w:type="dxa"/>
            <w:vMerge/>
            <w:vAlign w:val="center"/>
          </w:tcPr>
          <w:p w:rsidR="004B4777" w:rsidRDefault="004B4777">
            <w:pPr>
              <w:pStyle w:val="af7"/>
              <w:ind w:firstLine="0"/>
              <w:jc w:val="center"/>
              <w:rPr>
                <w:rFonts w:ascii="Times New Roman" w:hAnsi="Times New Roman"/>
                <w:b/>
                <w:sz w:val="21"/>
                <w:szCs w:val="21"/>
              </w:rPr>
            </w:pPr>
          </w:p>
        </w:tc>
        <w:tc>
          <w:tcPr>
            <w:tcW w:w="2145" w:type="dxa"/>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面积</w:t>
            </w:r>
            <w:r>
              <w:rPr>
                <w:rFonts w:ascii="Times New Roman" w:hAnsi="Times New Roman"/>
                <w:b/>
                <w:sz w:val="21"/>
                <w:szCs w:val="21"/>
              </w:rPr>
              <w:t>≥20km</w:t>
            </w:r>
            <w:r>
              <w:rPr>
                <w:rFonts w:ascii="Times New Roman" w:hAnsi="Times New Roman"/>
                <w:b/>
                <w:sz w:val="21"/>
                <w:szCs w:val="21"/>
                <w:vertAlign w:val="superscript"/>
              </w:rPr>
              <w:t>2</w:t>
            </w:r>
            <w:r>
              <w:rPr>
                <w:rFonts w:ascii="Times New Roman" w:hAnsi="Times New Roman"/>
                <w:b/>
                <w:sz w:val="21"/>
                <w:szCs w:val="21"/>
              </w:rPr>
              <w:t>或长度</w:t>
            </w:r>
            <w:r>
              <w:rPr>
                <w:rFonts w:ascii="Times New Roman" w:hAnsi="Times New Roman"/>
                <w:b/>
                <w:sz w:val="21"/>
                <w:szCs w:val="21"/>
              </w:rPr>
              <w:t>≥100km</w:t>
            </w:r>
          </w:p>
        </w:tc>
        <w:tc>
          <w:tcPr>
            <w:tcW w:w="2175" w:type="dxa"/>
            <w:vAlign w:val="center"/>
          </w:tcPr>
          <w:p w:rsidR="004B4777" w:rsidRDefault="004B4777">
            <w:pPr>
              <w:pStyle w:val="af7"/>
              <w:ind w:firstLine="0"/>
              <w:jc w:val="center"/>
              <w:rPr>
                <w:rFonts w:ascii="Times New Roman" w:hAnsi="Times New Roman"/>
                <w:b/>
                <w:sz w:val="21"/>
                <w:szCs w:val="21"/>
              </w:rPr>
            </w:pPr>
            <w:r>
              <w:rPr>
                <w:rFonts w:ascii="Times New Roman" w:hAnsi="Times New Roman"/>
                <w:b/>
                <w:sz w:val="21"/>
                <w:szCs w:val="21"/>
              </w:rPr>
              <w:t>面积</w:t>
            </w:r>
            <w:r>
              <w:rPr>
                <w:rFonts w:ascii="Times New Roman" w:hAnsi="Times New Roman"/>
                <w:b/>
                <w:sz w:val="21"/>
                <w:szCs w:val="21"/>
              </w:rPr>
              <w:t>2~20km</w:t>
            </w:r>
            <w:r>
              <w:rPr>
                <w:rFonts w:ascii="Times New Roman" w:hAnsi="Times New Roman"/>
                <w:b/>
                <w:sz w:val="21"/>
                <w:szCs w:val="21"/>
                <w:vertAlign w:val="superscript"/>
              </w:rPr>
              <w:t>2</w:t>
            </w:r>
            <w:r>
              <w:rPr>
                <w:rFonts w:ascii="Times New Roman" w:hAnsi="Times New Roman"/>
                <w:b/>
                <w:sz w:val="21"/>
                <w:szCs w:val="21"/>
              </w:rPr>
              <w:t>或长度</w:t>
            </w:r>
            <w:r>
              <w:rPr>
                <w:rFonts w:ascii="Times New Roman" w:hAnsi="Times New Roman"/>
                <w:b/>
                <w:sz w:val="21"/>
                <w:szCs w:val="21"/>
              </w:rPr>
              <w:t>50~100km</w:t>
            </w:r>
          </w:p>
        </w:tc>
        <w:tc>
          <w:tcPr>
            <w:tcW w:w="2130" w:type="dxa"/>
            <w:vAlign w:val="center"/>
          </w:tcPr>
          <w:p w:rsidR="004B4777" w:rsidRDefault="004B4777">
            <w:pPr>
              <w:pStyle w:val="af7"/>
              <w:ind w:firstLine="0"/>
              <w:jc w:val="center"/>
              <w:rPr>
                <w:rFonts w:ascii="Times New Roman" w:hAnsi="Times New Roman"/>
                <w:b/>
                <w:sz w:val="21"/>
                <w:szCs w:val="21"/>
                <w:vertAlign w:val="superscript"/>
              </w:rPr>
            </w:pPr>
            <w:r>
              <w:rPr>
                <w:rFonts w:ascii="Times New Roman" w:hAnsi="Times New Roman"/>
                <w:b/>
                <w:sz w:val="21"/>
                <w:szCs w:val="21"/>
              </w:rPr>
              <w:t>面积</w:t>
            </w:r>
            <w:r>
              <w:rPr>
                <w:rFonts w:ascii="Times New Roman" w:hAnsi="Times New Roman"/>
                <w:b/>
                <w:sz w:val="21"/>
                <w:szCs w:val="21"/>
              </w:rPr>
              <w:t>≤2km</w:t>
            </w:r>
            <w:r>
              <w:rPr>
                <w:rFonts w:ascii="Times New Roman" w:hAnsi="Times New Roman"/>
                <w:b/>
                <w:sz w:val="21"/>
                <w:szCs w:val="21"/>
                <w:vertAlign w:val="superscript"/>
              </w:rPr>
              <w:t>2</w:t>
            </w:r>
            <w:r>
              <w:rPr>
                <w:rFonts w:ascii="Times New Roman" w:hAnsi="Times New Roman"/>
                <w:b/>
                <w:sz w:val="21"/>
                <w:szCs w:val="21"/>
              </w:rPr>
              <w:t>或长度</w:t>
            </w:r>
            <w:r>
              <w:rPr>
                <w:rFonts w:ascii="Times New Roman" w:hAnsi="Times New Roman"/>
                <w:b/>
                <w:sz w:val="21"/>
                <w:szCs w:val="21"/>
              </w:rPr>
              <w:t>≤50km</w:t>
            </w:r>
          </w:p>
        </w:tc>
      </w:tr>
      <w:tr w:rsidR="004B4777">
        <w:trPr>
          <w:trHeight w:val="397"/>
        </w:trPr>
        <w:tc>
          <w:tcPr>
            <w:tcW w:w="2072"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特殊生态敏感区</w:t>
            </w:r>
          </w:p>
        </w:tc>
        <w:tc>
          <w:tcPr>
            <w:tcW w:w="2145"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一级</w:t>
            </w:r>
          </w:p>
        </w:tc>
        <w:tc>
          <w:tcPr>
            <w:tcW w:w="2175"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一级</w:t>
            </w:r>
          </w:p>
        </w:tc>
        <w:tc>
          <w:tcPr>
            <w:tcW w:w="213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一级</w:t>
            </w:r>
          </w:p>
        </w:tc>
      </w:tr>
      <w:tr w:rsidR="004B4777">
        <w:trPr>
          <w:trHeight w:val="397"/>
        </w:trPr>
        <w:tc>
          <w:tcPr>
            <w:tcW w:w="2072"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重要生态敏感区</w:t>
            </w:r>
          </w:p>
        </w:tc>
        <w:tc>
          <w:tcPr>
            <w:tcW w:w="2145"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一级</w:t>
            </w:r>
          </w:p>
        </w:tc>
        <w:tc>
          <w:tcPr>
            <w:tcW w:w="2175"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二级</w:t>
            </w:r>
          </w:p>
        </w:tc>
        <w:tc>
          <w:tcPr>
            <w:tcW w:w="213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三级</w:t>
            </w:r>
          </w:p>
        </w:tc>
      </w:tr>
      <w:tr w:rsidR="004B4777">
        <w:trPr>
          <w:trHeight w:val="397"/>
        </w:trPr>
        <w:tc>
          <w:tcPr>
            <w:tcW w:w="2072"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一般区域</w:t>
            </w:r>
          </w:p>
        </w:tc>
        <w:tc>
          <w:tcPr>
            <w:tcW w:w="2145"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二级</w:t>
            </w:r>
          </w:p>
        </w:tc>
        <w:tc>
          <w:tcPr>
            <w:tcW w:w="2175"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三级</w:t>
            </w:r>
          </w:p>
        </w:tc>
        <w:tc>
          <w:tcPr>
            <w:tcW w:w="2130" w:type="dxa"/>
            <w:vAlign w:val="center"/>
          </w:tcPr>
          <w:p w:rsidR="004B4777" w:rsidRDefault="004B4777">
            <w:pPr>
              <w:pStyle w:val="af7"/>
              <w:ind w:firstLine="0"/>
              <w:jc w:val="center"/>
              <w:rPr>
                <w:rFonts w:ascii="Times New Roman" w:hAnsi="Times New Roman"/>
                <w:sz w:val="21"/>
                <w:szCs w:val="21"/>
              </w:rPr>
            </w:pPr>
            <w:r>
              <w:rPr>
                <w:rFonts w:ascii="Times New Roman" w:hAnsi="Times New Roman"/>
                <w:sz w:val="21"/>
                <w:szCs w:val="21"/>
              </w:rPr>
              <w:t>三级</w:t>
            </w:r>
          </w:p>
        </w:tc>
      </w:tr>
    </w:tbl>
    <w:p w:rsidR="004B4777" w:rsidRDefault="004B4777">
      <w:pPr>
        <w:tabs>
          <w:tab w:val="left" w:pos="420"/>
        </w:tabs>
        <w:ind w:firstLine="480"/>
        <w:rPr>
          <w:rFonts w:ascii="Times New Roman" w:hAnsi="Times New Roman"/>
        </w:rPr>
      </w:pPr>
      <w:r>
        <w:rPr>
          <w:rFonts w:ascii="Times New Roman" w:hAnsi="Times New Roman"/>
        </w:rPr>
        <w:t>5</w:t>
      </w:r>
      <w:r>
        <w:rPr>
          <w:rFonts w:ascii="Times New Roman" w:hAnsi="Times New Roman"/>
        </w:rPr>
        <w:t>．环境风险评价工作等级划分</w:t>
      </w:r>
    </w:p>
    <w:p w:rsidR="004B4777" w:rsidRDefault="004B4777">
      <w:pPr>
        <w:ind w:firstLine="480"/>
        <w:rPr>
          <w:rFonts w:ascii="Times New Roman" w:hAnsi="Times New Roman"/>
          <w:color w:val="FF0000"/>
        </w:rPr>
      </w:pPr>
      <w:r>
        <w:rPr>
          <w:rFonts w:ascii="Times New Roman" w:hAnsi="Times New Roman"/>
        </w:rPr>
        <w:t>根据《建设项目环境风险评价技术导则》（</w:t>
      </w:r>
      <w:r>
        <w:rPr>
          <w:rFonts w:ascii="Times New Roman" w:hAnsi="Times New Roman"/>
        </w:rPr>
        <w:t>HJ/T169-2004</w:t>
      </w:r>
      <w:r>
        <w:rPr>
          <w:rFonts w:ascii="Times New Roman" w:hAnsi="Times New Roman"/>
        </w:rPr>
        <w:t>）、《危险化学品重大危险源辨识》（</w:t>
      </w:r>
      <w:r>
        <w:rPr>
          <w:rFonts w:ascii="Times New Roman" w:hAnsi="Times New Roman"/>
        </w:rPr>
        <w:t>GB18218-2009</w:t>
      </w:r>
      <w:r>
        <w:rPr>
          <w:rFonts w:ascii="Times New Roman" w:hAnsi="Times New Roman"/>
        </w:rPr>
        <w:t>）和《关于开展重大危险源监督管理工作的指导意见》（安监管协调字〔</w:t>
      </w:r>
      <w:r>
        <w:rPr>
          <w:rFonts w:ascii="Times New Roman" w:hAnsi="Times New Roman"/>
        </w:rPr>
        <w:t>2004</w:t>
      </w:r>
      <w:r>
        <w:rPr>
          <w:rFonts w:ascii="Times New Roman" w:hAnsi="Times New Roman"/>
        </w:rPr>
        <w:t>〕</w:t>
      </w:r>
      <w:r>
        <w:rPr>
          <w:rFonts w:ascii="Times New Roman" w:hAnsi="Times New Roman"/>
        </w:rPr>
        <w:t>56</w:t>
      </w:r>
      <w:r>
        <w:rPr>
          <w:rFonts w:ascii="Times New Roman" w:hAnsi="Times New Roman"/>
        </w:rPr>
        <w:t>号文）的规定，本项目船舶</w:t>
      </w:r>
      <w:r>
        <w:rPr>
          <w:rFonts w:ascii="Times New Roman" w:hAnsi="Times New Roman" w:hint="eastAsia"/>
        </w:rPr>
        <w:t>采砂</w:t>
      </w:r>
      <w:r>
        <w:rPr>
          <w:rFonts w:ascii="Times New Roman" w:hAnsi="Times New Roman"/>
        </w:rPr>
        <w:t>均使用柴油做动力，柴油属于可燃、易燃物质和一般毒性物质，参见</w:t>
      </w:r>
      <w:r>
        <w:rPr>
          <w:rFonts w:ascii="Times New Roman" w:hAnsi="Times New Roman" w:hint="eastAsia"/>
        </w:rPr>
        <w:t>《危险化学品重大危险源辨识》（</w:t>
      </w:r>
      <w:r>
        <w:rPr>
          <w:rFonts w:ascii="Times New Roman" w:hAnsi="Times New Roman" w:hint="eastAsia"/>
        </w:rPr>
        <w:t>GB 18218-2009</w:t>
      </w:r>
      <w:r>
        <w:rPr>
          <w:rFonts w:ascii="Times New Roman" w:hAnsi="Times New Roman" w:hint="eastAsia"/>
        </w:rPr>
        <w:t>）</w:t>
      </w:r>
      <w:r>
        <w:rPr>
          <w:rFonts w:ascii="Times New Roman" w:hAnsi="Times New Roman"/>
        </w:rPr>
        <w:t>，易燃液体：</w:t>
      </w:r>
      <w:r>
        <w:rPr>
          <w:rFonts w:ascii="Times New Roman" w:hAnsi="Times New Roman"/>
        </w:rPr>
        <w:t>23</w:t>
      </w:r>
      <w:r>
        <w:rPr>
          <w:rFonts w:ascii="宋体" w:hAnsi="宋体" w:cs="宋体" w:hint="eastAsia"/>
        </w:rPr>
        <w:t>℃</w:t>
      </w:r>
      <w:r>
        <w:rPr>
          <w:rFonts w:ascii="Times New Roman" w:hAnsi="Times New Roman"/>
        </w:rPr>
        <w:t>≤</w:t>
      </w:r>
      <w:r>
        <w:rPr>
          <w:rFonts w:ascii="Times New Roman" w:hAnsi="Times New Roman"/>
        </w:rPr>
        <w:t>闪点＜</w:t>
      </w:r>
      <w:r>
        <w:rPr>
          <w:rFonts w:ascii="Times New Roman" w:hAnsi="Times New Roman"/>
        </w:rPr>
        <w:t>61</w:t>
      </w:r>
      <w:r>
        <w:rPr>
          <w:rFonts w:ascii="宋体" w:hAnsi="宋体" w:cs="宋体" w:hint="eastAsia"/>
        </w:rPr>
        <w:t>℃</w:t>
      </w:r>
      <w:r>
        <w:rPr>
          <w:rFonts w:ascii="Times New Roman" w:hAnsi="Times New Roman"/>
        </w:rPr>
        <w:t>的液体临界量为</w:t>
      </w:r>
      <w:r>
        <w:rPr>
          <w:rFonts w:ascii="Times New Roman" w:hAnsi="Times New Roman"/>
        </w:rPr>
        <w:t>50</w:t>
      </w:r>
      <w:r>
        <w:rPr>
          <w:rFonts w:ascii="Times New Roman" w:hAnsi="Times New Roman" w:hint="eastAsia"/>
        </w:rPr>
        <w:t>0</w:t>
      </w:r>
      <w:r>
        <w:rPr>
          <w:rFonts w:ascii="Times New Roman" w:hAnsi="Times New Roman"/>
        </w:rPr>
        <w:t>0t</w:t>
      </w:r>
      <w:r>
        <w:rPr>
          <w:rFonts w:ascii="Times New Roman" w:hAnsi="Times New Roman"/>
        </w:rPr>
        <w:t>。本项目采砂船和运砂船储油量为</w:t>
      </w:r>
      <w:r>
        <w:rPr>
          <w:rFonts w:ascii="Times New Roman" w:hAnsi="Times New Roman" w:hint="eastAsia"/>
        </w:rPr>
        <w:t>5</w:t>
      </w:r>
      <w:r>
        <w:rPr>
          <w:rFonts w:ascii="Times New Roman" w:hAnsi="Times New Roman"/>
        </w:rPr>
        <w:t>t</w:t>
      </w:r>
      <w:r>
        <w:rPr>
          <w:rFonts w:ascii="Times New Roman" w:hAnsi="Times New Roman"/>
        </w:rPr>
        <w:t>，不会构成重大危险源。</w:t>
      </w:r>
    </w:p>
    <w:p w:rsidR="004B4777" w:rsidRDefault="004B4777">
      <w:pPr>
        <w:ind w:firstLine="480"/>
        <w:rPr>
          <w:rFonts w:ascii="Times New Roman" w:hAnsi="Times New Roman"/>
        </w:rPr>
      </w:pPr>
      <w:r>
        <w:rPr>
          <w:rFonts w:ascii="Times New Roman" w:hAnsi="Times New Roman"/>
        </w:rPr>
        <w:t>项目</w:t>
      </w:r>
      <w:r>
        <w:rPr>
          <w:rFonts w:ascii="Times New Roman" w:hAnsi="Times New Roman" w:hint="eastAsia"/>
        </w:rPr>
        <w:t>不</w:t>
      </w:r>
      <w:r>
        <w:rPr>
          <w:rFonts w:ascii="Times New Roman" w:hAnsi="Times New Roman"/>
        </w:rPr>
        <w:t>属于《建设项目环境影响评价分类管理名录》中规定的环境敏感区中的重要水生生物的产卵场、越冬场和洄游通道以及重要湿地（</w:t>
      </w:r>
      <w:r>
        <w:rPr>
          <w:rFonts w:ascii="Times New Roman" w:hAnsi="Times New Roman" w:hint="eastAsia"/>
        </w:rPr>
        <w:t>经识别，本项目占地不涉及水环境敏感区和生态敏感区。但是砂场下游分布有湖南横岭湖省级自然保护区、湖南南洞庭湖省级自然保护区、横岭湖湖泊湿地、南洞庭湖大口鲶青虾中华鳖国家级水产种质资源保护区、南洞庭湖银鱼三角帆蚌国家级水产种质资源保护区</w:t>
      </w:r>
      <w:r>
        <w:rPr>
          <w:rFonts w:ascii="Times New Roman" w:hAnsi="Times New Roman"/>
        </w:rPr>
        <w:t>）</w:t>
      </w:r>
      <w:r>
        <w:rPr>
          <w:rFonts w:ascii="Times New Roman" w:hAnsi="Times New Roman"/>
          <w:i/>
        </w:rPr>
        <w:t>，</w:t>
      </w:r>
      <w:r>
        <w:rPr>
          <w:rFonts w:ascii="Times New Roman" w:hAnsi="Times New Roman"/>
        </w:rPr>
        <w:t>根据评价工作等级判定依据，详见表</w:t>
      </w:r>
      <w:r>
        <w:rPr>
          <w:rFonts w:ascii="Times New Roman" w:hAnsi="Times New Roman"/>
        </w:rPr>
        <w:t>2.4-4</w:t>
      </w:r>
      <w:r>
        <w:rPr>
          <w:rFonts w:ascii="Times New Roman" w:hAnsi="Times New Roman"/>
        </w:rPr>
        <w:t>。项目的环境风险评价等级为一级，本项目主要风险为溢油事故以及生态，故风险评价的水环境影响的评价范围同地表水评价范围。</w:t>
      </w:r>
    </w:p>
    <w:p w:rsidR="004B4777" w:rsidRDefault="004B4777">
      <w:pPr>
        <w:ind w:firstLineChars="0" w:firstLine="0"/>
        <w:jc w:val="center"/>
        <w:rPr>
          <w:rFonts w:ascii="Times New Roman" w:hAnsi="Times New Roman"/>
          <w:b/>
          <w:szCs w:val="28"/>
        </w:rPr>
      </w:pPr>
      <w:r>
        <w:rPr>
          <w:rFonts w:ascii="Times New Roman" w:hAnsi="Times New Roman"/>
          <w:b/>
          <w:szCs w:val="28"/>
        </w:rPr>
        <w:t>表</w:t>
      </w:r>
      <w:r>
        <w:rPr>
          <w:rFonts w:ascii="Times New Roman" w:hAnsi="Times New Roman"/>
          <w:b/>
          <w:szCs w:val="28"/>
        </w:rPr>
        <w:t xml:space="preserve">2.4-4    </w:t>
      </w:r>
      <w:r>
        <w:rPr>
          <w:rFonts w:ascii="Times New Roman" w:hAnsi="Times New Roman"/>
          <w:b/>
          <w:szCs w:val="28"/>
        </w:rPr>
        <w:t>评价工作级别划分</w:t>
      </w:r>
    </w:p>
    <w:tbl>
      <w:tblPr>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33"/>
        <w:gridCol w:w="1750"/>
        <w:gridCol w:w="1897"/>
        <w:gridCol w:w="1741"/>
        <w:gridCol w:w="1626"/>
      </w:tblGrid>
      <w:tr w:rsidR="004B4777">
        <w:trPr>
          <w:trHeight w:val="340"/>
          <w:jc w:val="center"/>
        </w:trPr>
        <w:tc>
          <w:tcPr>
            <w:tcW w:w="1533" w:type="dxa"/>
            <w:vAlign w:val="center"/>
          </w:tcPr>
          <w:p w:rsidR="004B4777" w:rsidRDefault="004B4777">
            <w:pPr>
              <w:pStyle w:val="aff"/>
              <w:snapToGrid w:val="0"/>
              <w:spacing w:line="240" w:lineRule="auto"/>
              <w:rPr>
                <w:snapToGrid w:val="0"/>
                <w:color w:val="auto"/>
                <w:szCs w:val="21"/>
              </w:rPr>
            </w:pPr>
            <w:r>
              <w:rPr>
                <w:snapToGrid w:val="0"/>
                <w:color w:val="auto"/>
                <w:szCs w:val="21"/>
              </w:rPr>
              <w:t>类</w:t>
            </w:r>
            <w:r>
              <w:rPr>
                <w:snapToGrid w:val="0"/>
                <w:color w:val="auto"/>
                <w:szCs w:val="21"/>
              </w:rPr>
              <w:t xml:space="preserve">  </w:t>
            </w:r>
            <w:r>
              <w:rPr>
                <w:snapToGrid w:val="0"/>
                <w:color w:val="auto"/>
                <w:szCs w:val="21"/>
              </w:rPr>
              <w:t>别</w:t>
            </w:r>
          </w:p>
        </w:tc>
        <w:tc>
          <w:tcPr>
            <w:tcW w:w="1750" w:type="dxa"/>
            <w:vAlign w:val="center"/>
          </w:tcPr>
          <w:p w:rsidR="004B4777" w:rsidRDefault="004B4777">
            <w:pPr>
              <w:pStyle w:val="aff"/>
              <w:snapToGrid w:val="0"/>
              <w:spacing w:line="240" w:lineRule="auto"/>
              <w:rPr>
                <w:snapToGrid w:val="0"/>
                <w:color w:val="auto"/>
                <w:szCs w:val="21"/>
              </w:rPr>
            </w:pPr>
            <w:r>
              <w:rPr>
                <w:snapToGrid w:val="0"/>
                <w:color w:val="auto"/>
                <w:szCs w:val="21"/>
              </w:rPr>
              <w:t>剧毒危险性物质</w:t>
            </w:r>
          </w:p>
        </w:tc>
        <w:tc>
          <w:tcPr>
            <w:tcW w:w="1897" w:type="dxa"/>
            <w:vAlign w:val="center"/>
          </w:tcPr>
          <w:p w:rsidR="004B4777" w:rsidRDefault="004B4777">
            <w:pPr>
              <w:pStyle w:val="aff"/>
              <w:snapToGrid w:val="0"/>
              <w:spacing w:line="240" w:lineRule="auto"/>
              <w:rPr>
                <w:snapToGrid w:val="0"/>
                <w:color w:val="auto"/>
                <w:szCs w:val="21"/>
              </w:rPr>
            </w:pPr>
            <w:r>
              <w:rPr>
                <w:snapToGrid w:val="0"/>
                <w:color w:val="auto"/>
                <w:szCs w:val="21"/>
              </w:rPr>
              <w:t>一般毒性危险物质</w:t>
            </w:r>
          </w:p>
        </w:tc>
        <w:tc>
          <w:tcPr>
            <w:tcW w:w="1741" w:type="dxa"/>
            <w:vAlign w:val="center"/>
          </w:tcPr>
          <w:p w:rsidR="004B4777" w:rsidRDefault="004B4777">
            <w:pPr>
              <w:pStyle w:val="aff"/>
              <w:snapToGrid w:val="0"/>
              <w:spacing w:line="240" w:lineRule="auto"/>
              <w:rPr>
                <w:snapToGrid w:val="0"/>
                <w:color w:val="auto"/>
                <w:szCs w:val="21"/>
              </w:rPr>
            </w:pPr>
            <w:r>
              <w:rPr>
                <w:snapToGrid w:val="0"/>
                <w:color w:val="auto"/>
                <w:szCs w:val="21"/>
              </w:rPr>
              <w:t>可燃、易燃危险性物质</w:t>
            </w:r>
          </w:p>
        </w:tc>
        <w:tc>
          <w:tcPr>
            <w:tcW w:w="1626" w:type="dxa"/>
            <w:vAlign w:val="center"/>
          </w:tcPr>
          <w:p w:rsidR="004B4777" w:rsidRDefault="004B4777">
            <w:pPr>
              <w:pStyle w:val="aff"/>
              <w:snapToGrid w:val="0"/>
              <w:spacing w:line="240" w:lineRule="auto"/>
              <w:rPr>
                <w:snapToGrid w:val="0"/>
                <w:color w:val="auto"/>
                <w:szCs w:val="21"/>
              </w:rPr>
            </w:pPr>
            <w:r>
              <w:rPr>
                <w:snapToGrid w:val="0"/>
                <w:color w:val="auto"/>
                <w:szCs w:val="21"/>
              </w:rPr>
              <w:t>爆炸危险性物质</w:t>
            </w:r>
          </w:p>
        </w:tc>
      </w:tr>
      <w:tr w:rsidR="004B4777">
        <w:trPr>
          <w:trHeight w:val="340"/>
          <w:jc w:val="center"/>
        </w:trPr>
        <w:tc>
          <w:tcPr>
            <w:tcW w:w="1533" w:type="dxa"/>
            <w:vAlign w:val="center"/>
          </w:tcPr>
          <w:p w:rsidR="004B4777" w:rsidRDefault="004B4777">
            <w:pPr>
              <w:pStyle w:val="aff"/>
              <w:snapToGrid w:val="0"/>
              <w:spacing w:line="240" w:lineRule="auto"/>
              <w:rPr>
                <w:snapToGrid w:val="0"/>
                <w:color w:val="auto"/>
                <w:szCs w:val="21"/>
              </w:rPr>
            </w:pPr>
            <w:r>
              <w:rPr>
                <w:snapToGrid w:val="0"/>
                <w:color w:val="auto"/>
                <w:szCs w:val="21"/>
              </w:rPr>
              <w:t>重大危险源</w:t>
            </w:r>
          </w:p>
        </w:tc>
        <w:tc>
          <w:tcPr>
            <w:tcW w:w="1750"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c>
          <w:tcPr>
            <w:tcW w:w="1897" w:type="dxa"/>
            <w:vAlign w:val="center"/>
          </w:tcPr>
          <w:p w:rsidR="004B4777" w:rsidRDefault="004B4777">
            <w:pPr>
              <w:pStyle w:val="aff"/>
              <w:snapToGrid w:val="0"/>
              <w:spacing w:line="240" w:lineRule="auto"/>
              <w:rPr>
                <w:snapToGrid w:val="0"/>
                <w:color w:val="auto"/>
                <w:szCs w:val="21"/>
              </w:rPr>
            </w:pPr>
            <w:r>
              <w:rPr>
                <w:snapToGrid w:val="0"/>
                <w:color w:val="auto"/>
                <w:szCs w:val="21"/>
              </w:rPr>
              <w:t>二</w:t>
            </w:r>
          </w:p>
        </w:tc>
        <w:tc>
          <w:tcPr>
            <w:tcW w:w="1741"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c>
          <w:tcPr>
            <w:tcW w:w="1626"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r>
      <w:tr w:rsidR="004B4777">
        <w:trPr>
          <w:trHeight w:val="340"/>
          <w:jc w:val="center"/>
        </w:trPr>
        <w:tc>
          <w:tcPr>
            <w:tcW w:w="1533" w:type="dxa"/>
            <w:vAlign w:val="center"/>
          </w:tcPr>
          <w:p w:rsidR="004B4777" w:rsidRDefault="004B4777">
            <w:pPr>
              <w:pStyle w:val="aff"/>
              <w:snapToGrid w:val="0"/>
              <w:spacing w:line="240" w:lineRule="auto"/>
              <w:rPr>
                <w:snapToGrid w:val="0"/>
                <w:color w:val="auto"/>
                <w:szCs w:val="21"/>
              </w:rPr>
            </w:pPr>
            <w:r>
              <w:rPr>
                <w:snapToGrid w:val="0"/>
                <w:color w:val="auto"/>
                <w:szCs w:val="21"/>
              </w:rPr>
              <w:t>非重大危险源</w:t>
            </w:r>
          </w:p>
        </w:tc>
        <w:tc>
          <w:tcPr>
            <w:tcW w:w="1750" w:type="dxa"/>
            <w:vAlign w:val="center"/>
          </w:tcPr>
          <w:p w:rsidR="004B4777" w:rsidRDefault="004B4777">
            <w:pPr>
              <w:pStyle w:val="aff"/>
              <w:snapToGrid w:val="0"/>
              <w:spacing w:line="240" w:lineRule="auto"/>
              <w:rPr>
                <w:snapToGrid w:val="0"/>
                <w:color w:val="auto"/>
                <w:szCs w:val="21"/>
              </w:rPr>
            </w:pPr>
            <w:r>
              <w:rPr>
                <w:snapToGrid w:val="0"/>
                <w:color w:val="auto"/>
                <w:szCs w:val="21"/>
              </w:rPr>
              <w:t>二</w:t>
            </w:r>
          </w:p>
        </w:tc>
        <w:tc>
          <w:tcPr>
            <w:tcW w:w="1897" w:type="dxa"/>
            <w:vAlign w:val="center"/>
          </w:tcPr>
          <w:p w:rsidR="004B4777" w:rsidRDefault="004B4777">
            <w:pPr>
              <w:pStyle w:val="aff"/>
              <w:snapToGrid w:val="0"/>
              <w:spacing w:line="240" w:lineRule="auto"/>
              <w:rPr>
                <w:snapToGrid w:val="0"/>
                <w:color w:val="auto"/>
                <w:szCs w:val="21"/>
              </w:rPr>
            </w:pPr>
            <w:r>
              <w:rPr>
                <w:snapToGrid w:val="0"/>
                <w:color w:val="auto"/>
                <w:szCs w:val="21"/>
              </w:rPr>
              <w:t>二</w:t>
            </w:r>
          </w:p>
        </w:tc>
        <w:tc>
          <w:tcPr>
            <w:tcW w:w="1741" w:type="dxa"/>
            <w:vAlign w:val="center"/>
          </w:tcPr>
          <w:p w:rsidR="004B4777" w:rsidRDefault="004B4777">
            <w:pPr>
              <w:pStyle w:val="aff"/>
              <w:snapToGrid w:val="0"/>
              <w:spacing w:line="240" w:lineRule="auto"/>
              <w:rPr>
                <w:snapToGrid w:val="0"/>
                <w:color w:val="auto"/>
                <w:szCs w:val="21"/>
              </w:rPr>
            </w:pPr>
            <w:r>
              <w:rPr>
                <w:snapToGrid w:val="0"/>
                <w:color w:val="auto"/>
                <w:szCs w:val="21"/>
              </w:rPr>
              <w:t>二</w:t>
            </w:r>
          </w:p>
        </w:tc>
        <w:tc>
          <w:tcPr>
            <w:tcW w:w="1626" w:type="dxa"/>
            <w:vAlign w:val="center"/>
          </w:tcPr>
          <w:p w:rsidR="004B4777" w:rsidRDefault="004B4777">
            <w:pPr>
              <w:pStyle w:val="aff"/>
              <w:snapToGrid w:val="0"/>
              <w:spacing w:line="240" w:lineRule="auto"/>
              <w:rPr>
                <w:snapToGrid w:val="0"/>
                <w:color w:val="auto"/>
                <w:szCs w:val="21"/>
              </w:rPr>
            </w:pPr>
            <w:r>
              <w:rPr>
                <w:snapToGrid w:val="0"/>
                <w:color w:val="auto"/>
                <w:szCs w:val="21"/>
              </w:rPr>
              <w:t>二</w:t>
            </w:r>
          </w:p>
        </w:tc>
      </w:tr>
      <w:tr w:rsidR="004B4777">
        <w:trPr>
          <w:trHeight w:val="340"/>
          <w:jc w:val="center"/>
        </w:trPr>
        <w:tc>
          <w:tcPr>
            <w:tcW w:w="1533" w:type="dxa"/>
            <w:vAlign w:val="center"/>
          </w:tcPr>
          <w:p w:rsidR="004B4777" w:rsidRDefault="004B4777">
            <w:pPr>
              <w:pStyle w:val="aff"/>
              <w:snapToGrid w:val="0"/>
              <w:spacing w:line="240" w:lineRule="auto"/>
              <w:rPr>
                <w:snapToGrid w:val="0"/>
                <w:color w:val="auto"/>
                <w:szCs w:val="21"/>
              </w:rPr>
            </w:pPr>
            <w:r>
              <w:rPr>
                <w:snapToGrid w:val="0"/>
                <w:color w:val="auto"/>
                <w:szCs w:val="21"/>
              </w:rPr>
              <w:t>环境敏感地区</w:t>
            </w:r>
          </w:p>
        </w:tc>
        <w:tc>
          <w:tcPr>
            <w:tcW w:w="1750"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c>
          <w:tcPr>
            <w:tcW w:w="1897"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c>
          <w:tcPr>
            <w:tcW w:w="1741"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c>
          <w:tcPr>
            <w:tcW w:w="1626" w:type="dxa"/>
            <w:vAlign w:val="center"/>
          </w:tcPr>
          <w:p w:rsidR="004B4777" w:rsidRDefault="004B4777">
            <w:pPr>
              <w:pStyle w:val="aff"/>
              <w:snapToGrid w:val="0"/>
              <w:spacing w:line="240" w:lineRule="auto"/>
              <w:rPr>
                <w:snapToGrid w:val="0"/>
                <w:color w:val="auto"/>
                <w:szCs w:val="21"/>
              </w:rPr>
            </w:pPr>
            <w:r>
              <w:rPr>
                <w:snapToGrid w:val="0"/>
                <w:color w:val="auto"/>
                <w:szCs w:val="21"/>
              </w:rPr>
              <w:t>一</w:t>
            </w:r>
          </w:p>
        </w:tc>
      </w:tr>
    </w:tbl>
    <w:p w:rsidR="004B4777" w:rsidRDefault="004B4777">
      <w:pPr>
        <w:ind w:firstLine="480"/>
        <w:rPr>
          <w:rFonts w:ascii="Times New Roman" w:hAnsi="Times New Roman"/>
        </w:rPr>
      </w:pPr>
      <w:r>
        <w:rPr>
          <w:rFonts w:ascii="Times New Roman" w:hAnsi="Times New Roman"/>
        </w:rPr>
        <w:t>项目的生态风险不在《建设项目环境风险评价技术导则》（</w:t>
      </w:r>
      <w:r>
        <w:rPr>
          <w:rFonts w:ascii="Times New Roman" w:hAnsi="Times New Roman"/>
        </w:rPr>
        <w:t>HJ/T169-2004</w:t>
      </w:r>
      <w:r>
        <w:rPr>
          <w:rFonts w:ascii="Times New Roman" w:hAnsi="Times New Roman"/>
        </w:rPr>
        <w:t>）评价范围内，项目生态风险详见生态专题。正文文本环境风险章节中仅对《建设项目环境风险评价技术导则》（</w:t>
      </w:r>
      <w:r>
        <w:rPr>
          <w:rFonts w:ascii="Times New Roman" w:hAnsi="Times New Roman"/>
        </w:rPr>
        <w:t>HJ/T169-2004</w:t>
      </w:r>
      <w:r>
        <w:rPr>
          <w:rFonts w:ascii="Times New Roman" w:hAnsi="Times New Roman"/>
        </w:rPr>
        <w:t>）评价范围内风险进行辨识和分析</w:t>
      </w:r>
      <w:r>
        <w:rPr>
          <w:rFonts w:ascii="Times New Roman" w:hAnsi="Times New Roman"/>
        </w:rPr>
        <w:lastRenderedPageBreak/>
        <w:t>评价等。</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2.4.2 </w:t>
      </w:r>
      <w:r>
        <w:rPr>
          <w:rFonts w:ascii="Times New Roman" w:eastAsia="宋体" w:hAnsi="Times New Roman"/>
          <w:b/>
        </w:rPr>
        <w:t>评价</w:t>
      </w:r>
      <w:r>
        <w:rPr>
          <w:rFonts w:ascii="Times New Roman" w:eastAsia="宋体" w:hAnsi="Times New Roman" w:hint="eastAsia"/>
          <w:b/>
        </w:rPr>
        <w:t>范围</w:t>
      </w:r>
    </w:p>
    <w:p w:rsidR="004B4777" w:rsidRDefault="004B4777">
      <w:pPr>
        <w:ind w:firstLine="480"/>
        <w:rPr>
          <w:rFonts w:ascii="Times New Roman" w:hAnsi="Times New Roman" w:hint="eastAsia"/>
        </w:rPr>
      </w:pPr>
      <w:r>
        <w:rPr>
          <w:rFonts w:ascii="Times New Roman" w:hAnsi="Times New Roman" w:hint="eastAsia"/>
        </w:rPr>
        <w:t>1</w:t>
      </w:r>
      <w:r>
        <w:rPr>
          <w:rFonts w:ascii="Times New Roman" w:hAnsi="Times New Roman" w:hint="eastAsia"/>
        </w:rPr>
        <w:t>、生态环境影响评价范围</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w:t>
      </w:r>
      <w:r>
        <w:rPr>
          <w:rFonts w:ascii="Times New Roman" w:hAnsi="Times New Roman" w:hint="eastAsia"/>
        </w:rPr>
        <w:t>）水文动力环境、水质环境和沉积物环境调查评价范围</w:t>
      </w:r>
    </w:p>
    <w:p w:rsidR="004B4777" w:rsidRDefault="004B4777">
      <w:pPr>
        <w:ind w:firstLine="480"/>
        <w:rPr>
          <w:rFonts w:ascii="Times New Roman" w:hAnsi="Times New Roman" w:hint="eastAsia"/>
        </w:rPr>
      </w:pPr>
      <w:r>
        <w:rPr>
          <w:rFonts w:ascii="Times New Roman" w:hAnsi="Times New Roman" w:hint="eastAsia"/>
        </w:rPr>
        <w:t>以开采区外缘线为起点进行划定，评价由</w:t>
      </w:r>
      <w:r>
        <w:rPr>
          <w:rFonts w:ascii="Times New Roman" w:hAnsi="Times New Roman"/>
        </w:rPr>
        <w:t>开采区厂界</w:t>
      </w:r>
      <w:r>
        <w:rPr>
          <w:rFonts w:ascii="Times New Roman" w:hAnsi="Times New Roman" w:hint="eastAsia"/>
        </w:rPr>
        <w:t>分别向外扩展</w:t>
      </w:r>
      <w:r>
        <w:rPr>
          <w:rFonts w:ascii="Times New Roman" w:hAnsi="Times New Roman" w:hint="eastAsia"/>
        </w:rPr>
        <w:t>5km</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）地形地貌与冲淤环境调查评价范围</w:t>
      </w:r>
    </w:p>
    <w:p w:rsidR="004B4777" w:rsidRDefault="004B4777">
      <w:pPr>
        <w:ind w:firstLine="480"/>
        <w:rPr>
          <w:rFonts w:ascii="Times New Roman" w:hAnsi="Times New Roman" w:hint="eastAsia"/>
        </w:rPr>
      </w:pPr>
      <w:r>
        <w:rPr>
          <w:rFonts w:ascii="Times New Roman" w:hAnsi="Times New Roman" w:hint="eastAsia"/>
        </w:rPr>
        <w:t>地形调查范围由采砂区外扩</w:t>
      </w:r>
      <w:r>
        <w:rPr>
          <w:rFonts w:ascii="Times New Roman" w:hAnsi="Times New Roman" w:hint="eastAsia"/>
        </w:rPr>
        <w:t>2km</w:t>
      </w:r>
      <w:r>
        <w:rPr>
          <w:rFonts w:ascii="Times New Roman" w:hAnsi="Times New Roman" w:hint="eastAsia"/>
        </w:rPr>
        <w:t>范围需进行现场调查；按垂直等深线走向平行布设主测线，采砂区及外扩</w:t>
      </w:r>
      <w:r>
        <w:rPr>
          <w:rFonts w:ascii="Times New Roman" w:hAnsi="Times New Roman" w:hint="eastAsia"/>
        </w:rPr>
        <w:t>500m</w:t>
      </w:r>
      <w:r>
        <w:rPr>
          <w:rFonts w:ascii="Times New Roman" w:hAnsi="Times New Roman" w:hint="eastAsia"/>
        </w:rPr>
        <w:t>范围内主测线间距以</w:t>
      </w:r>
      <w:r>
        <w:rPr>
          <w:rFonts w:ascii="Times New Roman" w:hAnsi="Times New Roman" w:hint="eastAsia"/>
        </w:rPr>
        <w:t>50m</w:t>
      </w:r>
      <w:r>
        <w:rPr>
          <w:rFonts w:ascii="Times New Roman" w:hAnsi="Times New Roman" w:hint="eastAsia"/>
        </w:rPr>
        <w:t>为宜，采砂区外扩</w:t>
      </w:r>
      <w:r>
        <w:rPr>
          <w:rFonts w:ascii="Times New Roman" w:hAnsi="Times New Roman" w:hint="eastAsia"/>
        </w:rPr>
        <w:t>500m</w:t>
      </w:r>
      <w:r>
        <w:rPr>
          <w:rFonts w:ascii="Times New Roman" w:hAnsi="Times New Roman" w:hint="eastAsia"/>
        </w:rPr>
        <w:t>至</w:t>
      </w:r>
      <w:r>
        <w:rPr>
          <w:rFonts w:ascii="Times New Roman" w:hAnsi="Times New Roman" w:hint="eastAsia"/>
        </w:rPr>
        <w:t>2km</w:t>
      </w:r>
      <w:r>
        <w:rPr>
          <w:rFonts w:ascii="Times New Roman" w:hAnsi="Times New Roman" w:hint="eastAsia"/>
        </w:rPr>
        <w:t>范围内主测线间距宜为</w:t>
      </w:r>
      <w:r>
        <w:rPr>
          <w:rFonts w:ascii="Times New Roman" w:hAnsi="Times New Roman" w:hint="eastAsia"/>
        </w:rPr>
        <w:t>100m</w:t>
      </w:r>
      <w:r>
        <w:rPr>
          <w:rFonts w:ascii="Times New Roman" w:hAnsi="Times New Roman" w:hint="eastAsia"/>
        </w:rPr>
        <w:t>；地貌调查测线布设与地形调查相同。</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3</w:t>
      </w:r>
      <w:r>
        <w:rPr>
          <w:rFonts w:ascii="Times New Roman" w:hAnsi="Times New Roman" w:hint="eastAsia"/>
        </w:rPr>
        <w:t>）生态环境调查评价范围</w:t>
      </w:r>
    </w:p>
    <w:p w:rsidR="004B4777" w:rsidRDefault="004B4777">
      <w:pPr>
        <w:ind w:firstLine="480"/>
        <w:rPr>
          <w:rFonts w:ascii="Times New Roman" w:hAnsi="Times New Roman"/>
          <w:szCs w:val="24"/>
          <w:u w:val="single"/>
        </w:rPr>
      </w:pPr>
      <w:r>
        <w:rPr>
          <w:rFonts w:ascii="Times New Roman" w:hAnsi="Times New Roman" w:hint="eastAsia"/>
        </w:rPr>
        <w:t>以主要评价因子受影响方向的扩展距离确定调查和评价范围，</w:t>
      </w:r>
      <w:r>
        <w:rPr>
          <w:rFonts w:ascii="Times New Roman" w:hAnsi="Times New Roman" w:hint="eastAsia"/>
          <w:szCs w:val="24"/>
          <w:u w:val="single"/>
        </w:rPr>
        <w:t>陆生评价范围为：规划采砂区河道两侧延伸</w:t>
      </w:r>
      <w:r>
        <w:rPr>
          <w:rFonts w:ascii="Times New Roman" w:hAnsi="Times New Roman" w:hint="eastAsia"/>
          <w:szCs w:val="24"/>
          <w:u w:val="single"/>
        </w:rPr>
        <w:t>200m</w:t>
      </w:r>
      <w:r>
        <w:rPr>
          <w:rFonts w:ascii="Times New Roman" w:hAnsi="Times New Roman" w:hint="eastAsia"/>
          <w:szCs w:val="24"/>
          <w:u w:val="single"/>
        </w:rPr>
        <w:t>，斗米咀采区、易婆塘采区所在河道上游</w:t>
      </w:r>
      <w:r>
        <w:rPr>
          <w:rFonts w:ascii="Times New Roman" w:hAnsi="Times New Roman" w:hint="eastAsia"/>
          <w:szCs w:val="24"/>
          <w:u w:val="single"/>
        </w:rPr>
        <w:t>1.0km</w:t>
      </w:r>
      <w:r>
        <w:rPr>
          <w:rFonts w:ascii="Times New Roman" w:hAnsi="Times New Roman" w:hint="eastAsia"/>
          <w:szCs w:val="24"/>
          <w:u w:val="single"/>
        </w:rPr>
        <w:t>至下游</w:t>
      </w:r>
      <w:r>
        <w:rPr>
          <w:rFonts w:ascii="Times New Roman" w:hAnsi="Times New Roman" w:hint="eastAsia"/>
          <w:szCs w:val="24"/>
          <w:u w:val="single"/>
        </w:rPr>
        <w:t>1.0km</w:t>
      </w:r>
      <w:r>
        <w:rPr>
          <w:rFonts w:ascii="Times New Roman" w:hAnsi="Times New Roman" w:hint="eastAsia"/>
          <w:szCs w:val="24"/>
          <w:u w:val="single"/>
        </w:rPr>
        <w:t>范围</w:t>
      </w:r>
      <w:r>
        <w:rPr>
          <w:rFonts w:ascii="Times New Roman" w:hAnsi="宋体" w:hint="eastAsia"/>
          <w:szCs w:val="24"/>
          <w:u w:val="single"/>
        </w:rPr>
        <w:t>。水生评价范围为：规划采砂区河道上游</w:t>
      </w:r>
      <w:r>
        <w:rPr>
          <w:rFonts w:ascii="Times New Roman" w:hAnsi="宋体" w:hint="eastAsia"/>
          <w:szCs w:val="24"/>
          <w:u w:val="single"/>
        </w:rPr>
        <w:t>1.0km</w:t>
      </w:r>
      <w:r>
        <w:rPr>
          <w:rFonts w:ascii="Times New Roman" w:hAnsi="宋体" w:hint="eastAsia"/>
          <w:szCs w:val="24"/>
          <w:u w:val="single"/>
        </w:rPr>
        <w:t>至下游</w:t>
      </w:r>
      <w:r>
        <w:rPr>
          <w:rFonts w:ascii="Times New Roman" w:hAnsi="宋体" w:hint="eastAsia"/>
          <w:szCs w:val="24"/>
          <w:u w:val="single"/>
        </w:rPr>
        <w:t>1.0km</w:t>
      </w:r>
      <w:r>
        <w:rPr>
          <w:rFonts w:ascii="Times New Roman" w:hAnsi="宋体" w:hint="eastAsia"/>
          <w:szCs w:val="24"/>
          <w:u w:val="single"/>
        </w:rPr>
        <w:t>范围。</w:t>
      </w:r>
    </w:p>
    <w:p w:rsidR="004B4777" w:rsidRDefault="004B4777">
      <w:pPr>
        <w:ind w:firstLine="480"/>
        <w:rPr>
          <w:rFonts w:ascii="Times New Roman" w:hAnsi="Times New Roman"/>
          <w:spacing w:val="8"/>
          <w:szCs w:val="24"/>
        </w:rPr>
      </w:pPr>
      <w:r>
        <w:rPr>
          <w:rFonts w:ascii="Times New Roman" w:hAnsi="Times New Roman"/>
        </w:rPr>
        <w:t>2</w:t>
      </w:r>
      <w:r>
        <w:rPr>
          <w:rFonts w:ascii="Times New Roman" w:hAnsi="Times New Roman"/>
        </w:rPr>
        <w:t>、其他</w:t>
      </w:r>
    </w:p>
    <w:p w:rsidR="004B4777" w:rsidRDefault="004B4777">
      <w:pPr>
        <w:ind w:firstLine="480"/>
        <w:rPr>
          <w:rFonts w:ascii="Times New Roman" w:hAnsi="Times New Roman"/>
        </w:rPr>
      </w:pPr>
      <w:r>
        <w:rPr>
          <w:rFonts w:ascii="Times New Roman" w:hAnsi="Times New Roman"/>
          <w:szCs w:val="28"/>
        </w:rPr>
        <w:t>大气环境：根据</w:t>
      </w:r>
      <w:r>
        <w:rPr>
          <w:rFonts w:ascii="Times New Roman" w:hAnsi="Times New Roman"/>
        </w:rPr>
        <w:t>《环境影响评价技术导则</w:t>
      </w:r>
      <w:r>
        <w:rPr>
          <w:rFonts w:ascii="Times New Roman" w:hAnsi="Times New Roman"/>
        </w:rPr>
        <w:t xml:space="preserve"> </w:t>
      </w:r>
      <w:r>
        <w:rPr>
          <w:rFonts w:ascii="Times New Roman" w:hAnsi="Times New Roman"/>
        </w:rPr>
        <w:t>大气环境》（</w:t>
      </w:r>
      <w:r>
        <w:rPr>
          <w:rFonts w:ascii="Times New Roman" w:hAnsi="Times New Roman"/>
        </w:rPr>
        <w:t>HJ2.2-2008</w:t>
      </w:r>
      <w:r>
        <w:rPr>
          <w:rFonts w:ascii="Times New Roman" w:hAnsi="Times New Roman"/>
        </w:rPr>
        <w:t>）</w:t>
      </w:r>
      <w:r>
        <w:rPr>
          <w:rFonts w:ascii="Times New Roman" w:hAnsi="Times New Roman"/>
          <w:szCs w:val="28"/>
        </w:rPr>
        <w:t>要求：</w:t>
      </w:r>
      <w:r>
        <w:rPr>
          <w:rFonts w:ascii="Times New Roman" w:hAnsi="Times New Roman"/>
          <w:szCs w:val="28"/>
        </w:rPr>
        <w:t>“</w:t>
      </w:r>
      <w:r>
        <w:rPr>
          <w:rFonts w:ascii="Times New Roman" w:hAnsi="Times New Roman"/>
          <w:szCs w:val="28"/>
        </w:rPr>
        <w:t>评价范围的直径或边长一般不应小于</w:t>
      </w:r>
      <w:r>
        <w:rPr>
          <w:rFonts w:ascii="Times New Roman" w:hAnsi="Times New Roman"/>
          <w:szCs w:val="28"/>
        </w:rPr>
        <w:t>5km”</w:t>
      </w:r>
      <w:r>
        <w:rPr>
          <w:rFonts w:ascii="Times New Roman" w:hAnsi="Times New Roman"/>
          <w:szCs w:val="28"/>
        </w:rPr>
        <w:t>，因此，确定本项目大气环境影响评价范围为以</w:t>
      </w:r>
      <w:r>
        <w:rPr>
          <w:rFonts w:ascii="Times New Roman" w:hAnsi="Times New Roman" w:hint="eastAsia"/>
          <w:szCs w:val="28"/>
        </w:rPr>
        <w:t>开采区</w:t>
      </w:r>
      <w:r>
        <w:rPr>
          <w:rFonts w:ascii="Times New Roman" w:hAnsi="Times New Roman"/>
          <w:szCs w:val="28"/>
        </w:rPr>
        <w:t>中心向外扩展</w:t>
      </w:r>
      <w:r>
        <w:rPr>
          <w:rFonts w:ascii="Times New Roman" w:hAnsi="Times New Roman" w:hint="eastAsia"/>
          <w:szCs w:val="28"/>
        </w:rPr>
        <w:t>半径</w:t>
      </w:r>
      <w:r>
        <w:rPr>
          <w:rFonts w:ascii="Times New Roman" w:hAnsi="Times New Roman" w:hint="eastAsia"/>
          <w:szCs w:val="28"/>
        </w:rPr>
        <w:t>2.5</w:t>
      </w:r>
      <w:r>
        <w:rPr>
          <w:rFonts w:ascii="Times New Roman" w:hAnsi="Times New Roman"/>
          <w:szCs w:val="28"/>
        </w:rPr>
        <w:t>km</w:t>
      </w:r>
      <w:r>
        <w:rPr>
          <w:rFonts w:ascii="Times New Roman" w:hAnsi="Times New Roman"/>
          <w:szCs w:val="28"/>
        </w:rPr>
        <w:t>的</w:t>
      </w:r>
      <w:r>
        <w:rPr>
          <w:rFonts w:ascii="Times New Roman" w:hAnsi="Times New Roman" w:hint="eastAsia"/>
          <w:szCs w:val="28"/>
        </w:rPr>
        <w:t>圆形</w:t>
      </w:r>
      <w:r>
        <w:rPr>
          <w:rFonts w:ascii="Times New Roman" w:hAnsi="Times New Roman"/>
        </w:rPr>
        <w:t>区域。</w:t>
      </w:r>
    </w:p>
    <w:p w:rsidR="004B4777" w:rsidRDefault="004B4777">
      <w:pPr>
        <w:ind w:firstLine="480"/>
        <w:rPr>
          <w:rFonts w:ascii="Times New Roman" w:hAnsi="Times New Roman"/>
        </w:rPr>
      </w:pPr>
      <w:r>
        <w:rPr>
          <w:rFonts w:ascii="Times New Roman" w:hAnsi="Times New Roman"/>
        </w:rPr>
        <w:t>地表水：</w:t>
      </w:r>
      <w:r>
        <w:rPr>
          <w:rFonts w:ascii="Times New Roman" w:hAnsi="Times New Roman" w:hint="eastAsia"/>
        </w:rPr>
        <w:t>易婆塘采区上游界限至下游</w:t>
      </w:r>
      <w:r>
        <w:rPr>
          <w:rFonts w:ascii="Times New Roman" w:hAnsi="Times New Roman" w:hint="eastAsia"/>
        </w:rPr>
        <w:t>5km</w:t>
      </w:r>
      <w:r>
        <w:rPr>
          <w:rFonts w:ascii="Times New Roman" w:hAnsi="Times New Roman" w:hint="eastAsia"/>
        </w:rPr>
        <w:t>的水域、斗米咀采区上游界限至下游</w:t>
      </w:r>
      <w:r>
        <w:rPr>
          <w:rFonts w:ascii="Times New Roman" w:hAnsi="Times New Roman" w:hint="eastAsia"/>
        </w:rPr>
        <w:t>5km</w:t>
      </w:r>
      <w:r>
        <w:rPr>
          <w:rFonts w:ascii="Times New Roman" w:hAnsi="Times New Roman" w:hint="eastAsia"/>
        </w:rPr>
        <w:t>的水域。</w:t>
      </w:r>
    </w:p>
    <w:p w:rsidR="004B4777" w:rsidRDefault="004B4777">
      <w:pPr>
        <w:ind w:firstLine="480"/>
        <w:rPr>
          <w:rFonts w:ascii="Times New Roman" w:hAnsi="Times New Roman" w:hint="eastAsia"/>
        </w:rPr>
      </w:pPr>
      <w:r>
        <w:rPr>
          <w:rFonts w:ascii="Times New Roman" w:hAnsi="Times New Roman"/>
        </w:rPr>
        <w:t>声环境：区域环境噪声影响评价范围为</w:t>
      </w:r>
      <w:r>
        <w:rPr>
          <w:rFonts w:ascii="Times New Roman" w:hAnsi="Times New Roman" w:hint="eastAsia"/>
        </w:rPr>
        <w:t>开采区边界</w:t>
      </w:r>
      <w:r>
        <w:rPr>
          <w:rFonts w:ascii="Times New Roman" w:hAnsi="Times New Roman"/>
        </w:rPr>
        <w:t>外</w:t>
      </w:r>
      <w:r>
        <w:rPr>
          <w:rFonts w:ascii="Times New Roman" w:hAnsi="Times New Roman"/>
        </w:rPr>
        <w:t>200m</w:t>
      </w:r>
      <w:r>
        <w:rPr>
          <w:rFonts w:ascii="Times New Roman" w:hAnsi="Times New Roman"/>
        </w:rPr>
        <w:t>范围内的区域</w:t>
      </w:r>
      <w:r>
        <w:rPr>
          <w:rFonts w:ascii="Times New Roman" w:hAnsi="Times New Roman" w:hint="eastAsia"/>
        </w:rPr>
        <w:t>，</w:t>
      </w:r>
      <w:r>
        <w:rPr>
          <w:rFonts w:ascii="Times New Roman" w:hAnsi="Times New Roman"/>
        </w:rPr>
        <w:t>运砂船噪声影响评价范围为航道边界外</w:t>
      </w:r>
      <w:r>
        <w:rPr>
          <w:rFonts w:ascii="Times New Roman" w:hAnsi="Times New Roman" w:hint="eastAsia"/>
        </w:rPr>
        <w:t>200</w:t>
      </w:r>
      <w:r>
        <w:rPr>
          <w:rFonts w:ascii="Times New Roman" w:hAnsi="Times New Roman"/>
        </w:rPr>
        <w:t>m</w:t>
      </w:r>
      <w:r>
        <w:rPr>
          <w:rFonts w:ascii="Times New Roman" w:hAnsi="Times New Roman"/>
        </w:rPr>
        <w:t>范围内的区域。</w:t>
      </w:r>
    </w:p>
    <w:p w:rsidR="004B4777" w:rsidRDefault="004B4777">
      <w:pPr>
        <w:ind w:firstLine="480"/>
        <w:rPr>
          <w:rFonts w:ascii="Times New Roman" w:hAnsi="Times New Roman"/>
        </w:rPr>
      </w:pPr>
      <w:r>
        <w:rPr>
          <w:rFonts w:ascii="Times New Roman" w:hAnsi="Times New Roman"/>
        </w:rPr>
        <w:t>风险：根据《建设项目环境风险评价技术导则》（</w:t>
      </w:r>
      <w:r>
        <w:rPr>
          <w:rFonts w:ascii="Times New Roman" w:hAnsi="Times New Roman"/>
        </w:rPr>
        <w:t>HJ/T169-2004</w:t>
      </w:r>
      <w:r>
        <w:rPr>
          <w:rFonts w:ascii="Times New Roman" w:hAnsi="Times New Roman"/>
        </w:rPr>
        <w:t>），项目环境风险评价等级为一级，主要风险为溢油事故，评价范围为溢油事故的水环境影响范围</w:t>
      </w:r>
      <w:r>
        <w:rPr>
          <w:rFonts w:ascii="Times New Roman" w:hAnsi="Times New Roman" w:hint="eastAsia"/>
        </w:rPr>
        <w:t>，</w:t>
      </w:r>
      <w:r>
        <w:rPr>
          <w:rFonts w:ascii="Times New Roman" w:hAnsi="Times New Roman"/>
        </w:rPr>
        <w:t>考虑到项目</w:t>
      </w:r>
      <w:r>
        <w:rPr>
          <w:rFonts w:ascii="Times New Roman" w:hAnsi="Times New Roman" w:hint="eastAsia"/>
        </w:rPr>
        <w:t>斗米咀采区涉及到上游屈原管理区饮用水源保护区、下游横岭湖省级自然保护区、横岭湖湖泊湿地、及南洞庭湖大口鲶青虾中华鳖国家级水产种质资源保护区，易婆塘采区涉及到下游南洞庭湖省级自然保护区、横岭湖省级自然保护区、横岭湖湖泊湿地、南洞庭湖银鱼三角帆蚌国家级水产种质资源保护</w:t>
      </w:r>
      <w:r>
        <w:rPr>
          <w:rFonts w:ascii="Times New Roman" w:hAnsi="Times New Roman" w:hint="eastAsia"/>
        </w:rPr>
        <w:lastRenderedPageBreak/>
        <w:t>区及南洞庭湖大口鲶青虾中华鳖国家级水产种质资源保护区，</w:t>
      </w:r>
      <w:r>
        <w:rPr>
          <w:rFonts w:ascii="Times New Roman" w:hAnsi="Times New Roman"/>
        </w:rPr>
        <w:t>确定环境风险评价范围为</w:t>
      </w:r>
      <w:r>
        <w:rPr>
          <w:rFonts w:ascii="Times New Roman" w:hAnsi="Times New Roman" w:hint="eastAsia"/>
        </w:rPr>
        <w:t>易婆塘采区上游界限至下游</w:t>
      </w:r>
      <w:r>
        <w:rPr>
          <w:rFonts w:ascii="Times New Roman" w:hAnsi="Times New Roman" w:hint="eastAsia"/>
        </w:rPr>
        <w:t>5km</w:t>
      </w:r>
      <w:r>
        <w:rPr>
          <w:rFonts w:ascii="Times New Roman" w:hAnsi="Times New Roman" w:hint="eastAsia"/>
        </w:rPr>
        <w:t>的水域、斗米咀采区上游界限至下游</w:t>
      </w:r>
      <w:r>
        <w:rPr>
          <w:rFonts w:ascii="Times New Roman" w:hAnsi="Times New Roman" w:hint="eastAsia"/>
        </w:rPr>
        <w:t>5km</w:t>
      </w:r>
      <w:r>
        <w:rPr>
          <w:rFonts w:ascii="Times New Roman" w:hAnsi="Times New Roman" w:hint="eastAsia"/>
        </w:rPr>
        <w:t>的水域。</w:t>
      </w:r>
    </w:p>
    <w:p w:rsidR="004B4777" w:rsidRDefault="004B4777">
      <w:pPr>
        <w:pStyle w:val="2"/>
        <w:spacing w:before="0" w:after="0"/>
        <w:rPr>
          <w:rFonts w:ascii="Times New Roman" w:eastAsia="宋体" w:hAnsi="Times New Roman" w:hint="eastAsia"/>
          <w:b/>
          <w:sz w:val="30"/>
          <w:szCs w:val="30"/>
        </w:rPr>
      </w:pPr>
      <w:bookmarkStart w:id="95" w:name="_Toc523854016"/>
      <w:r>
        <w:rPr>
          <w:rFonts w:ascii="Times New Roman" w:eastAsia="宋体" w:hAnsi="Times New Roman"/>
          <w:b/>
          <w:sz w:val="30"/>
          <w:szCs w:val="30"/>
        </w:rPr>
        <w:t xml:space="preserve">2.5 </w:t>
      </w:r>
      <w:r>
        <w:rPr>
          <w:rFonts w:ascii="Times New Roman" w:eastAsia="宋体" w:hAnsi="Times New Roman"/>
          <w:b/>
          <w:sz w:val="30"/>
          <w:szCs w:val="30"/>
        </w:rPr>
        <w:t>评价</w:t>
      </w:r>
      <w:r>
        <w:rPr>
          <w:rFonts w:ascii="Times New Roman" w:eastAsia="宋体" w:hAnsi="Times New Roman" w:hint="eastAsia"/>
          <w:b/>
          <w:sz w:val="30"/>
          <w:szCs w:val="30"/>
        </w:rPr>
        <w:t>内容与</w:t>
      </w:r>
      <w:r>
        <w:rPr>
          <w:rFonts w:ascii="Times New Roman" w:eastAsia="宋体" w:hAnsi="Times New Roman"/>
          <w:b/>
          <w:sz w:val="30"/>
          <w:szCs w:val="30"/>
        </w:rPr>
        <w:t>重点</w:t>
      </w:r>
      <w:bookmarkEnd w:id="95"/>
    </w:p>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2.5.1 </w:t>
      </w:r>
      <w:r>
        <w:rPr>
          <w:rFonts w:ascii="Times New Roman" w:eastAsia="宋体" w:hAnsi="Times New Roman" w:hint="eastAsia"/>
          <w:b/>
        </w:rPr>
        <w:t>评价内容</w:t>
      </w:r>
    </w:p>
    <w:p w:rsidR="004B4777" w:rsidRDefault="004B4777">
      <w:pPr>
        <w:ind w:firstLine="480"/>
        <w:rPr>
          <w:rFonts w:ascii="Times New Roman" w:hAnsi="Times New Roman"/>
        </w:rPr>
      </w:pPr>
      <w:r>
        <w:rPr>
          <w:rFonts w:ascii="Times New Roman" w:hAnsi="Times New Roman" w:hint="eastAsia"/>
        </w:rPr>
        <w:t>本次</w:t>
      </w:r>
      <w:r>
        <w:rPr>
          <w:rFonts w:ascii="Times New Roman" w:hAnsi="Times New Roman"/>
        </w:rPr>
        <w:t>评价内容主要有：工程分析、环境质量现状调查与评价、环境影响预测与评价、环境风险分析、污染防治措施分析、清洁生产和总量控制、环境经济损益分析、环境管理与环境监测计划、项目可行性论证等。</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2.5.2 </w:t>
      </w:r>
      <w:r>
        <w:rPr>
          <w:rFonts w:ascii="Times New Roman" w:eastAsia="宋体" w:hAnsi="Times New Roman"/>
          <w:b/>
        </w:rPr>
        <w:t>评价</w:t>
      </w:r>
      <w:r>
        <w:rPr>
          <w:rFonts w:ascii="Times New Roman" w:eastAsia="宋体" w:hAnsi="Times New Roman" w:hint="eastAsia"/>
          <w:b/>
        </w:rPr>
        <w:t>重点</w:t>
      </w:r>
    </w:p>
    <w:p w:rsidR="004B4777" w:rsidRDefault="004B4777">
      <w:pPr>
        <w:ind w:firstLine="480"/>
        <w:rPr>
          <w:rFonts w:ascii="Times New Roman" w:hAnsi="Times New Roman"/>
        </w:rPr>
      </w:pPr>
      <w:r>
        <w:rPr>
          <w:rFonts w:ascii="Times New Roman" w:hAnsi="Times New Roman" w:hint="eastAsia"/>
        </w:rPr>
        <w:t>本次</w:t>
      </w:r>
      <w:r>
        <w:rPr>
          <w:rFonts w:ascii="Times New Roman" w:hAnsi="Times New Roman"/>
        </w:rPr>
        <w:t>评价重点如下：</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）开采所致悬浮泥沙对地表水、水生生态、渔业资源的污染影响；</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）开采对湘江、资江及洞庭湖区功能区使用功能的影响；</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）开采所致采砂区河底地形变化对河流流场、泥沙冲淤场的非污染影响；</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）采砂作业对河滩稳定性影响及环境敏感目标的影响分析。</w:t>
      </w:r>
    </w:p>
    <w:p w:rsidR="004B4777" w:rsidRDefault="004B4777">
      <w:pPr>
        <w:pStyle w:val="2"/>
        <w:spacing w:before="0" w:after="0"/>
        <w:rPr>
          <w:rFonts w:ascii="Times New Roman" w:eastAsia="宋体" w:hAnsi="Times New Roman" w:hint="eastAsia"/>
          <w:b/>
          <w:sz w:val="30"/>
          <w:szCs w:val="30"/>
        </w:rPr>
      </w:pPr>
      <w:bookmarkStart w:id="96" w:name="_Hlk481752546"/>
      <w:bookmarkStart w:id="97" w:name="_Toc523854017"/>
      <w:r>
        <w:rPr>
          <w:rFonts w:ascii="Times New Roman" w:eastAsia="宋体" w:hAnsi="Times New Roman"/>
          <w:b/>
          <w:sz w:val="30"/>
          <w:szCs w:val="30"/>
        </w:rPr>
        <w:t xml:space="preserve">2.6 </w:t>
      </w:r>
      <w:r>
        <w:rPr>
          <w:rFonts w:ascii="Times New Roman" w:eastAsia="宋体" w:hAnsi="Times New Roman" w:hint="eastAsia"/>
          <w:b/>
          <w:sz w:val="30"/>
          <w:szCs w:val="30"/>
        </w:rPr>
        <w:t>控制污染</w:t>
      </w:r>
      <w:r>
        <w:rPr>
          <w:rFonts w:ascii="Times New Roman" w:eastAsia="宋体" w:hAnsi="Times New Roman"/>
          <w:b/>
          <w:sz w:val="30"/>
          <w:szCs w:val="30"/>
        </w:rPr>
        <w:t>与环境保护目标</w:t>
      </w:r>
      <w:bookmarkEnd w:id="97"/>
    </w:p>
    <w:bookmarkEnd w:id="96"/>
    <w:p w:rsidR="004B4777" w:rsidRDefault="004B4777">
      <w:pPr>
        <w:pStyle w:val="3"/>
        <w:spacing w:before="0" w:after="0"/>
        <w:rPr>
          <w:rFonts w:ascii="Times New Roman" w:eastAsia="宋体" w:hAnsi="Times New Roman" w:hint="eastAsia"/>
          <w:b/>
        </w:rPr>
      </w:pPr>
      <w:r>
        <w:rPr>
          <w:rFonts w:ascii="Times New Roman" w:eastAsia="宋体" w:hAnsi="Times New Roman"/>
          <w:b/>
        </w:rPr>
        <w:t xml:space="preserve">2.6.1 </w:t>
      </w:r>
      <w:r>
        <w:rPr>
          <w:rFonts w:ascii="Times New Roman" w:eastAsia="宋体" w:hAnsi="Times New Roman" w:hint="eastAsia"/>
          <w:b/>
        </w:rPr>
        <w:t>控制污染</w:t>
      </w:r>
    </w:p>
    <w:p w:rsidR="004B4777" w:rsidRDefault="004B4777">
      <w:pPr>
        <w:ind w:firstLine="480"/>
        <w:rPr>
          <w:rFonts w:ascii="Times New Roman" w:hAnsi="Times New Roman"/>
          <w:szCs w:val="24"/>
        </w:rPr>
      </w:pPr>
      <w:r>
        <w:rPr>
          <w:rFonts w:ascii="Times New Roman" w:hAnsi="Times New Roman"/>
          <w:szCs w:val="24"/>
        </w:rPr>
        <w:t>本项目</w:t>
      </w:r>
      <w:r>
        <w:rPr>
          <w:rFonts w:ascii="Times New Roman" w:hAnsi="Times New Roman" w:hint="eastAsia"/>
          <w:szCs w:val="24"/>
        </w:rPr>
        <w:t>采砂过程</w:t>
      </w:r>
      <w:r>
        <w:rPr>
          <w:rFonts w:ascii="Times New Roman" w:hAnsi="Times New Roman"/>
          <w:szCs w:val="24"/>
        </w:rPr>
        <w:t>中产生的废水、废气、噪声及废渣等污染源必须加以治理，确保达标排放，以减轻对周围环境造成的污染。</w:t>
      </w:r>
    </w:p>
    <w:p w:rsidR="004B4777" w:rsidRDefault="004B4777">
      <w:pPr>
        <w:ind w:firstLine="480"/>
        <w:rPr>
          <w:rFonts w:ascii="Times New Roman" w:hAnsi="Times New Roman"/>
          <w:szCs w:val="24"/>
        </w:rPr>
      </w:pPr>
      <w:r>
        <w:rPr>
          <w:rFonts w:ascii="Times New Roman" w:hAnsi="Times New Roman"/>
          <w:szCs w:val="24"/>
        </w:rPr>
        <w:t>（</w:t>
      </w:r>
      <w:r>
        <w:rPr>
          <w:rFonts w:ascii="Times New Roman" w:hAnsi="Times New Roman"/>
          <w:szCs w:val="24"/>
        </w:rPr>
        <w:t>1</w:t>
      </w:r>
      <w:r>
        <w:rPr>
          <w:rFonts w:ascii="Times New Roman" w:hAnsi="Times New Roman"/>
          <w:szCs w:val="24"/>
        </w:rPr>
        <w:t>）控制废气的有组织和无组织排放，控制工艺废气中污染物的排放浓度，使其满足</w:t>
      </w:r>
      <w:r>
        <w:rPr>
          <w:rFonts w:ascii="Times New Roman" w:hAnsi="Times New Roman" w:hint="eastAsia"/>
          <w:szCs w:val="24"/>
        </w:rPr>
        <w:t>《非道路移动机械用柴油机排气污染物排放限值及测量方案（中国第三、第四阶段）》（</w:t>
      </w:r>
      <w:r>
        <w:rPr>
          <w:rFonts w:ascii="Times New Roman" w:hAnsi="Times New Roman" w:hint="eastAsia"/>
          <w:szCs w:val="24"/>
        </w:rPr>
        <w:t>GB20891-2014</w:t>
      </w:r>
      <w:r>
        <w:rPr>
          <w:rFonts w:ascii="Times New Roman" w:hAnsi="Times New Roman" w:hint="eastAsia"/>
          <w:szCs w:val="24"/>
        </w:rPr>
        <w:t>）中表</w:t>
      </w:r>
      <w:r>
        <w:rPr>
          <w:rFonts w:ascii="Times New Roman" w:hAnsi="Times New Roman" w:hint="eastAsia"/>
          <w:szCs w:val="24"/>
        </w:rPr>
        <w:t>2</w:t>
      </w:r>
      <w:r>
        <w:rPr>
          <w:rFonts w:ascii="Times New Roman" w:hAnsi="Times New Roman" w:hint="eastAsia"/>
          <w:szCs w:val="24"/>
        </w:rPr>
        <w:t>“非道路移动机械用柴油机污染物排放限值”中的第三阶段额定净功率大于</w:t>
      </w:r>
      <w:r>
        <w:rPr>
          <w:rFonts w:ascii="Times New Roman" w:hAnsi="Times New Roman" w:hint="eastAsia"/>
          <w:szCs w:val="24"/>
        </w:rPr>
        <w:t>560kW</w:t>
      </w:r>
      <w:r>
        <w:rPr>
          <w:rFonts w:ascii="Times New Roman" w:hAnsi="Times New Roman" w:hint="eastAsia"/>
          <w:szCs w:val="24"/>
        </w:rPr>
        <w:t>的污染物浓度限值要求</w:t>
      </w:r>
      <w:r>
        <w:rPr>
          <w:rFonts w:ascii="Times New Roman" w:hAnsi="Times New Roman"/>
          <w:szCs w:val="24"/>
        </w:rPr>
        <w:t>，保护评价范围内环境空气质量，使其满足《环境空气质量标准》（</w:t>
      </w:r>
      <w:r>
        <w:rPr>
          <w:rFonts w:ascii="Times New Roman" w:hAnsi="Times New Roman"/>
          <w:szCs w:val="24"/>
        </w:rPr>
        <w:t>GB3095-1996</w:t>
      </w:r>
      <w:r>
        <w:rPr>
          <w:rFonts w:ascii="Times New Roman" w:hAnsi="Times New Roman"/>
          <w:szCs w:val="24"/>
        </w:rPr>
        <w:t>）二级标准的要求</w:t>
      </w:r>
      <w:r>
        <w:rPr>
          <w:rFonts w:ascii="Times New Roman" w:hAnsi="Times New Roman" w:hint="eastAsia"/>
          <w:szCs w:val="24"/>
        </w:rPr>
        <w:t>。</w:t>
      </w:r>
    </w:p>
    <w:p w:rsidR="004B4777" w:rsidRDefault="004B4777">
      <w:pPr>
        <w:ind w:firstLine="480"/>
        <w:rPr>
          <w:rFonts w:ascii="Times New Roman" w:hAnsi="Times New Roman"/>
          <w:szCs w:val="24"/>
        </w:rPr>
      </w:pPr>
      <w:r>
        <w:rPr>
          <w:rFonts w:ascii="Times New Roman" w:hAnsi="Times New Roman"/>
          <w:szCs w:val="24"/>
        </w:rPr>
        <w:t>（</w:t>
      </w:r>
      <w:r>
        <w:rPr>
          <w:rFonts w:ascii="Times New Roman" w:hAnsi="Times New Roman"/>
          <w:szCs w:val="24"/>
        </w:rPr>
        <w:t>2</w:t>
      </w:r>
      <w:r>
        <w:rPr>
          <w:rFonts w:ascii="Times New Roman" w:hAnsi="Times New Roman"/>
          <w:szCs w:val="24"/>
        </w:rPr>
        <w:t>）控制项目</w:t>
      </w:r>
      <w:r>
        <w:rPr>
          <w:rFonts w:ascii="Times New Roman" w:hAnsi="Times New Roman" w:hint="eastAsia"/>
          <w:szCs w:val="24"/>
        </w:rPr>
        <w:t>采砂过程</w:t>
      </w:r>
      <w:r>
        <w:rPr>
          <w:rFonts w:ascii="Times New Roman" w:hAnsi="Times New Roman"/>
          <w:szCs w:val="24"/>
        </w:rPr>
        <w:t>中产生的废水排放量及其污染物的排放浓度，污染物排放浓度必须满足</w:t>
      </w:r>
      <w:r>
        <w:rPr>
          <w:rFonts w:ascii="Times New Roman" w:hAnsi="Times New Roman"/>
          <w:szCs w:val="20"/>
        </w:rPr>
        <w:t>船</w:t>
      </w:r>
      <w:r>
        <w:rPr>
          <w:rFonts w:ascii="Times New Roman" w:hAnsi="Times New Roman" w:hint="eastAsia"/>
        </w:rPr>
        <w:t>《船舶水污染物排放控制标准》（</w:t>
      </w:r>
      <w:r>
        <w:rPr>
          <w:rFonts w:ascii="Times New Roman" w:hAnsi="Times New Roman" w:hint="eastAsia"/>
        </w:rPr>
        <w:t>GB3552-2018</w:t>
      </w:r>
      <w:r>
        <w:rPr>
          <w:rFonts w:ascii="Times New Roman" w:hAnsi="Times New Roman" w:hint="eastAsia"/>
        </w:rPr>
        <w:t>）</w:t>
      </w:r>
      <w:r>
        <w:rPr>
          <w:rFonts w:ascii="Times New Roman" w:hAnsi="Times New Roman" w:hint="eastAsia"/>
          <w:szCs w:val="20"/>
        </w:rPr>
        <w:t>相应</w:t>
      </w:r>
      <w:r>
        <w:rPr>
          <w:rFonts w:ascii="Times New Roman" w:hAnsi="Times New Roman"/>
          <w:szCs w:val="20"/>
        </w:rPr>
        <w:t>标准</w:t>
      </w:r>
      <w:r>
        <w:rPr>
          <w:rFonts w:ascii="Times New Roman" w:hAnsi="Times New Roman"/>
          <w:szCs w:val="24"/>
        </w:rPr>
        <w:t>，使其符合《地表水环境质量标准》（</w:t>
      </w:r>
      <w:r>
        <w:rPr>
          <w:rFonts w:ascii="Times New Roman" w:hAnsi="Times New Roman"/>
          <w:szCs w:val="24"/>
        </w:rPr>
        <w:t>GB3838-2002</w:t>
      </w:r>
      <w:r>
        <w:rPr>
          <w:rFonts w:ascii="Times New Roman" w:hAnsi="Times New Roman"/>
          <w:szCs w:val="24"/>
        </w:rPr>
        <w:t>）中的</w:t>
      </w:r>
      <w:r>
        <w:rPr>
          <w:rFonts w:ascii="Times New Roman" w:hAnsi="Times New Roman" w:cs="宋体" w:hint="eastAsia"/>
          <w:szCs w:val="24"/>
        </w:rPr>
        <w:t>Ⅲ</w:t>
      </w:r>
      <w:r>
        <w:rPr>
          <w:rFonts w:ascii="Times New Roman" w:hAnsi="Times New Roman"/>
          <w:szCs w:val="24"/>
        </w:rPr>
        <w:t>类水体水质要求</w:t>
      </w:r>
      <w:r>
        <w:rPr>
          <w:rFonts w:ascii="Times New Roman" w:hAnsi="Times New Roman" w:hint="eastAsia"/>
          <w:szCs w:val="24"/>
        </w:rPr>
        <w:t>。</w:t>
      </w:r>
    </w:p>
    <w:p w:rsidR="004B4777" w:rsidRDefault="004B4777">
      <w:pPr>
        <w:ind w:firstLine="480"/>
        <w:rPr>
          <w:rFonts w:ascii="Times New Roman" w:hAnsi="Times New Roman"/>
          <w:szCs w:val="24"/>
        </w:rPr>
      </w:pPr>
      <w:r>
        <w:rPr>
          <w:rFonts w:ascii="Times New Roman" w:hAnsi="Times New Roman"/>
          <w:szCs w:val="24"/>
        </w:rPr>
        <w:t>（</w:t>
      </w:r>
      <w:r>
        <w:rPr>
          <w:rFonts w:ascii="Times New Roman" w:hAnsi="Times New Roman"/>
          <w:szCs w:val="24"/>
        </w:rPr>
        <w:t>3</w:t>
      </w:r>
      <w:r>
        <w:rPr>
          <w:rFonts w:ascii="Times New Roman" w:hAnsi="Times New Roman"/>
          <w:szCs w:val="24"/>
        </w:rPr>
        <w:t>）加强</w:t>
      </w:r>
      <w:r>
        <w:rPr>
          <w:rFonts w:ascii="Times New Roman" w:hAnsi="Times New Roman" w:hint="eastAsia"/>
          <w:szCs w:val="24"/>
        </w:rPr>
        <w:t>采砂</w:t>
      </w:r>
      <w:r>
        <w:rPr>
          <w:rFonts w:ascii="Times New Roman" w:hAnsi="Times New Roman"/>
          <w:szCs w:val="24"/>
        </w:rPr>
        <w:t>设备噪声控制，使</w:t>
      </w:r>
      <w:r>
        <w:rPr>
          <w:rFonts w:ascii="Times New Roman" w:hAnsi="Times New Roman" w:hint="eastAsia"/>
          <w:szCs w:val="24"/>
        </w:rPr>
        <w:t>采砂区其他厂界</w:t>
      </w:r>
      <w:r>
        <w:rPr>
          <w:rFonts w:ascii="Times New Roman" w:hAnsi="Times New Roman"/>
          <w:szCs w:val="24"/>
        </w:rPr>
        <w:t>噪声符合《工业企业厂界</w:t>
      </w:r>
      <w:r>
        <w:rPr>
          <w:rFonts w:ascii="Times New Roman" w:hAnsi="Times New Roman"/>
          <w:szCs w:val="24"/>
        </w:rPr>
        <w:lastRenderedPageBreak/>
        <w:t>噪声标准》（</w:t>
      </w:r>
      <w:r>
        <w:rPr>
          <w:rFonts w:ascii="Times New Roman" w:hAnsi="Times New Roman"/>
          <w:szCs w:val="24"/>
        </w:rPr>
        <w:t>GB12348-2008</w:t>
      </w:r>
      <w:r>
        <w:rPr>
          <w:rFonts w:ascii="Times New Roman" w:hAnsi="Times New Roman"/>
          <w:szCs w:val="24"/>
        </w:rPr>
        <w:t>）中</w:t>
      </w:r>
      <w:r>
        <w:rPr>
          <w:rFonts w:ascii="Times New Roman" w:hAnsi="Times New Roman"/>
          <w:szCs w:val="24"/>
        </w:rPr>
        <w:t>2</w:t>
      </w:r>
      <w:r>
        <w:rPr>
          <w:rFonts w:ascii="Times New Roman" w:hAnsi="Times New Roman"/>
          <w:szCs w:val="24"/>
        </w:rPr>
        <w:t>类标准，使其满足《声环境质量标准》（</w:t>
      </w:r>
      <w:r>
        <w:rPr>
          <w:rFonts w:ascii="Times New Roman" w:hAnsi="Times New Roman"/>
          <w:szCs w:val="24"/>
        </w:rPr>
        <w:t>GB 3096-2008</w:t>
      </w:r>
      <w:r>
        <w:rPr>
          <w:rFonts w:ascii="Times New Roman" w:hAnsi="Times New Roman"/>
          <w:szCs w:val="24"/>
        </w:rPr>
        <w:t>）</w:t>
      </w:r>
      <w:r>
        <w:rPr>
          <w:rFonts w:ascii="Times New Roman" w:hAnsi="Times New Roman"/>
          <w:szCs w:val="24"/>
        </w:rPr>
        <w:t>2</w:t>
      </w:r>
      <w:r>
        <w:rPr>
          <w:rFonts w:ascii="Times New Roman" w:hAnsi="Times New Roman"/>
          <w:szCs w:val="24"/>
        </w:rPr>
        <w:t>类声环境功能区标准要求。</w:t>
      </w:r>
    </w:p>
    <w:p w:rsidR="004B4777" w:rsidRDefault="004B4777">
      <w:pPr>
        <w:ind w:firstLine="480"/>
        <w:rPr>
          <w:rFonts w:ascii="Times New Roman" w:hAnsi="Times New Roman"/>
          <w:szCs w:val="24"/>
        </w:rPr>
      </w:pPr>
      <w:r>
        <w:rPr>
          <w:rFonts w:ascii="Times New Roman" w:hAnsi="Times New Roman"/>
          <w:szCs w:val="24"/>
        </w:rPr>
        <w:t>（</w:t>
      </w:r>
      <w:r>
        <w:rPr>
          <w:rFonts w:ascii="Times New Roman" w:hAnsi="Times New Roman"/>
          <w:szCs w:val="24"/>
        </w:rPr>
        <w:t>4</w:t>
      </w:r>
      <w:r>
        <w:rPr>
          <w:rFonts w:ascii="Times New Roman" w:hAnsi="Times New Roman"/>
          <w:szCs w:val="24"/>
        </w:rPr>
        <w:t>）固体废物必须妥善处置，防止给周围环境造成污染</w:t>
      </w:r>
      <w:r>
        <w:rPr>
          <w:rFonts w:ascii="Times New Roman" w:hAnsi="Times New Roman" w:hint="eastAsia"/>
          <w:szCs w:val="24"/>
        </w:rPr>
        <w:t>，</w:t>
      </w:r>
      <w:r>
        <w:rPr>
          <w:rFonts w:ascii="Times New Roman" w:hAnsi="Times New Roman"/>
          <w:szCs w:val="24"/>
        </w:rPr>
        <w:t>满足</w:t>
      </w:r>
      <w:r>
        <w:rPr>
          <w:rFonts w:ascii="Times New Roman" w:hAnsi="Times New Roman" w:hint="eastAsia"/>
        </w:rPr>
        <w:t>《船舶水污染物排放控制标准》（</w:t>
      </w:r>
      <w:r>
        <w:rPr>
          <w:rFonts w:ascii="Times New Roman" w:hAnsi="Times New Roman" w:hint="eastAsia"/>
        </w:rPr>
        <w:t>GB3552-2018</w:t>
      </w:r>
      <w:r>
        <w:rPr>
          <w:rFonts w:ascii="Times New Roman" w:hAnsi="Times New Roman" w:hint="eastAsia"/>
        </w:rPr>
        <w:t>）标准的</w:t>
      </w:r>
      <w:r>
        <w:rPr>
          <w:rFonts w:ascii="Times New Roman" w:hAnsi="Times New Roman"/>
        </w:rPr>
        <w:t>要求</w:t>
      </w:r>
      <w:r>
        <w:rPr>
          <w:rFonts w:ascii="Times New Roman" w:hAnsi="Times New Roman"/>
          <w:szCs w:val="24"/>
        </w:rPr>
        <w:t>。</w:t>
      </w:r>
    </w:p>
    <w:p w:rsidR="004B4777" w:rsidRDefault="004B4777">
      <w:pPr>
        <w:pStyle w:val="3"/>
        <w:spacing w:before="0" w:after="0"/>
        <w:rPr>
          <w:rFonts w:ascii="Times New Roman" w:eastAsia="宋体" w:hAnsi="Times New Roman"/>
          <w:b/>
        </w:rPr>
      </w:pPr>
      <w:r>
        <w:rPr>
          <w:rFonts w:ascii="Times New Roman" w:eastAsia="宋体" w:hAnsi="Times New Roman"/>
          <w:b/>
        </w:rPr>
        <w:t xml:space="preserve">2.6.2 </w:t>
      </w:r>
      <w:r>
        <w:rPr>
          <w:rFonts w:ascii="Times New Roman" w:eastAsia="宋体" w:hAnsi="Times New Roman"/>
          <w:b/>
        </w:rPr>
        <w:t>环境</w:t>
      </w:r>
      <w:r>
        <w:rPr>
          <w:rFonts w:ascii="Times New Roman" w:eastAsia="宋体" w:hAnsi="Times New Roman" w:hint="eastAsia"/>
          <w:b/>
        </w:rPr>
        <w:t>保护</w:t>
      </w:r>
      <w:r>
        <w:rPr>
          <w:rFonts w:ascii="Times New Roman" w:eastAsia="宋体" w:hAnsi="Times New Roman"/>
          <w:b/>
        </w:rPr>
        <w:t>目标</w:t>
      </w:r>
    </w:p>
    <w:p w:rsidR="004B4777" w:rsidRDefault="004B4777">
      <w:pPr>
        <w:ind w:firstLine="480"/>
        <w:rPr>
          <w:rFonts w:ascii="Times New Roman" w:hAnsi="Times New Roman"/>
        </w:rPr>
      </w:pPr>
      <w:bookmarkStart w:id="98" w:name="_Toc93978909"/>
      <w:bookmarkStart w:id="99" w:name="_Toc128882108"/>
      <w:bookmarkStart w:id="100" w:name="_Toc91326673"/>
      <w:bookmarkStart w:id="101" w:name="_Toc90088491"/>
      <w:bookmarkStart w:id="102" w:name="_Toc99253616"/>
      <w:r>
        <w:rPr>
          <w:rFonts w:ascii="Times New Roman" w:hAnsi="Times New Roman" w:hint="eastAsia"/>
        </w:rPr>
        <w:t>从现场踏勘以及查阅资料，</w:t>
      </w:r>
      <w:r>
        <w:rPr>
          <w:rFonts w:ascii="Times New Roman" w:hAnsi="Times New Roman"/>
        </w:rPr>
        <w:t>项目</w:t>
      </w:r>
      <w:r>
        <w:rPr>
          <w:rFonts w:ascii="Times New Roman" w:hAnsi="Times New Roman" w:hint="eastAsia"/>
        </w:rPr>
        <w:t>斗米咀采区位于横岭湖省级自然保护区实验区及南洞庭湖大口鲶青虾中华鳖国家级水产种质资源保护区的上游，易婆塘采区位于南洞庭湖省级自然保护区、横岭湖省级自然保护区、横岭湖湖泊湿地、南洞庭湖大口鲶青虾中华鳖国家级水产种质资源保护区及南洞庭湖银鱼三角帆蚌国家级水产种质资源保护区</w:t>
      </w:r>
      <w:r>
        <w:rPr>
          <w:rFonts w:ascii="Times New Roman" w:hAnsi="Times New Roman"/>
        </w:rPr>
        <w:t>的</w:t>
      </w:r>
      <w:r>
        <w:rPr>
          <w:rFonts w:ascii="Times New Roman" w:hAnsi="Times New Roman" w:hint="eastAsia"/>
        </w:rPr>
        <w:t>上游；斗米咀采区</w:t>
      </w:r>
      <w:r>
        <w:rPr>
          <w:rFonts w:ascii="Times New Roman" w:hAnsi="Times New Roman"/>
        </w:rPr>
        <w:t>距</w:t>
      </w:r>
      <w:r>
        <w:rPr>
          <w:rFonts w:ascii="Times New Roman" w:hAnsi="Times New Roman" w:hint="eastAsia"/>
        </w:rPr>
        <w:t>横岭湖省级自然保护区实验区和横岭湖湖泊湿地</w:t>
      </w:r>
      <w:r>
        <w:rPr>
          <w:rFonts w:ascii="Times New Roman" w:hAnsi="Times New Roman"/>
        </w:rPr>
        <w:t>距离约为</w:t>
      </w:r>
      <w:r>
        <w:rPr>
          <w:rFonts w:ascii="Times New Roman" w:hAnsi="Times New Roman" w:hint="eastAsia"/>
        </w:rPr>
        <w:t>31</w:t>
      </w:r>
      <w:r>
        <w:rPr>
          <w:rFonts w:ascii="Times New Roman" w:hAnsi="Times New Roman"/>
        </w:rPr>
        <w:t>m</w:t>
      </w:r>
      <w:r>
        <w:rPr>
          <w:rFonts w:ascii="Times New Roman" w:hAnsi="Times New Roman"/>
        </w:rPr>
        <w:t>，距</w:t>
      </w:r>
      <w:r>
        <w:rPr>
          <w:rFonts w:ascii="Times New Roman" w:hAnsi="Times New Roman" w:hint="eastAsia"/>
        </w:rPr>
        <w:t>南洞庭湖大口鲶青虾中华鳖国家级水产种质资源保护区约为</w:t>
      </w:r>
      <w:r>
        <w:rPr>
          <w:rFonts w:ascii="Times New Roman" w:hAnsi="Times New Roman" w:hint="eastAsia"/>
        </w:rPr>
        <w:t>385m</w:t>
      </w:r>
      <w:r>
        <w:rPr>
          <w:rFonts w:ascii="Times New Roman" w:hAnsi="Times New Roman" w:hint="eastAsia"/>
        </w:rPr>
        <w:t>，并相隔一段防洪大堤；易婆塘采区</w:t>
      </w:r>
      <w:r>
        <w:rPr>
          <w:rFonts w:ascii="Times New Roman" w:hAnsi="Times New Roman"/>
        </w:rPr>
        <w:t>距</w:t>
      </w:r>
      <w:r>
        <w:rPr>
          <w:rFonts w:ascii="Times New Roman" w:hAnsi="Times New Roman" w:hint="eastAsia"/>
        </w:rPr>
        <w:t>横岭湖省级自然保护区实验区和横岭湖湖泊湿地最近约为</w:t>
      </w:r>
      <w:r>
        <w:rPr>
          <w:rFonts w:ascii="Times New Roman" w:hAnsi="Times New Roman" w:hint="eastAsia"/>
        </w:rPr>
        <w:t>103m</w:t>
      </w:r>
      <w:r>
        <w:rPr>
          <w:rFonts w:ascii="Times New Roman" w:hAnsi="Times New Roman" w:hint="eastAsia"/>
        </w:rPr>
        <w:t>，南洞庭湖银鱼三角帆蚌国家级水产种质资源保护区</w:t>
      </w:r>
      <w:r>
        <w:rPr>
          <w:rFonts w:ascii="Times New Roman" w:hAnsi="Times New Roman"/>
        </w:rPr>
        <w:t>距离约为</w:t>
      </w:r>
      <w:r>
        <w:rPr>
          <w:rFonts w:ascii="Times New Roman" w:hAnsi="Times New Roman" w:hint="eastAsia"/>
        </w:rPr>
        <w:t>103</w:t>
      </w:r>
      <w:r>
        <w:rPr>
          <w:rFonts w:ascii="Times New Roman" w:hAnsi="Times New Roman"/>
        </w:rPr>
        <w:t>m</w:t>
      </w:r>
      <w:r>
        <w:rPr>
          <w:rFonts w:ascii="Times New Roman" w:hAnsi="Times New Roman"/>
        </w:rPr>
        <w:t>，</w:t>
      </w:r>
      <w:r>
        <w:rPr>
          <w:rFonts w:ascii="Times New Roman" w:hAnsi="Times New Roman" w:hint="eastAsia"/>
        </w:rPr>
        <w:t>南洞庭湖省级自然保护区实验区</w:t>
      </w:r>
      <w:r>
        <w:rPr>
          <w:rFonts w:ascii="Times New Roman" w:hAnsi="Times New Roman"/>
        </w:rPr>
        <w:t>距离约为</w:t>
      </w:r>
      <w:r>
        <w:rPr>
          <w:rFonts w:ascii="Times New Roman" w:hAnsi="Times New Roman" w:hint="eastAsia"/>
        </w:rPr>
        <w:t>749</w:t>
      </w:r>
      <w:r>
        <w:rPr>
          <w:rFonts w:ascii="Times New Roman" w:hAnsi="Times New Roman"/>
        </w:rPr>
        <w:t>m</w:t>
      </w:r>
      <w:r>
        <w:rPr>
          <w:rFonts w:ascii="Times New Roman" w:hAnsi="Times New Roman"/>
        </w:rPr>
        <w:t>，</w:t>
      </w:r>
      <w:r>
        <w:rPr>
          <w:rFonts w:ascii="Times New Roman" w:hAnsi="Times New Roman" w:hint="eastAsia"/>
        </w:rPr>
        <w:t>南洞庭湖大口鲶青虾中华鳖国家级水产种质资源保护区</w:t>
      </w:r>
      <w:r>
        <w:rPr>
          <w:rFonts w:ascii="Times New Roman" w:hAnsi="Times New Roman"/>
        </w:rPr>
        <w:t>距离约为</w:t>
      </w:r>
      <w:r>
        <w:rPr>
          <w:rFonts w:ascii="Times New Roman" w:hAnsi="Times New Roman" w:hint="eastAsia"/>
        </w:rPr>
        <w:t>2.3k</w:t>
      </w:r>
      <w:r>
        <w:rPr>
          <w:rFonts w:ascii="Times New Roman" w:hAnsi="Times New Roman"/>
        </w:rPr>
        <w:t>m</w:t>
      </w:r>
      <w:r>
        <w:rPr>
          <w:rFonts w:ascii="Times New Roman" w:hAnsi="Times New Roman"/>
        </w:rPr>
        <w:t>，</w:t>
      </w:r>
      <w:r>
        <w:rPr>
          <w:rFonts w:ascii="Times New Roman" w:hAnsi="Times New Roman" w:hint="eastAsia"/>
        </w:rPr>
        <w:t>评价范围内的环境保护目标及相对位置见表</w:t>
      </w:r>
      <w:r>
        <w:rPr>
          <w:rFonts w:ascii="Times New Roman" w:hAnsi="Times New Roman" w:hint="eastAsia"/>
        </w:rPr>
        <w:t>2.6-1</w:t>
      </w:r>
      <w:r>
        <w:rPr>
          <w:rFonts w:ascii="Times New Roman" w:hAnsi="Times New Roman" w:hint="eastAsia"/>
        </w:rPr>
        <w:t>至表</w:t>
      </w:r>
      <w:r>
        <w:rPr>
          <w:rFonts w:ascii="Times New Roman" w:hAnsi="Times New Roman" w:hint="eastAsia"/>
        </w:rPr>
        <w:t>2.6-5</w:t>
      </w:r>
      <w:r>
        <w:rPr>
          <w:rFonts w:ascii="Times New Roman" w:hAnsi="Times New Roman" w:hint="eastAsia"/>
        </w:rPr>
        <w:t>，项目与上述保护区的位置关系见附图</w:t>
      </w:r>
      <w:r>
        <w:rPr>
          <w:rFonts w:ascii="Times New Roman" w:hAnsi="Times New Roman" w:hint="eastAsia"/>
        </w:rPr>
        <w:t>9</w:t>
      </w:r>
      <w:r>
        <w:rPr>
          <w:rFonts w:ascii="Times New Roman" w:hAnsi="Times New Roman" w:hint="eastAsia"/>
        </w:rPr>
        <w:t>。</w:t>
      </w:r>
    </w:p>
    <w:p w:rsidR="004B4777" w:rsidRDefault="004B4777">
      <w:pPr>
        <w:ind w:firstLineChars="0" w:firstLine="0"/>
        <w:jc w:val="center"/>
        <w:rPr>
          <w:rFonts w:ascii="Times New Roman" w:hAnsi="Times New Roman"/>
          <w:b/>
          <w:szCs w:val="28"/>
          <w:u w:val="single"/>
        </w:rPr>
      </w:pPr>
      <w:r>
        <w:rPr>
          <w:rFonts w:ascii="Times New Roman" w:hAnsi="Times New Roman"/>
          <w:b/>
          <w:szCs w:val="28"/>
          <w:u w:val="single"/>
        </w:rPr>
        <w:t>表</w:t>
      </w:r>
      <w:r>
        <w:rPr>
          <w:rFonts w:ascii="Times New Roman" w:hAnsi="Times New Roman"/>
          <w:b/>
          <w:szCs w:val="28"/>
          <w:u w:val="single"/>
        </w:rPr>
        <w:t xml:space="preserve">2.6-1    </w:t>
      </w:r>
      <w:r>
        <w:rPr>
          <w:rFonts w:ascii="Times New Roman" w:hAnsi="Times New Roman"/>
          <w:b/>
          <w:szCs w:val="28"/>
          <w:u w:val="single"/>
        </w:rPr>
        <w:t>项目</w:t>
      </w:r>
      <w:r>
        <w:rPr>
          <w:rFonts w:ascii="Times New Roman" w:hAnsi="Times New Roman" w:hint="eastAsia"/>
          <w:b/>
          <w:szCs w:val="28"/>
          <w:u w:val="single"/>
        </w:rPr>
        <w:t>环境空气</w:t>
      </w:r>
      <w:r>
        <w:rPr>
          <w:rFonts w:ascii="Times New Roman" w:hAnsi="Times New Roman"/>
          <w:b/>
          <w:szCs w:val="28"/>
          <w:u w:val="single"/>
        </w:rPr>
        <w:t>主要保护目标一览表</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409"/>
        <w:gridCol w:w="852"/>
        <w:gridCol w:w="849"/>
        <w:gridCol w:w="1418"/>
        <w:gridCol w:w="2317"/>
      </w:tblGrid>
      <w:tr w:rsidR="004B4777">
        <w:trPr>
          <w:trHeight w:val="397"/>
        </w:trPr>
        <w:tc>
          <w:tcPr>
            <w:tcW w:w="141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类型</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环境保护目标</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方位</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距离（</w:t>
            </w:r>
            <w:r>
              <w:rPr>
                <w:rFonts w:ascii="Times New Roman" w:hAnsi="Times New Roman"/>
                <w:color w:val="000000"/>
                <w:sz w:val="21"/>
                <w:szCs w:val="21"/>
                <w:u w:val="single"/>
              </w:rPr>
              <w:t>m</w:t>
            </w:r>
            <w:r>
              <w:rPr>
                <w:rFonts w:ascii="Times New Roman" w:hAnsi="Times New Roman"/>
                <w:color w:val="000000"/>
                <w:sz w:val="21"/>
                <w:szCs w:val="21"/>
                <w:u w:val="single"/>
              </w:rPr>
              <w:t>）</w:t>
            </w:r>
          </w:p>
        </w:tc>
        <w:tc>
          <w:tcPr>
            <w:tcW w:w="1418"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规模（人）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保护级别</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易婆塘采区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赛头中学</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205</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中学，师生人数约</w:t>
            </w:r>
            <w:r>
              <w:rPr>
                <w:rFonts w:ascii="Times New Roman" w:hAnsi="Times New Roman" w:hint="eastAsia"/>
                <w:color w:val="000000"/>
                <w:sz w:val="21"/>
                <w:szCs w:val="21"/>
                <w:u w:val="single"/>
              </w:rPr>
              <w:t>500</w:t>
            </w:r>
            <w:r>
              <w:rPr>
                <w:rFonts w:ascii="Times New Roman" w:hAnsi="Times New Roman" w:hint="eastAsia"/>
                <w:color w:val="000000"/>
                <w:sz w:val="21"/>
                <w:szCs w:val="21"/>
                <w:u w:val="single"/>
              </w:rPr>
              <w:t>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）中二级标准</w:t>
            </w:r>
          </w:p>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《声环境质量标准》</w:t>
            </w:r>
            <w:r>
              <w:rPr>
                <w:rFonts w:ascii="Times New Roman" w:hAnsi="Times New Roman" w:hint="eastAsia"/>
                <w:color w:val="000000"/>
                <w:sz w:val="21"/>
                <w:szCs w:val="21"/>
                <w:u w:val="single"/>
              </w:rPr>
              <w:t>(GB3096-2008)2</w:t>
            </w:r>
            <w:r>
              <w:rPr>
                <w:rFonts w:ascii="Times New Roman" w:hAnsi="Times New Roman" w:hint="eastAsia"/>
                <w:color w:val="000000"/>
                <w:sz w:val="21"/>
                <w:szCs w:val="21"/>
                <w:u w:val="single"/>
              </w:rPr>
              <w:t>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茈湖口镇</w:t>
            </w:r>
            <w:r>
              <w:rPr>
                <w:rFonts w:ascii="Times New Roman" w:hAnsi="Times New Roman" w:hint="eastAsia"/>
                <w:color w:val="000000"/>
                <w:sz w:val="21"/>
                <w:szCs w:val="21"/>
                <w:u w:val="single"/>
              </w:rPr>
              <w:t>(</w:t>
            </w:r>
            <w:r>
              <w:rPr>
                <w:rFonts w:ascii="Times New Roman" w:hAnsi="Times New Roman" w:hint="eastAsia"/>
                <w:color w:val="000000"/>
                <w:sz w:val="21"/>
                <w:szCs w:val="21"/>
                <w:u w:val="single"/>
              </w:rPr>
              <w:t>均安村</w:t>
            </w:r>
            <w:r>
              <w:rPr>
                <w:rFonts w:ascii="Times New Roman" w:hAnsi="Times New Roman" w:hint="eastAsia"/>
                <w:color w:val="000000"/>
                <w:sz w:val="21"/>
                <w:szCs w:val="21"/>
                <w:u w:val="single"/>
              </w:rPr>
              <w:t>)</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赛头口村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700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新坪村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2</w:t>
            </w:r>
            <w:r>
              <w:rPr>
                <w:rFonts w:ascii="Times New Roman" w:hAnsi="Times New Roman"/>
                <w:color w:val="000000"/>
                <w:sz w:val="21"/>
                <w:szCs w:val="21"/>
                <w:u w:val="single"/>
              </w:rPr>
              <w:t>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w:t>
            </w:r>
            <w:r>
              <w:rPr>
                <w:rFonts w:ascii="Times New Roman" w:hAnsi="Times New Roman"/>
                <w:color w:val="000000"/>
                <w:sz w:val="21"/>
                <w:szCs w:val="21"/>
                <w:u w:val="single"/>
              </w:rPr>
              <w:t>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易婆塘村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1</w:t>
            </w:r>
            <w:r>
              <w:rPr>
                <w:rFonts w:ascii="Times New Roman" w:hAnsi="Times New Roman"/>
                <w:color w:val="000000"/>
                <w:sz w:val="21"/>
                <w:szCs w:val="21"/>
                <w:u w:val="single"/>
              </w:rPr>
              <w:t>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108</w:t>
            </w:r>
            <w:r>
              <w:rPr>
                <w:rFonts w:ascii="Times New Roman" w:hAnsi="Times New Roman" w:hint="eastAsia"/>
                <w:color w:val="000000"/>
                <w:sz w:val="21"/>
                <w:szCs w:val="21"/>
                <w:u w:val="single"/>
              </w:rPr>
              <w:t>户，</w:t>
            </w:r>
            <w:r>
              <w:rPr>
                <w:rFonts w:ascii="Times New Roman" w:hAnsi="Times New Roman"/>
                <w:color w:val="000000"/>
                <w:sz w:val="21"/>
                <w:szCs w:val="21"/>
                <w:u w:val="single"/>
              </w:rPr>
              <w:t>540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六河口</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西北岭</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290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柳潭村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3</w:t>
            </w:r>
            <w:r>
              <w:rPr>
                <w:rFonts w:ascii="Times New Roman" w:hAnsi="Times New Roman"/>
                <w:color w:val="000000"/>
                <w:sz w:val="21"/>
                <w:szCs w:val="21"/>
                <w:u w:val="single"/>
              </w:rPr>
              <w:t>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38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190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柘头河村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230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黄口潭村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SW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陈家台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1800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均安垸</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1200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茈湖口村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1800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750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李家台子</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1800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新托垸</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黄藤山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28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曹家岭</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1100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柏树山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王家坊</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谈家坝</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2150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马家塘</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850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新屋刘家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750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汪家湾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莲塘村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750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沔湖口</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60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大山村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汊湖村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1700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鸿毛岭</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1750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大鄱村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余长村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730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70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黄家山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860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邓家汊</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回龙村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锄头山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1900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李家坪</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 xml:space="preserve"> 90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明朗山村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1940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楠竹山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明朗村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张家坊</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曾明村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36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泊洋托</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傅家台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45</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225</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东城村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980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罗家湾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1310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谯家湾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1880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 xml:space="preserve"> 90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大观塘</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2330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岭上杨家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关塘李家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1560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24</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120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关山杨家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1680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60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兰家湾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黎家山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70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桃林村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820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48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30"/>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南洞庭湖自然保护区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749</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w:t>
            </w:r>
            <w:r>
              <w:rPr>
                <w:rFonts w:ascii="Times New Roman" w:hAnsi="Times New Roman" w:hint="eastAsia"/>
                <w:color w:val="000000"/>
                <w:sz w:val="21"/>
                <w:szCs w:val="21"/>
                <w:u w:val="single"/>
              </w:rPr>
              <w:t>一</w:t>
            </w:r>
            <w:r>
              <w:rPr>
                <w:rFonts w:ascii="Times New Roman" w:hAnsi="Times New Roman"/>
                <w:color w:val="000000"/>
                <w:sz w:val="21"/>
                <w:szCs w:val="21"/>
                <w:u w:val="single"/>
              </w:rPr>
              <w:t>级标准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横岭湖自然保护区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103</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w:t>
            </w:r>
            <w:r>
              <w:rPr>
                <w:rFonts w:ascii="Times New Roman" w:hAnsi="Times New Roman" w:hint="eastAsia"/>
                <w:color w:val="000000"/>
                <w:sz w:val="21"/>
                <w:szCs w:val="21"/>
                <w:u w:val="single"/>
              </w:rPr>
              <w:t>湖泊湿地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103</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斗米咀采区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裕民</w:t>
            </w:r>
            <w:r>
              <w:rPr>
                <w:rFonts w:ascii="Times New Roman" w:hAnsi="Times New Roman"/>
                <w:color w:val="000000"/>
                <w:sz w:val="21"/>
                <w:szCs w:val="21"/>
                <w:u w:val="single"/>
              </w:rPr>
              <w:t>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）中二级标准</w:t>
            </w:r>
          </w:p>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《声环境质量标准》</w:t>
            </w:r>
            <w:r>
              <w:rPr>
                <w:rFonts w:ascii="Times New Roman" w:hAnsi="Times New Roman" w:hint="eastAsia"/>
                <w:color w:val="000000"/>
                <w:sz w:val="21"/>
                <w:szCs w:val="21"/>
                <w:u w:val="single"/>
              </w:rPr>
              <w:t>(GB3096-2008)2</w:t>
            </w:r>
            <w:r>
              <w:rPr>
                <w:rFonts w:ascii="Times New Roman" w:hAnsi="Times New Roman" w:hint="eastAsia"/>
                <w:color w:val="000000"/>
                <w:sz w:val="21"/>
                <w:szCs w:val="21"/>
                <w:u w:val="single"/>
              </w:rPr>
              <w:t>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湘临村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白泥湖乡</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850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夹河村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E</w:t>
            </w: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70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350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许家台村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横岭湖自然保护区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31</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实验区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w:t>
            </w:r>
            <w:r>
              <w:rPr>
                <w:rFonts w:ascii="Times New Roman" w:hAnsi="Times New Roman" w:hint="eastAsia"/>
                <w:color w:val="000000"/>
                <w:sz w:val="21"/>
                <w:szCs w:val="21"/>
                <w:u w:val="single"/>
              </w:rPr>
              <w:t>一</w:t>
            </w:r>
            <w:r>
              <w:rPr>
                <w:rFonts w:ascii="Times New Roman" w:hAnsi="Times New Roman"/>
                <w:color w:val="000000"/>
                <w:sz w:val="21"/>
                <w:szCs w:val="21"/>
                <w:u w:val="single"/>
              </w:rPr>
              <w:t>级标准</w:t>
            </w: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w:t>
            </w:r>
            <w:r>
              <w:rPr>
                <w:rFonts w:ascii="Times New Roman" w:hAnsi="Times New Roman" w:hint="eastAsia"/>
                <w:color w:val="000000"/>
                <w:sz w:val="21"/>
                <w:szCs w:val="21"/>
                <w:u w:val="single"/>
              </w:rPr>
              <w:t>湖泊湿地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31</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南洞庭湖大口鲶青虾中华鳖国家级水产种质资源保护区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385m</w:t>
            </w:r>
            <w:r>
              <w:rPr>
                <w:rFonts w:ascii="Times New Roman" w:hAnsi="Times New Roman" w:hint="eastAsia"/>
                <w:color w:val="000000"/>
                <w:sz w:val="21"/>
                <w:szCs w:val="21"/>
                <w:u w:val="single"/>
              </w:rPr>
              <w:t>，并相隔防洪堤</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bl>
    <w:bookmarkEnd w:id="98"/>
    <w:bookmarkEnd w:id="99"/>
    <w:bookmarkEnd w:id="100"/>
    <w:bookmarkEnd w:id="101"/>
    <w:bookmarkEnd w:id="102"/>
    <w:p w:rsidR="004B4777" w:rsidRDefault="004B4777">
      <w:pPr>
        <w:ind w:firstLineChars="0" w:firstLine="0"/>
        <w:jc w:val="center"/>
        <w:rPr>
          <w:rFonts w:ascii="Times New Roman" w:hAnsi="Times New Roman"/>
          <w:b/>
          <w:szCs w:val="28"/>
          <w:u w:val="single"/>
        </w:rPr>
      </w:pPr>
      <w:r>
        <w:rPr>
          <w:rFonts w:ascii="Times New Roman" w:hAnsi="Times New Roman"/>
          <w:b/>
          <w:szCs w:val="28"/>
          <w:u w:val="single"/>
        </w:rPr>
        <w:t>表</w:t>
      </w:r>
      <w:r>
        <w:rPr>
          <w:rFonts w:ascii="Times New Roman" w:hAnsi="Times New Roman"/>
          <w:b/>
          <w:szCs w:val="28"/>
          <w:u w:val="single"/>
        </w:rPr>
        <w:t>2.6-</w:t>
      </w:r>
      <w:r>
        <w:rPr>
          <w:rFonts w:ascii="Times New Roman" w:hAnsi="Times New Roman" w:hint="eastAsia"/>
          <w:b/>
          <w:szCs w:val="28"/>
          <w:u w:val="single"/>
        </w:rPr>
        <w:t>2</w:t>
      </w:r>
      <w:r>
        <w:rPr>
          <w:rFonts w:ascii="Times New Roman" w:hAnsi="Times New Roman"/>
          <w:b/>
          <w:szCs w:val="28"/>
          <w:u w:val="single"/>
        </w:rPr>
        <w:t xml:space="preserve">    </w:t>
      </w:r>
      <w:r>
        <w:rPr>
          <w:rFonts w:ascii="Times New Roman" w:hAnsi="Times New Roman"/>
          <w:b/>
          <w:szCs w:val="28"/>
          <w:u w:val="single"/>
        </w:rPr>
        <w:t>项目</w:t>
      </w:r>
      <w:r>
        <w:rPr>
          <w:rFonts w:ascii="Times New Roman" w:hAnsi="Times New Roman" w:hint="eastAsia"/>
          <w:b/>
          <w:szCs w:val="28"/>
          <w:u w:val="single"/>
        </w:rPr>
        <w:t>声环境</w:t>
      </w:r>
      <w:r>
        <w:rPr>
          <w:rFonts w:ascii="Times New Roman" w:hAnsi="Times New Roman"/>
          <w:b/>
          <w:szCs w:val="28"/>
          <w:u w:val="single"/>
        </w:rPr>
        <w:t>主要保护目标一览表</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409"/>
        <w:gridCol w:w="852"/>
        <w:gridCol w:w="849"/>
        <w:gridCol w:w="1418"/>
        <w:gridCol w:w="2317"/>
      </w:tblGrid>
      <w:tr w:rsidR="004B4777">
        <w:trPr>
          <w:trHeight w:val="397"/>
        </w:trPr>
        <w:tc>
          <w:tcPr>
            <w:tcW w:w="141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类型</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环境保护目标</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方位</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距离（</w:t>
            </w:r>
            <w:r>
              <w:rPr>
                <w:rFonts w:ascii="Times New Roman" w:hAnsi="Times New Roman"/>
                <w:color w:val="000000"/>
                <w:sz w:val="21"/>
                <w:szCs w:val="21"/>
                <w:u w:val="single"/>
              </w:rPr>
              <w:t>m</w:t>
            </w:r>
            <w:r>
              <w:rPr>
                <w:rFonts w:ascii="Times New Roman" w:hAnsi="Times New Roman"/>
                <w:color w:val="000000"/>
                <w:sz w:val="21"/>
                <w:szCs w:val="21"/>
                <w:u w:val="single"/>
              </w:rPr>
              <w:t>）</w:t>
            </w:r>
          </w:p>
        </w:tc>
        <w:tc>
          <w:tcPr>
            <w:tcW w:w="1418"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规模（人）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保护级别</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易婆塘采区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茈湖口镇</w:t>
            </w:r>
            <w:r>
              <w:rPr>
                <w:rFonts w:ascii="Times New Roman" w:hAnsi="Times New Roman" w:hint="eastAsia"/>
                <w:color w:val="000000"/>
                <w:sz w:val="21"/>
                <w:szCs w:val="21"/>
                <w:u w:val="single"/>
              </w:rPr>
              <w:t>(</w:t>
            </w:r>
            <w:r>
              <w:rPr>
                <w:rFonts w:ascii="Times New Roman" w:hAnsi="Times New Roman" w:hint="eastAsia"/>
                <w:color w:val="000000"/>
                <w:sz w:val="21"/>
                <w:szCs w:val="21"/>
                <w:u w:val="single"/>
              </w:rPr>
              <w:t>均安村</w:t>
            </w:r>
            <w:r>
              <w:rPr>
                <w:rFonts w:ascii="Times New Roman" w:hAnsi="Times New Roman" w:hint="eastAsia"/>
                <w:color w:val="000000"/>
                <w:sz w:val="21"/>
                <w:szCs w:val="21"/>
                <w:u w:val="single"/>
              </w:rPr>
              <w:t>)</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1000</w:t>
            </w:r>
            <w:r>
              <w:rPr>
                <w:rFonts w:ascii="Times New Roman" w:hAnsi="Times New Roman" w:hint="eastAsia"/>
                <w:color w:val="000000"/>
                <w:sz w:val="21"/>
                <w:szCs w:val="21"/>
                <w:u w:val="single"/>
              </w:rPr>
              <w:t>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《声环境质量标准》</w:t>
            </w:r>
            <w:r>
              <w:rPr>
                <w:rFonts w:ascii="Times New Roman" w:hAnsi="Times New Roman" w:hint="eastAsia"/>
                <w:color w:val="000000"/>
                <w:sz w:val="21"/>
                <w:szCs w:val="21"/>
                <w:u w:val="single"/>
              </w:rPr>
              <w:t>(GB3096-2008)2</w:t>
            </w:r>
            <w:r>
              <w:rPr>
                <w:rFonts w:ascii="Times New Roman" w:hAnsi="Times New Roman" w:hint="eastAsia"/>
                <w:color w:val="000000"/>
                <w:sz w:val="21"/>
                <w:szCs w:val="21"/>
                <w:u w:val="single"/>
              </w:rPr>
              <w:t>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赛头口村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700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斗米咀采区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裕民</w:t>
            </w:r>
            <w:r>
              <w:rPr>
                <w:rFonts w:ascii="Times New Roman" w:hAnsi="Times New Roman"/>
                <w:color w:val="000000"/>
                <w:sz w:val="21"/>
                <w:szCs w:val="21"/>
                <w:u w:val="single"/>
              </w:rPr>
              <w:t>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《声环境质量标准》</w:t>
            </w:r>
            <w:r>
              <w:rPr>
                <w:rFonts w:ascii="Times New Roman" w:hAnsi="Times New Roman" w:hint="eastAsia"/>
                <w:color w:val="000000"/>
                <w:sz w:val="21"/>
                <w:szCs w:val="21"/>
                <w:u w:val="single"/>
              </w:rPr>
              <w:t>(GB3096-2008)2</w:t>
            </w:r>
            <w:r>
              <w:rPr>
                <w:rFonts w:ascii="Times New Roman" w:hAnsi="Times New Roman" w:hint="eastAsia"/>
                <w:color w:val="000000"/>
                <w:sz w:val="21"/>
                <w:szCs w:val="21"/>
                <w:u w:val="single"/>
              </w:rPr>
              <w:t>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湘临村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bl>
    <w:p w:rsidR="004B4777" w:rsidRDefault="004B4777">
      <w:pPr>
        <w:ind w:firstLineChars="0" w:firstLine="0"/>
        <w:jc w:val="center"/>
        <w:rPr>
          <w:rFonts w:ascii="Times New Roman" w:hAnsi="Times New Roman"/>
          <w:b/>
          <w:szCs w:val="28"/>
          <w:u w:val="single"/>
        </w:rPr>
      </w:pPr>
      <w:r>
        <w:rPr>
          <w:rFonts w:ascii="Times New Roman" w:hAnsi="Times New Roman"/>
          <w:b/>
          <w:szCs w:val="28"/>
          <w:u w:val="single"/>
        </w:rPr>
        <w:t>表</w:t>
      </w:r>
      <w:r>
        <w:rPr>
          <w:rFonts w:ascii="Times New Roman" w:hAnsi="Times New Roman"/>
          <w:b/>
          <w:szCs w:val="28"/>
          <w:u w:val="single"/>
        </w:rPr>
        <w:t>2.6-</w:t>
      </w:r>
      <w:r>
        <w:rPr>
          <w:rFonts w:ascii="Times New Roman" w:hAnsi="Times New Roman" w:hint="eastAsia"/>
          <w:b/>
          <w:szCs w:val="28"/>
          <w:u w:val="single"/>
        </w:rPr>
        <w:t>3</w:t>
      </w:r>
      <w:r>
        <w:rPr>
          <w:rFonts w:ascii="Times New Roman" w:hAnsi="Times New Roman"/>
          <w:b/>
          <w:szCs w:val="28"/>
          <w:u w:val="single"/>
        </w:rPr>
        <w:t xml:space="preserve">    </w:t>
      </w:r>
      <w:r>
        <w:rPr>
          <w:rFonts w:ascii="Times New Roman" w:hAnsi="Times New Roman"/>
          <w:b/>
          <w:szCs w:val="28"/>
          <w:u w:val="single"/>
        </w:rPr>
        <w:t>项目</w:t>
      </w:r>
      <w:r>
        <w:rPr>
          <w:rFonts w:ascii="Times New Roman" w:hAnsi="Times New Roman" w:hint="eastAsia"/>
          <w:b/>
          <w:szCs w:val="28"/>
          <w:u w:val="single"/>
        </w:rPr>
        <w:t>水环境</w:t>
      </w:r>
      <w:r>
        <w:rPr>
          <w:rFonts w:ascii="Times New Roman" w:hAnsi="Times New Roman"/>
          <w:b/>
          <w:szCs w:val="28"/>
          <w:u w:val="single"/>
        </w:rPr>
        <w:t>主要保护目标一览表</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409"/>
        <w:gridCol w:w="852"/>
        <w:gridCol w:w="849"/>
        <w:gridCol w:w="1418"/>
        <w:gridCol w:w="2317"/>
      </w:tblGrid>
      <w:tr w:rsidR="004B4777">
        <w:trPr>
          <w:trHeight w:val="397"/>
        </w:trPr>
        <w:tc>
          <w:tcPr>
            <w:tcW w:w="141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类型</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环境保护目标</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方位</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距离（</w:t>
            </w:r>
            <w:r>
              <w:rPr>
                <w:rFonts w:ascii="Times New Roman" w:hAnsi="Times New Roman"/>
                <w:color w:val="000000"/>
                <w:sz w:val="21"/>
                <w:szCs w:val="21"/>
                <w:u w:val="single"/>
              </w:rPr>
              <w:t>m</w:t>
            </w:r>
            <w:r>
              <w:rPr>
                <w:rFonts w:ascii="Times New Roman" w:hAnsi="Times New Roman"/>
                <w:color w:val="000000"/>
                <w:sz w:val="21"/>
                <w:szCs w:val="21"/>
                <w:u w:val="single"/>
              </w:rPr>
              <w:t>）</w:t>
            </w:r>
          </w:p>
        </w:tc>
        <w:tc>
          <w:tcPr>
            <w:tcW w:w="1418"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规模（人）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保护级别</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易婆塘采区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柳潭水厂</w:t>
            </w: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地下水井，取水口距离防洪堤</w:t>
            </w:r>
            <w:r>
              <w:rPr>
                <w:rFonts w:ascii="Times New Roman" w:hAnsi="Times New Roman" w:hint="eastAsia"/>
                <w:color w:val="000000"/>
                <w:sz w:val="21"/>
                <w:szCs w:val="21"/>
                <w:u w:val="single"/>
              </w:rPr>
              <w:t>160m</w:t>
            </w:r>
            <w:r>
              <w:rPr>
                <w:rFonts w:ascii="Times New Roman" w:hAnsi="Times New Roman" w:hint="eastAsia"/>
                <w:color w:val="000000"/>
                <w:sz w:val="21"/>
                <w:szCs w:val="21"/>
                <w:u w:val="single"/>
              </w:rPr>
              <w:t>，水井深</w:t>
            </w:r>
            <w:r>
              <w:rPr>
                <w:rFonts w:ascii="Times New Roman" w:hAnsi="Times New Roman" w:hint="eastAsia"/>
                <w:color w:val="000000"/>
                <w:sz w:val="21"/>
                <w:szCs w:val="21"/>
                <w:u w:val="single"/>
              </w:rPr>
              <w:t>80m</w:t>
            </w:r>
            <w:r>
              <w:rPr>
                <w:rFonts w:ascii="Times New Roman" w:hAnsi="Times New Roman" w:hint="eastAsia"/>
                <w:color w:val="000000"/>
                <w:sz w:val="21"/>
                <w:szCs w:val="21"/>
                <w:u w:val="single"/>
              </w:rPr>
              <w:t>，设计取水量</w:t>
            </w:r>
            <w:r>
              <w:rPr>
                <w:rFonts w:ascii="Times New Roman" w:hAnsi="Times New Roman" w:hint="eastAsia"/>
                <w:color w:val="000000"/>
                <w:sz w:val="21"/>
                <w:szCs w:val="21"/>
                <w:u w:val="single"/>
              </w:rPr>
              <w:t>1600t/d</w:t>
            </w:r>
            <w:r>
              <w:rPr>
                <w:rFonts w:ascii="Times New Roman" w:hAnsi="Times New Roman" w:hint="eastAsia"/>
                <w:color w:val="000000"/>
                <w:sz w:val="21"/>
                <w:szCs w:val="21"/>
                <w:u w:val="single"/>
              </w:rPr>
              <w:t>，供水人口</w:t>
            </w:r>
            <w:r>
              <w:rPr>
                <w:rFonts w:ascii="Times New Roman" w:hAnsi="Times New Roman" w:hint="eastAsia"/>
                <w:color w:val="000000"/>
                <w:sz w:val="21"/>
                <w:szCs w:val="21"/>
                <w:u w:val="single"/>
              </w:rPr>
              <w:t>10175</w:t>
            </w:r>
            <w:r>
              <w:rPr>
                <w:rFonts w:ascii="Times New Roman" w:hAnsi="Times New Roman" w:hint="eastAsia"/>
                <w:color w:val="000000"/>
                <w:sz w:val="21"/>
                <w:szCs w:val="21"/>
                <w:u w:val="single"/>
              </w:rPr>
              <w:t>人，拟</w:t>
            </w:r>
            <w:r>
              <w:rPr>
                <w:rFonts w:ascii="Times New Roman" w:hAnsi="Times New Roman" w:hint="eastAsia"/>
                <w:color w:val="000000"/>
                <w:sz w:val="21"/>
                <w:szCs w:val="21"/>
                <w:u w:val="single"/>
              </w:rPr>
              <w:lastRenderedPageBreak/>
              <w:t>迁建取水口至余长村，距防洪堤约</w:t>
            </w:r>
            <w:r>
              <w:rPr>
                <w:rFonts w:ascii="Times New Roman" w:hAnsi="Times New Roman" w:hint="eastAsia"/>
                <w:color w:val="000000"/>
                <w:sz w:val="21"/>
                <w:szCs w:val="21"/>
                <w:u w:val="single"/>
              </w:rPr>
              <w:t>1130m</w:t>
            </w:r>
            <w:r>
              <w:rPr>
                <w:rFonts w:ascii="Times New Roman" w:hAnsi="Times New Roman" w:hint="eastAsia"/>
                <w:color w:val="000000"/>
                <w:sz w:val="21"/>
                <w:szCs w:val="21"/>
                <w:u w:val="single"/>
              </w:rPr>
              <w:t>。</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lastRenderedPageBreak/>
              <w:t>《地下水质量标准》</w:t>
            </w:r>
            <w:r>
              <w:rPr>
                <w:rFonts w:ascii="Times New Roman" w:hAnsi="Times New Roman" w:hint="eastAsia"/>
                <w:color w:val="000000"/>
                <w:sz w:val="21"/>
                <w:szCs w:val="21"/>
                <w:u w:val="single"/>
              </w:rPr>
              <w:t>(GB/T14848-2017)</w:t>
            </w:r>
            <w:r>
              <w:rPr>
                <w:rFonts w:ascii="Times New Roman" w:hAnsi="Times New Roman" w:hint="eastAsia"/>
                <w:color w:val="000000"/>
                <w:sz w:val="21"/>
                <w:szCs w:val="21"/>
                <w:u w:val="single"/>
              </w:rPr>
              <w:t>Ⅲ类标准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赛头水厂</w:t>
            </w: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地下水井，取水口距离防洪堤</w:t>
            </w:r>
            <w:r>
              <w:rPr>
                <w:rFonts w:ascii="Times New Roman" w:hAnsi="Times New Roman" w:hint="eastAsia"/>
                <w:color w:val="000000"/>
                <w:sz w:val="21"/>
                <w:szCs w:val="21"/>
                <w:u w:val="single"/>
              </w:rPr>
              <w:t>160m</w:t>
            </w:r>
            <w:r>
              <w:rPr>
                <w:rFonts w:ascii="Times New Roman" w:hAnsi="Times New Roman" w:hint="eastAsia"/>
                <w:color w:val="000000"/>
                <w:sz w:val="21"/>
                <w:szCs w:val="21"/>
                <w:u w:val="single"/>
              </w:rPr>
              <w:t>，水井深</w:t>
            </w:r>
            <w:r>
              <w:rPr>
                <w:rFonts w:ascii="Times New Roman" w:hAnsi="Times New Roman" w:hint="eastAsia"/>
                <w:color w:val="000000"/>
                <w:sz w:val="21"/>
                <w:szCs w:val="21"/>
                <w:u w:val="single"/>
              </w:rPr>
              <w:t>80m</w:t>
            </w:r>
            <w:r>
              <w:rPr>
                <w:rFonts w:ascii="Times New Roman" w:hAnsi="Times New Roman" w:hint="eastAsia"/>
                <w:color w:val="000000"/>
                <w:sz w:val="21"/>
                <w:szCs w:val="21"/>
                <w:u w:val="single"/>
              </w:rPr>
              <w:t>，设计取水量</w:t>
            </w:r>
            <w:r>
              <w:rPr>
                <w:rFonts w:ascii="Times New Roman" w:hAnsi="Times New Roman" w:hint="eastAsia"/>
                <w:color w:val="000000"/>
                <w:sz w:val="21"/>
                <w:szCs w:val="21"/>
                <w:u w:val="single"/>
              </w:rPr>
              <w:t>1800t/d</w:t>
            </w:r>
            <w:r>
              <w:rPr>
                <w:rFonts w:ascii="Times New Roman" w:hAnsi="Times New Roman" w:hint="eastAsia"/>
                <w:color w:val="000000"/>
                <w:sz w:val="21"/>
                <w:szCs w:val="21"/>
                <w:u w:val="single"/>
              </w:rPr>
              <w:t>，供水人口</w:t>
            </w:r>
            <w:r>
              <w:rPr>
                <w:rFonts w:ascii="Times New Roman" w:hAnsi="Times New Roman" w:hint="eastAsia"/>
                <w:color w:val="000000"/>
                <w:sz w:val="21"/>
                <w:szCs w:val="21"/>
                <w:u w:val="single"/>
              </w:rPr>
              <w:t>10492</w:t>
            </w:r>
            <w:r>
              <w:rPr>
                <w:rFonts w:ascii="Times New Roman" w:hAnsi="Times New Roman" w:hint="eastAsia"/>
                <w:color w:val="000000"/>
                <w:sz w:val="21"/>
                <w:szCs w:val="21"/>
                <w:u w:val="single"/>
              </w:rPr>
              <w:t>人，拟迁建取水口至赛头口村马家塘，距防洪堤约</w:t>
            </w:r>
            <w:r>
              <w:rPr>
                <w:rFonts w:ascii="Times New Roman" w:hAnsi="Times New Roman" w:hint="eastAsia"/>
                <w:color w:val="000000"/>
                <w:sz w:val="21"/>
                <w:szCs w:val="21"/>
                <w:u w:val="single"/>
              </w:rPr>
              <w:t>1120m</w:t>
            </w:r>
            <w:r>
              <w:rPr>
                <w:rFonts w:ascii="Times New Roman" w:hAnsi="Times New Roman" w:hint="eastAsia"/>
                <w:color w:val="000000"/>
                <w:sz w:val="21"/>
                <w:szCs w:val="21"/>
                <w:u w:val="single"/>
              </w:rPr>
              <w:t>。</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75"/>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5528" w:type="dxa"/>
            <w:gridSpan w:val="4"/>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采区上游</w:t>
            </w:r>
            <w:r>
              <w:rPr>
                <w:rFonts w:ascii="Times New Roman" w:hAnsi="Times New Roman" w:hint="eastAsia"/>
                <w:color w:val="000000"/>
                <w:sz w:val="21"/>
                <w:szCs w:val="21"/>
                <w:u w:val="single"/>
              </w:rPr>
              <w:t>0.5km</w:t>
            </w:r>
            <w:r>
              <w:rPr>
                <w:rFonts w:ascii="Times New Roman" w:hAnsi="Times New Roman" w:hint="eastAsia"/>
                <w:color w:val="000000"/>
                <w:sz w:val="21"/>
                <w:szCs w:val="21"/>
                <w:u w:val="single"/>
              </w:rPr>
              <w:t>、下游</w:t>
            </w:r>
            <w:r>
              <w:rPr>
                <w:rFonts w:ascii="Times New Roman" w:hAnsi="Times New Roman" w:hint="eastAsia"/>
                <w:color w:val="000000"/>
                <w:sz w:val="21"/>
                <w:szCs w:val="21"/>
                <w:u w:val="single"/>
              </w:rPr>
              <w:t>5km</w:t>
            </w:r>
            <w:r>
              <w:rPr>
                <w:rFonts w:ascii="Times New Roman" w:hAnsi="Times New Roman" w:hint="eastAsia"/>
                <w:color w:val="000000"/>
                <w:sz w:val="21"/>
                <w:szCs w:val="21"/>
                <w:u w:val="single"/>
              </w:rPr>
              <w:t>范围资水河段</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《地表水环境质量标准》（</w:t>
            </w:r>
            <w:r>
              <w:rPr>
                <w:rFonts w:ascii="Times New Roman" w:hAnsi="Times New Roman"/>
                <w:color w:val="000000"/>
                <w:sz w:val="21"/>
                <w:szCs w:val="21"/>
                <w:u w:val="single"/>
              </w:rPr>
              <w:t>GB3838-2002</w:t>
            </w:r>
            <w:r>
              <w:rPr>
                <w:rFonts w:ascii="Times New Roman" w:hAnsi="Times New Roman"/>
                <w:color w:val="000000"/>
                <w:sz w:val="21"/>
                <w:szCs w:val="21"/>
                <w:u w:val="single"/>
              </w:rPr>
              <w:t>）</w:t>
            </w:r>
            <w:r>
              <w:rPr>
                <w:rFonts w:ascii="Times New Roman" w:hAnsi="Times New Roman" w:cs="宋体" w:hint="eastAsia"/>
                <w:color w:val="000000"/>
                <w:sz w:val="21"/>
                <w:szCs w:val="21"/>
                <w:u w:val="single"/>
              </w:rPr>
              <w:t>Ⅲ</w:t>
            </w:r>
            <w:r>
              <w:rPr>
                <w:rFonts w:ascii="Times New Roman" w:hAnsi="Times New Roman"/>
                <w:color w:val="000000"/>
                <w:sz w:val="21"/>
                <w:szCs w:val="21"/>
                <w:u w:val="single"/>
              </w:rPr>
              <w:t>类标准</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斗米咀采区</w:t>
            </w:r>
          </w:p>
        </w:tc>
        <w:tc>
          <w:tcPr>
            <w:tcW w:w="240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湘江</w:t>
            </w: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4"/>
                <w:u w:val="single"/>
              </w:rPr>
              <w:t>工程距屈原管理区湘江湘阴段饮用水水源保护区鸡啼湖取水口约</w:t>
            </w:r>
            <w:r>
              <w:rPr>
                <w:rFonts w:ascii="Times New Roman" w:hAnsi="Times New Roman" w:hint="eastAsia"/>
                <w:color w:val="000000"/>
                <w:sz w:val="21"/>
                <w:szCs w:val="24"/>
                <w:u w:val="single"/>
              </w:rPr>
              <w:t>450m</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《地表水环境质量标准》（</w:t>
            </w:r>
            <w:r>
              <w:rPr>
                <w:rFonts w:ascii="Times New Roman" w:hAnsi="Times New Roman" w:hint="eastAsia"/>
                <w:color w:val="000000"/>
                <w:sz w:val="21"/>
                <w:szCs w:val="21"/>
                <w:u w:val="single"/>
              </w:rPr>
              <w:t>GB3838-2002</w:t>
            </w:r>
            <w:r>
              <w:rPr>
                <w:rFonts w:ascii="Times New Roman" w:hAnsi="Times New Roman" w:hint="eastAsia"/>
                <w:color w:val="000000"/>
                <w:sz w:val="21"/>
                <w:szCs w:val="21"/>
                <w:u w:val="single"/>
              </w:rPr>
              <w:t>）Ⅱ类标准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kern w:val="0"/>
                <w:sz w:val="21"/>
                <w:szCs w:val="21"/>
                <w:u w:val="single"/>
              </w:rPr>
            </w:pPr>
          </w:p>
        </w:tc>
        <w:tc>
          <w:tcPr>
            <w:tcW w:w="240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鸡啼湖取水口上游</w:t>
            </w:r>
            <w:r>
              <w:rPr>
                <w:rFonts w:ascii="Times New Roman" w:hAnsi="Times New Roman" w:hint="eastAsia"/>
                <w:color w:val="000000"/>
                <w:sz w:val="21"/>
                <w:szCs w:val="21"/>
                <w:u w:val="single"/>
              </w:rPr>
              <w:t>1km</w:t>
            </w:r>
            <w:r>
              <w:rPr>
                <w:rFonts w:ascii="Times New Roman" w:hAnsi="Times New Roman" w:hint="eastAsia"/>
                <w:color w:val="000000"/>
                <w:sz w:val="21"/>
                <w:szCs w:val="21"/>
                <w:u w:val="single"/>
              </w:rPr>
              <w:t>至下游</w:t>
            </w:r>
            <w:r>
              <w:rPr>
                <w:rFonts w:ascii="Times New Roman" w:hAnsi="Times New Roman" w:hint="eastAsia"/>
                <w:color w:val="000000"/>
                <w:sz w:val="21"/>
                <w:szCs w:val="21"/>
                <w:u w:val="single"/>
              </w:rPr>
              <w:t>100m</w:t>
            </w:r>
            <w:r>
              <w:rPr>
                <w:rFonts w:ascii="Times New Roman" w:hAnsi="Times New Roman" w:hint="eastAsia"/>
                <w:color w:val="000000"/>
                <w:sz w:val="21"/>
                <w:szCs w:val="21"/>
                <w:u w:val="single"/>
              </w:rPr>
              <w:t>为一级保护区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kern w:val="0"/>
                <w:sz w:val="21"/>
                <w:szCs w:val="21"/>
                <w:u w:val="single"/>
              </w:rPr>
            </w:pPr>
          </w:p>
        </w:tc>
        <w:tc>
          <w:tcPr>
            <w:tcW w:w="240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u w:val="single"/>
              </w:rPr>
            </w:pP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一级保护区外上游</w:t>
            </w:r>
            <w:r>
              <w:rPr>
                <w:rFonts w:ascii="Times New Roman" w:hAnsi="Times New Roman" w:hint="eastAsia"/>
                <w:color w:val="000000"/>
                <w:sz w:val="21"/>
                <w:szCs w:val="21"/>
                <w:u w:val="single"/>
              </w:rPr>
              <w:t>2km</w:t>
            </w:r>
            <w:r>
              <w:rPr>
                <w:rFonts w:ascii="Times New Roman" w:hAnsi="Times New Roman" w:hint="eastAsia"/>
                <w:color w:val="000000"/>
                <w:sz w:val="21"/>
                <w:szCs w:val="21"/>
                <w:u w:val="single"/>
              </w:rPr>
              <w:t>至下游</w:t>
            </w:r>
            <w:r>
              <w:rPr>
                <w:rFonts w:ascii="Times New Roman" w:hAnsi="Times New Roman" w:hint="eastAsia"/>
                <w:color w:val="000000"/>
                <w:sz w:val="21"/>
                <w:szCs w:val="21"/>
                <w:u w:val="single"/>
              </w:rPr>
              <w:t>200m</w:t>
            </w:r>
            <w:r>
              <w:rPr>
                <w:rFonts w:ascii="Times New Roman" w:hAnsi="Times New Roman" w:hint="eastAsia"/>
                <w:color w:val="000000"/>
                <w:sz w:val="21"/>
                <w:szCs w:val="21"/>
                <w:u w:val="single"/>
              </w:rPr>
              <w:t>为二级保护区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u w:val="single"/>
              </w:rPr>
            </w:pPr>
            <w:r>
              <w:rPr>
                <w:rFonts w:ascii="Times New Roman" w:hAnsi="Times New Roman" w:hint="eastAsia"/>
                <w:color w:val="000000"/>
                <w:sz w:val="21"/>
                <w:szCs w:val="24"/>
                <w:u w:val="single"/>
              </w:rPr>
              <w:t>《地表水环境质量标准》（</w:t>
            </w:r>
            <w:r>
              <w:rPr>
                <w:rFonts w:ascii="Times New Roman" w:hAnsi="Times New Roman" w:hint="eastAsia"/>
                <w:color w:val="000000"/>
                <w:sz w:val="21"/>
                <w:szCs w:val="24"/>
                <w:u w:val="single"/>
              </w:rPr>
              <w:t>GB3838-2002</w:t>
            </w:r>
            <w:r>
              <w:rPr>
                <w:rFonts w:ascii="Times New Roman" w:hAnsi="Times New Roman" w:hint="eastAsia"/>
                <w:color w:val="000000"/>
                <w:sz w:val="21"/>
                <w:szCs w:val="24"/>
                <w:u w:val="single"/>
              </w:rPr>
              <w:t>）</w:t>
            </w:r>
            <w:r>
              <w:rPr>
                <w:rFonts w:ascii="Times New Roman" w:hAnsi="Times New Roman" w:cs="宋体" w:hint="eastAsia"/>
                <w:color w:val="000000"/>
                <w:sz w:val="21"/>
                <w:szCs w:val="21"/>
                <w:u w:val="single"/>
              </w:rPr>
              <w:t>Ⅲ</w:t>
            </w:r>
            <w:r>
              <w:rPr>
                <w:rFonts w:ascii="Times New Roman" w:hAnsi="Times New Roman"/>
                <w:color w:val="000000"/>
                <w:sz w:val="21"/>
                <w:szCs w:val="21"/>
                <w:u w:val="single"/>
              </w:rPr>
              <w:t>类</w:t>
            </w:r>
            <w:r>
              <w:rPr>
                <w:rFonts w:ascii="Times New Roman" w:hAnsi="Times New Roman" w:hint="eastAsia"/>
                <w:color w:val="000000"/>
                <w:sz w:val="21"/>
                <w:szCs w:val="24"/>
                <w:u w:val="single"/>
              </w:rPr>
              <w:t>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kern w:val="0"/>
                <w:sz w:val="21"/>
                <w:szCs w:val="21"/>
                <w:u w:val="single"/>
              </w:rPr>
            </w:pPr>
          </w:p>
        </w:tc>
        <w:tc>
          <w:tcPr>
            <w:tcW w:w="240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u w:val="single"/>
              </w:rPr>
            </w:pP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4"/>
                <w:u w:val="single"/>
              </w:rPr>
              <w:t>采区上游</w:t>
            </w:r>
            <w:r>
              <w:rPr>
                <w:rFonts w:ascii="Times New Roman" w:hAnsi="Times New Roman" w:hint="eastAsia"/>
                <w:color w:val="000000"/>
                <w:sz w:val="21"/>
                <w:szCs w:val="24"/>
                <w:u w:val="single"/>
              </w:rPr>
              <w:t>150m</w:t>
            </w:r>
            <w:r>
              <w:rPr>
                <w:rFonts w:ascii="Times New Roman" w:hAnsi="Times New Roman" w:hint="eastAsia"/>
                <w:color w:val="000000"/>
                <w:sz w:val="21"/>
                <w:szCs w:val="24"/>
                <w:u w:val="single"/>
              </w:rPr>
              <w:t>至下游</w:t>
            </w:r>
            <w:r>
              <w:rPr>
                <w:rFonts w:ascii="Times New Roman" w:hAnsi="Times New Roman" w:hint="eastAsia"/>
                <w:color w:val="000000"/>
                <w:sz w:val="21"/>
                <w:szCs w:val="24"/>
                <w:u w:val="single"/>
              </w:rPr>
              <w:t>5km</w:t>
            </w:r>
            <w:r>
              <w:rPr>
                <w:rFonts w:ascii="Times New Roman" w:hAnsi="Times New Roman" w:hint="eastAsia"/>
                <w:color w:val="000000"/>
                <w:sz w:val="21"/>
                <w:szCs w:val="24"/>
                <w:u w:val="single"/>
              </w:rPr>
              <w:t>河段</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u w:val="single"/>
              </w:rPr>
            </w:pPr>
          </w:p>
        </w:tc>
      </w:tr>
    </w:tbl>
    <w:p w:rsidR="004B4777" w:rsidRDefault="004B4777">
      <w:pPr>
        <w:ind w:firstLineChars="0" w:firstLine="0"/>
        <w:jc w:val="center"/>
        <w:rPr>
          <w:rFonts w:ascii="Times New Roman" w:hAnsi="Times New Roman" w:hint="eastAsia"/>
          <w:b/>
          <w:szCs w:val="28"/>
          <w:u w:val="single"/>
        </w:rPr>
      </w:pPr>
      <w:r>
        <w:rPr>
          <w:rFonts w:ascii="Times New Roman" w:hAnsi="Times New Roman"/>
          <w:b/>
          <w:szCs w:val="28"/>
          <w:u w:val="single"/>
        </w:rPr>
        <w:t>表</w:t>
      </w:r>
      <w:r>
        <w:rPr>
          <w:rFonts w:ascii="Times New Roman" w:hAnsi="Times New Roman"/>
          <w:b/>
          <w:szCs w:val="28"/>
          <w:u w:val="single"/>
        </w:rPr>
        <w:t>2.6-</w:t>
      </w:r>
      <w:r>
        <w:rPr>
          <w:rFonts w:ascii="Times New Roman" w:hAnsi="Times New Roman" w:hint="eastAsia"/>
          <w:b/>
          <w:szCs w:val="28"/>
          <w:u w:val="single"/>
        </w:rPr>
        <w:t>4</w:t>
      </w:r>
      <w:r>
        <w:rPr>
          <w:rFonts w:ascii="Times New Roman" w:hAnsi="Times New Roman"/>
          <w:b/>
          <w:szCs w:val="28"/>
          <w:u w:val="single"/>
        </w:rPr>
        <w:t xml:space="preserve">    </w:t>
      </w:r>
      <w:r>
        <w:rPr>
          <w:rFonts w:ascii="Times New Roman" w:hAnsi="Times New Roman"/>
          <w:b/>
          <w:szCs w:val="28"/>
          <w:u w:val="single"/>
        </w:rPr>
        <w:t>项目</w:t>
      </w:r>
      <w:r>
        <w:rPr>
          <w:rFonts w:ascii="Times New Roman" w:hAnsi="Times New Roman" w:hint="eastAsia"/>
          <w:b/>
          <w:szCs w:val="28"/>
          <w:u w:val="single"/>
        </w:rPr>
        <w:t>生态环境</w:t>
      </w:r>
      <w:r>
        <w:rPr>
          <w:rFonts w:ascii="Times New Roman" w:hAnsi="Times New Roman"/>
          <w:b/>
          <w:szCs w:val="28"/>
          <w:u w:val="single"/>
        </w:rPr>
        <w:t>主要保护目标一览表</w:t>
      </w:r>
    </w:p>
    <w:tbl>
      <w:tblPr>
        <w:tblW w:w="0" w:type="auto"/>
        <w:jc w:val="center"/>
        <w:tblInd w:w="0" w:type="dxa"/>
        <w:tblLayout w:type="fixed"/>
        <w:tblLook w:val="0000"/>
      </w:tblPr>
      <w:tblGrid>
        <w:gridCol w:w="1385"/>
        <w:gridCol w:w="709"/>
        <w:gridCol w:w="707"/>
        <w:gridCol w:w="1841"/>
        <w:gridCol w:w="711"/>
        <w:gridCol w:w="709"/>
        <w:gridCol w:w="1231"/>
        <w:gridCol w:w="1229"/>
      </w:tblGrid>
      <w:tr w:rsidR="004B4777">
        <w:trPr>
          <w:trHeight w:val="855"/>
          <w:jc w:val="center"/>
        </w:trPr>
        <w:tc>
          <w:tcPr>
            <w:tcW w:w="1385" w:type="dxa"/>
            <w:tcBorders>
              <w:top w:val="single" w:sz="4" w:space="0" w:color="auto"/>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保护目标</w:t>
            </w:r>
          </w:p>
        </w:tc>
        <w:tc>
          <w:tcPr>
            <w:tcW w:w="709"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级别</w:t>
            </w:r>
          </w:p>
        </w:tc>
        <w:tc>
          <w:tcPr>
            <w:tcW w:w="707"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行政区域</w:t>
            </w:r>
          </w:p>
        </w:tc>
        <w:tc>
          <w:tcPr>
            <w:tcW w:w="1841"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保护对象</w:t>
            </w:r>
          </w:p>
        </w:tc>
        <w:tc>
          <w:tcPr>
            <w:tcW w:w="711"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主管部门</w:t>
            </w:r>
          </w:p>
        </w:tc>
        <w:tc>
          <w:tcPr>
            <w:tcW w:w="709"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类型</w:t>
            </w:r>
          </w:p>
        </w:tc>
        <w:tc>
          <w:tcPr>
            <w:tcW w:w="1231"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易婆塘采砂区位置关系</w:t>
            </w:r>
          </w:p>
        </w:tc>
        <w:tc>
          <w:tcPr>
            <w:tcW w:w="1229" w:type="dxa"/>
            <w:tcBorders>
              <w:top w:val="single" w:sz="4" w:space="0" w:color="auto"/>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color w:val="000000"/>
                <w:kern w:val="0"/>
                <w:sz w:val="21"/>
                <w:szCs w:val="21"/>
                <w:u w:val="single"/>
              </w:rPr>
            </w:pPr>
            <w:r>
              <w:rPr>
                <w:rFonts w:ascii="宋体" w:hAnsi="宋体" w:hint="eastAsia"/>
                <w:color w:val="000000"/>
                <w:kern w:val="0"/>
                <w:sz w:val="21"/>
                <w:szCs w:val="21"/>
                <w:u w:val="single"/>
              </w:rPr>
              <w:t>斗米咀采砂区位置关系</w:t>
            </w:r>
          </w:p>
        </w:tc>
      </w:tr>
      <w:tr w:rsidR="004B4777">
        <w:trPr>
          <w:trHeight w:val="1004"/>
          <w:jc w:val="center"/>
        </w:trPr>
        <w:tc>
          <w:tcPr>
            <w:tcW w:w="1385" w:type="dxa"/>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湖南湘阴横岭湖省级自然保护区</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省级</w:t>
            </w:r>
          </w:p>
        </w:tc>
        <w:tc>
          <w:tcPr>
            <w:tcW w:w="707"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湘阴县</w:t>
            </w:r>
          </w:p>
        </w:tc>
        <w:tc>
          <w:tcPr>
            <w:tcW w:w="184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湿地生态、濒危水禽及其栖息地</w:t>
            </w:r>
          </w:p>
        </w:tc>
        <w:tc>
          <w:tcPr>
            <w:tcW w:w="71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林业局</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内陆湿地</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103m</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31m</w:t>
            </w:r>
          </w:p>
        </w:tc>
      </w:tr>
      <w:tr w:rsidR="004B4777">
        <w:trPr>
          <w:trHeight w:val="976"/>
          <w:jc w:val="center"/>
        </w:trPr>
        <w:tc>
          <w:tcPr>
            <w:tcW w:w="1385" w:type="dxa"/>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湖南南洞庭湖省级自然保护区</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省级</w:t>
            </w:r>
          </w:p>
        </w:tc>
        <w:tc>
          <w:tcPr>
            <w:tcW w:w="707"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益阳市</w:t>
            </w:r>
          </w:p>
        </w:tc>
        <w:tc>
          <w:tcPr>
            <w:tcW w:w="184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湿地生态、濒危野生动植物及其栖息地</w:t>
            </w:r>
          </w:p>
        </w:tc>
        <w:tc>
          <w:tcPr>
            <w:tcW w:w="71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林业局</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内陆湿地</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749m</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w:t>
            </w:r>
          </w:p>
        </w:tc>
      </w:tr>
      <w:tr w:rsidR="004B4777">
        <w:trPr>
          <w:trHeight w:val="692"/>
          <w:jc w:val="center"/>
        </w:trPr>
        <w:tc>
          <w:tcPr>
            <w:tcW w:w="1385" w:type="dxa"/>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hint="eastAsia"/>
                <w:color w:val="000000"/>
                <w:kern w:val="0"/>
                <w:sz w:val="21"/>
                <w:szCs w:val="21"/>
                <w:u w:val="single"/>
              </w:rPr>
            </w:pPr>
            <w:r>
              <w:rPr>
                <w:rFonts w:ascii="宋体" w:hAnsi="宋体" w:hint="eastAsia"/>
                <w:color w:val="000000"/>
                <w:kern w:val="0"/>
                <w:sz w:val="21"/>
                <w:szCs w:val="21"/>
                <w:u w:val="single"/>
              </w:rPr>
              <w:t>横岭湖湖泊湿地</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hint="eastAsia"/>
                <w:color w:val="000000"/>
                <w:kern w:val="0"/>
                <w:sz w:val="21"/>
                <w:szCs w:val="21"/>
                <w:u w:val="single"/>
              </w:rPr>
            </w:pPr>
            <w:r>
              <w:rPr>
                <w:rFonts w:ascii="宋体" w:hAnsi="宋体" w:hint="eastAsia"/>
                <w:color w:val="000000"/>
                <w:kern w:val="0"/>
                <w:sz w:val="21"/>
                <w:szCs w:val="21"/>
                <w:u w:val="single"/>
              </w:rPr>
              <w:t>省级</w:t>
            </w:r>
          </w:p>
        </w:tc>
        <w:tc>
          <w:tcPr>
            <w:tcW w:w="707"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hint="eastAsia"/>
                <w:color w:val="000000"/>
                <w:kern w:val="0"/>
                <w:sz w:val="21"/>
                <w:szCs w:val="21"/>
                <w:u w:val="single"/>
              </w:rPr>
            </w:pPr>
            <w:r>
              <w:rPr>
                <w:rFonts w:ascii="宋体" w:hAnsi="宋体" w:hint="eastAsia"/>
                <w:color w:val="000000"/>
                <w:kern w:val="0"/>
                <w:sz w:val="21"/>
                <w:szCs w:val="21"/>
                <w:u w:val="single"/>
              </w:rPr>
              <w:t>湘阴县</w:t>
            </w:r>
          </w:p>
        </w:tc>
        <w:tc>
          <w:tcPr>
            <w:tcW w:w="184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hint="eastAsia"/>
                <w:color w:val="000000"/>
                <w:kern w:val="0"/>
                <w:sz w:val="21"/>
                <w:szCs w:val="21"/>
                <w:u w:val="single"/>
              </w:rPr>
            </w:pPr>
            <w:r>
              <w:rPr>
                <w:rFonts w:ascii="宋体" w:hAnsi="宋体" w:hint="eastAsia"/>
                <w:color w:val="000000"/>
                <w:kern w:val="0"/>
                <w:sz w:val="21"/>
                <w:szCs w:val="21"/>
                <w:u w:val="single"/>
              </w:rPr>
              <w:t>湖泊湿地生态系统</w:t>
            </w:r>
          </w:p>
        </w:tc>
        <w:tc>
          <w:tcPr>
            <w:tcW w:w="71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hint="eastAsia"/>
                <w:color w:val="000000"/>
                <w:kern w:val="0"/>
                <w:sz w:val="21"/>
                <w:szCs w:val="21"/>
                <w:u w:val="single"/>
              </w:rPr>
            </w:pPr>
            <w:r>
              <w:rPr>
                <w:rFonts w:ascii="宋体" w:hAnsi="宋体" w:hint="eastAsia"/>
                <w:color w:val="000000"/>
                <w:kern w:val="0"/>
                <w:sz w:val="21"/>
                <w:szCs w:val="21"/>
                <w:u w:val="single"/>
              </w:rPr>
              <w:t>林业局</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宋体" w:hAnsi="宋体" w:hint="eastAsia"/>
                <w:color w:val="000000"/>
                <w:kern w:val="0"/>
                <w:sz w:val="21"/>
                <w:szCs w:val="21"/>
                <w:u w:val="single"/>
              </w:rPr>
            </w:pPr>
            <w:r>
              <w:rPr>
                <w:rFonts w:ascii="宋体" w:hAnsi="宋体" w:hint="eastAsia"/>
                <w:color w:val="000000"/>
                <w:kern w:val="0"/>
                <w:sz w:val="21"/>
                <w:szCs w:val="21"/>
                <w:u w:val="single"/>
              </w:rPr>
              <w:t>湖泊湿地</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103m</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31m</w:t>
            </w:r>
          </w:p>
        </w:tc>
      </w:tr>
      <w:tr w:rsidR="004B4777">
        <w:trPr>
          <w:trHeight w:val="1710"/>
          <w:jc w:val="center"/>
        </w:trPr>
        <w:tc>
          <w:tcPr>
            <w:tcW w:w="1385" w:type="dxa"/>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南洞庭湖银鱼三角帆蚌国家级水产种质资源保护区</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国家级</w:t>
            </w:r>
          </w:p>
        </w:tc>
        <w:tc>
          <w:tcPr>
            <w:tcW w:w="707"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沅江市</w:t>
            </w:r>
          </w:p>
        </w:tc>
        <w:tc>
          <w:tcPr>
            <w:tcW w:w="184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银鱼、三角帆蚌</w:t>
            </w:r>
          </w:p>
        </w:tc>
        <w:tc>
          <w:tcPr>
            <w:tcW w:w="71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渔政局</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水生生物</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103m</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w:t>
            </w:r>
          </w:p>
        </w:tc>
      </w:tr>
      <w:tr w:rsidR="004B4777">
        <w:trPr>
          <w:trHeight w:val="1710"/>
          <w:jc w:val="center"/>
        </w:trPr>
        <w:tc>
          <w:tcPr>
            <w:tcW w:w="1385" w:type="dxa"/>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南洞庭湖大口鲶青虾中华鳖国家级水产种质资源保护区</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国家级</w:t>
            </w:r>
          </w:p>
        </w:tc>
        <w:tc>
          <w:tcPr>
            <w:tcW w:w="707"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湘阴县</w:t>
            </w:r>
          </w:p>
        </w:tc>
        <w:tc>
          <w:tcPr>
            <w:tcW w:w="184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大口鲶、青虾、中华鳖</w:t>
            </w:r>
          </w:p>
        </w:tc>
        <w:tc>
          <w:tcPr>
            <w:tcW w:w="71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渔政局</w:t>
            </w:r>
          </w:p>
        </w:tc>
        <w:tc>
          <w:tcPr>
            <w:tcW w:w="70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hint="eastAsia"/>
                <w:color w:val="000000"/>
                <w:kern w:val="0"/>
                <w:sz w:val="21"/>
                <w:szCs w:val="21"/>
                <w:u w:val="single"/>
              </w:rPr>
              <w:t>水生生物</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2300m</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385m</w:t>
            </w:r>
          </w:p>
        </w:tc>
      </w:tr>
      <w:tr w:rsidR="004B4777">
        <w:trPr>
          <w:trHeight w:val="836"/>
          <w:jc w:val="center"/>
        </w:trPr>
        <w:tc>
          <w:tcPr>
            <w:tcW w:w="6062" w:type="dxa"/>
            <w:gridSpan w:val="6"/>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FF0000"/>
                <w:sz w:val="21"/>
                <w:szCs w:val="21"/>
                <w:u w:val="single"/>
              </w:rPr>
            </w:pPr>
            <w:r>
              <w:rPr>
                <w:rFonts w:ascii="Times New Roman" w:hAnsi="Times New Roman"/>
                <w:color w:val="000000"/>
                <w:kern w:val="0"/>
                <w:sz w:val="21"/>
                <w:szCs w:val="21"/>
                <w:u w:val="single"/>
              </w:rPr>
              <w:t>国家重点保护野生动物名录</w:t>
            </w:r>
            <w:r>
              <w:rPr>
                <w:rFonts w:ascii="宋体" w:hAnsi="宋体" w:cs="宋体" w:hint="eastAsia"/>
                <w:color w:val="000000"/>
                <w:kern w:val="0"/>
                <w:sz w:val="21"/>
                <w:szCs w:val="21"/>
                <w:u w:val="single"/>
              </w:rPr>
              <w:t>Ⅱ</w:t>
            </w:r>
            <w:r>
              <w:rPr>
                <w:rFonts w:ascii="Times New Roman" w:hAnsi="Times New Roman"/>
                <w:color w:val="000000"/>
                <w:kern w:val="0"/>
                <w:sz w:val="21"/>
                <w:szCs w:val="21"/>
                <w:u w:val="single"/>
              </w:rPr>
              <w:t>级种类</w:t>
            </w:r>
            <w:r>
              <w:rPr>
                <w:rFonts w:ascii="Times New Roman" w:hAnsi="Times New Roman"/>
                <w:color w:val="000000"/>
                <w:kern w:val="0"/>
                <w:sz w:val="21"/>
                <w:szCs w:val="21"/>
                <w:u w:val="single"/>
              </w:rPr>
              <w:t>1</w:t>
            </w:r>
            <w:r>
              <w:rPr>
                <w:rFonts w:ascii="Times New Roman" w:hAnsi="Times New Roman"/>
                <w:color w:val="000000"/>
                <w:kern w:val="0"/>
                <w:sz w:val="21"/>
                <w:szCs w:val="21"/>
                <w:u w:val="single"/>
              </w:rPr>
              <w:t>种，列入《湖南省地方重点保护野生动物名录》的有</w:t>
            </w:r>
            <w:r>
              <w:rPr>
                <w:rFonts w:ascii="Times New Roman" w:hAnsi="Times New Roman"/>
                <w:color w:val="000000"/>
                <w:kern w:val="0"/>
                <w:sz w:val="21"/>
                <w:szCs w:val="21"/>
                <w:u w:val="single"/>
              </w:rPr>
              <w:t xml:space="preserve"> 13 </w:t>
            </w:r>
            <w:r>
              <w:rPr>
                <w:rFonts w:ascii="Times New Roman" w:hAnsi="Times New Roman"/>
                <w:color w:val="000000"/>
                <w:kern w:val="0"/>
                <w:sz w:val="21"/>
                <w:szCs w:val="21"/>
                <w:u w:val="single"/>
              </w:rPr>
              <w:t>种</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r>
      <w:tr w:rsidR="004B4777">
        <w:trPr>
          <w:trHeight w:val="422"/>
          <w:jc w:val="center"/>
        </w:trPr>
        <w:tc>
          <w:tcPr>
            <w:tcW w:w="6062" w:type="dxa"/>
            <w:gridSpan w:val="6"/>
            <w:tcBorders>
              <w:top w:val="nil"/>
              <w:left w:val="single" w:sz="4" w:space="0" w:color="auto"/>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宋体" w:hAnsi="宋体" w:cs="Tahoma" w:hint="eastAsia"/>
                <w:color w:val="000000"/>
                <w:sz w:val="21"/>
                <w:szCs w:val="21"/>
                <w:u w:val="single"/>
              </w:rPr>
              <w:t>鱼类“三场”及洄游通道</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r>
      <w:tr w:rsidR="004B4777">
        <w:trPr>
          <w:trHeight w:val="311"/>
          <w:jc w:val="center"/>
        </w:trPr>
        <w:tc>
          <w:tcPr>
            <w:tcW w:w="6062" w:type="dxa"/>
            <w:gridSpan w:val="6"/>
            <w:tcBorders>
              <w:top w:val="nil"/>
              <w:left w:val="single" w:sz="4" w:space="0" w:color="auto"/>
              <w:bottom w:val="single" w:sz="4" w:space="0" w:color="auto"/>
              <w:right w:val="single" w:sz="4" w:space="0" w:color="auto"/>
            </w:tcBorders>
            <w:vAlign w:val="center"/>
          </w:tcPr>
          <w:p w:rsidR="004B4777" w:rsidRDefault="004B4777">
            <w:pPr>
              <w:ind w:firstLine="420"/>
              <w:jc w:val="center"/>
              <w:rPr>
                <w:rFonts w:ascii="宋体" w:hAnsi="宋体" w:cs="Tahoma"/>
                <w:color w:val="000000"/>
                <w:sz w:val="21"/>
                <w:szCs w:val="21"/>
                <w:u w:val="single"/>
              </w:rPr>
            </w:pPr>
            <w:r>
              <w:rPr>
                <w:rFonts w:ascii="宋体" w:hAnsi="宋体" w:cs="Tahoma" w:hint="eastAsia"/>
                <w:color w:val="000000"/>
                <w:sz w:val="21"/>
                <w:szCs w:val="21"/>
                <w:u w:val="single"/>
              </w:rPr>
              <w:lastRenderedPageBreak/>
              <w:t>评价范围内（主要是采砂区所涉及陆域）的陆生动植物</w:t>
            </w:r>
          </w:p>
        </w:tc>
        <w:tc>
          <w:tcPr>
            <w:tcW w:w="1231"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c>
          <w:tcPr>
            <w:tcW w:w="1229" w:type="dxa"/>
            <w:tcBorders>
              <w:top w:val="nil"/>
              <w:left w:val="nil"/>
              <w:bottom w:val="single" w:sz="4" w:space="0" w:color="auto"/>
              <w:right w:val="single" w:sz="4" w:space="0" w:color="auto"/>
            </w:tcBorders>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r>
    </w:tbl>
    <w:p w:rsidR="004B4777" w:rsidRDefault="004B4777">
      <w:pPr>
        <w:ind w:firstLineChars="0" w:firstLine="0"/>
        <w:jc w:val="center"/>
        <w:rPr>
          <w:rFonts w:ascii="Times New Roman" w:hAnsi="Times New Roman"/>
          <w:b/>
          <w:szCs w:val="28"/>
          <w:u w:val="single"/>
        </w:rPr>
      </w:pPr>
      <w:r>
        <w:rPr>
          <w:rFonts w:ascii="Times New Roman" w:hAnsi="Times New Roman"/>
          <w:b/>
          <w:szCs w:val="28"/>
          <w:u w:val="single"/>
        </w:rPr>
        <w:t>表</w:t>
      </w:r>
      <w:r>
        <w:rPr>
          <w:rFonts w:ascii="Times New Roman" w:hAnsi="Times New Roman"/>
          <w:b/>
          <w:szCs w:val="28"/>
          <w:u w:val="single"/>
        </w:rPr>
        <w:t>2.6-</w:t>
      </w:r>
      <w:r>
        <w:rPr>
          <w:rFonts w:ascii="Times New Roman" w:hAnsi="Times New Roman" w:hint="eastAsia"/>
          <w:b/>
          <w:szCs w:val="28"/>
          <w:u w:val="single"/>
        </w:rPr>
        <w:t>5</w:t>
      </w:r>
      <w:r>
        <w:rPr>
          <w:rFonts w:ascii="Times New Roman" w:hAnsi="Times New Roman"/>
          <w:b/>
          <w:szCs w:val="28"/>
          <w:u w:val="single"/>
        </w:rPr>
        <w:t xml:space="preserve">    </w:t>
      </w:r>
      <w:r>
        <w:rPr>
          <w:rFonts w:ascii="Times New Roman" w:hAnsi="Times New Roman"/>
          <w:b/>
          <w:szCs w:val="28"/>
          <w:u w:val="single"/>
        </w:rPr>
        <w:t>项目</w:t>
      </w:r>
      <w:r>
        <w:rPr>
          <w:rFonts w:ascii="Times New Roman" w:hAnsi="Times New Roman" w:hint="eastAsia"/>
          <w:b/>
          <w:szCs w:val="28"/>
          <w:u w:val="single"/>
        </w:rPr>
        <w:t>环境风险</w:t>
      </w:r>
      <w:r>
        <w:rPr>
          <w:rFonts w:ascii="Times New Roman" w:hAnsi="Times New Roman"/>
          <w:b/>
          <w:szCs w:val="28"/>
          <w:u w:val="single"/>
        </w:rPr>
        <w:t>主要保护目标一览表</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2409"/>
        <w:gridCol w:w="852"/>
        <w:gridCol w:w="849"/>
        <w:gridCol w:w="1418"/>
        <w:gridCol w:w="2317"/>
      </w:tblGrid>
      <w:tr w:rsidR="004B4777">
        <w:trPr>
          <w:trHeight w:val="397"/>
        </w:trPr>
        <w:tc>
          <w:tcPr>
            <w:tcW w:w="141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类型</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环境保护目标</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方位</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距离（</w:t>
            </w:r>
            <w:r>
              <w:rPr>
                <w:rFonts w:ascii="Times New Roman" w:hAnsi="Times New Roman"/>
                <w:color w:val="000000"/>
                <w:sz w:val="21"/>
                <w:szCs w:val="21"/>
                <w:u w:val="single"/>
              </w:rPr>
              <w:t>m</w:t>
            </w:r>
            <w:r>
              <w:rPr>
                <w:rFonts w:ascii="Times New Roman" w:hAnsi="Times New Roman"/>
                <w:color w:val="000000"/>
                <w:sz w:val="21"/>
                <w:szCs w:val="21"/>
                <w:u w:val="single"/>
              </w:rPr>
              <w:t>）</w:t>
            </w:r>
          </w:p>
        </w:tc>
        <w:tc>
          <w:tcPr>
            <w:tcW w:w="1418"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规模（人）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保护级别</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易婆塘采区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赛头中学</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205</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中学，师生人数约</w:t>
            </w:r>
            <w:r>
              <w:rPr>
                <w:rFonts w:ascii="Times New Roman" w:hAnsi="Times New Roman" w:hint="eastAsia"/>
                <w:color w:val="000000"/>
                <w:sz w:val="21"/>
                <w:szCs w:val="21"/>
                <w:u w:val="single"/>
              </w:rPr>
              <w:t>500</w:t>
            </w:r>
            <w:r>
              <w:rPr>
                <w:rFonts w:ascii="Times New Roman" w:hAnsi="Times New Roman" w:hint="eastAsia"/>
                <w:color w:val="000000"/>
                <w:sz w:val="21"/>
                <w:szCs w:val="21"/>
                <w:u w:val="single"/>
              </w:rPr>
              <w:t>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）中二级标准</w:t>
            </w:r>
          </w:p>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《声环境质量标准》</w:t>
            </w:r>
            <w:r>
              <w:rPr>
                <w:rFonts w:ascii="Times New Roman" w:hAnsi="Times New Roman" w:hint="eastAsia"/>
                <w:color w:val="000000"/>
                <w:sz w:val="21"/>
                <w:szCs w:val="21"/>
                <w:u w:val="single"/>
              </w:rPr>
              <w:t>(GB3096-2008)2</w:t>
            </w:r>
            <w:r>
              <w:rPr>
                <w:rFonts w:ascii="Times New Roman" w:hAnsi="Times New Roman" w:hint="eastAsia"/>
                <w:color w:val="000000"/>
                <w:sz w:val="21"/>
                <w:szCs w:val="21"/>
                <w:u w:val="single"/>
              </w:rPr>
              <w:t>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茈湖口镇</w:t>
            </w:r>
            <w:r>
              <w:rPr>
                <w:rFonts w:ascii="Times New Roman" w:hAnsi="Times New Roman" w:hint="eastAsia"/>
                <w:color w:val="000000"/>
                <w:sz w:val="21"/>
                <w:szCs w:val="21"/>
                <w:u w:val="single"/>
              </w:rPr>
              <w:t>(</w:t>
            </w:r>
            <w:r>
              <w:rPr>
                <w:rFonts w:ascii="Times New Roman" w:hAnsi="Times New Roman" w:hint="eastAsia"/>
                <w:color w:val="000000"/>
                <w:sz w:val="21"/>
                <w:szCs w:val="21"/>
                <w:u w:val="single"/>
              </w:rPr>
              <w:t>均安村</w:t>
            </w:r>
            <w:r>
              <w:rPr>
                <w:rFonts w:ascii="Times New Roman" w:hAnsi="Times New Roman" w:hint="eastAsia"/>
                <w:color w:val="000000"/>
                <w:sz w:val="21"/>
                <w:szCs w:val="21"/>
                <w:u w:val="single"/>
              </w:rPr>
              <w:t>)</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赛头口村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700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新坪村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2</w:t>
            </w:r>
            <w:r>
              <w:rPr>
                <w:rFonts w:ascii="Times New Roman" w:hAnsi="Times New Roman"/>
                <w:color w:val="000000"/>
                <w:sz w:val="21"/>
                <w:szCs w:val="21"/>
                <w:u w:val="single"/>
              </w:rPr>
              <w:t>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w:t>
            </w:r>
            <w:r>
              <w:rPr>
                <w:rFonts w:ascii="Times New Roman" w:hAnsi="Times New Roman"/>
                <w:color w:val="000000"/>
                <w:sz w:val="21"/>
                <w:szCs w:val="21"/>
                <w:u w:val="single"/>
              </w:rPr>
              <w:t>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易婆塘村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1</w:t>
            </w:r>
            <w:r>
              <w:rPr>
                <w:rFonts w:ascii="Times New Roman" w:hAnsi="Times New Roman"/>
                <w:color w:val="000000"/>
                <w:sz w:val="21"/>
                <w:szCs w:val="21"/>
                <w:u w:val="single"/>
              </w:rPr>
              <w:t>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108</w:t>
            </w:r>
            <w:r>
              <w:rPr>
                <w:rFonts w:ascii="Times New Roman" w:hAnsi="Times New Roman" w:hint="eastAsia"/>
                <w:color w:val="000000"/>
                <w:sz w:val="21"/>
                <w:szCs w:val="21"/>
                <w:u w:val="single"/>
              </w:rPr>
              <w:t>户，</w:t>
            </w:r>
            <w:r>
              <w:rPr>
                <w:rFonts w:ascii="Times New Roman" w:hAnsi="Times New Roman"/>
                <w:color w:val="000000"/>
                <w:sz w:val="21"/>
                <w:szCs w:val="21"/>
                <w:u w:val="single"/>
              </w:rPr>
              <w:t>540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六河口</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西北岭</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290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柳潭村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3</w:t>
            </w:r>
            <w:r>
              <w:rPr>
                <w:rFonts w:ascii="Times New Roman" w:hAnsi="Times New Roman"/>
                <w:color w:val="000000"/>
                <w:sz w:val="21"/>
                <w:szCs w:val="21"/>
                <w:u w:val="single"/>
              </w:rPr>
              <w:t>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38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190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柘头河村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230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黄口潭村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SW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陈家台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1800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均安垸</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1200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茈湖口村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1800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750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李家台子</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1800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新托垸</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黄藤山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28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曹家岭</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1100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柏树山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王家坊</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谈家坝</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2150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马家塘</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850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新屋刘家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750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汪家湾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1500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莲塘村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750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沔湖口</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60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大山村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汊湖村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1700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鸿毛岭</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1750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30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大鄱村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余长村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730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70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黄家山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860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邓家汊</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回龙村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锄头山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1900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40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李家坪</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2</w:t>
            </w:r>
            <w:r>
              <w:rPr>
                <w:rFonts w:ascii="Times New Roman" w:hAnsi="Times New Roman" w:hint="eastAsia"/>
                <w:color w:val="000000"/>
                <w:sz w:val="21"/>
                <w:szCs w:val="21"/>
                <w:u w:val="single"/>
              </w:rPr>
              <w:t>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 xml:space="preserve"> 90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明朗山村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1940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楠竹山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明朗村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张家坊</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曾明村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36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泊洋托</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傅家台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45</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225</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东城村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980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罗家湾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1310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56</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280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谯家湾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1880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 xml:space="preserve"> 90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大观塘</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2330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岭上杨家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1300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关塘李家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1560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24</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120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关山杨家</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1680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60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兰家湾</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20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黎家山</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70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350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桃林村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NW</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820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48</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240</w:t>
            </w:r>
            <w:r>
              <w:rPr>
                <w:rFonts w:ascii="Times New Roman" w:hAnsi="Times New Roman" w:hint="eastAsia"/>
                <w:color w:val="000000"/>
                <w:sz w:val="21"/>
                <w:szCs w:val="21"/>
                <w:u w:val="single"/>
              </w:rPr>
              <w:t>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30"/>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南洞庭湖自然保护区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749</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w:t>
            </w:r>
            <w:r>
              <w:rPr>
                <w:rFonts w:ascii="Times New Roman" w:hAnsi="Times New Roman" w:hint="eastAsia"/>
                <w:color w:val="000000"/>
                <w:sz w:val="21"/>
                <w:szCs w:val="21"/>
                <w:u w:val="single"/>
              </w:rPr>
              <w:t>一</w:t>
            </w:r>
            <w:r>
              <w:rPr>
                <w:rFonts w:ascii="Times New Roman" w:hAnsi="Times New Roman"/>
                <w:color w:val="000000"/>
                <w:sz w:val="21"/>
                <w:szCs w:val="21"/>
                <w:u w:val="single"/>
              </w:rPr>
              <w:t>级标准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横岭湖自然保护区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103</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w:t>
            </w:r>
            <w:r>
              <w:rPr>
                <w:rFonts w:ascii="Times New Roman" w:hAnsi="Times New Roman" w:hint="eastAsia"/>
                <w:color w:val="000000"/>
                <w:sz w:val="21"/>
                <w:szCs w:val="21"/>
                <w:u w:val="single"/>
              </w:rPr>
              <w:t>湖泊湿地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103</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南洞庭湖大口鲶青虾中华鳖国家级水产种质资源保护区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2300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南洞庭湖银鱼三角帆蚌国家级水产种质资源保护区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r>
              <w:rPr>
                <w:rFonts w:ascii="Times New Roman" w:hAnsi="Times New Roman"/>
                <w:color w:val="000000"/>
                <w:sz w:val="21"/>
                <w:szCs w:val="21"/>
                <w:u w:val="single"/>
              </w:rPr>
              <w:t xml:space="preserve"> </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103</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柳潭水厂</w:t>
            </w: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地下水井，取水口距离防洪堤</w:t>
            </w:r>
            <w:r>
              <w:rPr>
                <w:rFonts w:ascii="Times New Roman" w:hAnsi="Times New Roman" w:hint="eastAsia"/>
                <w:color w:val="000000"/>
                <w:sz w:val="21"/>
                <w:szCs w:val="21"/>
                <w:u w:val="single"/>
              </w:rPr>
              <w:t>160m</w:t>
            </w:r>
            <w:r>
              <w:rPr>
                <w:rFonts w:ascii="Times New Roman" w:hAnsi="Times New Roman" w:hint="eastAsia"/>
                <w:color w:val="000000"/>
                <w:sz w:val="21"/>
                <w:szCs w:val="21"/>
                <w:u w:val="single"/>
              </w:rPr>
              <w:t>，水井深</w:t>
            </w:r>
            <w:r>
              <w:rPr>
                <w:rFonts w:ascii="Times New Roman" w:hAnsi="Times New Roman" w:hint="eastAsia"/>
                <w:color w:val="000000"/>
                <w:sz w:val="21"/>
                <w:szCs w:val="21"/>
                <w:u w:val="single"/>
              </w:rPr>
              <w:t>80m</w:t>
            </w:r>
            <w:r>
              <w:rPr>
                <w:rFonts w:ascii="Times New Roman" w:hAnsi="Times New Roman" w:hint="eastAsia"/>
                <w:color w:val="000000"/>
                <w:sz w:val="21"/>
                <w:szCs w:val="21"/>
                <w:u w:val="single"/>
              </w:rPr>
              <w:t>，设计取水量</w:t>
            </w:r>
            <w:r>
              <w:rPr>
                <w:rFonts w:ascii="Times New Roman" w:hAnsi="Times New Roman" w:hint="eastAsia"/>
                <w:color w:val="000000"/>
                <w:sz w:val="21"/>
                <w:szCs w:val="21"/>
                <w:u w:val="single"/>
              </w:rPr>
              <w:t>1600t/d</w:t>
            </w:r>
            <w:r>
              <w:rPr>
                <w:rFonts w:ascii="Times New Roman" w:hAnsi="Times New Roman" w:hint="eastAsia"/>
                <w:color w:val="000000"/>
                <w:sz w:val="21"/>
                <w:szCs w:val="21"/>
                <w:u w:val="single"/>
              </w:rPr>
              <w:t>，供水人口</w:t>
            </w:r>
            <w:r>
              <w:rPr>
                <w:rFonts w:ascii="Times New Roman" w:hAnsi="Times New Roman" w:hint="eastAsia"/>
                <w:color w:val="000000"/>
                <w:sz w:val="21"/>
                <w:szCs w:val="21"/>
                <w:u w:val="single"/>
              </w:rPr>
              <w:t>10175</w:t>
            </w:r>
            <w:r>
              <w:rPr>
                <w:rFonts w:ascii="Times New Roman" w:hAnsi="Times New Roman" w:hint="eastAsia"/>
                <w:color w:val="000000"/>
                <w:sz w:val="21"/>
                <w:szCs w:val="21"/>
                <w:u w:val="single"/>
              </w:rPr>
              <w:t>人，拟</w:t>
            </w:r>
            <w:r>
              <w:rPr>
                <w:rFonts w:ascii="Times New Roman" w:hAnsi="Times New Roman" w:hint="eastAsia"/>
                <w:color w:val="000000"/>
                <w:sz w:val="21"/>
                <w:szCs w:val="21"/>
                <w:u w:val="single"/>
              </w:rPr>
              <w:lastRenderedPageBreak/>
              <w:t>迁建取水口至余长村，距防洪堤约</w:t>
            </w:r>
            <w:r>
              <w:rPr>
                <w:rFonts w:ascii="Times New Roman" w:hAnsi="Times New Roman" w:hint="eastAsia"/>
                <w:color w:val="000000"/>
                <w:sz w:val="21"/>
                <w:szCs w:val="21"/>
                <w:u w:val="single"/>
              </w:rPr>
              <w:t>1130m</w:t>
            </w:r>
            <w:r>
              <w:rPr>
                <w:rFonts w:ascii="Times New Roman" w:hAnsi="Times New Roman" w:hint="eastAsia"/>
                <w:color w:val="000000"/>
                <w:sz w:val="21"/>
                <w:szCs w:val="21"/>
                <w:u w:val="single"/>
              </w:rPr>
              <w:t>。</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lastRenderedPageBreak/>
              <w:t>《地下水质量标准》</w:t>
            </w:r>
            <w:r>
              <w:rPr>
                <w:rFonts w:ascii="Times New Roman" w:hAnsi="Times New Roman" w:hint="eastAsia"/>
                <w:color w:val="000000"/>
                <w:sz w:val="21"/>
                <w:szCs w:val="21"/>
                <w:u w:val="single"/>
              </w:rPr>
              <w:t>(GB/T14848-2017)</w:t>
            </w:r>
            <w:r>
              <w:rPr>
                <w:rFonts w:ascii="Times New Roman" w:hAnsi="Times New Roman" w:hint="eastAsia"/>
                <w:color w:val="000000"/>
                <w:sz w:val="21"/>
                <w:szCs w:val="21"/>
                <w:u w:val="single"/>
              </w:rPr>
              <w:t>Ⅲ类标准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赛头水厂</w:t>
            </w: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地下水井，取水口距离防洪堤</w:t>
            </w:r>
            <w:r>
              <w:rPr>
                <w:rFonts w:ascii="Times New Roman" w:hAnsi="Times New Roman" w:hint="eastAsia"/>
                <w:color w:val="000000"/>
                <w:sz w:val="21"/>
                <w:szCs w:val="21"/>
                <w:u w:val="single"/>
              </w:rPr>
              <w:t>160m</w:t>
            </w:r>
            <w:r>
              <w:rPr>
                <w:rFonts w:ascii="Times New Roman" w:hAnsi="Times New Roman" w:hint="eastAsia"/>
                <w:color w:val="000000"/>
                <w:sz w:val="21"/>
                <w:szCs w:val="21"/>
                <w:u w:val="single"/>
              </w:rPr>
              <w:t>，水井深</w:t>
            </w:r>
            <w:r>
              <w:rPr>
                <w:rFonts w:ascii="Times New Roman" w:hAnsi="Times New Roman" w:hint="eastAsia"/>
                <w:color w:val="000000"/>
                <w:sz w:val="21"/>
                <w:szCs w:val="21"/>
                <w:u w:val="single"/>
              </w:rPr>
              <w:t>80m</w:t>
            </w:r>
            <w:r>
              <w:rPr>
                <w:rFonts w:ascii="Times New Roman" w:hAnsi="Times New Roman" w:hint="eastAsia"/>
                <w:color w:val="000000"/>
                <w:sz w:val="21"/>
                <w:szCs w:val="21"/>
                <w:u w:val="single"/>
              </w:rPr>
              <w:t>，设计取水量</w:t>
            </w:r>
            <w:r>
              <w:rPr>
                <w:rFonts w:ascii="Times New Roman" w:hAnsi="Times New Roman" w:hint="eastAsia"/>
                <w:color w:val="000000"/>
                <w:sz w:val="21"/>
                <w:szCs w:val="21"/>
                <w:u w:val="single"/>
              </w:rPr>
              <w:t>1800t/d</w:t>
            </w:r>
            <w:r>
              <w:rPr>
                <w:rFonts w:ascii="Times New Roman" w:hAnsi="Times New Roman" w:hint="eastAsia"/>
                <w:color w:val="000000"/>
                <w:sz w:val="21"/>
                <w:szCs w:val="21"/>
                <w:u w:val="single"/>
              </w:rPr>
              <w:t>，供水人口</w:t>
            </w:r>
            <w:r>
              <w:rPr>
                <w:rFonts w:ascii="Times New Roman" w:hAnsi="Times New Roman" w:hint="eastAsia"/>
                <w:color w:val="000000"/>
                <w:sz w:val="21"/>
                <w:szCs w:val="21"/>
                <w:u w:val="single"/>
              </w:rPr>
              <w:t>10492</w:t>
            </w:r>
            <w:r>
              <w:rPr>
                <w:rFonts w:ascii="Times New Roman" w:hAnsi="Times New Roman" w:hint="eastAsia"/>
                <w:color w:val="000000"/>
                <w:sz w:val="21"/>
                <w:szCs w:val="21"/>
                <w:u w:val="single"/>
              </w:rPr>
              <w:t>人，拟迁建取水口至赛头口村马家塘，距防洪堤约</w:t>
            </w:r>
            <w:r>
              <w:rPr>
                <w:rFonts w:ascii="Times New Roman" w:hAnsi="Times New Roman" w:hint="eastAsia"/>
                <w:color w:val="000000"/>
                <w:sz w:val="21"/>
                <w:szCs w:val="21"/>
                <w:u w:val="single"/>
              </w:rPr>
              <w:t>1120m</w:t>
            </w:r>
            <w:r>
              <w:rPr>
                <w:rFonts w:ascii="Times New Roman" w:hAnsi="Times New Roman" w:hint="eastAsia"/>
                <w:color w:val="000000"/>
                <w:sz w:val="21"/>
                <w:szCs w:val="21"/>
                <w:u w:val="single"/>
              </w:rPr>
              <w:t>。</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75"/>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5528" w:type="dxa"/>
            <w:gridSpan w:val="4"/>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采区上游</w:t>
            </w:r>
            <w:r>
              <w:rPr>
                <w:rFonts w:ascii="Times New Roman" w:hAnsi="Times New Roman" w:hint="eastAsia"/>
                <w:color w:val="000000"/>
                <w:sz w:val="21"/>
                <w:szCs w:val="21"/>
                <w:u w:val="single"/>
              </w:rPr>
              <w:t>0.5km</w:t>
            </w:r>
            <w:r>
              <w:rPr>
                <w:rFonts w:ascii="Times New Roman" w:hAnsi="Times New Roman" w:hint="eastAsia"/>
                <w:color w:val="000000"/>
                <w:sz w:val="21"/>
                <w:szCs w:val="21"/>
                <w:u w:val="single"/>
              </w:rPr>
              <w:t>、下游</w:t>
            </w:r>
            <w:r>
              <w:rPr>
                <w:rFonts w:ascii="Times New Roman" w:hAnsi="Times New Roman" w:hint="eastAsia"/>
                <w:color w:val="000000"/>
                <w:sz w:val="21"/>
                <w:szCs w:val="21"/>
                <w:u w:val="single"/>
              </w:rPr>
              <w:t>5km</w:t>
            </w:r>
            <w:r>
              <w:rPr>
                <w:rFonts w:ascii="Times New Roman" w:hAnsi="Times New Roman" w:hint="eastAsia"/>
                <w:color w:val="000000"/>
                <w:sz w:val="21"/>
                <w:szCs w:val="21"/>
                <w:u w:val="single"/>
              </w:rPr>
              <w:t>范围资水河段</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《地表水环境质量标准》（</w:t>
            </w:r>
            <w:r>
              <w:rPr>
                <w:rFonts w:ascii="Times New Roman" w:hAnsi="Times New Roman"/>
                <w:color w:val="000000"/>
                <w:sz w:val="21"/>
                <w:szCs w:val="21"/>
                <w:u w:val="single"/>
              </w:rPr>
              <w:t>GB3838-2002</w:t>
            </w:r>
            <w:r>
              <w:rPr>
                <w:rFonts w:ascii="Times New Roman" w:hAnsi="Times New Roman"/>
                <w:color w:val="000000"/>
                <w:sz w:val="21"/>
                <w:szCs w:val="21"/>
                <w:u w:val="single"/>
              </w:rPr>
              <w:t>）</w:t>
            </w:r>
            <w:r>
              <w:rPr>
                <w:rFonts w:ascii="Times New Roman" w:hAnsi="Times New Roman" w:cs="宋体" w:hint="eastAsia"/>
                <w:color w:val="000000"/>
                <w:sz w:val="21"/>
                <w:szCs w:val="21"/>
                <w:u w:val="single"/>
              </w:rPr>
              <w:t>Ⅲ</w:t>
            </w:r>
            <w:r>
              <w:rPr>
                <w:rFonts w:ascii="Times New Roman" w:hAnsi="Times New Roman"/>
                <w:color w:val="000000"/>
                <w:sz w:val="21"/>
                <w:szCs w:val="21"/>
                <w:u w:val="single"/>
              </w:rPr>
              <w:t>类标准</w:t>
            </w:r>
          </w:p>
        </w:tc>
      </w:tr>
      <w:tr w:rsidR="004B4777">
        <w:trPr>
          <w:trHeight w:val="397"/>
        </w:trPr>
        <w:tc>
          <w:tcPr>
            <w:tcW w:w="141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湘阴县</w:t>
            </w:r>
            <w:r>
              <w:rPr>
                <w:rFonts w:ascii="Times New Roman" w:hAnsi="Times New Roman"/>
                <w:color w:val="000000"/>
                <w:kern w:val="0"/>
                <w:sz w:val="21"/>
                <w:szCs w:val="21"/>
                <w:u w:val="single"/>
              </w:rPr>
              <w:t>斗米咀采区</w:t>
            </w: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裕民</w:t>
            </w:r>
            <w:r>
              <w:rPr>
                <w:rFonts w:ascii="Times New Roman" w:hAnsi="Times New Roman"/>
                <w:color w:val="000000"/>
                <w:sz w:val="21"/>
                <w:szCs w:val="21"/>
                <w:u w:val="single"/>
              </w:rPr>
              <w:t>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240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）中二级标准</w:t>
            </w:r>
          </w:p>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《声环境质量标准》</w:t>
            </w:r>
            <w:r>
              <w:rPr>
                <w:rFonts w:ascii="Times New Roman" w:hAnsi="Times New Roman" w:hint="eastAsia"/>
                <w:color w:val="000000"/>
                <w:sz w:val="21"/>
                <w:szCs w:val="21"/>
                <w:u w:val="single"/>
              </w:rPr>
              <w:t>(GB3096-2008)2</w:t>
            </w:r>
            <w:r>
              <w:rPr>
                <w:rFonts w:ascii="Times New Roman" w:hAnsi="Times New Roman" w:hint="eastAsia"/>
                <w:color w:val="000000"/>
                <w:sz w:val="21"/>
                <w:szCs w:val="21"/>
                <w:u w:val="single"/>
              </w:rPr>
              <w:t>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湘临村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260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80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400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白泥湖乡</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E</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850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100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500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color w:val="000000"/>
                <w:sz w:val="21"/>
                <w:szCs w:val="21"/>
                <w:u w:val="single"/>
              </w:rPr>
              <w:t>夹河村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E</w:t>
            </w:r>
            <w:r>
              <w:rPr>
                <w:rFonts w:ascii="Times New Roman" w:hAnsi="Times New Roman"/>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1600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70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350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许家台村</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S</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1650</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50</w:t>
            </w:r>
            <w:r>
              <w:rPr>
                <w:rFonts w:ascii="Times New Roman" w:hAnsi="Times New Roman" w:hint="eastAsia"/>
                <w:color w:val="000000"/>
                <w:sz w:val="21"/>
                <w:szCs w:val="21"/>
                <w:u w:val="single"/>
              </w:rPr>
              <w:t>户，</w:t>
            </w:r>
            <w:r>
              <w:rPr>
                <w:rFonts w:ascii="Times New Roman" w:hAnsi="Times New Roman" w:hint="eastAsia"/>
                <w:color w:val="000000"/>
                <w:sz w:val="21"/>
                <w:szCs w:val="21"/>
                <w:u w:val="single"/>
              </w:rPr>
              <w:t>250</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横岭湖自然保护区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31</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实验区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环境空气质量标准》（</w:t>
            </w:r>
            <w:r>
              <w:rPr>
                <w:rFonts w:ascii="Times New Roman" w:hAnsi="Times New Roman"/>
                <w:color w:val="000000"/>
                <w:sz w:val="21"/>
                <w:szCs w:val="21"/>
                <w:u w:val="single"/>
              </w:rPr>
              <w:t>GB3095-2012</w:t>
            </w:r>
            <w:r>
              <w:rPr>
                <w:rFonts w:ascii="Times New Roman" w:hAnsi="Times New Roman"/>
                <w:color w:val="000000"/>
                <w:sz w:val="21"/>
                <w:szCs w:val="21"/>
                <w:u w:val="single"/>
              </w:rPr>
              <w:t>）中</w:t>
            </w:r>
            <w:r>
              <w:rPr>
                <w:rFonts w:ascii="Times New Roman" w:hAnsi="Times New Roman" w:hint="eastAsia"/>
                <w:color w:val="000000"/>
                <w:sz w:val="21"/>
                <w:szCs w:val="21"/>
                <w:u w:val="single"/>
              </w:rPr>
              <w:t>一</w:t>
            </w:r>
            <w:r>
              <w:rPr>
                <w:rFonts w:ascii="Times New Roman" w:hAnsi="Times New Roman"/>
                <w:color w:val="000000"/>
                <w:sz w:val="21"/>
                <w:szCs w:val="21"/>
                <w:u w:val="single"/>
              </w:rPr>
              <w:t>级标准</w:t>
            </w: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color w:val="000000"/>
                <w:sz w:val="21"/>
                <w:szCs w:val="21"/>
                <w:u w:val="single"/>
              </w:rPr>
              <w:t>横岭湖</w:t>
            </w:r>
            <w:r>
              <w:rPr>
                <w:rFonts w:ascii="Times New Roman" w:hAnsi="Times New Roman" w:hint="eastAsia"/>
                <w:color w:val="000000"/>
                <w:sz w:val="21"/>
                <w:szCs w:val="21"/>
                <w:u w:val="single"/>
              </w:rPr>
              <w:t>湖泊湿地</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31</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南洞庭湖大口鲶青虾中华鳖国家级水产种质资源保护区</w:t>
            </w:r>
          </w:p>
        </w:tc>
        <w:tc>
          <w:tcPr>
            <w:tcW w:w="852"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N</w:t>
            </w:r>
          </w:p>
        </w:tc>
        <w:tc>
          <w:tcPr>
            <w:tcW w:w="849"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385m</w:t>
            </w:r>
            <w:r>
              <w:rPr>
                <w:rFonts w:ascii="Times New Roman" w:hAnsi="Times New Roman" w:hint="eastAsia"/>
                <w:color w:val="000000"/>
                <w:sz w:val="21"/>
                <w:szCs w:val="21"/>
                <w:u w:val="single"/>
              </w:rPr>
              <w:t>，并相隔防洪堤</w:t>
            </w:r>
          </w:p>
        </w:tc>
        <w:tc>
          <w:tcPr>
            <w:tcW w:w="1418" w:type="dxa"/>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实验区</w:t>
            </w:r>
          </w:p>
        </w:tc>
        <w:tc>
          <w:tcPr>
            <w:tcW w:w="2317" w:type="dxa"/>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r>
              <w:rPr>
                <w:rFonts w:ascii="Times New Roman" w:hAnsi="Times New Roman" w:hint="eastAsia"/>
                <w:color w:val="000000"/>
                <w:sz w:val="21"/>
                <w:szCs w:val="21"/>
                <w:u w:val="single"/>
              </w:rPr>
              <w:t>/</w:t>
            </w:r>
          </w:p>
        </w:tc>
      </w:tr>
      <w:tr w:rsidR="004B4777">
        <w:trPr>
          <w:trHeight w:val="397"/>
        </w:trPr>
        <w:tc>
          <w:tcPr>
            <w:tcW w:w="1419" w:type="dxa"/>
            <w:vMerge/>
            <w:vAlign w:val="center"/>
          </w:tcPr>
          <w:p w:rsidR="004B4777" w:rsidRDefault="004B4777">
            <w:pPr>
              <w:adjustRightInd w:val="0"/>
              <w:snapToGrid w:val="0"/>
              <w:spacing w:line="240" w:lineRule="auto"/>
              <w:ind w:firstLine="420"/>
              <w:jc w:val="center"/>
              <w:textAlignment w:val="baseline"/>
              <w:rPr>
                <w:rFonts w:ascii="Times New Roman" w:hAnsi="Times New Roman"/>
                <w:color w:val="000000"/>
                <w:sz w:val="21"/>
                <w:szCs w:val="21"/>
                <w:u w:val="single"/>
              </w:rPr>
            </w:pPr>
          </w:p>
        </w:tc>
        <w:tc>
          <w:tcPr>
            <w:tcW w:w="2409"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湘江</w:t>
            </w: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4"/>
                <w:u w:val="single"/>
              </w:rPr>
              <w:t>工程距屈原管理区湘江湘阴段饮用水水源保护区鸡啼湖取水口约</w:t>
            </w:r>
            <w:r>
              <w:rPr>
                <w:rFonts w:ascii="Times New Roman" w:hAnsi="Times New Roman" w:hint="eastAsia"/>
                <w:color w:val="000000"/>
                <w:sz w:val="21"/>
                <w:szCs w:val="24"/>
                <w:u w:val="single"/>
              </w:rPr>
              <w:t>450m</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1"/>
                <w:u w:val="single"/>
              </w:rPr>
            </w:pPr>
            <w:r>
              <w:rPr>
                <w:rFonts w:ascii="Times New Roman" w:hAnsi="Times New Roman" w:hint="eastAsia"/>
                <w:color w:val="000000"/>
                <w:sz w:val="21"/>
                <w:szCs w:val="21"/>
                <w:u w:val="single"/>
              </w:rPr>
              <w:t>《地表水环境质量标准》（</w:t>
            </w:r>
            <w:r>
              <w:rPr>
                <w:rFonts w:ascii="Times New Roman" w:hAnsi="Times New Roman" w:hint="eastAsia"/>
                <w:color w:val="000000"/>
                <w:sz w:val="21"/>
                <w:szCs w:val="21"/>
                <w:u w:val="single"/>
              </w:rPr>
              <w:t>GB3838-2002</w:t>
            </w:r>
            <w:r>
              <w:rPr>
                <w:rFonts w:ascii="Times New Roman" w:hAnsi="Times New Roman" w:hint="eastAsia"/>
                <w:color w:val="000000"/>
                <w:sz w:val="21"/>
                <w:szCs w:val="21"/>
                <w:u w:val="single"/>
              </w:rPr>
              <w:t>）Ⅱ类标准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kern w:val="0"/>
                <w:sz w:val="21"/>
                <w:szCs w:val="21"/>
                <w:u w:val="single"/>
              </w:rPr>
            </w:pPr>
          </w:p>
        </w:tc>
        <w:tc>
          <w:tcPr>
            <w:tcW w:w="240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color w:val="000000"/>
                <w:sz w:val="21"/>
                <w:szCs w:val="21"/>
                <w:u w:val="single"/>
              </w:rPr>
            </w:pPr>
            <w:r>
              <w:rPr>
                <w:rFonts w:ascii="Times New Roman" w:hAnsi="Times New Roman" w:hint="eastAsia"/>
                <w:color w:val="000000"/>
                <w:sz w:val="21"/>
                <w:szCs w:val="21"/>
                <w:u w:val="single"/>
              </w:rPr>
              <w:t>鸡啼湖取水口上游</w:t>
            </w:r>
            <w:r>
              <w:rPr>
                <w:rFonts w:ascii="Times New Roman" w:hAnsi="Times New Roman" w:hint="eastAsia"/>
                <w:color w:val="000000"/>
                <w:sz w:val="21"/>
                <w:szCs w:val="21"/>
                <w:u w:val="single"/>
              </w:rPr>
              <w:t>1km</w:t>
            </w:r>
            <w:r>
              <w:rPr>
                <w:rFonts w:ascii="Times New Roman" w:hAnsi="Times New Roman" w:hint="eastAsia"/>
                <w:color w:val="000000"/>
                <w:sz w:val="21"/>
                <w:szCs w:val="21"/>
                <w:u w:val="single"/>
              </w:rPr>
              <w:t>至下游</w:t>
            </w:r>
            <w:r>
              <w:rPr>
                <w:rFonts w:ascii="Times New Roman" w:hAnsi="Times New Roman" w:hint="eastAsia"/>
                <w:color w:val="000000"/>
                <w:sz w:val="21"/>
                <w:szCs w:val="21"/>
                <w:u w:val="single"/>
              </w:rPr>
              <w:t>100m</w:t>
            </w:r>
            <w:r>
              <w:rPr>
                <w:rFonts w:ascii="Times New Roman" w:hAnsi="Times New Roman" w:hint="eastAsia"/>
                <w:color w:val="000000"/>
                <w:sz w:val="21"/>
                <w:szCs w:val="21"/>
                <w:u w:val="single"/>
              </w:rPr>
              <w:t>为一级保护区</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sz w:val="21"/>
                <w:szCs w:val="21"/>
                <w:u w:val="single"/>
              </w:rPr>
            </w:pP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kern w:val="0"/>
                <w:sz w:val="21"/>
                <w:szCs w:val="21"/>
                <w:u w:val="single"/>
              </w:rPr>
            </w:pPr>
          </w:p>
        </w:tc>
        <w:tc>
          <w:tcPr>
            <w:tcW w:w="240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u w:val="single"/>
              </w:rPr>
            </w:pP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u w:val="single"/>
              </w:rPr>
            </w:pPr>
            <w:r>
              <w:rPr>
                <w:rFonts w:ascii="Times New Roman" w:hAnsi="Times New Roman" w:hint="eastAsia"/>
                <w:color w:val="000000"/>
                <w:sz w:val="21"/>
                <w:szCs w:val="21"/>
                <w:u w:val="single"/>
              </w:rPr>
              <w:t>一级保护区外上游</w:t>
            </w:r>
            <w:r>
              <w:rPr>
                <w:rFonts w:ascii="Times New Roman" w:hAnsi="Times New Roman" w:hint="eastAsia"/>
                <w:color w:val="000000"/>
                <w:sz w:val="21"/>
                <w:szCs w:val="21"/>
                <w:u w:val="single"/>
              </w:rPr>
              <w:t>2km</w:t>
            </w:r>
            <w:r>
              <w:rPr>
                <w:rFonts w:ascii="Times New Roman" w:hAnsi="Times New Roman" w:hint="eastAsia"/>
                <w:color w:val="000000"/>
                <w:sz w:val="21"/>
                <w:szCs w:val="21"/>
                <w:u w:val="single"/>
              </w:rPr>
              <w:t>至下游</w:t>
            </w:r>
            <w:r>
              <w:rPr>
                <w:rFonts w:ascii="Times New Roman" w:hAnsi="Times New Roman" w:hint="eastAsia"/>
                <w:color w:val="000000"/>
                <w:sz w:val="21"/>
                <w:szCs w:val="21"/>
                <w:u w:val="single"/>
              </w:rPr>
              <w:t>200m</w:t>
            </w:r>
            <w:r>
              <w:rPr>
                <w:rFonts w:ascii="Times New Roman" w:hAnsi="Times New Roman" w:hint="eastAsia"/>
                <w:color w:val="000000"/>
                <w:sz w:val="21"/>
                <w:szCs w:val="21"/>
                <w:u w:val="single"/>
              </w:rPr>
              <w:t>为二级保护区</w:t>
            </w:r>
          </w:p>
        </w:tc>
        <w:tc>
          <w:tcPr>
            <w:tcW w:w="2317" w:type="dxa"/>
            <w:vMerge w:val="restart"/>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u w:val="single"/>
              </w:rPr>
            </w:pPr>
            <w:r>
              <w:rPr>
                <w:rFonts w:ascii="Times New Roman" w:hAnsi="Times New Roman" w:hint="eastAsia"/>
                <w:color w:val="000000"/>
                <w:sz w:val="21"/>
                <w:szCs w:val="24"/>
                <w:u w:val="single"/>
              </w:rPr>
              <w:t>《地表水环境质量标准》（</w:t>
            </w:r>
            <w:r>
              <w:rPr>
                <w:rFonts w:ascii="Times New Roman" w:hAnsi="Times New Roman" w:hint="eastAsia"/>
                <w:color w:val="000000"/>
                <w:sz w:val="21"/>
                <w:szCs w:val="24"/>
                <w:u w:val="single"/>
              </w:rPr>
              <w:t>GB3838-2002</w:t>
            </w:r>
            <w:r>
              <w:rPr>
                <w:rFonts w:ascii="Times New Roman" w:hAnsi="Times New Roman" w:hint="eastAsia"/>
                <w:color w:val="000000"/>
                <w:sz w:val="21"/>
                <w:szCs w:val="24"/>
                <w:u w:val="single"/>
              </w:rPr>
              <w:t>）</w:t>
            </w:r>
            <w:r>
              <w:rPr>
                <w:rFonts w:ascii="Times New Roman" w:hAnsi="Times New Roman" w:cs="宋体" w:hint="eastAsia"/>
                <w:color w:val="000000"/>
                <w:sz w:val="21"/>
                <w:szCs w:val="21"/>
                <w:u w:val="single"/>
              </w:rPr>
              <w:t>Ⅲ</w:t>
            </w:r>
            <w:r>
              <w:rPr>
                <w:rFonts w:ascii="Times New Roman" w:hAnsi="Times New Roman"/>
                <w:color w:val="000000"/>
                <w:sz w:val="21"/>
                <w:szCs w:val="21"/>
                <w:u w:val="single"/>
              </w:rPr>
              <w:t>类</w:t>
            </w:r>
            <w:r>
              <w:rPr>
                <w:rFonts w:ascii="Times New Roman" w:hAnsi="Times New Roman" w:hint="eastAsia"/>
                <w:color w:val="000000"/>
                <w:sz w:val="21"/>
                <w:szCs w:val="24"/>
                <w:u w:val="single"/>
              </w:rPr>
              <w:t>标准</w:t>
            </w:r>
          </w:p>
        </w:tc>
      </w:tr>
      <w:tr w:rsidR="004B4777">
        <w:trPr>
          <w:trHeight w:val="397"/>
        </w:trPr>
        <w:tc>
          <w:tcPr>
            <w:tcW w:w="141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color w:val="000000"/>
                <w:kern w:val="0"/>
                <w:sz w:val="21"/>
                <w:szCs w:val="21"/>
              </w:rPr>
            </w:pPr>
          </w:p>
        </w:tc>
        <w:tc>
          <w:tcPr>
            <w:tcW w:w="2409"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rPr>
            </w:pPr>
          </w:p>
        </w:tc>
        <w:tc>
          <w:tcPr>
            <w:tcW w:w="3119" w:type="dxa"/>
            <w:gridSpan w:val="3"/>
            <w:vAlign w:val="center"/>
          </w:tcPr>
          <w:p w:rsidR="004B4777" w:rsidRDefault="004B4777">
            <w:pPr>
              <w:adjustRightInd w:val="0"/>
              <w:snapToGrid w:val="0"/>
              <w:spacing w:line="240" w:lineRule="auto"/>
              <w:ind w:firstLineChars="0" w:firstLine="0"/>
              <w:jc w:val="center"/>
              <w:rPr>
                <w:rFonts w:ascii="Times New Roman" w:hAnsi="Times New Roman" w:hint="eastAsia"/>
                <w:color w:val="000000"/>
                <w:sz w:val="21"/>
                <w:szCs w:val="21"/>
              </w:rPr>
            </w:pPr>
            <w:r>
              <w:rPr>
                <w:rFonts w:ascii="Times New Roman" w:hAnsi="Times New Roman" w:hint="eastAsia"/>
                <w:color w:val="000000"/>
                <w:sz w:val="21"/>
                <w:szCs w:val="24"/>
              </w:rPr>
              <w:t>采区上游</w:t>
            </w:r>
            <w:r>
              <w:rPr>
                <w:rFonts w:ascii="Times New Roman" w:hAnsi="Times New Roman" w:hint="eastAsia"/>
                <w:color w:val="000000"/>
                <w:sz w:val="21"/>
                <w:szCs w:val="24"/>
              </w:rPr>
              <w:t>150m</w:t>
            </w:r>
            <w:r>
              <w:rPr>
                <w:rFonts w:ascii="Times New Roman" w:hAnsi="Times New Roman" w:hint="eastAsia"/>
                <w:color w:val="000000"/>
                <w:sz w:val="21"/>
                <w:szCs w:val="24"/>
              </w:rPr>
              <w:t>至下游</w:t>
            </w:r>
            <w:r>
              <w:rPr>
                <w:rFonts w:ascii="Times New Roman" w:hAnsi="Times New Roman" w:hint="eastAsia"/>
                <w:color w:val="000000"/>
                <w:sz w:val="21"/>
                <w:szCs w:val="24"/>
              </w:rPr>
              <w:t>5km</w:t>
            </w:r>
            <w:r>
              <w:rPr>
                <w:rFonts w:ascii="Times New Roman" w:hAnsi="Times New Roman" w:hint="eastAsia"/>
                <w:color w:val="000000"/>
                <w:sz w:val="21"/>
                <w:szCs w:val="24"/>
              </w:rPr>
              <w:t>河段</w:t>
            </w:r>
          </w:p>
        </w:tc>
        <w:tc>
          <w:tcPr>
            <w:tcW w:w="2317" w:type="dxa"/>
            <w:vMerge/>
            <w:vAlign w:val="center"/>
          </w:tcPr>
          <w:p w:rsidR="004B4777" w:rsidRDefault="004B4777">
            <w:pPr>
              <w:adjustRightInd w:val="0"/>
              <w:snapToGrid w:val="0"/>
              <w:spacing w:line="240" w:lineRule="auto"/>
              <w:ind w:firstLineChars="0" w:firstLine="0"/>
              <w:jc w:val="center"/>
              <w:textAlignment w:val="baseline"/>
              <w:rPr>
                <w:rFonts w:ascii="Times New Roman" w:hAnsi="Times New Roman" w:hint="eastAsia"/>
                <w:color w:val="000000"/>
                <w:sz w:val="21"/>
                <w:szCs w:val="24"/>
              </w:rPr>
            </w:pPr>
          </w:p>
        </w:tc>
      </w:tr>
    </w:tbl>
    <w:p w:rsidR="004B4777" w:rsidRDefault="004B4777">
      <w:pPr>
        <w:pStyle w:val="2"/>
        <w:spacing w:before="0" w:after="0"/>
        <w:rPr>
          <w:rFonts w:ascii="Times New Roman" w:eastAsia="宋体" w:hAnsi="Times New Roman" w:hint="eastAsia"/>
          <w:b/>
          <w:sz w:val="30"/>
          <w:szCs w:val="30"/>
        </w:rPr>
      </w:pPr>
      <w:bookmarkStart w:id="103" w:name="_Toc523854018"/>
      <w:r>
        <w:rPr>
          <w:rFonts w:ascii="Times New Roman" w:eastAsia="宋体" w:hAnsi="Times New Roman"/>
          <w:b/>
          <w:sz w:val="30"/>
          <w:szCs w:val="30"/>
        </w:rPr>
        <w:t xml:space="preserve">2.7 </w:t>
      </w:r>
      <w:r>
        <w:rPr>
          <w:rFonts w:ascii="Times New Roman" w:eastAsia="宋体" w:hAnsi="Times New Roman" w:hint="eastAsia"/>
          <w:b/>
          <w:sz w:val="30"/>
          <w:szCs w:val="30"/>
        </w:rPr>
        <w:t>评价时段</w:t>
      </w:r>
      <w:bookmarkEnd w:id="103"/>
    </w:p>
    <w:p w:rsidR="004B4777" w:rsidRDefault="004B4777">
      <w:pPr>
        <w:ind w:firstLine="480"/>
        <w:rPr>
          <w:rFonts w:ascii="Times New Roman" w:hAnsi="Times New Roman"/>
        </w:rPr>
      </w:pPr>
      <w:r>
        <w:rPr>
          <w:rFonts w:ascii="Times New Roman" w:hAnsi="Times New Roman" w:hint="eastAsia"/>
        </w:rPr>
        <w:t>根据</w:t>
      </w:r>
      <w:r>
        <w:rPr>
          <w:rFonts w:ascii="Times New Roman" w:hAnsi="Times New Roman"/>
        </w:rPr>
        <w:t>《</w:t>
      </w:r>
      <w:r>
        <w:rPr>
          <w:rFonts w:ascii="Times New Roman" w:hAnsi="Times New Roman" w:hint="eastAsia"/>
        </w:rPr>
        <w:t>建设项目</w:t>
      </w:r>
      <w:r>
        <w:rPr>
          <w:rFonts w:ascii="Times New Roman" w:hAnsi="Times New Roman"/>
        </w:rPr>
        <w:t>环境影响评价技术导则</w:t>
      </w:r>
      <w:r>
        <w:rPr>
          <w:rFonts w:ascii="Times New Roman" w:hAnsi="Times New Roman"/>
        </w:rPr>
        <w:t xml:space="preserve">  </w:t>
      </w:r>
      <w:r>
        <w:rPr>
          <w:rFonts w:ascii="Times New Roman" w:hAnsi="Times New Roman"/>
        </w:rPr>
        <w:t>总纲》（</w:t>
      </w:r>
      <w:r>
        <w:rPr>
          <w:rFonts w:ascii="Times New Roman" w:hAnsi="Times New Roman"/>
        </w:rPr>
        <w:t>HJ2.1-201</w:t>
      </w:r>
      <w:r>
        <w:rPr>
          <w:rFonts w:ascii="Times New Roman" w:hAnsi="Times New Roman" w:hint="eastAsia"/>
        </w:rPr>
        <w:t>6</w:t>
      </w:r>
      <w:r>
        <w:rPr>
          <w:rFonts w:ascii="Times New Roman" w:hAnsi="Times New Roman"/>
        </w:rPr>
        <w:t>）</w:t>
      </w:r>
      <w:r>
        <w:rPr>
          <w:rFonts w:ascii="Times New Roman" w:hAnsi="Times New Roman" w:hint="eastAsia"/>
        </w:rPr>
        <w:t>，本评价工作分为三个阶段，即前期准备、调研和工作方案阶段，分析论证和预测评价阶段，环境影响评价文件编制阶段。</w:t>
      </w:r>
    </w:p>
    <w:p w:rsidR="004B4777" w:rsidRDefault="004B4777">
      <w:pPr>
        <w:ind w:firstLine="480"/>
        <w:rPr>
          <w:rFonts w:ascii="Times New Roman" w:hAnsi="Times New Roman"/>
        </w:rPr>
        <w:sectPr w:rsidR="004B4777">
          <w:pgSz w:w="11906" w:h="16838"/>
          <w:pgMar w:top="1440" w:right="1800" w:bottom="1440" w:left="1800" w:header="851" w:footer="992" w:gutter="0"/>
          <w:cols w:space="720"/>
          <w:docGrid w:type="lines" w:linePitch="312"/>
        </w:sectPr>
      </w:pPr>
    </w:p>
    <w:p w:rsidR="004B4777" w:rsidRDefault="004B4777">
      <w:pPr>
        <w:pStyle w:val="1"/>
        <w:spacing w:before="0" w:after="0" w:line="360" w:lineRule="auto"/>
        <w:rPr>
          <w:rFonts w:ascii="Times New Roman" w:eastAsia="宋体" w:hAnsi="Times New Roman"/>
          <w:b/>
          <w:sz w:val="32"/>
          <w:szCs w:val="32"/>
        </w:rPr>
      </w:pPr>
      <w:bookmarkStart w:id="104" w:name="_Toc523854019"/>
      <w:r>
        <w:rPr>
          <w:rFonts w:ascii="Times New Roman" w:eastAsia="宋体" w:hAnsi="Times New Roman"/>
          <w:b/>
          <w:sz w:val="32"/>
          <w:szCs w:val="32"/>
        </w:rPr>
        <w:lastRenderedPageBreak/>
        <w:t>第</w:t>
      </w:r>
      <w:r>
        <w:rPr>
          <w:rFonts w:ascii="Times New Roman" w:eastAsia="宋体" w:hAnsi="Times New Roman"/>
          <w:b/>
          <w:sz w:val="32"/>
          <w:szCs w:val="32"/>
        </w:rPr>
        <w:t>3</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hint="eastAsia"/>
          <w:b/>
          <w:sz w:val="32"/>
          <w:szCs w:val="32"/>
        </w:rPr>
        <w:t>工程概况</w:t>
      </w:r>
      <w:bookmarkEnd w:id="104"/>
    </w:p>
    <w:p w:rsidR="004B4777" w:rsidRDefault="004B4777">
      <w:pPr>
        <w:pStyle w:val="2"/>
        <w:spacing w:before="0" w:after="0"/>
        <w:rPr>
          <w:rFonts w:ascii="Times New Roman" w:eastAsia="宋体" w:hAnsi="Times New Roman" w:hint="eastAsia"/>
          <w:b/>
          <w:sz w:val="30"/>
          <w:szCs w:val="30"/>
        </w:rPr>
      </w:pPr>
      <w:bookmarkStart w:id="105" w:name="_Hlk481690882"/>
      <w:bookmarkStart w:id="106" w:name="_Toc523854020"/>
      <w:r>
        <w:rPr>
          <w:rFonts w:ascii="Times New Roman" w:eastAsia="宋体" w:hAnsi="Times New Roman"/>
          <w:b/>
          <w:sz w:val="30"/>
          <w:szCs w:val="30"/>
        </w:rPr>
        <w:t xml:space="preserve">3.1 </w:t>
      </w:r>
      <w:r>
        <w:rPr>
          <w:rFonts w:ascii="Times New Roman" w:eastAsia="宋体" w:hAnsi="Times New Roman" w:hint="eastAsia"/>
          <w:b/>
          <w:sz w:val="30"/>
          <w:szCs w:val="30"/>
        </w:rPr>
        <w:t>河道采砂状况</w:t>
      </w:r>
      <w:bookmarkEnd w:id="106"/>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2006</w:t>
      </w:r>
      <w:r>
        <w:rPr>
          <w:rFonts w:ascii="Times New Roman" w:hAnsi="Times New Roman" w:hint="eastAsia"/>
          <w:kern w:val="0"/>
          <w:szCs w:val="24"/>
          <w:lang w:val="en-US" w:eastAsia="zh-CN"/>
        </w:rPr>
        <w:t>年以前岳阳市河道砂石资源较为丰富，湘水、资水及洞庭湖河道砂石储量较多，且砂石质量好，河道砂石主要作为城乡群众新建房屋所用的建筑材料，也作为当地群众增加经济收入的一种来源，对河道的危害不大，随着城镇建设和交通设施建设的快速发展，建筑市场对砂石资源的需求也随之増大，部分群众由于法律意识淡薄和受经济利益的驱动，无证无序偷采、滥采、乱挖现象比较严重。近年来，岳阳市水务局对全市的河道采砂进行了统一管理，并依照《湖南省河道采砂管理办法》（湘政发【</w:t>
      </w:r>
      <w:r>
        <w:rPr>
          <w:rFonts w:ascii="Times New Roman" w:hAnsi="Times New Roman" w:hint="eastAsia"/>
          <w:kern w:val="0"/>
          <w:szCs w:val="24"/>
          <w:lang w:val="en-US" w:eastAsia="zh-CN"/>
        </w:rPr>
        <w:t>2017</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11</w:t>
      </w:r>
      <w:r>
        <w:rPr>
          <w:rFonts w:ascii="Times New Roman" w:hAnsi="Times New Roman" w:hint="eastAsia"/>
          <w:kern w:val="0"/>
          <w:szCs w:val="24"/>
          <w:lang w:val="en-US" w:eastAsia="zh-CN"/>
        </w:rPr>
        <w:t>号）有关规定，对无证采砂及偷采、乱采等非法采砂活动进行了整治，但偷采、乱采砂石行为时有发生，动态管理难度较大。</w:t>
      </w:r>
    </w:p>
    <w:p w:rsidR="004B4777" w:rsidRDefault="004B4777">
      <w:pPr>
        <w:widowControl/>
        <w:ind w:firstLine="480"/>
        <w:rPr>
          <w:rFonts w:ascii="Times New Roman" w:hAnsi="Times New Roman"/>
          <w:kern w:val="0"/>
          <w:szCs w:val="24"/>
          <w:lang w:val="en-US" w:eastAsia="zh-CN"/>
        </w:rPr>
      </w:pPr>
      <w:r>
        <w:rPr>
          <w:rFonts w:ascii="Times New Roman" w:hAnsi="Times New Roman" w:hint="eastAsia"/>
          <w:kern w:val="0"/>
          <w:szCs w:val="24"/>
          <w:lang w:val="en-US" w:eastAsia="zh-CN"/>
        </w:rPr>
        <w:t>洞庭湖大规模挖砂行为始于</w:t>
      </w:r>
      <w:r>
        <w:rPr>
          <w:rFonts w:ascii="Times New Roman" w:hAnsi="Times New Roman" w:hint="eastAsia"/>
          <w:kern w:val="0"/>
          <w:szCs w:val="24"/>
          <w:lang w:val="en-US" w:eastAsia="zh-CN"/>
        </w:rPr>
        <w:t>2006</w:t>
      </w:r>
      <w:r>
        <w:rPr>
          <w:rFonts w:ascii="Times New Roman" w:hAnsi="Times New Roman" w:hint="eastAsia"/>
          <w:kern w:val="0"/>
          <w:szCs w:val="24"/>
          <w:lang w:val="en-US" w:eastAsia="zh-CN"/>
        </w:rPr>
        <w:t>年，年采砂量由</w:t>
      </w:r>
      <w:r>
        <w:rPr>
          <w:rFonts w:ascii="Times New Roman" w:hAnsi="Times New Roman" w:hint="eastAsia"/>
          <w:kern w:val="0"/>
          <w:szCs w:val="24"/>
          <w:lang w:val="en-US" w:eastAsia="zh-CN"/>
        </w:rPr>
        <w:t>3000</w:t>
      </w:r>
      <w:r>
        <w:rPr>
          <w:rFonts w:ascii="Times New Roman" w:hAnsi="Times New Roman" w:hint="eastAsia"/>
          <w:kern w:val="0"/>
          <w:szCs w:val="24"/>
          <w:lang w:val="en-US" w:eastAsia="zh-CN"/>
        </w:rPr>
        <w:t>万吨逐年增加至</w:t>
      </w:r>
      <w:r>
        <w:rPr>
          <w:rFonts w:ascii="Times New Roman" w:hAnsi="Times New Roman" w:hint="eastAsia"/>
          <w:kern w:val="0"/>
          <w:szCs w:val="24"/>
          <w:lang w:val="en-US" w:eastAsia="zh-CN"/>
        </w:rPr>
        <w:t>2012</w:t>
      </w:r>
      <w:r>
        <w:rPr>
          <w:rFonts w:ascii="Times New Roman" w:hAnsi="Times New Roman" w:hint="eastAsia"/>
          <w:kern w:val="0"/>
          <w:szCs w:val="24"/>
          <w:lang w:val="en-US" w:eastAsia="zh-CN"/>
        </w:rPr>
        <w:t>年的</w:t>
      </w:r>
      <w:r>
        <w:rPr>
          <w:rFonts w:ascii="Times New Roman" w:hAnsi="Times New Roman" w:hint="eastAsia"/>
          <w:kern w:val="0"/>
          <w:szCs w:val="24"/>
          <w:lang w:val="en-US" w:eastAsia="zh-CN"/>
        </w:rPr>
        <w:t>2</w:t>
      </w:r>
      <w:r>
        <w:rPr>
          <w:rFonts w:ascii="Times New Roman" w:hAnsi="Times New Roman" w:hint="eastAsia"/>
          <w:kern w:val="0"/>
          <w:szCs w:val="24"/>
          <w:lang w:val="en-US" w:eastAsia="zh-CN"/>
        </w:rPr>
        <w:t>亿多吨。根据《湖南省湘、资、沅、澧干流及洞庭湖河道采砂规划</w:t>
      </w:r>
      <w:r>
        <w:rPr>
          <w:rFonts w:ascii="Times New Roman" w:hAnsi="Times New Roman" w:hint="eastAsia"/>
          <w:kern w:val="0"/>
          <w:szCs w:val="24"/>
          <w:lang w:val="en-US" w:eastAsia="zh-CN"/>
        </w:rPr>
        <w:t>2012~2016</w:t>
      </w:r>
      <w:r>
        <w:rPr>
          <w:rFonts w:ascii="Times New Roman" w:hAnsi="Times New Roman" w:hint="eastAsia"/>
          <w:kern w:val="0"/>
          <w:szCs w:val="24"/>
          <w:lang w:val="en-US" w:eastAsia="zh-CN"/>
        </w:rPr>
        <w:t>年》以及湖南省水利厅相关调整采区、采量的文件，</w:t>
      </w:r>
      <w:r>
        <w:rPr>
          <w:rFonts w:ascii="Times New Roman" w:hAnsi="Times New Roman" w:hint="eastAsia"/>
          <w:kern w:val="0"/>
          <w:szCs w:val="24"/>
          <w:lang w:val="en-US" w:eastAsia="zh-CN"/>
        </w:rPr>
        <w:t>2013~2016</w:t>
      </w:r>
      <w:r>
        <w:rPr>
          <w:rFonts w:ascii="Times New Roman" w:hAnsi="Times New Roman" w:hint="eastAsia"/>
          <w:kern w:val="0"/>
          <w:szCs w:val="24"/>
          <w:lang w:val="en-US" w:eastAsia="zh-CN"/>
        </w:rPr>
        <w:t>年我市年采砂量控制在</w:t>
      </w:r>
      <w:r>
        <w:rPr>
          <w:rFonts w:ascii="Times New Roman" w:hAnsi="Times New Roman" w:hint="eastAsia"/>
          <w:kern w:val="0"/>
          <w:szCs w:val="24"/>
          <w:lang w:val="en-US" w:eastAsia="zh-CN"/>
        </w:rPr>
        <w:t>7500</w:t>
      </w:r>
      <w:r>
        <w:rPr>
          <w:rFonts w:ascii="Times New Roman" w:hAnsi="Times New Roman" w:hint="eastAsia"/>
          <w:kern w:val="0"/>
          <w:szCs w:val="24"/>
          <w:lang w:val="en-US" w:eastAsia="zh-CN"/>
        </w:rPr>
        <w:t>万吨以内。实际采砂量自然年度见表</w:t>
      </w:r>
      <w:r>
        <w:rPr>
          <w:rFonts w:ascii="Times New Roman" w:hAnsi="Times New Roman" w:hint="eastAsia"/>
          <w:kern w:val="0"/>
          <w:szCs w:val="24"/>
          <w:lang w:val="en-US" w:eastAsia="zh-CN"/>
        </w:rPr>
        <w:t>3.1-1</w:t>
      </w:r>
      <w:r>
        <w:rPr>
          <w:rFonts w:ascii="Times New Roman" w:hAnsi="Times New Roman" w:hint="eastAsia"/>
          <w:kern w:val="0"/>
          <w:szCs w:val="24"/>
          <w:lang w:val="en-US" w:eastAsia="zh-CN"/>
        </w:rPr>
        <w:t>，合同年度见表</w:t>
      </w:r>
      <w:r>
        <w:rPr>
          <w:rFonts w:ascii="Times New Roman" w:hAnsi="Times New Roman" w:hint="eastAsia"/>
          <w:kern w:val="0"/>
          <w:szCs w:val="24"/>
          <w:lang w:val="en-US" w:eastAsia="zh-CN"/>
        </w:rPr>
        <w:t>3.1-2</w:t>
      </w:r>
      <w:r>
        <w:rPr>
          <w:rFonts w:ascii="Times New Roman" w:hAnsi="Times New Roman" w:hint="eastAsia"/>
          <w:kern w:val="0"/>
          <w:szCs w:val="24"/>
          <w:lang w:val="en-US" w:eastAsia="zh-CN"/>
        </w:rPr>
        <w:t>。</w:t>
      </w:r>
    </w:p>
    <w:p w:rsidR="004B4777" w:rsidRDefault="004B4777">
      <w:pPr>
        <w:ind w:firstLineChars="0" w:firstLine="0"/>
        <w:jc w:val="center"/>
        <w:rPr>
          <w:rFonts w:ascii="Times New Roman" w:hAnsi="Times New Roman"/>
          <w:b/>
          <w:kern w:val="0"/>
          <w:szCs w:val="24"/>
          <w:lang w:val="en-US" w:eastAsia="zh-CN"/>
        </w:rPr>
      </w:pPr>
      <w:r>
        <w:rPr>
          <w:rFonts w:ascii="Times New Roman" w:hAnsi="Times New Roman" w:hint="eastAsia"/>
          <w:b/>
          <w:kern w:val="0"/>
          <w:szCs w:val="24"/>
          <w:lang w:val="en-US" w:eastAsia="zh-CN"/>
        </w:rPr>
        <w:t>表</w:t>
      </w:r>
      <w:r>
        <w:rPr>
          <w:rFonts w:ascii="Times New Roman" w:hAnsi="Times New Roman" w:hint="eastAsia"/>
          <w:b/>
          <w:kern w:val="0"/>
          <w:szCs w:val="24"/>
          <w:lang w:val="en-US" w:eastAsia="zh-CN"/>
        </w:rPr>
        <w:t xml:space="preserve">3.1-1  </w:t>
      </w:r>
      <w:r>
        <w:rPr>
          <w:rFonts w:ascii="Times New Roman" w:hAnsi="Times New Roman" w:hint="eastAsia"/>
          <w:b/>
          <w:kern w:val="0"/>
          <w:szCs w:val="24"/>
          <w:lang w:val="en-US" w:eastAsia="zh-CN"/>
        </w:rPr>
        <w:t>岳阳市河道采砂开采量自然年度统计表（单位：万吨）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9"/>
        <w:gridCol w:w="1458"/>
        <w:gridCol w:w="1191"/>
        <w:gridCol w:w="1191"/>
        <w:gridCol w:w="1191"/>
        <w:gridCol w:w="1191"/>
        <w:gridCol w:w="1191"/>
      </w:tblGrid>
      <w:tr w:rsidR="004B4777">
        <w:trPr>
          <w:cantSplit/>
          <w:trHeight w:val="397"/>
        </w:trPr>
        <w:tc>
          <w:tcPr>
            <w:tcW w:w="2567"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县市名称</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2013</w:t>
            </w:r>
            <w:r>
              <w:rPr>
                <w:rFonts w:ascii="Times New Roman" w:hAnsi="Times New Roman"/>
                <w:kern w:val="0"/>
                <w:sz w:val="21"/>
                <w:szCs w:val="21"/>
                <w:lang w:val="en-US" w:eastAsia="zh-CN"/>
              </w:rPr>
              <w:t>年</w:t>
            </w:r>
            <w:r>
              <w:rPr>
                <w:rFonts w:ascii="Times New Roman" w:hAnsi="Times New Roman"/>
                <w:kern w:val="0"/>
                <w:sz w:val="21"/>
                <w:szCs w:val="21"/>
                <w:lang w:val="en-US" w:eastAsia="zh-CN"/>
              </w:rPr>
              <w:t xml:space="preserve">       </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2014</w:t>
            </w:r>
            <w:r>
              <w:rPr>
                <w:rFonts w:ascii="Times New Roman" w:hAnsi="Times New Roman"/>
                <w:kern w:val="0"/>
                <w:sz w:val="21"/>
                <w:szCs w:val="21"/>
                <w:lang w:val="en-US" w:eastAsia="zh-CN"/>
              </w:rPr>
              <w:t>年</w:t>
            </w:r>
            <w:r>
              <w:rPr>
                <w:rFonts w:ascii="Times New Roman" w:hAnsi="Times New Roman"/>
                <w:kern w:val="0"/>
                <w:sz w:val="21"/>
                <w:szCs w:val="21"/>
                <w:lang w:val="en-US" w:eastAsia="zh-CN"/>
              </w:rPr>
              <w:t xml:space="preserve">     </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2015</w:t>
            </w:r>
            <w:r>
              <w:rPr>
                <w:rFonts w:ascii="Times New Roman" w:hAnsi="Times New Roman"/>
                <w:kern w:val="0"/>
                <w:sz w:val="21"/>
                <w:szCs w:val="21"/>
                <w:lang w:val="en-US" w:eastAsia="zh-CN"/>
              </w:rPr>
              <w:t>年</w:t>
            </w:r>
            <w:r>
              <w:rPr>
                <w:rFonts w:ascii="Times New Roman" w:hAnsi="Times New Roman"/>
                <w:kern w:val="0"/>
                <w:sz w:val="21"/>
                <w:szCs w:val="21"/>
                <w:lang w:val="en-US" w:eastAsia="zh-CN"/>
              </w:rPr>
              <w:t xml:space="preserve">   </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2016</w:t>
            </w:r>
            <w:r>
              <w:rPr>
                <w:rFonts w:ascii="Times New Roman" w:hAnsi="Times New Roman"/>
                <w:kern w:val="0"/>
                <w:sz w:val="21"/>
                <w:szCs w:val="21"/>
                <w:lang w:val="en-US" w:eastAsia="zh-CN"/>
              </w:rPr>
              <w:t>年</w:t>
            </w:r>
            <w:r>
              <w:rPr>
                <w:rFonts w:ascii="Times New Roman" w:hAnsi="Times New Roman"/>
                <w:kern w:val="0"/>
                <w:sz w:val="21"/>
                <w:szCs w:val="21"/>
                <w:lang w:val="en-US" w:eastAsia="zh-CN"/>
              </w:rPr>
              <w:t xml:space="preserve">   </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2017</w:t>
            </w:r>
            <w:r>
              <w:rPr>
                <w:rFonts w:ascii="Times New Roman" w:hAnsi="Times New Roman"/>
                <w:kern w:val="0"/>
                <w:sz w:val="21"/>
                <w:szCs w:val="21"/>
                <w:lang w:val="en-US" w:eastAsia="zh-CN"/>
              </w:rPr>
              <w:t>年</w:t>
            </w:r>
            <w:r>
              <w:rPr>
                <w:rFonts w:ascii="Times New Roman" w:hAnsi="Times New Roman"/>
                <w:kern w:val="0"/>
                <w:sz w:val="21"/>
                <w:szCs w:val="21"/>
                <w:lang w:val="en-US" w:eastAsia="zh-CN"/>
              </w:rPr>
              <w:t xml:space="preserve"> </w:t>
            </w:r>
          </w:p>
        </w:tc>
      </w:tr>
      <w:tr w:rsidR="004B4777">
        <w:trPr>
          <w:cantSplit/>
          <w:trHeight w:val="397"/>
        </w:trPr>
        <w:tc>
          <w:tcPr>
            <w:tcW w:w="2567"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岳阳县</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2494</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2238</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161</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1815</w:t>
            </w:r>
          </w:p>
        </w:tc>
        <w:tc>
          <w:tcPr>
            <w:tcW w:w="119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r>
      <w:tr w:rsidR="004B4777">
        <w:trPr>
          <w:cantSplit/>
          <w:trHeight w:val="397"/>
        </w:trPr>
        <w:tc>
          <w:tcPr>
            <w:tcW w:w="1109" w:type="dxa"/>
            <w:vMerge w:val="restart"/>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汨罗市</w:t>
            </w:r>
          </w:p>
        </w:tc>
        <w:tc>
          <w:tcPr>
            <w:tcW w:w="145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沅水采区</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1392</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1597</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1506</w:t>
            </w:r>
          </w:p>
        </w:tc>
        <w:tc>
          <w:tcPr>
            <w:tcW w:w="119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19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r>
      <w:tr w:rsidR="004B4777">
        <w:trPr>
          <w:cantSplit/>
          <w:trHeight w:val="397"/>
        </w:trPr>
        <w:tc>
          <w:tcPr>
            <w:tcW w:w="1109" w:type="dxa"/>
            <w:vMerge/>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p>
        </w:tc>
        <w:tc>
          <w:tcPr>
            <w:tcW w:w="145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长湖采区</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1007</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444</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707</w:t>
            </w:r>
          </w:p>
        </w:tc>
        <w:tc>
          <w:tcPr>
            <w:tcW w:w="119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528</w:t>
            </w:r>
          </w:p>
        </w:tc>
      </w:tr>
      <w:tr w:rsidR="004B4777">
        <w:trPr>
          <w:cantSplit/>
          <w:trHeight w:val="397"/>
        </w:trPr>
        <w:tc>
          <w:tcPr>
            <w:tcW w:w="2567"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湘阴县</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1042</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986</w:t>
            </w:r>
          </w:p>
        </w:tc>
        <w:tc>
          <w:tcPr>
            <w:tcW w:w="119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2081</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742</w:t>
            </w:r>
          </w:p>
        </w:tc>
      </w:tr>
      <w:tr w:rsidR="004B4777">
        <w:trPr>
          <w:cantSplit/>
          <w:trHeight w:val="397"/>
        </w:trPr>
        <w:tc>
          <w:tcPr>
            <w:tcW w:w="2567"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合计</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5935</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5265</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2374</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3896</w:t>
            </w:r>
          </w:p>
        </w:tc>
        <w:tc>
          <w:tcPr>
            <w:tcW w:w="1191"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1270</w:t>
            </w:r>
          </w:p>
        </w:tc>
      </w:tr>
    </w:tbl>
    <w:p w:rsidR="004B4777" w:rsidRDefault="004B4777">
      <w:pPr>
        <w:ind w:firstLine="480"/>
        <w:rPr>
          <w:rFonts w:ascii="Times New Roman" w:hAnsi="Times New Roman"/>
        </w:rPr>
      </w:pPr>
    </w:p>
    <w:p w:rsidR="004B4777" w:rsidRDefault="004B4777">
      <w:pPr>
        <w:ind w:firstLineChars="0" w:firstLine="0"/>
        <w:jc w:val="center"/>
        <w:rPr>
          <w:rFonts w:ascii="Times New Roman" w:hAnsi="Times New Roman"/>
          <w:b/>
          <w:kern w:val="0"/>
          <w:szCs w:val="24"/>
          <w:lang w:val="en-US" w:eastAsia="zh-CN"/>
        </w:rPr>
      </w:pPr>
      <w:r>
        <w:rPr>
          <w:rFonts w:ascii="Times New Roman" w:hAnsi="Times New Roman" w:hint="eastAsia"/>
          <w:b/>
          <w:kern w:val="0"/>
          <w:szCs w:val="24"/>
          <w:lang w:val="en-US" w:eastAsia="zh-CN"/>
        </w:rPr>
        <w:t>表</w:t>
      </w:r>
      <w:r>
        <w:rPr>
          <w:rFonts w:ascii="Times New Roman" w:hAnsi="Times New Roman" w:hint="eastAsia"/>
          <w:b/>
          <w:kern w:val="0"/>
          <w:szCs w:val="24"/>
          <w:lang w:val="en-US" w:eastAsia="zh-CN"/>
        </w:rPr>
        <w:t xml:space="preserve">3.1-2  </w:t>
      </w:r>
      <w:r>
        <w:rPr>
          <w:rFonts w:ascii="Times New Roman" w:hAnsi="Times New Roman" w:hint="eastAsia"/>
          <w:b/>
          <w:kern w:val="0"/>
          <w:szCs w:val="24"/>
          <w:lang w:val="en-US" w:eastAsia="zh-CN"/>
        </w:rPr>
        <w:t>岳阳市河道采砂开采量合同年度统计表（单位：万吨）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1"/>
        <w:gridCol w:w="1243"/>
        <w:gridCol w:w="1268"/>
        <w:gridCol w:w="1268"/>
        <w:gridCol w:w="1268"/>
        <w:gridCol w:w="1268"/>
        <w:gridCol w:w="1266"/>
      </w:tblGrid>
      <w:tr w:rsidR="004B4777">
        <w:trPr>
          <w:cantSplit/>
          <w:trHeight w:val="454"/>
        </w:trPr>
        <w:tc>
          <w:tcPr>
            <w:tcW w:w="2184"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县市名称</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2013</w:t>
            </w:r>
            <w:r>
              <w:rPr>
                <w:rFonts w:ascii="Times New Roman" w:hAnsi="Times New Roman"/>
                <w:kern w:val="0"/>
                <w:sz w:val="21"/>
                <w:szCs w:val="21"/>
                <w:lang w:val="en-US" w:eastAsia="zh-CN"/>
              </w:rPr>
              <w:t>年度</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2014</w:t>
            </w:r>
            <w:r>
              <w:rPr>
                <w:rFonts w:ascii="Times New Roman" w:hAnsi="Times New Roman"/>
                <w:kern w:val="0"/>
                <w:sz w:val="21"/>
                <w:szCs w:val="21"/>
                <w:lang w:val="en-US" w:eastAsia="zh-CN"/>
              </w:rPr>
              <w:t>年度</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2015</w:t>
            </w:r>
            <w:r>
              <w:rPr>
                <w:rFonts w:ascii="Times New Roman" w:hAnsi="Times New Roman"/>
                <w:kern w:val="0"/>
                <w:sz w:val="21"/>
                <w:szCs w:val="21"/>
                <w:lang w:val="en-US" w:eastAsia="zh-CN"/>
              </w:rPr>
              <w:t>年度</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2016</w:t>
            </w:r>
            <w:r>
              <w:rPr>
                <w:rFonts w:ascii="Times New Roman" w:hAnsi="Times New Roman"/>
                <w:kern w:val="0"/>
                <w:sz w:val="21"/>
                <w:szCs w:val="21"/>
                <w:lang w:val="en-US" w:eastAsia="zh-CN"/>
              </w:rPr>
              <w:t>年度</w:t>
            </w:r>
          </w:p>
        </w:tc>
        <w:tc>
          <w:tcPr>
            <w:tcW w:w="1266"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2017</w:t>
            </w:r>
            <w:r>
              <w:rPr>
                <w:rFonts w:ascii="Times New Roman" w:hAnsi="Times New Roman"/>
                <w:kern w:val="0"/>
                <w:sz w:val="21"/>
                <w:szCs w:val="21"/>
                <w:lang w:val="en-US" w:eastAsia="zh-CN"/>
              </w:rPr>
              <w:t>年度</w:t>
            </w:r>
          </w:p>
        </w:tc>
      </w:tr>
      <w:tr w:rsidR="004B4777">
        <w:trPr>
          <w:cantSplit/>
          <w:trHeight w:val="454"/>
        </w:trPr>
        <w:tc>
          <w:tcPr>
            <w:tcW w:w="2184"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岳阳县</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2494</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2399</w:t>
            </w:r>
          </w:p>
        </w:tc>
        <w:tc>
          <w:tcPr>
            <w:tcW w:w="12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1815</w:t>
            </w:r>
          </w:p>
        </w:tc>
        <w:tc>
          <w:tcPr>
            <w:tcW w:w="126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r>
      <w:tr w:rsidR="004B4777">
        <w:trPr>
          <w:cantSplit/>
          <w:trHeight w:val="454"/>
        </w:trPr>
        <w:tc>
          <w:tcPr>
            <w:tcW w:w="941" w:type="dxa"/>
            <w:vMerge w:val="restart"/>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汨罗市</w:t>
            </w:r>
          </w:p>
        </w:tc>
        <w:tc>
          <w:tcPr>
            <w:tcW w:w="1243"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沅水采区</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1392</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1597</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1506</w:t>
            </w:r>
          </w:p>
        </w:tc>
        <w:tc>
          <w:tcPr>
            <w:tcW w:w="12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26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r>
      <w:tr w:rsidR="004B4777">
        <w:trPr>
          <w:cantSplit/>
          <w:trHeight w:val="454"/>
        </w:trPr>
        <w:tc>
          <w:tcPr>
            <w:tcW w:w="941" w:type="dxa"/>
            <w:vMerge/>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p>
        </w:tc>
        <w:tc>
          <w:tcPr>
            <w:tcW w:w="1243"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长湖采区</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1036</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1039</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83</w:t>
            </w:r>
          </w:p>
        </w:tc>
        <w:tc>
          <w:tcPr>
            <w:tcW w:w="12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266"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528</w:t>
            </w:r>
          </w:p>
        </w:tc>
      </w:tr>
      <w:tr w:rsidR="004B4777">
        <w:trPr>
          <w:cantSplit/>
          <w:trHeight w:val="454"/>
        </w:trPr>
        <w:tc>
          <w:tcPr>
            <w:tcW w:w="2184"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lastRenderedPageBreak/>
              <w:t>湘阴县</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2028</w:t>
            </w:r>
          </w:p>
        </w:tc>
        <w:tc>
          <w:tcPr>
            <w:tcW w:w="12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2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2823</w:t>
            </w:r>
          </w:p>
        </w:tc>
        <w:tc>
          <w:tcPr>
            <w:tcW w:w="126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r>
      <w:tr w:rsidR="004B4777">
        <w:trPr>
          <w:cantSplit/>
          <w:trHeight w:val="454"/>
        </w:trPr>
        <w:tc>
          <w:tcPr>
            <w:tcW w:w="2184" w:type="dxa"/>
            <w:gridSpan w:val="2"/>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合计</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6950</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5035</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1589</w:t>
            </w:r>
          </w:p>
        </w:tc>
        <w:tc>
          <w:tcPr>
            <w:tcW w:w="1268"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4638</w:t>
            </w:r>
          </w:p>
        </w:tc>
        <w:tc>
          <w:tcPr>
            <w:tcW w:w="1266"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kern w:val="0"/>
                <w:sz w:val="21"/>
                <w:szCs w:val="21"/>
                <w:lang w:val="en-US" w:eastAsia="zh-CN"/>
              </w:rPr>
              <w:t>528</w:t>
            </w:r>
          </w:p>
        </w:tc>
      </w:tr>
    </w:tbl>
    <w:p w:rsidR="004B4777" w:rsidRDefault="004B4777">
      <w:pPr>
        <w:widowControl/>
        <w:ind w:firstLine="420"/>
        <w:rPr>
          <w:rFonts w:ascii="Times New Roman" w:hAnsi="Times New Roman"/>
          <w:kern w:val="0"/>
          <w:sz w:val="21"/>
          <w:szCs w:val="21"/>
          <w:lang w:val="en-US" w:eastAsia="zh-CN"/>
        </w:rPr>
      </w:pPr>
      <w:r>
        <w:rPr>
          <w:rFonts w:ascii="Times New Roman" w:hAnsi="Times New Roman" w:hint="eastAsia"/>
          <w:kern w:val="0"/>
          <w:sz w:val="21"/>
          <w:szCs w:val="21"/>
          <w:lang w:val="en-US" w:eastAsia="zh-CN"/>
        </w:rPr>
        <w:t>注：汨罗市长湖采区</w:t>
      </w:r>
      <w:r>
        <w:rPr>
          <w:rFonts w:ascii="Times New Roman" w:hAnsi="Times New Roman" w:hint="eastAsia"/>
          <w:kern w:val="0"/>
          <w:sz w:val="21"/>
          <w:szCs w:val="21"/>
          <w:lang w:val="en-US" w:eastAsia="zh-CN"/>
        </w:rPr>
        <w:t>2013</w:t>
      </w:r>
      <w:r>
        <w:rPr>
          <w:rFonts w:ascii="Times New Roman" w:hAnsi="Times New Roman" w:hint="eastAsia"/>
          <w:kern w:val="0"/>
          <w:sz w:val="21"/>
          <w:szCs w:val="21"/>
          <w:lang w:val="en-US" w:eastAsia="zh-CN"/>
        </w:rPr>
        <w:t>年度超出的量已计入</w:t>
      </w:r>
      <w:r>
        <w:rPr>
          <w:rFonts w:ascii="Times New Roman" w:hAnsi="Times New Roman" w:hint="eastAsia"/>
          <w:kern w:val="0"/>
          <w:sz w:val="21"/>
          <w:szCs w:val="21"/>
          <w:lang w:val="en-US" w:eastAsia="zh-CN"/>
        </w:rPr>
        <w:t>2014</w:t>
      </w:r>
      <w:r>
        <w:rPr>
          <w:rFonts w:ascii="Times New Roman" w:hAnsi="Times New Roman" w:hint="eastAsia"/>
          <w:kern w:val="0"/>
          <w:sz w:val="21"/>
          <w:szCs w:val="21"/>
          <w:lang w:val="en-US" w:eastAsia="zh-CN"/>
        </w:rPr>
        <w:t>年度的采量，</w:t>
      </w:r>
      <w:r>
        <w:rPr>
          <w:rFonts w:ascii="Times New Roman" w:hAnsi="Times New Roman" w:hint="eastAsia"/>
          <w:kern w:val="0"/>
          <w:sz w:val="21"/>
          <w:szCs w:val="21"/>
          <w:lang w:val="en-US" w:eastAsia="zh-CN"/>
        </w:rPr>
        <w:t>2014</w:t>
      </w:r>
      <w:r>
        <w:rPr>
          <w:rFonts w:ascii="Times New Roman" w:hAnsi="Times New Roman" w:hint="eastAsia"/>
          <w:kern w:val="0"/>
          <w:sz w:val="21"/>
          <w:szCs w:val="21"/>
          <w:lang w:val="en-US" w:eastAsia="zh-CN"/>
        </w:rPr>
        <w:t>年度的超出的量已计入到</w:t>
      </w:r>
      <w:r>
        <w:rPr>
          <w:rFonts w:ascii="Times New Roman" w:hAnsi="Times New Roman" w:hint="eastAsia"/>
          <w:kern w:val="0"/>
          <w:sz w:val="21"/>
          <w:szCs w:val="21"/>
          <w:lang w:val="en-US" w:eastAsia="zh-CN"/>
        </w:rPr>
        <w:t>2015</w:t>
      </w:r>
      <w:r>
        <w:rPr>
          <w:rFonts w:ascii="Times New Roman" w:hAnsi="Times New Roman" w:hint="eastAsia"/>
          <w:kern w:val="0"/>
          <w:sz w:val="21"/>
          <w:szCs w:val="21"/>
          <w:lang w:val="en-US" w:eastAsia="zh-CN"/>
        </w:rPr>
        <w:t>年度的采量。</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2017</w:t>
      </w:r>
      <w:r>
        <w:rPr>
          <w:rFonts w:ascii="Times New Roman" w:hAnsi="Times New Roman" w:hint="eastAsia"/>
          <w:kern w:val="0"/>
          <w:szCs w:val="24"/>
          <w:lang w:val="en-US" w:eastAsia="zh-CN"/>
        </w:rPr>
        <w:t>年以来，岳阳市洞庭湖各采区陆续停采，岳阳县</w:t>
      </w:r>
      <w:r>
        <w:rPr>
          <w:rFonts w:ascii="Times New Roman" w:hAnsi="Times New Roman" w:hint="eastAsia"/>
          <w:kern w:val="0"/>
          <w:szCs w:val="24"/>
          <w:lang w:val="en-US" w:eastAsia="zh-CN"/>
        </w:rPr>
        <w:t>2017</w:t>
      </w:r>
      <w:r>
        <w:rPr>
          <w:rFonts w:ascii="Times New Roman" w:hAnsi="Times New Roman" w:hint="eastAsia"/>
          <w:kern w:val="0"/>
          <w:szCs w:val="24"/>
          <w:lang w:val="en-US" w:eastAsia="zh-CN"/>
        </w:rPr>
        <w:t>年于</w:t>
      </w:r>
      <w:r>
        <w:rPr>
          <w:rFonts w:ascii="Times New Roman" w:hAnsi="Times New Roman" w:hint="eastAsia"/>
          <w:kern w:val="0"/>
          <w:szCs w:val="24"/>
          <w:lang w:val="en-US" w:eastAsia="zh-CN"/>
        </w:rPr>
        <w:t>1</w:t>
      </w:r>
      <w:r>
        <w:rPr>
          <w:rFonts w:ascii="Times New Roman" w:hAnsi="Times New Roman" w:hint="eastAsia"/>
          <w:kern w:val="0"/>
          <w:szCs w:val="24"/>
          <w:lang w:val="en-US" w:eastAsia="zh-CN"/>
        </w:rPr>
        <w:t>月</w:t>
      </w:r>
      <w:r>
        <w:rPr>
          <w:rFonts w:ascii="Times New Roman" w:hAnsi="Times New Roman" w:hint="eastAsia"/>
          <w:kern w:val="0"/>
          <w:szCs w:val="24"/>
          <w:lang w:val="en-US" w:eastAsia="zh-CN"/>
        </w:rPr>
        <w:t>8</w:t>
      </w:r>
      <w:r>
        <w:rPr>
          <w:rFonts w:ascii="Times New Roman" w:hAnsi="Times New Roman" w:hint="eastAsia"/>
          <w:kern w:val="0"/>
          <w:szCs w:val="24"/>
          <w:lang w:val="en-US" w:eastAsia="zh-CN"/>
        </w:rPr>
        <w:t>日停采，湘阴县于</w:t>
      </w:r>
      <w:r>
        <w:rPr>
          <w:rFonts w:ascii="Times New Roman" w:hAnsi="Times New Roman" w:hint="eastAsia"/>
          <w:kern w:val="0"/>
          <w:szCs w:val="24"/>
          <w:lang w:val="en-US" w:eastAsia="zh-CN"/>
        </w:rPr>
        <w:t>2017</w:t>
      </w:r>
      <w:r>
        <w:rPr>
          <w:rFonts w:ascii="Times New Roman" w:hAnsi="Times New Roman" w:hint="eastAsia"/>
          <w:kern w:val="0"/>
          <w:szCs w:val="24"/>
          <w:lang w:val="en-US" w:eastAsia="zh-CN"/>
        </w:rPr>
        <w:t>年</w:t>
      </w:r>
      <w:r>
        <w:rPr>
          <w:rFonts w:ascii="Times New Roman" w:hAnsi="Times New Roman" w:hint="eastAsia"/>
          <w:kern w:val="0"/>
          <w:szCs w:val="24"/>
          <w:lang w:val="en-US" w:eastAsia="zh-CN"/>
        </w:rPr>
        <w:t>4</w:t>
      </w:r>
      <w:r>
        <w:rPr>
          <w:rFonts w:ascii="Times New Roman" w:hAnsi="Times New Roman" w:hint="eastAsia"/>
          <w:kern w:val="0"/>
          <w:szCs w:val="24"/>
          <w:lang w:val="en-US" w:eastAsia="zh-CN"/>
        </w:rPr>
        <w:t>月</w:t>
      </w:r>
      <w:r>
        <w:rPr>
          <w:rFonts w:ascii="Times New Roman" w:hAnsi="Times New Roman" w:hint="eastAsia"/>
          <w:kern w:val="0"/>
          <w:szCs w:val="24"/>
          <w:lang w:val="en-US" w:eastAsia="zh-CN"/>
        </w:rPr>
        <w:t>9</w:t>
      </w:r>
      <w:r>
        <w:rPr>
          <w:rFonts w:ascii="Times New Roman" w:hAnsi="Times New Roman" w:hint="eastAsia"/>
          <w:kern w:val="0"/>
          <w:szCs w:val="24"/>
          <w:lang w:val="en-US" w:eastAsia="zh-CN"/>
        </w:rPr>
        <w:t>日停采，汨罗市于</w:t>
      </w:r>
      <w:r>
        <w:rPr>
          <w:rFonts w:ascii="Times New Roman" w:hAnsi="Times New Roman" w:hint="eastAsia"/>
          <w:kern w:val="0"/>
          <w:szCs w:val="24"/>
          <w:lang w:val="en-US" w:eastAsia="zh-CN"/>
        </w:rPr>
        <w:t>2017</w:t>
      </w:r>
      <w:r>
        <w:rPr>
          <w:rFonts w:ascii="Times New Roman" w:hAnsi="Times New Roman" w:hint="eastAsia"/>
          <w:kern w:val="0"/>
          <w:szCs w:val="24"/>
          <w:lang w:val="en-US" w:eastAsia="zh-CN"/>
        </w:rPr>
        <w:t>年</w:t>
      </w:r>
      <w:r>
        <w:rPr>
          <w:rFonts w:ascii="Times New Roman" w:hAnsi="Times New Roman" w:hint="eastAsia"/>
          <w:kern w:val="0"/>
          <w:szCs w:val="24"/>
          <w:lang w:val="en-US" w:eastAsia="zh-CN"/>
        </w:rPr>
        <w:t>8</w:t>
      </w:r>
      <w:r>
        <w:rPr>
          <w:rFonts w:ascii="Times New Roman" w:hAnsi="Times New Roman" w:hint="eastAsia"/>
          <w:kern w:val="0"/>
          <w:szCs w:val="24"/>
          <w:lang w:val="en-US" w:eastAsia="zh-CN"/>
        </w:rPr>
        <w:t>月</w:t>
      </w:r>
      <w:r>
        <w:rPr>
          <w:rFonts w:ascii="Times New Roman" w:hAnsi="Times New Roman" w:hint="eastAsia"/>
          <w:kern w:val="0"/>
          <w:szCs w:val="24"/>
          <w:lang w:val="en-US" w:eastAsia="zh-CN"/>
        </w:rPr>
        <w:t>18</w:t>
      </w:r>
      <w:r>
        <w:rPr>
          <w:rFonts w:ascii="Times New Roman" w:hAnsi="Times New Roman" w:hint="eastAsia"/>
          <w:kern w:val="0"/>
          <w:szCs w:val="24"/>
          <w:lang w:val="en-US" w:eastAsia="zh-CN"/>
        </w:rPr>
        <w:t>日停采。全年采砂共计</w:t>
      </w:r>
      <w:r>
        <w:rPr>
          <w:rFonts w:ascii="Times New Roman" w:hAnsi="Times New Roman" w:hint="eastAsia"/>
          <w:kern w:val="0"/>
          <w:szCs w:val="24"/>
          <w:lang w:val="en-US" w:eastAsia="zh-CN"/>
        </w:rPr>
        <w:t>1270</w:t>
      </w:r>
      <w:r>
        <w:rPr>
          <w:rFonts w:ascii="Times New Roman" w:hAnsi="Times New Roman" w:hint="eastAsia"/>
          <w:kern w:val="0"/>
          <w:szCs w:val="24"/>
          <w:lang w:val="en-US" w:eastAsia="zh-CN"/>
        </w:rPr>
        <w:t>万</w:t>
      </w:r>
      <w:r>
        <w:rPr>
          <w:rFonts w:ascii="Times New Roman" w:hAnsi="Times New Roman" w:hint="eastAsia"/>
          <w:kern w:val="0"/>
          <w:szCs w:val="24"/>
          <w:lang w:val="en-US" w:eastAsia="zh-CN"/>
        </w:rPr>
        <w:t>t</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124</w:t>
      </w:r>
      <w:r>
        <w:rPr>
          <w:rFonts w:ascii="Times New Roman" w:hAnsi="Times New Roman" w:hint="eastAsia"/>
          <w:kern w:val="0"/>
          <w:szCs w:val="24"/>
          <w:lang w:val="en-US" w:eastAsia="zh-CN"/>
        </w:rPr>
        <w:t>艘采砂船均按要求在指定水域集中停泊，其中：湘阴县有</w:t>
      </w:r>
      <w:r>
        <w:rPr>
          <w:rFonts w:ascii="Times New Roman" w:hAnsi="Times New Roman" w:hint="eastAsia"/>
          <w:kern w:val="0"/>
          <w:szCs w:val="24"/>
          <w:lang w:val="en-US" w:eastAsia="zh-CN"/>
        </w:rPr>
        <w:t>28</w:t>
      </w:r>
      <w:r>
        <w:rPr>
          <w:rFonts w:ascii="Times New Roman" w:hAnsi="Times New Roman" w:hint="eastAsia"/>
          <w:kern w:val="0"/>
          <w:szCs w:val="24"/>
          <w:lang w:val="en-US" w:eastAsia="zh-CN"/>
        </w:rPr>
        <w:t>艘挖砂船，岳阳县现有</w:t>
      </w:r>
      <w:r>
        <w:rPr>
          <w:rFonts w:ascii="Times New Roman" w:hAnsi="Times New Roman" w:hint="eastAsia"/>
          <w:kern w:val="0"/>
          <w:szCs w:val="24"/>
          <w:lang w:val="en-US" w:eastAsia="zh-CN"/>
        </w:rPr>
        <w:t>77</w:t>
      </w:r>
      <w:r>
        <w:rPr>
          <w:rFonts w:ascii="Times New Roman" w:hAnsi="Times New Roman" w:hint="eastAsia"/>
          <w:kern w:val="0"/>
          <w:szCs w:val="24"/>
          <w:lang w:val="en-US" w:eastAsia="zh-CN"/>
        </w:rPr>
        <w:t>艘挖砂船，汨罗市现有</w:t>
      </w:r>
      <w:r>
        <w:rPr>
          <w:rFonts w:ascii="Times New Roman" w:hAnsi="Times New Roman" w:hint="eastAsia"/>
          <w:kern w:val="0"/>
          <w:szCs w:val="24"/>
          <w:lang w:val="en-US" w:eastAsia="zh-CN"/>
        </w:rPr>
        <w:t>19</w:t>
      </w:r>
      <w:r>
        <w:rPr>
          <w:rFonts w:ascii="Times New Roman" w:hAnsi="Times New Roman" w:hint="eastAsia"/>
          <w:kern w:val="0"/>
          <w:szCs w:val="24"/>
          <w:lang w:val="en-US" w:eastAsia="zh-CN"/>
        </w:rPr>
        <w:t>艘挖砂船。</w:t>
      </w:r>
    </w:p>
    <w:p w:rsidR="004B4777" w:rsidRDefault="004B4777">
      <w:pPr>
        <w:pStyle w:val="2"/>
        <w:spacing w:before="0" w:after="0"/>
        <w:rPr>
          <w:rFonts w:ascii="Times New Roman" w:eastAsia="宋体" w:hAnsi="Times New Roman" w:hint="eastAsia"/>
          <w:b/>
          <w:sz w:val="30"/>
          <w:szCs w:val="30"/>
        </w:rPr>
      </w:pPr>
      <w:bookmarkStart w:id="107" w:name="_Toc523854021"/>
      <w:r>
        <w:rPr>
          <w:rFonts w:ascii="Times New Roman" w:eastAsia="宋体" w:hAnsi="Times New Roman"/>
          <w:b/>
          <w:sz w:val="30"/>
          <w:szCs w:val="30"/>
        </w:rPr>
        <w:t>3.</w:t>
      </w:r>
      <w:r>
        <w:rPr>
          <w:rFonts w:ascii="Times New Roman" w:eastAsia="宋体" w:hAnsi="Times New Roman" w:hint="eastAsia"/>
          <w:b/>
          <w:sz w:val="30"/>
          <w:szCs w:val="30"/>
        </w:rPr>
        <w:t>2</w:t>
      </w:r>
      <w:r>
        <w:rPr>
          <w:rFonts w:ascii="Times New Roman" w:eastAsia="宋体" w:hAnsi="Times New Roman"/>
          <w:b/>
          <w:sz w:val="30"/>
          <w:szCs w:val="30"/>
        </w:rPr>
        <w:t xml:space="preserve"> </w:t>
      </w:r>
      <w:r>
        <w:rPr>
          <w:rFonts w:ascii="Times New Roman" w:eastAsia="宋体" w:hAnsi="Times New Roman" w:hint="eastAsia"/>
          <w:b/>
          <w:sz w:val="30"/>
          <w:szCs w:val="30"/>
        </w:rPr>
        <w:t>项目基本情况</w:t>
      </w:r>
      <w:bookmarkEnd w:id="107"/>
    </w:p>
    <w:bookmarkEnd w:id="105"/>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2</w:t>
      </w:r>
      <w:r>
        <w:rPr>
          <w:rFonts w:ascii="Times New Roman" w:eastAsia="宋体" w:hAnsi="Times New Roman"/>
          <w:b/>
        </w:rPr>
        <w:t xml:space="preserve">.1 </w:t>
      </w:r>
      <w:r>
        <w:rPr>
          <w:rFonts w:ascii="Times New Roman" w:eastAsia="宋体" w:hAnsi="Times New Roman" w:hint="eastAsia"/>
          <w:b/>
        </w:rPr>
        <w:t>项目主要建设内容</w:t>
      </w:r>
    </w:p>
    <w:p w:rsidR="004B4777" w:rsidRDefault="004B4777">
      <w:pPr>
        <w:ind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rPr>
        <w:t>）</w:t>
      </w:r>
      <w:r>
        <w:rPr>
          <w:rFonts w:ascii="Times New Roman" w:hAnsi="Times New Roman" w:hint="eastAsia"/>
        </w:rPr>
        <w:t>项目</w:t>
      </w:r>
      <w:r>
        <w:rPr>
          <w:rFonts w:ascii="Times New Roman" w:hAnsi="Times New Roman"/>
        </w:rPr>
        <w:t>名称：</w:t>
      </w:r>
      <w:r>
        <w:rPr>
          <w:rFonts w:ascii="Times New Roman" w:hAnsi="Times New Roman" w:hint="eastAsia"/>
        </w:rPr>
        <w:t>湘阴县资江段易婆塘采区、湘江段斗米咀采区采砂项目。</w:t>
      </w:r>
    </w:p>
    <w:p w:rsidR="004B4777" w:rsidRDefault="004B4777">
      <w:pPr>
        <w:ind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rPr>
        <w:t>）</w:t>
      </w:r>
      <w:r>
        <w:rPr>
          <w:rFonts w:ascii="Times New Roman" w:hAnsi="Times New Roman" w:hint="eastAsia"/>
        </w:rPr>
        <w:t>建设</w:t>
      </w:r>
      <w:r>
        <w:rPr>
          <w:rFonts w:ascii="Times New Roman" w:hAnsi="Times New Roman"/>
        </w:rPr>
        <w:t>单位：湘阴县河道砂石综合执法局。</w:t>
      </w:r>
    </w:p>
    <w:p w:rsidR="004B4777" w:rsidRDefault="004B4777">
      <w:pPr>
        <w:ind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rPr>
        <w:t>）</w:t>
      </w:r>
      <w:r>
        <w:rPr>
          <w:rFonts w:ascii="Times New Roman" w:hAnsi="Times New Roman" w:hint="eastAsia"/>
        </w:rPr>
        <w:t>建设</w:t>
      </w:r>
      <w:r>
        <w:rPr>
          <w:rFonts w:ascii="Times New Roman" w:hAnsi="Times New Roman"/>
        </w:rPr>
        <w:t>性质：新建。</w:t>
      </w:r>
    </w:p>
    <w:p w:rsidR="004B4777" w:rsidRDefault="004B4777">
      <w:pPr>
        <w:widowControl/>
        <w:ind w:firstLine="480"/>
        <w:rPr>
          <w:rFonts w:ascii="Times New Roman" w:hAnsi="Times New Roman" w:hint="eastAsia"/>
          <w:u w:val="single"/>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4</w:t>
      </w:r>
      <w:r>
        <w:rPr>
          <w:rFonts w:ascii="Times New Roman" w:hAnsi="Times New Roman"/>
          <w:kern w:val="0"/>
          <w:szCs w:val="24"/>
          <w:lang w:val="en-US" w:eastAsia="zh-CN"/>
        </w:rPr>
        <w:t>）建设地点：</w:t>
      </w:r>
      <w:r>
        <w:rPr>
          <w:rFonts w:ascii="Times New Roman" w:hAnsi="Times New Roman" w:hint="eastAsia"/>
          <w:szCs w:val="24"/>
          <w:lang w:val="en-GB"/>
        </w:rPr>
        <w:t>易婆塘采区</w:t>
      </w:r>
      <w:r>
        <w:rPr>
          <w:rFonts w:ascii="Times New Roman" w:hAnsi="Times New Roman"/>
          <w:szCs w:val="24"/>
          <w:lang w:val="en-GB"/>
        </w:rPr>
        <w:t>位于资江</w:t>
      </w:r>
      <w:r>
        <w:rPr>
          <w:rFonts w:ascii="Times New Roman" w:hAnsi="Times New Roman" w:hint="eastAsia"/>
          <w:szCs w:val="24"/>
          <w:lang w:val="en-GB"/>
        </w:rPr>
        <w:t>北支，岳阳市湘阴县与益阳市资阳区交界处，斗米咀采区</w:t>
      </w:r>
      <w:r>
        <w:rPr>
          <w:rFonts w:ascii="Times New Roman" w:hAnsi="Times New Roman"/>
          <w:szCs w:val="24"/>
          <w:lang w:val="en-GB"/>
        </w:rPr>
        <w:t>位于</w:t>
      </w:r>
      <w:r>
        <w:rPr>
          <w:rFonts w:ascii="Times New Roman" w:hAnsi="Times New Roman" w:hint="eastAsia"/>
          <w:szCs w:val="24"/>
          <w:lang w:val="en-GB"/>
        </w:rPr>
        <w:t>湘江东西支交汇处，地处湘阴县</w:t>
      </w:r>
      <w:r>
        <w:rPr>
          <w:rFonts w:ascii="Times New Roman" w:hAnsi="Times New Roman"/>
          <w:szCs w:val="24"/>
          <w:lang w:val="en-GB"/>
        </w:rPr>
        <w:t>，</w:t>
      </w:r>
      <w:r>
        <w:rPr>
          <w:rFonts w:ascii="Times New Roman" w:hAnsi="Times New Roman"/>
          <w:u w:val="single"/>
        </w:rPr>
        <w:t>运砂船将砂石</w:t>
      </w:r>
      <w:r>
        <w:rPr>
          <w:rFonts w:ascii="Times New Roman" w:hAnsi="Times New Roman" w:hint="eastAsia"/>
          <w:u w:val="single"/>
        </w:rPr>
        <w:t>直接运往买家砂场堆放或</w:t>
      </w:r>
      <w:r>
        <w:rPr>
          <w:rFonts w:ascii="Times New Roman" w:hAnsi="Times New Roman"/>
          <w:u w:val="single"/>
        </w:rPr>
        <w:t>运至湘阴县河道砂石综合执法局现有的三个堆砂场（</w:t>
      </w:r>
      <w:r>
        <w:rPr>
          <w:rFonts w:ascii="Times New Roman" w:hAnsi="Times New Roman" w:hint="eastAsia"/>
          <w:u w:val="single"/>
        </w:rPr>
        <w:t>易婆塘采区运往易婆塘砂石场、燎原砂石场，斗米咀采区运往港口砂石场</w:t>
      </w:r>
      <w:r>
        <w:rPr>
          <w:rFonts w:ascii="Times New Roman" w:hAnsi="Times New Roman"/>
          <w:u w:val="single"/>
        </w:rPr>
        <w:t>），这三个堆料场</w:t>
      </w:r>
      <w:r>
        <w:rPr>
          <w:rFonts w:ascii="Times New Roman" w:hAnsi="Times New Roman" w:hint="eastAsia"/>
          <w:u w:val="single"/>
        </w:rPr>
        <w:t>为湘阴县水务局合法成立的堆料场，已</w:t>
      </w:r>
      <w:r>
        <w:rPr>
          <w:rFonts w:ascii="Times New Roman" w:hAnsi="Times New Roman"/>
          <w:u w:val="single"/>
        </w:rPr>
        <w:t>运行多年，不在本次评价范围之内。</w:t>
      </w:r>
    </w:p>
    <w:p w:rsidR="004B4777" w:rsidRDefault="004B4777">
      <w:pPr>
        <w:widowControl/>
        <w:ind w:firstLine="480"/>
        <w:rPr>
          <w:rFonts w:ascii="Times New Roman" w:hAnsi="Times New Roman"/>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5</w:t>
      </w:r>
      <w:r>
        <w:rPr>
          <w:rFonts w:ascii="Times New Roman" w:hAnsi="Times New Roman"/>
          <w:kern w:val="0"/>
          <w:szCs w:val="24"/>
          <w:lang w:val="en-US" w:eastAsia="zh-CN"/>
        </w:rPr>
        <w:t>）</w:t>
      </w:r>
      <w:r>
        <w:rPr>
          <w:rFonts w:ascii="Times New Roman" w:hAnsi="Times New Roman" w:hint="eastAsia"/>
          <w:kern w:val="0"/>
          <w:szCs w:val="24"/>
          <w:lang w:val="en-US" w:eastAsia="zh-CN"/>
        </w:rPr>
        <w:t>开采时间</w:t>
      </w:r>
      <w:r>
        <w:rPr>
          <w:rFonts w:ascii="Times New Roman" w:hAnsi="Times New Roman"/>
          <w:kern w:val="0"/>
          <w:szCs w:val="24"/>
          <w:lang w:val="en-US" w:eastAsia="zh-CN"/>
        </w:rPr>
        <w:t>：</w:t>
      </w:r>
      <w:r>
        <w:rPr>
          <w:rFonts w:ascii="Times New Roman" w:hAnsi="Times New Roman" w:hint="eastAsia"/>
          <w:kern w:val="0"/>
          <w:szCs w:val="24"/>
          <w:lang w:val="en-US" w:eastAsia="zh-CN"/>
        </w:rPr>
        <w:t>根据《湖南省湘江干流及洞庭湖区岳阳段河道采砂规划（</w:t>
      </w:r>
      <w:r>
        <w:rPr>
          <w:rFonts w:ascii="Times New Roman" w:hAnsi="Times New Roman" w:hint="eastAsia"/>
          <w:kern w:val="0"/>
          <w:szCs w:val="24"/>
          <w:lang w:val="en-US" w:eastAsia="zh-CN"/>
        </w:rPr>
        <w:t>2017~2020</w:t>
      </w:r>
      <w:r>
        <w:rPr>
          <w:rFonts w:ascii="Times New Roman" w:hAnsi="Times New Roman" w:hint="eastAsia"/>
          <w:kern w:val="0"/>
          <w:szCs w:val="24"/>
          <w:lang w:val="en-US" w:eastAsia="zh-CN"/>
        </w:rPr>
        <w:t>年）》，项目采区规划采砂期为</w:t>
      </w:r>
      <w:r>
        <w:rPr>
          <w:rFonts w:ascii="Times New Roman" w:hAnsi="Times New Roman" w:hint="eastAsia"/>
          <w:kern w:val="0"/>
          <w:szCs w:val="24"/>
          <w:lang w:val="en-US" w:eastAsia="zh-CN"/>
        </w:rPr>
        <w:t>4</w:t>
      </w:r>
      <w:r>
        <w:rPr>
          <w:rFonts w:ascii="Times New Roman" w:hAnsi="Times New Roman" w:hint="eastAsia"/>
          <w:kern w:val="0"/>
          <w:szCs w:val="24"/>
          <w:lang w:val="en-US" w:eastAsia="zh-CN"/>
        </w:rPr>
        <w:t>年，即</w:t>
      </w:r>
      <w:r>
        <w:rPr>
          <w:rFonts w:ascii="Times New Roman" w:hAnsi="Times New Roman" w:hint="eastAsia"/>
          <w:kern w:val="0"/>
          <w:szCs w:val="24"/>
          <w:lang w:val="en-US" w:eastAsia="zh-CN"/>
        </w:rPr>
        <w:t>2017~2020</w:t>
      </w:r>
      <w:r>
        <w:rPr>
          <w:rFonts w:ascii="Times New Roman" w:hAnsi="Times New Roman" w:hint="eastAsia"/>
          <w:kern w:val="0"/>
          <w:szCs w:val="24"/>
          <w:lang w:val="en-US" w:eastAsia="zh-CN"/>
        </w:rPr>
        <w:t>年，可采时段为</w:t>
      </w:r>
      <w:r>
        <w:rPr>
          <w:rFonts w:ascii="Times New Roman" w:hAnsi="Times New Roman" w:hint="eastAsia"/>
          <w:kern w:val="0"/>
          <w:szCs w:val="24"/>
          <w:lang w:val="en-US" w:eastAsia="zh-CN"/>
        </w:rPr>
        <w:t>6</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00</w:t>
      </w:r>
      <w:r>
        <w:rPr>
          <w:rFonts w:ascii="Times New Roman" w:hAnsi="Times New Roman" w:hint="eastAsia"/>
          <w:kern w:val="0"/>
          <w:szCs w:val="24"/>
          <w:lang w:val="en-US" w:eastAsia="zh-CN"/>
        </w:rPr>
        <w:t>至</w:t>
      </w:r>
      <w:r>
        <w:rPr>
          <w:rFonts w:ascii="Times New Roman" w:hAnsi="Times New Roman" w:hint="eastAsia"/>
          <w:kern w:val="0"/>
          <w:szCs w:val="24"/>
          <w:lang w:val="en-US" w:eastAsia="zh-CN"/>
        </w:rPr>
        <w:t>20</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00</w:t>
      </w:r>
      <w:r>
        <w:rPr>
          <w:rFonts w:ascii="Times New Roman" w:hAnsi="Times New Roman" w:hint="eastAsia"/>
          <w:kern w:val="0"/>
          <w:szCs w:val="24"/>
          <w:lang w:val="en-US" w:eastAsia="zh-CN"/>
        </w:rPr>
        <w:t>。原则上禁采期为</w:t>
      </w:r>
      <w:r>
        <w:rPr>
          <w:rFonts w:ascii="Times New Roman" w:hAnsi="Times New Roman" w:hint="eastAsia"/>
          <w:kern w:val="0"/>
          <w:szCs w:val="24"/>
          <w:lang w:val="en-US" w:eastAsia="zh-CN"/>
        </w:rPr>
        <w:t>6</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7</w:t>
      </w:r>
      <w:r>
        <w:rPr>
          <w:rFonts w:ascii="Times New Roman" w:hAnsi="Times New Roman" w:hint="eastAsia"/>
          <w:kern w:val="0"/>
          <w:szCs w:val="24"/>
          <w:lang w:val="en-US" w:eastAsia="zh-CN"/>
        </w:rPr>
        <w:t>月，实际禁采期根据当地防汛部门指令调整。</w:t>
      </w:r>
    </w:p>
    <w:p w:rsidR="004B4777" w:rsidRDefault="004B4777">
      <w:pPr>
        <w:widowControl/>
        <w:ind w:firstLine="480"/>
        <w:rPr>
          <w:rFonts w:ascii="Times New Roman" w:hAnsi="Times New Roman" w:hint="eastAsia"/>
          <w:kern w:val="0"/>
          <w:szCs w:val="24"/>
          <w:u w:val="single"/>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6</w:t>
      </w:r>
      <w:r>
        <w:rPr>
          <w:rFonts w:ascii="Times New Roman" w:hAnsi="Times New Roman"/>
          <w:kern w:val="0"/>
          <w:szCs w:val="24"/>
          <w:lang w:val="en-US" w:eastAsia="zh-CN"/>
        </w:rPr>
        <w:t>）</w:t>
      </w:r>
      <w:r>
        <w:rPr>
          <w:rFonts w:ascii="Times New Roman" w:hAnsi="Times New Roman" w:hint="eastAsia"/>
          <w:kern w:val="0"/>
          <w:szCs w:val="24"/>
          <w:u w:val="single"/>
          <w:lang w:val="en-US" w:eastAsia="zh-CN"/>
        </w:rPr>
        <w:t>开采</w:t>
      </w:r>
      <w:r>
        <w:rPr>
          <w:rFonts w:ascii="Times New Roman" w:hAnsi="Times New Roman"/>
          <w:kern w:val="0"/>
          <w:szCs w:val="24"/>
          <w:u w:val="single"/>
          <w:lang w:val="en-US" w:eastAsia="zh-CN"/>
        </w:rPr>
        <w:t>方式：</w:t>
      </w:r>
      <w:r>
        <w:rPr>
          <w:rFonts w:ascii="Times New Roman" w:hAnsi="Times New Roman" w:hint="eastAsia"/>
          <w:kern w:val="0"/>
          <w:szCs w:val="24"/>
          <w:u w:val="single"/>
          <w:lang w:val="en-US" w:eastAsia="zh-CN"/>
        </w:rPr>
        <w:t>工程区采砂设计采用采掘船水下采矿方法，矿段矿体厚度一般</w:t>
      </w:r>
      <w:r>
        <w:rPr>
          <w:rFonts w:ascii="Times New Roman" w:hAnsi="Times New Roman" w:hint="eastAsia"/>
          <w:kern w:val="0"/>
          <w:szCs w:val="24"/>
          <w:u w:val="single"/>
          <w:lang w:val="en-US" w:eastAsia="zh-CN"/>
        </w:rPr>
        <w:t>16.4-31.1m</w:t>
      </w:r>
      <w:r>
        <w:rPr>
          <w:rFonts w:ascii="Times New Roman" w:hAnsi="Times New Roman" w:hint="eastAsia"/>
          <w:kern w:val="0"/>
          <w:szCs w:val="24"/>
          <w:u w:val="single"/>
          <w:lang w:val="en-US" w:eastAsia="zh-CN"/>
        </w:rPr>
        <w:t>，只划分一个开采水平。为了防止主流线对堤脚的冲刷（特别是凸岸），设计由西部逐步向东岸推进，以防对江堤造成威胁。采池内采掘面自上游（南）向下游（北）前进采掘的顺序。本次设计采用斗容积</w:t>
      </w:r>
      <w:r>
        <w:rPr>
          <w:rFonts w:ascii="Times New Roman" w:hAnsi="Times New Roman" w:hint="eastAsia"/>
          <w:kern w:val="0"/>
          <w:szCs w:val="24"/>
          <w:u w:val="single"/>
          <w:lang w:val="en-US" w:eastAsia="zh-CN"/>
        </w:rPr>
        <w:t>300-400L</w:t>
      </w:r>
      <w:r>
        <w:rPr>
          <w:rFonts w:ascii="Times New Roman" w:hAnsi="Times New Roman" w:hint="eastAsia"/>
          <w:kern w:val="0"/>
          <w:szCs w:val="24"/>
          <w:u w:val="single"/>
          <w:lang w:val="en-US" w:eastAsia="zh-CN"/>
        </w:rPr>
        <w:t>，挖掘厚度</w:t>
      </w:r>
      <w:r>
        <w:rPr>
          <w:rFonts w:ascii="Times New Roman" w:hAnsi="Times New Roman" w:hint="eastAsia"/>
          <w:kern w:val="0"/>
          <w:szCs w:val="24"/>
          <w:u w:val="single"/>
          <w:lang w:val="en-US" w:eastAsia="zh-CN"/>
        </w:rPr>
        <w:t xml:space="preserve"> 20-30m</w:t>
      </w:r>
      <w:r>
        <w:rPr>
          <w:rFonts w:ascii="Times New Roman" w:hAnsi="Times New Roman" w:hint="eastAsia"/>
          <w:kern w:val="0"/>
          <w:szCs w:val="24"/>
          <w:u w:val="single"/>
          <w:lang w:val="en-US" w:eastAsia="zh-CN"/>
        </w:rPr>
        <w:t>，生产效率≥</w:t>
      </w:r>
      <w:r>
        <w:rPr>
          <w:rFonts w:ascii="Times New Roman" w:hAnsi="Times New Roman" w:hint="eastAsia"/>
          <w:kern w:val="0"/>
          <w:szCs w:val="24"/>
          <w:u w:val="single"/>
          <w:lang w:val="en-US" w:eastAsia="zh-CN"/>
        </w:rPr>
        <w:t>300m</w:t>
      </w:r>
      <w:r>
        <w:rPr>
          <w:rFonts w:ascii="Times New Roman" w:hAnsi="Times New Roman" w:hint="eastAsia"/>
          <w:kern w:val="0"/>
          <w:szCs w:val="24"/>
          <w:u w:val="single"/>
          <w:vertAlign w:val="superscript"/>
          <w:lang w:val="en-US" w:eastAsia="zh-CN"/>
        </w:rPr>
        <w:t>3</w:t>
      </w:r>
      <w:r>
        <w:rPr>
          <w:rFonts w:ascii="Times New Roman" w:hAnsi="Times New Roman" w:hint="eastAsia"/>
          <w:kern w:val="0"/>
          <w:szCs w:val="24"/>
          <w:u w:val="single"/>
          <w:lang w:val="en-US" w:eastAsia="zh-CN"/>
        </w:rPr>
        <w:t>/h</w:t>
      </w:r>
      <w:r>
        <w:rPr>
          <w:rFonts w:ascii="Times New Roman" w:hAnsi="Times New Roman" w:hint="eastAsia"/>
          <w:kern w:val="0"/>
          <w:szCs w:val="24"/>
          <w:u w:val="single"/>
          <w:lang w:val="en-US" w:eastAsia="zh-CN"/>
        </w:rPr>
        <w:t>的采掘船进行采挖提升洗选筛分，分选出砂、卵石，筛下泥砂采用重力洗选，滤布回收含重金属混合尾砂，采选出砂、卵石直接装船售销。</w:t>
      </w:r>
    </w:p>
    <w:p w:rsidR="004B4777" w:rsidRDefault="004B4777">
      <w:pPr>
        <w:widowControl/>
        <w:ind w:firstLine="480"/>
        <w:rPr>
          <w:rFonts w:ascii="Times New Roman" w:hAnsi="Times New Roman" w:hint="eastAsia"/>
          <w:kern w:val="0"/>
          <w:szCs w:val="24"/>
          <w:u w:val="single"/>
          <w:lang w:val="en-US" w:eastAsia="zh-CN"/>
        </w:rPr>
      </w:pPr>
      <w:r>
        <w:rPr>
          <w:rFonts w:ascii="Times New Roman" w:hAnsi="Times New Roman" w:hint="eastAsia"/>
          <w:kern w:val="0"/>
          <w:szCs w:val="24"/>
          <w:u w:val="single"/>
          <w:lang w:val="en-US" w:eastAsia="zh-CN"/>
        </w:rPr>
        <w:lastRenderedPageBreak/>
        <w:t>易婆塘采区采砂船控制数量为</w:t>
      </w:r>
      <w:r>
        <w:rPr>
          <w:rFonts w:ascii="Times New Roman" w:hAnsi="Times New Roman" w:hint="eastAsia"/>
          <w:kern w:val="0"/>
          <w:szCs w:val="24"/>
          <w:u w:val="single"/>
          <w:lang w:val="en-US" w:eastAsia="zh-CN"/>
        </w:rPr>
        <w:t>6</w:t>
      </w:r>
      <w:r>
        <w:rPr>
          <w:rFonts w:ascii="Times New Roman" w:hAnsi="Times New Roman" w:hint="eastAsia"/>
          <w:kern w:val="0"/>
          <w:szCs w:val="24"/>
          <w:u w:val="single"/>
          <w:lang w:val="en-US" w:eastAsia="zh-CN"/>
        </w:rPr>
        <w:t>艘，斗米咀采区采砂船控制数量为</w:t>
      </w:r>
      <w:r>
        <w:rPr>
          <w:rFonts w:ascii="Times New Roman" w:hAnsi="Times New Roman" w:hint="eastAsia"/>
          <w:kern w:val="0"/>
          <w:szCs w:val="24"/>
          <w:u w:val="single"/>
          <w:lang w:val="en-US" w:eastAsia="zh-CN"/>
        </w:rPr>
        <w:t>1</w:t>
      </w:r>
      <w:r>
        <w:rPr>
          <w:rFonts w:ascii="Times New Roman" w:hAnsi="Times New Roman" w:hint="eastAsia"/>
          <w:kern w:val="0"/>
          <w:szCs w:val="24"/>
          <w:u w:val="single"/>
          <w:lang w:val="en-US" w:eastAsia="zh-CN"/>
        </w:rPr>
        <w:t>艘。易婆塘采区的采砂船作业范围需间隔</w:t>
      </w:r>
      <w:r>
        <w:rPr>
          <w:rFonts w:ascii="Times New Roman" w:hAnsi="Times New Roman" w:hint="eastAsia"/>
          <w:kern w:val="0"/>
          <w:szCs w:val="24"/>
          <w:u w:val="single"/>
          <w:lang w:val="en-US" w:eastAsia="zh-CN"/>
        </w:rPr>
        <w:t>500m</w:t>
      </w:r>
      <w:r>
        <w:rPr>
          <w:rFonts w:ascii="Times New Roman" w:hAnsi="Times New Roman" w:hint="eastAsia"/>
          <w:kern w:val="0"/>
          <w:szCs w:val="24"/>
          <w:u w:val="single"/>
          <w:lang w:val="en-US" w:eastAsia="zh-CN"/>
        </w:rPr>
        <w:t>，采砂船初采布置图详见图</w:t>
      </w:r>
      <w:r>
        <w:rPr>
          <w:rFonts w:ascii="Times New Roman" w:hAnsi="Times New Roman" w:hint="eastAsia"/>
          <w:kern w:val="0"/>
          <w:szCs w:val="24"/>
          <w:u w:val="single"/>
          <w:lang w:val="en-US" w:eastAsia="zh-CN"/>
        </w:rPr>
        <w:t>3.2-1</w:t>
      </w:r>
      <w:r>
        <w:rPr>
          <w:rFonts w:ascii="Times New Roman" w:hAnsi="Times New Roman" w:hint="eastAsia"/>
          <w:kern w:val="0"/>
          <w:szCs w:val="24"/>
          <w:u w:val="single"/>
          <w:lang w:val="en-US" w:eastAsia="zh-CN"/>
        </w:rPr>
        <w:t>。</w:t>
      </w:r>
    </w:p>
    <w:p w:rsidR="004B4777" w:rsidRDefault="001F6CA0">
      <w:pPr>
        <w:widowControl/>
        <w:ind w:firstLineChars="0" w:firstLine="0"/>
        <w:rPr>
          <w:rFonts w:hint="eastAsia"/>
          <w:lang w:val="en-US" w:eastAsia="zh-CN"/>
        </w:rPr>
      </w:pPr>
      <w:r>
        <w:rPr>
          <w:noProof/>
        </w:rPr>
        <w:drawing>
          <wp:inline distT="0" distB="0" distL="0" distR="0">
            <wp:extent cx="5486400" cy="35147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486400" cy="3514725"/>
                    </a:xfrm>
                    <a:prstGeom prst="rect">
                      <a:avLst/>
                    </a:prstGeom>
                    <a:noFill/>
                    <a:ln w="9525">
                      <a:noFill/>
                      <a:miter lim="800000"/>
                      <a:headEnd/>
                      <a:tailEnd/>
                    </a:ln>
                  </pic:spPr>
                </pic:pic>
              </a:graphicData>
            </a:graphic>
          </wp:inline>
        </w:drawing>
      </w:r>
    </w:p>
    <w:p w:rsidR="004B4777" w:rsidRDefault="004B4777">
      <w:pPr>
        <w:widowControl/>
        <w:ind w:firstLineChars="0" w:firstLine="0"/>
        <w:jc w:val="center"/>
        <w:rPr>
          <w:rFonts w:ascii="Times New Roman" w:hAnsi="Times New Roman" w:hint="eastAsia"/>
          <w:kern w:val="0"/>
          <w:szCs w:val="24"/>
          <w:u w:val="single"/>
          <w:lang w:val="en-US" w:eastAsia="zh-CN"/>
        </w:rPr>
      </w:pPr>
      <w:r>
        <w:rPr>
          <w:rFonts w:ascii="Times New Roman" w:hAnsi="Times New Roman" w:hint="eastAsia"/>
          <w:kern w:val="0"/>
          <w:szCs w:val="24"/>
          <w:u w:val="single"/>
          <w:lang w:val="en-US" w:eastAsia="zh-CN"/>
        </w:rPr>
        <w:t>图</w:t>
      </w:r>
      <w:r>
        <w:rPr>
          <w:rFonts w:ascii="Times New Roman" w:hAnsi="Times New Roman" w:hint="eastAsia"/>
          <w:kern w:val="0"/>
          <w:szCs w:val="24"/>
          <w:u w:val="single"/>
          <w:lang w:val="en-US" w:eastAsia="zh-CN"/>
        </w:rPr>
        <w:t xml:space="preserve">3.2-1 </w:t>
      </w:r>
      <w:r>
        <w:rPr>
          <w:rFonts w:ascii="Times New Roman" w:hAnsi="Times New Roman" w:hint="eastAsia"/>
          <w:kern w:val="0"/>
          <w:szCs w:val="24"/>
          <w:u w:val="single"/>
          <w:lang w:val="en-US" w:eastAsia="zh-CN"/>
        </w:rPr>
        <w:t>易婆塘采区采砂船布置图</w:t>
      </w:r>
    </w:p>
    <w:p w:rsidR="004B4777" w:rsidRDefault="004B4777">
      <w:pPr>
        <w:ind w:firstLine="480"/>
        <w:rPr>
          <w:u w:val="single"/>
        </w:rPr>
      </w:pPr>
      <w:r>
        <w:rPr>
          <w:rFonts w:hint="eastAsia"/>
          <w:kern w:val="0"/>
          <w:szCs w:val="24"/>
          <w:u w:val="single"/>
        </w:rPr>
        <w:t>因采区有部分面积可采区高于水面，且部分存在经济种植林，经林业部门同意将采区内覆盖的经济林砍伐并做相应补偿，林业部门意见见附件。因此，项目在采砂前需先伐去林木送造纸企业利用、挖除树根送生物质燃料加工企业做原料。</w:t>
      </w:r>
      <w:r>
        <w:rPr>
          <w:rFonts w:hint="eastAsia"/>
          <w:u w:val="single"/>
        </w:rPr>
        <w:t>覆盖层表土（泥土）需经机械铲除，转运至陆地</w:t>
      </w:r>
      <w:r>
        <w:rPr>
          <w:rFonts w:hint="eastAsia"/>
          <w:kern w:val="0"/>
          <w:szCs w:val="24"/>
          <w:u w:val="single"/>
        </w:rPr>
        <w:t>后送至</w:t>
      </w:r>
      <w:r>
        <w:rPr>
          <w:rFonts w:hint="eastAsia"/>
          <w:u w:val="single"/>
        </w:rPr>
        <w:t>环保砖厂综合利用，严禁将覆盖层表土直接倾倒于河水之中。</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7</w:t>
      </w:r>
      <w:r>
        <w:rPr>
          <w:rFonts w:ascii="Times New Roman" w:hAnsi="Times New Roman"/>
          <w:kern w:val="0"/>
          <w:szCs w:val="24"/>
          <w:lang w:val="en-US" w:eastAsia="zh-CN"/>
        </w:rPr>
        <w:t>）</w:t>
      </w:r>
      <w:r>
        <w:rPr>
          <w:rFonts w:ascii="Times New Roman" w:hAnsi="Times New Roman" w:hint="eastAsia"/>
          <w:kern w:val="0"/>
          <w:szCs w:val="24"/>
          <w:lang w:val="en-US" w:eastAsia="zh-CN"/>
        </w:rPr>
        <w:t>采砂控制量</w:t>
      </w:r>
      <w:r>
        <w:rPr>
          <w:rFonts w:ascii="Times New Roman" w:hAnsi="Times New Roman"/>
          <w:kern w:val="0"/>
          <w:szCs w:val="24"/>
          <w:lang w:val="en-US" w:eastAsia="zh-CN"/>
        </w:rPr>
        <w:t>：</w:t>
      </w:r>
      <w:r>
        <w:rPr>
          <w:rFonts w:ascii="Times New Roman" w:hAnsi="Times New Roman" w:hint="eastAsia"/>
          <w:kern w:val="0"/>
          <w:szCs w:val="24"/>
          <w:lang w:val="en-US" w:eastAsia="zh-CN"/>
        </w:rPr>
        <w:t>易婆塘采区年度控制采砂量为</w:t>
      </w:r>
      <w:r>
        <w:rPr>
          <w:rFonts w:ascii="Times New Roman" w:hAnsi="Times New Roman" w:hint="eastAsia"/>
          <w:kern w:val="0"/>
          <w:szCs w:val="24"/>
          <w:lang w:val="en-US" w:eastAsia="zh-CN"/>
        </w:rPr>
        <w:t>1170</w:t>
      </w:r>
      <w:r>
        <w:rPr>
          <w:rFonts w:ascii="Times New Roman" w:hAnsi="Times New Roman" w:hint="eastAsia"/>
          <w:kern w:val="0"/>
          <w:szCs w:val="24"/>
          <w:lang w:val="en-US" w:eastAsia="zh-CN"/>
        </w:rPr>
        <w:t>万</w:t>
      </w:r>
      <w:r>
        <w:rPr>
          <w:rFonts w:ascii="Times New Roman" w:hAnsi="Times New Roman" w:hint="eastAsia"/>
          <w:kern w:val="0"/>
          <w:szCs w:val="24"/>
          <w:lang w:val="en-US" w:eastAsia="zh-CN"/>
        </w:rPr>
        <w:t>t</w:t>
      </w:r>
      <w:r>
        <w:rPr>
          <w:rFonts w:ascii="Times New Roman" w:hAnsi="Times New Roman" w:hint="eastAsia"/>
          <w:kern w:val="0"/>
          <w:szCs w:val="24"/>
          <w:lang w:val="en-US" w:eastAsia="zh-CN"/>
        </w:rPr>
        <w:t>，斗米咀采区年度控制采砂量为</w:t>
      </w:r>
      <w:r>
        <w:rPr>
          <w:rFonts w:ascii="Times New Roman" w:hAnsi="Times New Roman" w:hint="eastAsia"/>
          <w:kern w:val="0"/>
          <w:szCs w:val="24"/>
          <w:lang w:val="en-US" w:eastAsia="zh-CN"/>
        </w:rPr>
        <w:t>251</w:t>
      </w:r>
      <w:r>
        <w:rPr>
          <w:rFonts w:ascii="Times New Roman" w:hAnsi="Times New Roman" w:hint="eastAsia"/>
          <w:kern w:val="0"/>
          <w:szCs w:val="24"/>
          <w:lang w:val="en-US" w:eastAsia="zh-CN"/>
        </w:rPr>
        <w:t>万</w:t>
      </w:r>
      <w:r>
        <w:rPr>
          <w:rFonts w:ascii="Times New Roman" w:hAnsi="Times New Roman" w:hint="eastAsia"/>
          <w:kern w:val="0"/>
          <w:szCs w:val="24"/>
          <w:lang w:val="en-US" w:eastAsia="zh-CN"/>
        </w:rPr>
        <w:t>t</w:t>
      </w:r>
      <w:r>
        <w:rPr>
          <w:rFonts w:ascii="Times New Roman" w:hAnsi="Times New Roman" w:hint="eastAsia"/>
          <w:kern w:val="0"/>
          <w:szCs w:val="24"/>
          <w:lang w:val="en-US" w:eastAsia="zh-CN"/>
        </w:rPr>
        <w:t>。</w:t>
      </w:r>
    </w:p>
    <w:p w:rsidR="004B4777" w:rsidRDefault="004B4777">
      <w:pPr>
        <w:ind w:firstLine="480"/>
        <w:rPr>
          <w:rFonts w:ascii="Times New Roman" w:hAnsi="Times New Roman" w:hint="eastAsia"/>
          <w:kern w:val="0"/>
          <w:szCs w:val="24"/>
          <w:u w:val="single"/>
          <w:lang w:val="en-US" w:eastAsia="zh-CN"/>
        </w:rPr>
      </w:pPr>
      <w:r>
        <w:rPr>
          <w:rFonts w:ascii="Times New Roman" w:hAnsi="Times New Roman" w:hint="eastAsia"/>
          <w:kern w:val="0"/>
          <w:szCs w:val="24"/>
          <w:u w:val="single"/>
          <w:lang w:val="en-US" w:eastAsia="zh-CN"/>
        </w:rPr>
        <w:t>产品方案</w:t>
      </w:r>
      <w:r>
        <w:rPr>
          <w:rFonts w:ascii="Times New Roman" w:hAnsi="Times New Roman"/>
          <w:kern w:val="0"/>
          <w:szCs w:val="24"/>
          <w:u w:val="single"/>
          <w:lang w:val="en-US" w:eastAsia="zh-CN"/>
        </w:rPr>
        <w:t>：</w:t>
      </w:r>
      <w:r>
        <w:rPr>
          <w:rFonts w:ascii="Times New Roman" w:hAnsi="Times New Roman" w:hint="eastAsia"/>
          <w:kern w:val="0"/>
          <w:szCs w:val="24"/>
          <w:u w:val="single"/>
          <w:lang w:val="en-US" w:eastAsia="zh-CN"/>
        </w:rPr>
        <w:t>矿区开采的矿层为砂卵石，其结构松散、可选性强。用洗砂泵挖掘出矿石经水冲洗，过筛分出成品砂、卵石，即可销售运走。</w:t>
      </w:r>
    </w:p>
    <w:p w:rsidR="004B4777" w:rsidRDefault="004B4777">
      <w:pPr>
        <w:ind w:firstLine="480"/>
        <w:rPr>
          <w:rFonts w:hint="eastAsia"/>
          <w:u w:val="single"/>
        </w:rPr>
      </w:pPr>
      <w:r>
        <w:rPr>
          <w:rFonts w:hint="eastAsia"/>
          <w:kern w:val="0"/>
          <w:szCs w:val="24"/>
          <w:u w:val="single"/>
        </w:rPr>
        <w:t>由于市场砂、卵石利用率的提高，大部分砂石都能得到有效利用，仅有少量尺寸较大石块产生</w:t>
      </w:r>
      <w:r>
        <w:rPr>
          <w:rFonts w:hint="eastAsia"/>
          <w:u w:val="single"/>
        </w:rPr>
        <w:t>。</w:t>
      </w:r>
    </w:p>
    <w:p w:rsidR="004B4777" w:rsidRDefault="004B4777">
      <w:pPr>
        <w:ind w:firstLine="480"/>
        <w:rPr>
          <w:rFonts w:hint="eastAsia"/>
          <w:u w:val="single"/>
        </w:rPr>
      </w:pPr>
      <w:r>
        <w:rPr>
          <w:rFonts w:hint="eastAsia"/>
          <w:u w:val="single"/>
        </w:rPr>
        <w:t>环评要求应定期清除河道采砂尾堆，</w:t>
      </w:r>
      <w:r>
        <w:rPr>
          <w:rFonts w:hint="eastAsia"/>
          <w:kern w:val="0"/>
          <w:szCs w:val="24"/>
          <w:u w:val="single"/>
        </w:rPr>
        <w:t>将尺寸较大石块回填至采空区</w:t>
      </w:r>
      <w:r>
        <w:rPr>
          <w:rFonts w:hint="eastAsia"/>
          <w:u w:val="single"/>
        </w:rPr>
        <w:t>。</w:t>
      </w:r>
    </w:p>
    <w:p w:rsidR="004B4777" w:rsidRDefault="004B4777">
      <w:pPr>
        <w:ind w:firstLine="480"/>
        <w:rPr>
          <w:rFonts w:ascii="Times New Roman" w:hAnsi="Times New Roman" w:hint="eastAsia"/>
          <w:kern w:val="0"/>
          <w:szCs w:val="24"/>
          <w:u w:val="single"/>
          <w:lang w:val="en-US" w:eastAsia="zh-CN"/>
        </w:rPr>
      </w:pP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项目主要工程内容详见表</w:t>
      </w:r>
      <w:r>
        <w:rPr>
          <w:rFonts w:ascii="Times New Roman" w:hAnsi="Times New Roman" w:hint="eastAsia"/>
          <w:kern w:val="0"/>
          <w:szCs w:val="24"/>
          <w:lang w:val="en-US" w:eastAsia="zh-CN"/>
        </w:rPr>
        <w:t>3.2-1</w:t>
      </w:r>
      <w:r>
        <w:rPr>
          <w:rFonts w:ascii="Times New Roman" w:hAnsi="Times New Roman" w:hint="eastAsia"/>
          <w:kern w:val="0"/>
          <w:szCs w:val="24"/>
          <w:lang w:val="en-US" w:eastAsia="zh-CN"/>
        </w:rPr>
        <w:t>。</w:t>
      </w:r>
    </w:p>
    <w:p w:rsidR="004B4777" w:rsidRDefault="004B4777">
      <w:pPr>
        <w:ind w:firstLineChars="0" w:firstLine="0"/>
        <w:jc w:val="center"/>
        <w:rPr>
          <w:rFonts w:ascii="Times New Roman" w:hAnsi="Times New Roman" w:hint="eastAsia"/>
          <w:b/>
          <w:kern w:val="0"/>
          <w:szCs w:val="24"/>
          <w:lang w:val="en-US" w:eastAsia="zh-CN"/>
        </w:rPr>
      </w:pP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lastRenderedPageBreak/>
        <w:t>表</w:t>
      </w:r>
      <w:r>
        <w:rPr>
          <w:rFonts w:ascii="Times New Roman" w:hAnsi="Times New Roman" w:hint="eastAsia"/>
          <w:b/>
          <w:kern w:val="0"/>
          <w:szCs w:val="24"/>
          <w:lang w:val="en-US" w:eastAsia="zh-CN"/>
        </w:rPr>
        <w:t>3.2</w:t>
      </w:r>
      <w:r>
        <w:rPr>
          <w:rFonts w:ascii="Times New Roman" w:hAnsi="Times New Roman"/>
          <w:b/>
          <w:kern w:val="0"/>
          <w:szCs w:val="24"/>
          <w:lang w:val="en-US" w:eastAsia="zh-CN"/>
        </w:rPr>
        <w:t xml:space="preserve">-1    </w:t>
      </w:r>
      <w:r>
        <w:rPr>
          <w:rFonts w:ascii="Times New Roman" w:hAnsi="Times New Roman" w:hint="eastAsia"/>
          <w:b/>
          <w:kern w:val="0"/>
          <w:szCs w:val="24"/>
          <w:lang w:val="en-US" w:eastAsia="zh-CN"/>
        </w:rPr>
        <w:t>项目建设内容</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8"/>
        <w:gridCol w:w="1266"/>
        <w:gridCol w:w="1589"/>
        <w:gridCol w:w="4699"/>
      </w:tblGrid>
      <w:tr w:rsidR="004B4777">
        <w:tc>
          <w:tcPr>
            <w:tcW w:w="9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序号</w:t>
            </w:r>
          </w:p>
        </w:tc>
        <w:tc>
          <w:tcPr>
            <w:tcW w:w="126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类别</w:t>
            </w: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名称</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建设内容</w:t>
            </w:r>
          </w:p>
        </w:tc>
      </w:tr>
      <w:tr w:rsidR="004B4777">
        <w:tc>
          <w:tcPr>
            <w:tcW w:w="96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w:t>
            </w:r>
          </w:p>
        </w:tc>
        <w:tc>
          <w:tcPr>
            <w:tcW w:w="126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主体工程</w:t>
            </w: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采砂区</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本项目共有两个采砂区，其中：易婆塘采区采砂面积</w:t>
            </w:r>
            <w:r>
              <w:rPr>
                <w:rFonts w:ascii="Times New Roman" w:hAnsi="Times New Roman" w:hint="eastAsia"/>
                <w:kern w:val="0"/>
                <w:sz w:val="21"/>
                <w:szCs w:val="21"/>
                <w:lang w:val="en-US" w:eastAsia="zh-CN"/>
              </w:rPr>
              <w:t>5880</w:t>
            </w:r>
            <w:r>
              <w:rPr>
                <w:rFonts w:ascii="Times New Roman" w:hAnsi="Times New Roman" w:hint="eastAsia"/>
                <w:kern w:val="0"/>
                <w:sz w:val="21"/>
                <w:szCs w:val="21"/>
                <w:lang w:val="en-US" w:eastAsia="zh-CN"/>
              </w:rPr>
              <w:t>亩，斗米咀采区采砂面积</w:t>
            </w:r>
            <w:r>
              <w:rPr>
                <w:rFonts w:ascii="Times New Roman" w:hAnsi="Times New Roman" w:hint="eastAsia"/>
                <w:kern w:val="0"/>
                <w:sz w:val="21"/>
                <w:szCs w:val="21"/>
                <w:lang w:val="en-US" w:eastAsia="zh-CN"/>
              </w:rPr>
              <w:t>1059</w:t>
            </w:r>
            <w:r>
              <w:rPr>
                <w:rFonts w:ascii="Times New Roman" w:hAnsi="Times New Roman" w:hint="eastAsia"/>
                <w:kern w:val="0"/>
                <w:sz w:val="21"/>
                <w:szCs w:val="21"/>
                <w:lang w:val="en-US" w:eastAsia="zh-CN"/>
              </w:rPr>
              <w:t>亩。易婆塘采区位于湘阴县资水北支易婆塘外洲，起点桩号资水北</w:t>
            </w:r>
            <w:r>
              <w:rPr>
                <w:rFonts w:ascii="Times New Roman" w:hAnsi="Times New Roman" w:hint="eastAsia"/>
                <w:kern w:val="0"/>
                <w:sz w:val="21"/>
                <w:szCs w:val="21"/>
                <w:lang w:val="en-US" w:eastAsia="zh-CN"/>
              </w:rPr>
              <w:t>1+890</w:t>
            </w:r>
            <w:r>
              <w:rPr>
                <w:rFonts w:ascii="Times New Roman" w:hAnsi="Times New Roman" w:hint="eastAsia"/>
                <w:kern w:val="0"/>
                <w:sz w:val="21"/>
                <w:szCs w:val="21"/>
                <w:lang w:val="en-US" w:eastAsia="zh-CN"/>
              </w:rPr>
              <w:t>，止点桩号资水北</w:t>
            </w:r>
            <w:r>
              <w:rPr>
                <w:rFonts w:ascii="Times New Roman" w:hAnsi="Times New Roman" w:hint="eastAsia"/>
                <w:kern w:val="0"/>
                <w:sz w:val="21"/>
                <w:szCs w:val="21"/>
                <w:lang w:val="en-US" w:eastAsia="zh-CN"/>
              </w:rPr>
              <w:t>11+770</w:t>
            </w:r>
            <w:r>
              <w:rPr>
                <w:rFonts w:ascii="Times New Roman" w:hAnsi="Times New Roman" w:hint="eastAsia"/>
                <w:kern w:val="0"/>
                <w:sz w:val="21"/>
                <w:szCs w:val="21"/>
                <w:lang w:val="en-US" w:eastAsia="zh-CN"/>
              </w:rPr>
              <w:t>，采砂控制高程</w:t>
            </w:r>
            <w:r>
              <w:rPr>
                <w:rFonts w:ascii="Times New Roman" w:hAnsi="Times New Roman" w:hint="eastAsia"/>
                <w:kern w:val="0"/>
                <w:sz w:val="21"/>
                <w:szCs w:val="21"/>
                <w:lang w:val="en-US" w:eastAsia="zh-CN"/>
              </w:rPr>
              <w:t>5m</w:t>
            </w:r>
            <w:r>
              <w:rPr>
                <w:rFonts w:ascii="Times New Roman" w:hAnsi="Times New Roman" w:hint="eastAsia"/>
                <w:kern w:val="0"/>
                <w:sz w:val="21"/>
                <w:szCs w:val="21"/>
                <w:lang w:val="en-US" w:eastAsia="zh-CN"/>
              </w:rPr>
              <w:t>，年度控制采砂量</w:t>
            </w:r>
            <w:r>
              <w:rPr>
                <w:rFonts w:ascii="Times New Roman" w:hAnsi="Times New Roman" w:hint="eastAsia"/>
                <w:kern w:val="0"/>
                <w:sz w:val="21"/>
                <w:szCs w:val="21"/>
                <w:lang w:val="en-US" w:eastAsia="zh-CN"/>
              </w:rPr>
              <w:t>1170</w:t>
            </w:r>
            <w:r>
              <w:rPr>
                <w:rFonts w:ascii="Times New Roman" w:hAnsi="Times New Roman" w:hint="eastAsia"/>
                <w:kern w:val="0"/>
                <w:sz w:val="21"/>
                <w:szCs w:val="21"/>
                <w:lang w:val="en-US" w:eastAsia="zh-CN"/>
              </w:rPr>
              <w:t>万</w:t>
            </w:r>
            <w:r>
              <w:rPr>
                <w:rFonts w:ascii="Times New Roman" w:hAnsi="Times New Roman" w:hint="eastAsia"/>
                <w:kern w:val="0"/>
                <w:sz w:val="21"/>
                <w:szCs w:val="21"/>
                <w:lang w:val="en-US" w:eastAsia="zh-CN"/>
              </w:rPr>
              <w:t>t</w:t>
            </w:r>
            <w:r>
              <w:rPr>
                <w:rFonts w:ascii="Times New Roman" w:hAnsi="Times New Roman" w:hint="eastAsia"/>
                <w:kern w:val="0"/>
                <w:sz w:val="21"/>
                <w:szCs w:val="21"/>
                <w:lang w:val="en-US" w:eastAsia="zh-CN"/>
              </w:rPr>
              <w:t>，采砂作业方式为水采，采砂机具功率控制在</w:t>
            </w:r>
            <w:r>
              <w:rPr>
                <w:rFonts w:ascii="Times New Roman" w:hAnsi="Times New Roman" w:hint="eastAsia"/>
                <w:kern w:val="0"/>
                <w:sz w:val="21"/>
                <w:szCs w:val="21"/>
                <w:lang w:val="en-US" w:eastAsia="zh-CN"/>
              </w:rPr>
              <w:t>2600KW</w:t>
            </w:r>
            <w:r>
              <w:rPr>
                <w:rFonts w:ascii="Times New Roman" w:hAnsi="Times New Roman" w:hint="eastAsia"/>
                <w:kern w:val="0"/>
                <w:sz w:val="21"/>
                <w:szCs w:val="21"/>
                <w:lang w:val="en-US" w:eastAsia="zh-CN"/>
              </w:rPr>
              <w:t>，采砂船</w:t>
            </w:r>
            <w:r>
              <w:rPr>
                <w:rFonts w:ascii="Times New Roman" w:hAnsi="Times New Roman" w:hint="eastAsia"/>
                <w:kern w:val="0"/>
                <w:sz w:val="21"/>
                <w:szCs w:val="21"/>
                <w:lang w:val="en-US" w:eastAsia="zh-CN"/>
              </w:rPr>
              <w:t>6</w:t>
            </w:r>
            <w:r>
              <w:rPr>
                <w:rFonts w:ascii="Times New Roman" w:hAnsi="Times New Roman" w:hint="eastAsia"/>
                <w:kern w:val="0"/>
                <w:sz w:val="21"/>
                <w:szCs w:val="21"/>
                <w:lang w:val="en-US" w:eastAsia="zh-CN"/>
              </w:rPr>
              <w:t>艘。斗米咀采区位于湘阴县湘水西支出口，起点桩号湘水西</w:t>
            </w:r>
            <w:r>
              <w:rPr>
                <w:rFonts w:ascii="Times New Roman" w:hAnsi="Times New Roman" w:hint="eastAsia"/>
                <w:kern w:val="0"/>
                <w:sz w:val="21"/>
                <w:szCs w:val="21"/>
                <w:lang w:val="en-US" w:eastAsia="zh-CN"/>
              </w:rPr>
              <w:t>0+500</w:t>
            </w:r>
            <w:r>
              <w:rPr>
                <w:rFonts w:ascii="Times New Roman" w:hAnsi="Times New Roman" w:hint="eastAsia"/>
                <w:kern w:val="0"/>
                <w:sz w:val="21"/>
                <w:szCs w:val="21"/>
                <w:lang w:val="en-US" w:eastAsia="zh-CN"/>
              </w:rPr>
              <w:t>，止点桩号湘水西</w:t>
            </w:r>
            <w:r>
              <w:rPr>
                <w:rFonts w:ascii="Times New Roman" w:hAnsi="Times New Roman" w:hint="eastAsia"/>
                <w:kern w:val="0"/>
                <w:sz w:val="21"/>
                <w:szCs w:val="21"/>
                <w:lang w:val="en-US" w:eastAsia="zh-CN"/>
              </w:rPr>
              <w:t>2+220</w:t>
            </w:r>
            <w:r>
              <w:rPr>
                <w:rFonts w:ascii="Times New Roman" w:hAnsi="Times New Roman" w:hint="eastAsia"/>
                <w:kern w:val="0"/>
                <w:sz w:val="21"/>
                <w:szCs w:val="21"/>
                <w:lang w:val="en-US" w:eastAsia="zh-CN"/>
              </w:rPr>
              <w:t>，采砂控制高程</w:t>
            </w:r>
            <w:r>
              <w:rPr>
                <w:rFonts w:ascii="Times New Roman" w:hAnsi="Times New Roman" w:hint="eastAsia"/>
                <w:kern w:val="0"/>
                <w:sz w:val="21"/>
                <w:szCs w:val="21"/>
                <w:lang w:val="en-US" w:eastAsia="zh-CN"/>
              </w:rPr>
              <w:t>5m</w:t>
            </w:r>
            <w:r>
              <w:rPr>
                <w:rFonts w:ascii="Times New Roman" w:hAnsi="Times New Roman" w:hint="eastAsia"/>
                <w:kern w:val="0"/>
                <w:sz w:val="21"/>
                <w:szCs w:val="21"/>
                <w:lang w:val="en-US" w:eastAsia="zh-CN"/>
              </w:rPr>
              <w:t>，年度控制采砂量</w:t>
            </w:r>
            <w:r>
              <w:rPr>
                <w:rFonts w:ascii="Times New Roman" w:hAnsi="Times New Roman" w:hint="eastAsia"/>
                <w:kern w:val="0"/>
                <w:sz w:val="21"/>
                <w:szCs w:val="21"/>
                <w:lang w:val="en-US" w:eastAsia="zh-CN"/>
              </w:rPr>
              <w:t>251</w:t>
            </w:r>
            <w:r>
              <w:rPr>
                <w:rFonts w:ascii="Times New Roman" w:hAnsi="Times New Roman" w:hint="eastAsia"/>
                <w:kern w:val="0"/>
                <w:sz w:val="21"/>
                <w:szCs w:val="21"/>
                <w:lang w:val="en-US" w:eastAsia="zh-CN"/>
              </w:rPr>
              <w:t>万</w:t>
            </w:r>
            <w:r>
              <w:rPr>
                <w:rFonts w:ascii="Times New Roman" w:hAnsi="Times New Roman" w:hint="eastAsia"/>
                <w:kern w:val="0"/>
                <w:sz w:val="21"/>
                <w:szCs w:val="21"/>
                <w:lang w:val="en-US" w:eastAsia="zh-CN"/>
              </w:rPr>
              <w:t>t</w:t>
            </w:r>
            <w:r>
              <w:rPr>
                <w:rFonts w:ascii="Times New Roman" w:hAnsi="Times New Roman" w:hint="eastAsia"/>
                <w:kern w:val="0"/>
                <w:sz w:val="21"/>
                <w:szCs w:val="21"/>
                <w:lang w:val="en-US" w:eastAsia="zh-CN"/>
              </w:rPr>
              <w:t>，采砂作业方式为水采，采砂机具功率控制在</w:t>
            </w:r>
            <w:r>
              <w:rPr>
                <w:rFonts w:ascii="Times New Roman" w:hAnsi="Times New Roman" w:hint="eastAsia"/>
                <w:kern w:val="0"/>
                <w:sz w:val="21"/>
                <w:szCs w:val="21"/>
                <w:lang w:val="en-US" w:eastAsia="zh-CN"/>
              </w:rPr>
              <w:t>2600KW</w:t>
            </w:r>
            <w:r>
              <w:rPr>
                <w:rFonts w:ascii="Times New Roman" w:hAnsi="Times New Roman" w:hint="eastAsia"/>
                <w:kern w:val="0"/>
                <w:sz w:val="21"/>
                <w:szCs w:val="21"/>
                <w:lang w:val="en-US" w:eastAsia="zh-CN"/>
              </w:rPr>
              <w:t>，采砂船</w:t>
            </w:r>
            <w:r>
              <w:rPr>
                <w:rFonts w:ascii="Times New Roman" w:hAnsi="Times New Roman" w:hint="eastAsia"/>
                <w:kern w:val="0"/>
                <w:sz w:val="21"/>
                <w:szCs w:val="21"/>
                <w:lang w:val="en-US" w:eastAsia="zh-CN"/>
              </w:rPr>
              <w:t>1</w:t>
            </w:r>
            <w:r>
              <w:rPr>
                <w:rFonts w:ascii="Times New Roman" w:hAnsi="Times New Roman" w:hint="eastAsia"/>
                <w:kern w:val="0"/>
                <w:sz w:val="21"/>
                <w:szCs w:val="21"/>
                <w:lang w:val="en-US" w:eastAsia="zh-CN"/>
              </w:rPr>
              <w:t>艘。</w:t>
            </w:r>
          </w:p>
        </w:tc>
      </w:tr>
      <w:tr w:rsidR="004B4777">
        <w:tc>
          <w:tcPr>
            <w:tcW w:w="968"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2</w:t>
            </w:r>
          </w:p>
        </w:tc>
        <w:tc>
          <w:tcPr>
            <w:tcW w:w="1266"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公用工程</w:t>
            </w: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供水工程</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生活饮用水采用桶装水，洗涤用水等非饮用水取用湘江、资江河水。</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供电工程</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采砂船自备发电机提供电源。</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排水工程</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生活污水由各采砂船配套的生化一体化处理器处理，处理达标后委托有资质单位接收处置。</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机修工程</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小修由各采砂船修理人员进行，大修则由专门修理公司处理。</w:t>
            </w:r>
          </w:p>
        </w:tc>
      </w:tr>
      <w:tr w:rsidR="004B4777">
        <w:tc>
          <w:tcPr>
            <w:tcW w:w="968"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3</w:t>
            </w:r>
          </w:p>
        </w:tc>
        <w:tc>
          <w:tcPr>
            <w:tcW w:w="1266"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环保工程</w:t>
            </w: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废气治理</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船舶发动机型号符合环保要求；湿式采砂工艺、洒水</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废水治理</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生活污水由各采砂船配套的生化一体化处理器处理，含油废水经油水分离器处理达标后委托有资质单位接收处置。</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噪声治理</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吸砂泵、风机等采用吸声材料进行吸声、消声；减震、个体防护等措施；设备选型时尽量采购低噪声设备。</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固废治理</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u w:val="single"/>
                <w:lang w:val="en-US" w:eastAsia="zh-CN"/>
              </w:rPr>
              <w:t>采区上层覆盖土</w:t>
            </w:r>
            <w:r>
              <w:rPr>
                <w:rFonts w:hint="eastAsia"/>
                <w:kern w:val="0"/>
                <w:sz w:val="21"/>
                <w:szCs w:val="21"/>
                <w:u w:val="single"/>
              </w:rPr>
              <w:t>送至</w:t>
            </w:r>
            <w:r>
              <w:rPr>
                <w:rFonts w:hint="eastAsia"/>
                <w:sz w:val="21"/>
                <w:szCs w:val="21"/>
                <w:u w:val="single"/>
              </w:rPr>
              <w:t>环保砖厂综合利用</w:t>
            </w:r>
            <w:r>
              <w:rPr>
                <w:rFonts w:ascii="Times New Roman" w:hAnsi="Times New Roman" w:hint="eastAsia"/>
                <w:kern w:val="0"/>
                <w:sz w:val="21"/>
                <w:szCs w:val="21"/>
                <w:lang w:val="en-US" w:eastAsia="zh-CN"/>
              </w:rPr>
              <w:t>；设置废机油桶统一回收废机油、废柴油；各采砂船配备若干个垃圾桶。</w:t>
            </w:r>
            <w:r>
              <w:rPr>
                <w:rFonts w:ascii="Times New Roman" w:hAnsi="Times New Roman" w:hint="eastAsia"/>
                <w:sz w:val="21"/>
                <w:szCs w:val="21"/>
              </w:rPr>
              <w:t>内河禁止倾倒船舶垃圾，所有船舶垃圾均运上岸处置。</w:t>
            </w:r>
          </w:p>
        </w:tc>
      </w:tr>
      <w:tr w:rsidR="004B4777">
        <w:tc>
          <w:tcPr>
            <w:tcW w:w="96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266"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58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生态恢复</w:t>
            </w:r>
          </w:p>
        </w:tc>
        <w:tc>
          <w:tcPr>
            <w:tcW w:w="469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hAnsi="宋体" w:hint="eastAsia"/>
                <w:sz w:val="21"/>
                <w:szCs w:val="21"/>
              </w:rPr>
              <w:t>严格按照许可范围进行开采，不越界、超深开采，生态监测、人工增殖放流、营造生境，加强管理等</w:t>
            </w:r>
          </w:p>
        </w:tc>
      </w:tr>
    </w:tbl>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 xml:space="preserve"> </w:t>
      </w:r>
      <w:r>
        <w:rPr>
          <w:rFonts w:ascii="Times New Roman" w:eastAsia="宋体" w:hAnsi="Times New Roman" w:hint="eastAsia"/>
          <w:b/>
        </w:rPr>
        <w:t>主要设备</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本项目采砂主要设备为采砂船，各采砂船配套吸砂泵、水枪、控制室、筛分机、砂石运送链条及皮带等，并配备发电机、消防泵、灭火器必要设施。易婆塘采区</w:t>
      </w:r>
      <w:r>
        <w:rPr>
          <w:rFonts w:ascii="Times New Roman" w:hAnsi="Times New Roman" w:hint="eastAsia"/>
          <w:kern w:val="0"/>
          <w:szCs w:val="24"/>
          <w:lang w:val="en-US" w:eastAsia="zh-CN"/>
        </w:rPr>
        <w:t>6</w:t>
      </w:r>
      <w:r>
        <w:rPr>
          <w:rFonts w:ascii="Times New Roman" w:hAnsi="Times New Roman" w:hint="eastAsia"/>
          <w:kern w:val="0"/>
          <w:szCs w:val="24"/>
          <w:lang w:val="en-US" w:eastAsia="zh-CN"/>
        </w:rPr>
        <w:t>艘采砂船，斗米咀采区</w:t>
      </w:r>
      <w:r>
        <w:rPr>
          <w:rFonts w:ascii="Times New Roman" w:hAnsi="Times New Roman" w:hint="eastAsia"/>
          <w:kern w:val="0"/>
          <w:szCs w:val="24"/>
          <w:lang w:val="en-US" w:eastAsia="zh-CN"/>
        </w:rPr>
        <w:t>1</w:t>
      </w:r>
      <w:r>
        <w:rPr>
          <w:rFonts w:ascii="Times New Roman" w:hAnsi="Times New Roman" w:hint="eastAsia"/>
          <w:kern w:val="0"/>
          <w:szCs w:val="24"/>
          <w:lang w:val="en-US" w:eastAsia="zh-CN"/>
        </w:rPr>
        <w:t>艘采砂船，</w:t>
      </w:r>
      <w:r>
        <w:rPr>
          <w:rFonts w:ascii="Times New Roman" w:hAnsi="Times New Roman" w:hint="eastAsia"/>
          <w:kern w:val="0"/>
          <w:szCs w:val="24"/>
          <w:lang w:val="en-US" w:eastAsia="zh-CN"/>
        </w:rPr>
        <w:t>1</w:t>
      </w:r>
      <w:r>
        <w:rPr>
          <w:rFonts w:ascii="Times New Roman" w:hAnsi="Times New Roman" w:hint="eastAsia"/>
          <w:kern w:val="0"/>
          <w:szCs w:val="24"/>
          <w:lang w:val="en-US" w:eastAsia="zh-CN"/>
        </w:rPr>
        <w:t>艘采砂船一般配套</w:t>
      </w:r>
      <w:r>
        <w:rPr>
          <w:rFonts w:ascii="Times New Roman" w:hAnsi="Times New Roman" w:hint="eastAsia"/>
          <w:kern w:val="0"/>
          <w:szCs w:val="24"/>
          <w:lang w:val="en-US" w:eastAsia="zh-CN"/>
        </w:rPr>
        <w:t>2~3</w:t>
      </w:r>
      <w:r>
        <w:rPr>
          <w:rFonts w:ascii="Times New Roman" w:hAnsi="Times New Roman" w:hint="eastAsia"/>
          <w:kern w:val="0"/>
          <w:szCs w:val="24"/>
          <w:lang w:val="en-US" w:eastAsia="zh-CN"/>
        </w:rPr>
        <w:t>艘运砂船。</w:t>
      </w:r>
    </w:p>
    <w:p w:rsidR="004B4777" w:rsidRDefault="004B4777">
      <w:pPr>
        <w:pStyle w:val="3"/>
        <w:spacing w:before="0" w:after="0"/>
        <w:rPr>
          <w:rFonts w:ascii="Times New Roman" w:eastAsia="宋体" w:hAnsi="Times New Roman" w:hint="eastAsia"/>
          <w:b/>
        </w:rPr>
      </w:pPr>
      <w:r>
        <w:rPr>
          <w:rFonts w:ascii="Times New Roman" w:eastAsia="宋体" w:hAnsi="Times New Roman"/>
          <w:b/>
        </w:rPr>
        <w:lastRenderedPageBreak/>
        <w:t>3.</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hint="eastAsia"/>
          <w:b/>
        </w:rPr>
        <w:t>原辅材料消耗</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本项目主要为采掘河砂，不需要添加化学药剂等原材料。主要辅料主要为生活用水，生活及采砂用电等辅助材料，消耗量按照年度采砂规模和工作制度计算，计算结果见表</w:t>
      </w:r>
      <w:r>
        <w:rPr>
          <w:rFonts w:ascii="Times New Roman" w:hAnsi="Times New Roman" w:hint="eastAsia"/>
          <w:kern w:val="0"/>
          <w:szCs w:val="24"/>
          <w:lang w:val="en-US" w:eastAsia="zh-CN"/>
        </w:rPr>
        <w:t>3.2</w:t>
      </w:r>
      <w:r>
        <w:rPr>
          <w:rFonts w:ascii="Times New Roman" w:hAnsi="Times New Roman"/>
          <w:kern w:val="0"/>
          <w:szCs w:val="24"/>
          <w:lang w:val="en-US" w:eastAsia="zh-CN"/>
        </w:rPr>
        <w:t>-</w:t>
      </w:r>
      <w:r>
        <w:rPr>
          <w:rFonts w:ascii="Times New Roman" w:hAnsi="Times New Roman" w:hint="eastAsia"/>
          <w:kern w:val="0"/>
          <w:szCs w:val="24"/>
          <w:lang w:val="en-US" w:eastAsia="zh-CN"/>
        </w:rPr>
        <w:t>2</w:t>
      </w:r>
      <w:r>
        <w:rPr>
          <w:rFonts w:ascii="Times New Roman" w:hAnsi="Times New Roman" w:hint="eastAsia"/>
          <w:kern w:val="0"/>
          <w:szCs w:val="24"/>
          <w:lang w:val="en-US" w:eastAsia="zh-CN"/>
        </w:rPr>
        <w:t>。</w:t>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t>表</w:t>
      </w:r>
      <w:r>
        <w:rPr>
          <w:rFonts w:ascii="Times New Roman" w:hAnsi="Times New Roman" w:hint="eastAsia"/>
          <w:b/>
          <w:kern w:val="0"/>
          <w:szCs w:val="24"/>
          <w:lang w:val="en-US" w:eastAsia="zh-CN"/>
        </w:rPr>
        <w:t>3.2</w:t>
      </w:r>
      <w:r>
        <w:rPr>
          <w:rFonts w:ascii="Times New Roman" w:hAnsi="Times New Roman"/>
          <w:b/>
          <w:kern w:val="0"/>
          <w:szCs w:val="24"/>
          <w:lang w:val="en-US" w:eastAsia="zh-CN"/>
        </w:rPr>
        <w:t>-</w:t>
      </w:r>
      <w:r>
        <w:rPr>
          <w:rFonts w:ascii="Times New Roman" w:hAnsi="Times New Roman" w:hint="eastAsia"/>
          <w:b/>
          <w:kern w:val="0"/>
          <w:szCs w:val="24"/>
          <w:lang w:val="en-US" w:eastAsia="zh-CN"/>
        </w:rPr>
        <w:t>2</w:t>
      </w:r>
      <w:r>
        <w:rPr>
          <w:rFonts w:ascii="Times New Roman" w:hAnsi="Times New Roman"/>
          <w:b/>
          <w:kern w:val="0"/>
          <w:szCs w:val="24"/>
          <w:lang w:val="en-US" w:eastAsia="zh-CN"/>
        </w:rPr>
        <w:t xml:space="preserve">    </w:t>
      </w:r>
      <w:r>
        <w:rPr>
          <w:rFonts w:ascii="Times New Roman" w:hAnsi="Times New Roman" w:hint="eastAsia"/>
          <w:b/>
          <w:kern w:val="0"/>
          <w:szCs w:val="24"/>
          <w:lang w:val="en-US" w:eastAsia="zh-CN"/>
        </w:rPr>
        <w:t>主要原辅材料消耗一览表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134"/>
        <w:gridCol w:w="1276"/>
        <w:gridCol w:w="3118"/>
        <w:gridCol w:w="2177"/>
      </w:tblGrid>
      <w:tr w:rsidR="004B4777">
        <w:tc>
          <w:tcPr>
            <w:tcW w:w="8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序号</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类别</w:t>
            </w:r>
          </w:p>
        </w:tc>
        <w:tc>
          <w:tcPr>
            <w:tcW w:w="127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年耗量</w:t>
            </w:r>
          </w:p>
        </w:tc>
        <w:tc>
          <w:tcPr>
            <w:tcW w:w="311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来源</w:t>
            </w:r>
          </w:p>
        </w:tc>
        <w:tc>
          <w:tcPr>
            <w:tcW w:w="217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备注</w:t>
            </w:r>
          </w:p>
        </w:tc>
      </w:tr>
      <w:tr w:rsidR="004B4777">
        <w:tc>
          <w:tcPr>
            <w:tcW w:w="8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生活用水</w:t>
            </w:r>
          </w:p>
        </w:tc>
        <w:tc>
          <w:tcPr>
            <w:tcW w:w="127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6300t/a</w:t>
            </w:r>
          </w:p>
        </w:tc>
        <w:tc>
          <w:tcPr>
            <w:tcW w:w="311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生活饮用水向桶装水公司统一采购，洗涤用水取用河水。</w:t>
            </w:r>
          </w:p>
        </w:tc>
        <w:tc>
          <w:tcPr>
            <w:tcW w:w="217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w:t>
            </w:r>
          </w:p>
        </w:tc>
      </w:tr>
      <w:tr w:rsidR="004B4777">
        <w:tc>
          <w:tcPr>
            <w:tcW w:w="8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2</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柴油</w:t>
            </w:r>
          </w:p>
        </w:tc>
        <w:tc>
          <w:tcPr>
            <w:tcW w:w="1276"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14420t/a</w:t>
            </w:r>
          </w:p>
        </w:tc>
        <w:tc>
          <w:tcPr>
            <w:tcW w:w="311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各采砂船自行向当地加油站进行采购</w:t>
            </w:r>
          </w:p>
        </w:tc>
        <w:tc>
          <w:tcPr>
            <w:tcW w:w="217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采砂每</w:t>
            </w:r>
            <w:r>
              <w:rPr>
                <w:rFonts w:ascii="Times New Roman" w:hAnsi="Times New Roman" w:hint="eastAsia"/>
                <w:kern w:val="0"/>
                <w:sz w:val="21"/>
                <w:szCs w:val="21"/>
                <w:lang w:val="en-US" w:eastAsia="zh-CN"/>
              </w:rPr>
              <w:t>1000t</w:t>
            </w:r>
            <w:r>
              <w:rPr>
                <w:rFonts w:ascii="Times New Roman" w:hAnsi="Times New Roman" w:hint="eastAsia"/>
                <w:kern w:val="0"/>
                <w:sz w:val="21"/>
                <w:szCs w:val="21"/>
                <w:lang w:val="en-US" w:eastAsia="zh-CN"/>
              </w:rPr>
              <w:t>消耗</w:t>
            </w:r>
            <w:r>
              <w:rPr>
                <w:rFonts w:ascii="Times New Roman" w:hAnsi="Times New Roman" w:hint="eastAsia"/>
                <w:kern w:val="0"/>
                <w:sz w:val="21"/>
                <w:szCs w:val="21"/>
                <w:lang w:val="en-US" w:eastAsia="zh-CN"/>
              </w:rPr>
              <w:t>1t</w:t>
            </w:r>
            <w:r>
              <w:rPr>
                <w:rFonts w:ascii="Times New Roman" w:hAnsi="Times New Roman" w:hint="eastAsia"/>
                <w:kern w:val="0"/>
                <w:sz w:val="21"/>
                <w:szCs w:val="21"/>
                <w:lang w:val="en-US" w:eastAsia="zh-CN"/>
              </w:rPr>
              <w:t>柴油</w:t>
            </w:r>
          </w:p>
        </w:tc>
      </w:tr>
    </w:tbl>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hint="eastAsia"/>
          <w:b/>
        </w:rPr>
        <w:t>公用工程</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1</w:t>
      </w:r>
      <w:r>
        <w:rPr>
          <w:rFonts w:ascii="Times New Roman" w:hAnsi="Times New Roman" w:hint="eastAsia"/>
          <w:kern w:val="0"/>
          <w:szCs w:val="24"/>
          <w:lang w:val="en-US" w:eastAsia="zh-CN"/>
        </w:rPr>
        <w:t>）给排水</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生活饮用水向桶装水公司统一采购；洗涤用水等用水直接取自资江、湘江河水。按照采砂区采砂平均定员计算（易婆塘采区</w:t>
      </w:r>
      <w:r>
        <w:rPr>
          <w:rFonts w:ascii="Times New Roman" w:hAnsi="Times New Roman" w:hint="eastAsia"/>
          <w:kern w:val="0"/>
          <w:szCs w:val="24"/>
          <w:lang w:val="en-US" w:eastAsia="zh-CN"/>
        </w:rPr>
        <w:t>180</w:t>
      </w:r>
      <w:r>
        <w:rPr>
          <w:rFonts w:ascii="Times New Roman" w:hAnsi="Times New Roman" w:hint="eastAsia"/>
          <w:kern w:val="0"/>
          <w:szCs w:val="24"/>
          <w:lang w:val="en-US" w:eastAsia="zh-CN"/>
        </w:rPr>
        <w:t>人，斗米咀采区</w:t>
      </w:r>
      <w:r>
        <w:rPr>
          <w:rFonts w:ascii="Times New Roman" w:hAnsi="Times New Roman" w:hint="eastAsia"/>
          <w:kern w:val="0"/>
          <w:szCs w:val="24"/>
          <w:lang w:val="en-US" w:eastAsia="zh-CN"/>
        </w:rPr>
        <w:t>30</w:t>
      </w:r>
      <w:r>
        <w:rPr>
          <w:rFonts w:ascii="Times New Roman" w:hAnsi="Times New Roman" w:hint="eastAsia"/>
          <w:kern w:val="0"/>
          <w:szCs w:val="24"/>
          <w:lang w:val="en-US" w:eastAsia="zh-CN"/>
        </w:rPr>
        <w:t>人），每人每天用水约</w:t>
      </w:r>
      <w:r>
        <w:rPr>
          <w:rFonts w:ascii="Times New Roman" w:hAnsi="Times New Roman" w:hint="eastAsia"/>
          <w:kern w:val="0"/>
          <w:szCs w:val="24"/>
          <w:lang w:val="en-US" w:eastAsia="zh-CN"/>
        </w:rPr>
        <w:t>100L</w:t>
      </w:r>
      <w:r>
        <w:rPr>
          <w:rFonts w:ascii="Times New Roman" w:hAnsi="Times New Roman" w:hint="eastAsia"/>
          <w:kern w:val="0"/>
          <w:szCs w:val="24"/>
          <w:lang w:val="en-US" w:eastAsia="zh-CN"/>
        </w:rPr>
        <w:t>，则年耗水量约为</w:t>
      </w:r>
      <w:r>
        <w:rPr>
          <w:rFonts w:ascii="Times New Roman" w:hAnsi="Times New Roman" w:hint="eastAsia"/>
          <w:kern w:val="0"/>
          <w:szCs w:val="24"/>
          <w:lang w:val="en-US" w:eastAsia="zh-CN"/>
        </w:rPr>
        <w:t>6300t</w:t>
      </w:r>
      <w:r>
        <w:rPr>
          <w:rFonts w:ascii="Times New Roman" w:hAnsi="Times New Roman" w:hint="eastAsia"/>
          <w:kern w:val="0"/>
          <w:szCs w:val="24"/>
          <w:lang w:val="en-US" w:eastAsia="zh-CN"/>
        </w:rPr>
        <w:t>。</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排水主要为生活污水，按生活用水的</w:t>
      </w:r>
      <w:r>
        <w:rPr>
          <w:rFonts w:ascii="Times New Roman" w:hAnsi="Times New Roman" w:hint="eastAsia"/>
          <w:kern w:val="0"/>
          <w:szCs w:val="24"/>
          <w:lang w:val="en-US" w:eastAsia="zh-CN"/>
        </w:rPr>
        <w:t>80%</w:t>
      </w:r>
      <w:r>
        <w:rPr>
          <w:rFonts w:ascii="Times New Roman" w:hAnsi="Times New Roman" w:hint="eastAsia"/>
          <w:kern w:val="0"/>
          <w:szCs w:val="24"/>
          <w:lang w:val="en-US" w:eastAsia="zh-CN"/>
        </w:rPr>
        <w:t>计算，则年生活污水排放量为</w:t>
      </w:r>
      <w:r>
        <w:rPr>
          <w:rFonts w:ascii="Times New Roman" w:hAnsi="Times New Roman" w:hint="eastAsia"/>
          <w:kern w:val="0"/>
          <w:szCs w:val="24"/>
          <w:lang w:val="en-US" w:eastAsia="zh-CN"/>
        </w:rPr>
        <w:t>5040m</w:t>
      </w:r>
      <w:r>
        <w:rPr>
          <w:rFonts w:ascii="Times New Roman" w:hAnsi="Times New Roman" w:hint="eastAsia"/>
          <w:kern w:val="0"/>
          <w:szCs w:val="24"/>
          <w:vertAlign w:val="superscript"/>
          <w:lang w:val="en-US" w:eastAsia="zh-CN"/>
        </w:rPr>
        <w:t>3</w:t>
      </w:r>
      <w:r>
        <w:rPr>
          <w:rFonts w:ascii="Times New Roman" w:hAnsi="Times New Roman" w:hint="eastAsia"/>
          <w:kern w:val="0"/>
          <w:szCs w:val="24"/>
          <w:lang w:val="en-US" w:eastAsia="zh-CN"/>
        </w:rPr>
        <w:t>，</w:t>
      </w:r>
      <w:r>
        <w:rPr>
          <w:rFonts w:ascii="Times New Roman" w:hAnsi="Times New Roman" w:hint="eastAsia"/>
          <w:kern w:val="0"/>
          <w:szCs w:val="24"/>
          <w:u w:val="single"/>
          <w:lang w:val="en-US" w:eastAsia="zh-CN"/>
        </w:rPr>
        <w:t>经各采砂船的配套的生化一体化处理器处理，处理达标后委托有资质单位处理，不直接外排入地表水体。</w:t>
      </w:r>
    </w:p>
    <w:p w:rsidR="004B4777" w:rsidRDefault="004B4777">
      <w:pPr>
        <w:ind w:firstLine="480"/>
        <w:rPr>
          <w:rFonts w:ascii="Times New Roman" w:hAnsi="Times New Roman" w:hint="eastAsia"/>
          <w:kern w:val="0"/>
          <w:szCs w:val="24"/>
          <w:lang w:val="en-US" w:eastAsia="zh-CN"/>
        </w:rPr>
      </w:pPr>
      <w:r>
        <w:rPr>
          <w:rFonts w:ascii="Times New Roman" w:hAnsi="Times New Roman"/>
        </w:rPr>
        <w:t>舱底含油</w:t>
      </w:r>
      <w:r>
        <w:rPr>
          <w:rFonts w:ascii="Times New Roman" w:hAnsi="Times New Roman" w:hint="eastAsia"/>
        </w:rPr>
        <w:t>废水</w:t>
      </w:r>
      <w:r>
        <w:rPr>
          <w:rFonts w:ascii="Times New Roman" w:hAnsi="Times New Roman"/>
        </w:rPr>
        <w:t>发生量以</w:t>
      </w:r>
      <w:r>
        <w:rPr>
          <w:rFonts w:ascii="Times New Roman" w:hAnsi="Times New Roman"/>
        </w:rPr>
        <w:t>1.2m</w:t>
      </w:r>
      <w:r>
        <w:rPr>
          <w:rFonts w:ascii="Times New Roman" w:hAnsi="Times New Roman"/>
          <w:vertAlign w:val="superscript"/>
        </w:rPr>
        <w:t>3</w:t>
      </w:r>
      <w:r>
        <w:rPr>
          <w:rFonts w:ascii="Times New Roman" w:hAnsi="Times New Roman"/>
        </w:rPr>
        <w:t>/d</w:t>
      </w:r>
      <w:r>
        <w:rPr>
          <w:rFonts w:ascii="Times New Roman" w:hAnsi="Times New Roman"/>
        </w:rPr>
        <w:t>艘计，初步估算最大作业强度下约</w:t>
      </w:r>
      <w:r>
        <w:rPr>
          <w:rFonts w:ascii="Times New Roman" w:hAnsi="Times New Roman" w:hint="eastAsia"/>
        </w:rPr>
        <w:t>来往</w:t>
      </w:r>
      <w:r>
        <w:rPr>
          <w:rFonts w:ascii="Times New Roman" w:hAnsi="Times New Roman"/>
        </w:rPr>
        <w:t>20</w:t>
      </w:r>
      <w:r>
        <w:rPr>
          <w:rFonts w:ascii="Times New Roman" w:hAnsi="Times New Roman"/>
        </w:rPr>
        <w:t>艘</w:t>
      </w:r>
      <w:r>
        <w:rPr>
          <w:rFonts w:ascii="Times New Roman" w:hAnsi="Times New Roman" w:hint="eastAsia"/>
        </w:rPr>
        <w:t>采砂船</w:t>
      </w:r>
      <w:r>
        <w:rPr>
          <w:rFonts w:ascii="Times New Roman" w:hAnsi="Times New Roman"/>
        </w:rPr>
        <w:t>和运砂船每日共产生含油污水</w:t>
      </w:r>
      <w:r>
        <w:rPr>
          <w:rFonts w:ascii="Times New Roman" w:hAnsi="Times New Roman"/>
        </w:rPr>
        <w:t>24m</w:t>
      </w:r>
      <w:r>
        <w:rPr>
          <w:rFonts w:ascii="Times New Roman" w:hAnsi="Times New Roman"/>
          <w:vertAlign w:val="superscript"/>
        </w:rPr>
        <w:t>3</w:t>
      </w:r>
      <w:r>
        <w:rPr>
          <w:rFonts w:ascii="Times New Roman" w:hAnsi="Times New Roman"/>
        </w:rPr>
        <w:t>/d</w:t>
      </w:r>
      <w:r>
        <w:rPr>
          <w:rFonts w:ascii="Times New Roman" w:hAnsi="Times New Roman"/>
        </w:rPr>
        <w:t>。</w:t>
      </w:r>
      <w:r>
        <w:rPr>
          <w:rFonts w:ascii="Times New Roman" w:hAnsi="Times New Roman"/>
          <w:kern w:val="0"/>
          <w:szCs w:val="24"/>
          <w:u w:val="single"/>
        </w:rPr>
        <w:t>船舶</w:t>
      </w:r>
      <w:r>
        <w:rPr>
          <w:rFonts w:ascii="Times New Roman" w:hAnsi="Times New Roman" w:hint="eastAsia"/>
          <w:kern w:val="0"/>
          <w:szCs w:val="24"/>
          <w:u w:val="single"/>
        </w:rPr>
        <w:t>舱</w:t>
      </w:r>
      <w:r>
        <w:rPr>
          <w:rFonts w:ascii="Times New Roman" w:hAnsi="Times New Roman"/>
          <w:kern w:val="0"/>
          <w:szCs w:val="24"/>
          <w:u w:val="single"/>
        </w:rPr>
        <w:t>底油污水需经船舶自带的油水分离器处理后</w:t>
      </w:r>
      <w:r>
        <w:rPr>
          <w:rFonts w:ascii="Times New Roman" w:hAnsi="Times New Roman" w:hint="eastAsia"/>
          <w:kern w:val="0"/>
          <w:szCs w:val="24"/>
          <w:u w:val="single"/>
        </w:rPr>
        <w:t>，</w:t>
      </w:r>
      <w:r>
        <w:rPr>
          <w:rFonts w:ascii="Times New Roman" w:hAnsi="Times New Roman"/>
          <w:kern w:val="0"/>
          <w:szCs w:val="24"/>
          <w:u w:val="single"/>
        </w:rPr>
        <w:t>没有安装油水分离器的小型船舶，其舱底油污水应暂存于船舶自备的容器中，</w:t>
      </w:r>
      <w:r>
        <w:rPr>
          <w:rFonts w:ascii="Times New Roman" w:hAnsi="Times New Roman" w:hint="eastAsia"/>
          <w:kern w:val="0"/>
          <w:szCs w:val="24"/>
          <w:u w:val="single"/>
        </w:rPr>
        <w:t>一</w:t>
      </w:r>
      <w:r>
        <w:rPr>
          <w:rFonts w:ascii="Times New Roman" w:hAnsi="Times New Roman"/>
          <w:kern w:val="0"/>
          <w:szCs w:val="24"/>
          <w:u w:val="single"/>
        </w:rPr>
        <w:t>并送油污水接收船或岸上的油污水接收单位接收处理。</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2</w:t>
      </w:r>
      <w:r>
        <w:rPr>
          <w:rFonts w:ascii="Times New Roman" w:hAnsi="Times New Roman" w:hint="eastAsia"/>
          <w:kern w:val="0"/>
          <w:szCs w:val="24"/>
          <w:lang w:val="en-US" w:eastAsia="zh-CN"/>
        </w:rPr>
        <w:t>）供电</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由各采砂船自备发电机提供电源。</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3</w:t>
      </w:r>
      <w:r>
        <w:rPr>
          <w:rFonts w:ascii="Times New Roman" w:hAnsi="Times New Roman" w:hint="eastAsia"/>
          <w:kern w:val="0"/>
          <w:szCs w:val="24"/>
          <w:lang w:val="en-US" w:eastAsia="zh-CN"/>
        </w:rPr>
        <w:t>）供油</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各采砂船自行向当地加油站进行采购，采砂船储油量根据油仓大小而不同，一般储油量为</w:t>
      </w:r>
      <w:r>
        <w:rPr>
          <w:rFonts w:ascii="Times New Roman" w:hAnsi="Times New Roman" w:hint="eastAsia"/>
          <w:kern w:val="0"/>
          <w:szCs w:val="24"/>
          <w:lang w:val="en-US" w:eastAsia="zh-CN"/>
        </w:rPr>
        <w:t>5t</w:t>
      </w:r>
      <w:r>
        <w:rPr>
          <w:rFonts w:ascii="Times New Roman" w:hAnsi="Times New Roman" w:hint="eastAsia"/>
          <w:kern w:val="0"/>
          <w:szCs w:val="24"/>
          <w:lang w:val="en-US" w:eastAsia="zh-CN"/>
        </w:rPr>
        <w:t>。</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5</w:t>
      </w:r>
      <w:r>
        <w:rPr>
          <w:rFonts w:ascii="Times New Roman" w:eastAsia="宋体" w:hAnsi="Times New Roman"/>
          <w:b/>
        </w:rPr>
        <w:t xml:space="preserve"> </w:t>
      </w:r>
      <w:r>
        <w:rPr>
          <w:rFonts w:ascii="Times New Roman" w:eastAsia="宋体" w:hAnsi="Times New Roman" w:hint="eastAsia"/>
          <w:b/>
        </w:rPr>
        <w:t>生产制度及劳动定员</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1</w:t>
      </w:r>
      <w:r>
        <w:rPr>
          <w:rFonts w:ascii="Times New Roman" w:hAnsi="Times New Roman" w:hint="eastAsia"/>
          <w:kern w:val="0"/>
          <w:szCs w:val="24"/>
          <w:lang w:val="en-US" w:eastAsia="zh-CN"/>
        </w:rPr>
        <w:t>）生产制度</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lastRenderedPageBreak/>
        <w:t>可采期实行开采时间动态调整，冬季开采时间为</w:t>
      </w:r>
      <w:r>
        <w:rPr>
          <w:rFonts w:ascii="Times New Roman" w:hAnsi="Times New Roman" w:hint="eastAsia"/>
          <w:kern w:val="0"/>
          <w:szCs w:val="24"/>
          <w:lang w:val="en-US" w:eastAsia="zh-CN"/>
        </w:rPr>
        <w:t>7:00</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19:00</w:t>
      </w:r>
      <w:r>
        <w:rPr>
          <w:rFonts w:ascii="Times New Roman" w:hAnsi="Times New Roman" w:hint="eastAsia"/>
          <w:kern w:val="0"/>
          <w:szCs w:val="24"/>
          <w:lang w:val="en-US" w:eastAsia="zh-CN"/>
        </w:rPr>
        <w:t>，每天采砂</w:t>
      </w:r>
      <w:r>
        <w:rPr>
          <w:rFonts w:ascii="Times New Roman" w:hAnsi="Times New Roman" w:hint="eastAsia"/>
          <w:kern w:val="0"/>
          <w:szCs w:val="24"/>
          <w:lang w:val="en-US" w:eastAsia="zh-CN"/>
        </w:rPr>
        <w:t>12h</w:t>
      </w:r>
      <w:r>
        <w:rPr>
          <w:rFonts w:ascii="Times New Roman" w:hAnsi="Times New Roman" w:hint="eastAsia"/>
          <w:kern w:val="0"/>
          <w:szCs w:val="24"/>
          <w:lang w:val="en-US" w:eastAsia="zh-CN"/>
        </w:rPr>
        <w:t>；夏季开采时间为</w:t>
      </w:r>
      <w:r>
        <w:rPr>
          <w:rFonts w:ascii="Times New Roman" w:hAnsi="Times New Roman" w:hint="eastAsia"/>
          <w:kern w:val="0"/>
          <w:szCs w:val="24"/>
          <w:lang w:val="en-US" w:eastAsia="zh-CN"/>
        </w:rPr>
        <w:t>6:00</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20:00</w:t>
      </w:r>
      <w:r>
        <w:rPr>
          <w:rFonts w:ascii="Times New Roman" w:hAnsi="Times New Roman" w:hint="eastAsia"/>
          <w:kern w:val="0"/>
          <w:szCs w:val="24"/>
          <w:lang w:val="en-US" w:eastAsia="zh-CN"/>
        </w:rPr>
        <w:t>，每天采砂</w:t>
      </w:r>
      <w:r>
        <w:rPr>
          <w:rFonts w:ascii="Times New Roman" w:hAnsi="Times New Roman" w:hint="eastAsia"/>
          <w:kern w:val="0"/>
          <w:szCs w:val="24"/>
          <w:lang w:val="en-US" w:eastAsia="zh-CN"/>
        </w:rPr>
        <w:t>14h</w:t>
      </w:r>
      <w:r>
        <w:rPr>
          <w:rFonts w:ascii="Times New Roman" w:hAnsi="Times New Roman" w:hint="eastAsia"/>
          <w:kern w:val="0"/>
          <w:szCs w:val="24"/>
          <w:lang w:val="en-US" w:eastAsia="zh-CN"/>
        </w:rPr>
        <w:t>。</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w:t>
      </w:r>
      <w:r>
        <w:rPr>
          <w:rFonts w:ascii="Times New Roman" w:hAnsi="Times New Roman" w:hint="eastAsia"/>
          <w:kern w:val="0"/>
          <w:szCs w:val="24"/>
          <w:lang w:val="en-US" w:eastAsia="zh-CN"/>
        </w:rPr>
        <w:t>2</w:t>
      </w:r>
      <w:r>
        <w:rPr>
          <w:rFonts w:ascii="Times New Roman" w:hAnsi="Times New Roman" w:hint="eastAsia"/>
          <w:kern w:val="0"/>
          <w:szCs w:val="24"/>
          <w:lang w:val="en-US" w:eastAsia="zh-CN"/>
        </w:rPr>
        <w:t>）劳动定员</w:t>
      </w:r>
    </w:p>
    <w:p w:rsidR="004B4777" w:rsidRDefault="004B4777">
      <w:pPr>
        <w:widowControl/>
        <w:ind w:firstLine="480"/>
        <w:rPr>
          <w:rFonts w:ascii="Times New Roman" w:hAnsi="Times New Roman"/>
          <w:kern w:val="0"/>
          <w:szCs w:val="24"/>
          <w:lang w:val="en-US" w:eastAsia="zh-CN"/>
        </w:rPr>
      </w:pPr>
      <w:r>
        <w:rPr>
          <w:rFonts w:ascii="Times New Roman" w:hAnsi="Times New Roman" w:hint="eastAsia"/>
          <w:kern w:val="0"/>
          <w:szCs w:val="24"/>
          <w:lang w:val="en-US" w:eastAsia="zh-CN"/>
        </w:rPr>
        <w:t>各采砂区实行统一调配方式，按照每条采砂船人均定员</w:t>
      </w:r>
      <w:r>
        <w:rPr>
          <w:rFonts w:ascii="Times New Roman" w:hAnsi="Times New Roman" w:hint="eastAsia"/>
          <w:kern w:val="0"/>
          <w:szCs w:val="24"/>
          <w:lang w:val="en-US" w:eastAsia="zh-CN"/>
        </w:rPr>
        <w:t>30</w:t>
      </w:r>
      <w:r>
        <w:rPr>
          <w:rFonts w:ascii="Times New Roman" w:hAnsi="Times New Roman" w:hint="eastAsia"/>
          <w:kern w:val="0"/>
          <w:szCs w:val="24"/>
          <w:lang w:val="en-US" w:eastAsia="zh-CN"/>
        </w:rPr>
        <w:t>人计算，则本项目定员为</w:t>
      </w:r>
      <w:r>
        <w:rPr>
          <w:rFonts w:ascii="Times New Roman" w:hAnsi="Times New Roman" w:hint="eastAsia"/>
          <w:kern w:val="0"/>
          <w:szCs w:val="24"/>
          <w:lang w:val="en-US" w:eastAsia="zh-CN"/>
        </w:rPr>
        <w:t xml:space="preserve">210 </w:t>
      </w:r>
      <w:r>
        <w:rPr>
          <w:rFonts w:ascii="Times New Roman" w:hAnsi="Times New Roman" w:hint="eastAsia"/>
          <w:kern w:val="0"/>
          <w:szCs w:val="24"/>
          <w:lang w:val="en-US" w:eastAsia="zh-CN"/>
        </w:rPr>
        <w:t>人。</w:t>
      </w:r>
    </w:p>
    <w:p w:rsidR="004B4777" w:rsidRDefault="004B4777">
      <w:pPr>
        <w:pStyle w:val="2"/>
        <w:spacing w:before="0" w:after="0"/>
        <w:rPr>
          <w:rFonts w:ascii="Times New Roman" w:eastAsia="宋体" w:hAnsi="Times New Roman" w:hint="eastAsia"/>
          <w:b/>
          <w:sz w:val="30"/>
          <w:szCs w:val="30"/>
        </w:rPr>
      </w:pPr>
      <w:bookmarkStart w:id="108" w:name="_Toc523854022"/>
      <w:r>
        <w:rPr>
          <w:rFonts w:ascii="Times New Roman" w:eastAsia="宋体" w:hAnsi="Times New Roman"/>
          <w:b/>
          <w:sz w:val="30"/>
          <w:szCs w:val="30"/>
        </w:rPr>
        <w:t>3.</w:t>
      </w:r>
      <w:r>
        <w:rPr>
          <w:rFonts w:ascii="Times New Roman" w:eastAsia="宋体" w:hAnsi="Times New Roman" w:hint="eastAsia"/>
          <w:b/>
          <w:sz w:val="30"/>
          <w:szCs w:val="30"/>
        </w:rPr>
        <w:t>3</w:t>
      </w:r>
      <w:r>
        <w:rPr>
          <w:rFonts w:ascii="Times New Roman" w:eastAsia="宋体" w:hAnsi="Times New Roman"/>
          <w:b/>
          <w:sz w:val="30"/>
          <w:szCs w:val="30"/>
        </w:rPr>
        <w:t xml:space="preserve"> </w:t>
      </w:r>
      <w:r>
        <w:rPr>
          <w:rFonts w:ascii="Times New Roman" w:eastAsia="宋体" w:hAnsi="Times New Roman" w:hint="eastAsia"/>
          <w:b/>
          <w:sz w:val="30"/>
          <w:szCs w:val="30"/>
        </w:rPr>
        <w:t>砂源分析</w:t>
      </w:r>
      <w:bookmarkEnd w:id="108"/>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b/>
          <w:u w:val="single"/>
        </w:rPr>
        <w:t>3.</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1</w:t>
      </w:r>
      <w:r>
        <w:rPr>
          <w:rFonts w:ascii="Times New Roman" w:eastAsia="宋体" w:hAnsi="Times New Roman"/>
          <w:b/>
          <w:u w:val="single"/>
        </w:rPr>
        <w:t xml:space="preserve"> </w:t>
      </w:r>
      <w:r>
        <w:rPr>
          <w:rFonts w:ascii="Times New Roman" w:eastAsia="宋体" w:hAnsi="Times New Roman" w:hint="eastAsia"/>
          <w:b/>
          <w:u w:val="single"/>
        </w:rPr>
        <w:t>采砂区土地利用现状</w:t>
      </w:r>
    </w:p>
    <w:p w:rsidR="004B4777" w:rsidRDefault="004B4777">
      <w:pPr>
        <w:ind w:firstLine="480"/>
        <w:rPr>
          <w:rFonts w:ascii="Times New Roman" w:hAnsi="Times New Roman"/>
          <w:kern w:val="0"/>
          <w:szCs w:val="24"/>
          <w:u w:val="single"/>
          <w:lang w:val="en-US" w:eastAsia="zh-CN"/>
        </w:rPr>
      </w:pPr>
      <w:r>
        <w:rPr>
          <w:rFonts w:ascii="Times New Roman" w:hAnsi="Times New Roman" w:hint="eastAsia"/>
          <w:kern w:val="0"/>
          <w:szCs w:val="24"/>
          <w:u w:val="single"/>
          <w:lang w:val="en-US" w:eastAsia="zh-CN"/>
        </w:rPr>
        <w:t>易婆塘采区和斗米咀采区土地利用现状主要为水域、林地、灌草地及耕地等。林地的植被类型以人工林为主，主要有加杨林、旱柳林等。灌草地植被主要为益母草群系、狗牙根群系、节毛飞廉群系、苍耳群系等。湿地的植被类型以芦苇群系、水皮莲群系、野艾蒿群系、凤眼蓝群系等。农业植被为粮食作物和经济作物，其中粮食作物主要有水稻、玉米、油菜、薯类等。</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 xml:space="preserve"> </w:t>
      </w:r>
      <w:r>
        <w:rPr>
          <w:rFonts w:ascii="Times New Roman" w:eastAsia="宋体" w:hAnsi="Times New Roman"/>
          <w:b/>
        </w:rPr>
        <w:t>开</w:t>
      </w:r>
      <w:r>
        <w:rPr>
          <w:rFonts w:ascii="Times New Roman" w:eastAsia="宋体" w:hAnsi="Times New Roman" w:hint="eastAsia"/>
          <w:b/>
        </w:rPr>
        <w:t>采砂区范围</w:t>
      </w:r>
      <w:r>
        <w:rPr>
          <w:rFonts w:ascii="Times New Roman" w:eastAsia="宋体" w:hAnsi="Times New Roman"/>
          <w:b/>
        </w:rPr>
        <w:t>和面积</w:t>
      </w:r>
    </w:p>
    <w:p w:rsidR="004B4777" w:rsidRDefault="004B4777">
      <w:pPr>
        <w:pStyle w:val="4"/>
        <w:spacing w:before="0" w:after="0"/>
        <w:rPr>
          <w:rFonts w:ascii="Times New Roman" w:eastAsia="宋体" w:hAnsi="Times New Roman" w:hint="eastAsia"/>
          <w:b/>
          <w:u w:val="single"/>
        </w:rPr>
      </w:pP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2</w:t>
      </w:r>
      <w:r>
        <w:rPr>
          <w:rFonts w:ascii="Times New Roman" w:eastAsia="宋体" w:hAnsi="Times New Roman"/>
          <w:b/>
          <w:u w:val="single"/>
        </w:rPr>
        <w:t xml:space="preserve">.1 </w:t>
      </w:r>
      <w:r>
        <w:rPr>
          <w:rFonts w:ascii="Times New Roman" w:eastAsia="宋体" w:hAnsi="Times New Roman" w:hint="eastAsia"/>
          <w:b/>
          <w:u w:val="single"/>
        </w:rPr>
        <w:t>开采控制条件</w:t>
      </w:r>
    </w:p>
    <w:p w:rsidR="004B4777" w:rsidRDefault="004B4777">
      <w:pPr>
        <w:ind w:firstLine="480"/>
        <w:rPr>
          <w:rFonts w:ascii="Times New Roman" w:hAnsi="Times New Roman" w:hint="eastAsia"/>
          <w:kern w:val="0"/>
          <w:szCs w:val="24"/>
          <w:u w:val="single"/>
          <w:lang w:val="en-US" w:eastAsia="zh-CN"/>
        </w:rPr>
      </w:pPr>
      <w:r>
        <w:rPr>
          <w:rFonts w:ascii="Times New Roman" w:hAnsi="Times New Roman" w:hint="eastAsia"/>
          <w:kern w:val="0"/>
          <w:szCs w:val="24"/>
          <w:u w:val="single"/>
          <w:lang w:val="en-US" w:eastAsia="zh-CN"/>
        </w:rPr>
        <w:t>易婆塘采区位于湘阴县资水北支易婆塘外洲，起点桩号资水北</w:t>
      </w:r>
      <w:r>
        <w:rPr>
          <w:rFonts w:ascii="Times New Roman" w:hAnsi="Times New Roman" w:hint="eastAsia"/>
          <w:kern w:val="0"/>
          <w:szCs w:val="24"/>
          <w:u w:val="single"/>
          <w:lang w:val="en-US" w:eastAsia="zh-CN"/>
        </w:rPr>
        <w:t>1+890</w:t>
      </w:r>
      <w:r>
        <w:rPr>
          <w:rFonts w:ascii="Times New Roman" w:hAnsi="Times New Roman" w:hint="eastAsia"/>
          <w:kern w:val="0"/>
          <w:szCs w:val="24"/>
          <w:u w:val="single"/>
          <w:lang w:val="en-US" w:eastAsia="zh-CN"/>
        </w:rPr>
        <w:t>，止点桩号资水北</w:t>
      </w:r>
      <w:r>
        <w:rPr>
          <w:rFonts w:ascii="Times New Roman" w:hAnsi="Times New Roman" w:hint="eastAsia"/>
          <w:kern w:val="0"/>
          <w:szCs w:val="24"/>
          <w:u w:val="single"/>
          <w:lang w:val="en-US" w:eastAsia="zh-CN"/>
        </w:rPr>
        <w:t>11+770</w:t>
      </w:r>
      <w:r>
        <w:rPr>
          <w:rFonts w:ascii="Times New Roman" w:hAnsi="Times New Roman" w:hint="eastAsia"/>
          <w:kern w:val="0"/>
          <w:szCs w:val="24"/>
          <w:u w:val="single"/>
          <w:lang w:val="en-US" w:eastAsia="zh-CN"/>
        </w:rPr>
        <w:t>，长</w:t>
      </w:r>
      <w:r>
        <w:rPr>
          <w:rFonts w:ascii="Times New Roman" w:hAnsi="Times New Roman" w:hint="eastAsia"/>
          <w:kern w:val="0"/>
          <w:szCs w:val="24"/>
          <w:u w:val="single"/>
          <w:lang w:val="en-US" w:eastAsia="zh-CN"/>
        </w:rPr>
        <w:t>10200m</w:t>
      </w:r>
      <w:r>
        <w:rPr>
          <w:rFonts w:ascii="Times New Roman" w:hAnsi="Times New Roman" w:hint="eastAsia"/>
          <w:kern w:val="0"/>
          <w:szCs w:val="24"/>
          <w:u w:val="single"/>
          <w:lang w:val="en-US" w:eastAsia="zh-CN"/>
        </w:rPr>
        <w:t>、宽</w:t>
      </w:r>
      <w:r>
        <w:rPr>
          <w:rFonts w:ascii="Times New Roman" w:hAnsi="Times New Roman" w:hint="eastAsia"/>
          <w:kern w:val="0"/>
          <w:szCs w:val="24"/>
          <w:u w:val="single"/>
          <w:lang w:val="en-US" w:eastAsia="zh-CN"/>
        </w:rPr>
        <w:t>384m</w:t>
      </w:r>
      <w:r>
        <w:rPr>
          <w:rFonts w:ascii="Times New Roman" w:hAnsi="Times New Roman" w:hint="eastAsia"/>
          <w:kern w:val="0"/>
          <w:szCs w:val="24"/>
          <w:u w:val="single"/>
          <w:lang w:val="en-US" w:eastAsia="zh-CN"/>
        </w:rPr>
        <w:t>，面积</w:t>
      </w:r>
      <w:r>
        <w:rPr>
          <w:rFonts w:ascii="Times New Roman" w:hAnsi="Times New Roman" w:hint="eastAsia"/>
          <w:kern w:val="0"/>
          <w:szCs w:val="24"/>
          <w:u w:val="single"/>
          <w:lang w:val="en-US" w:eastAsia="zh-CN"/>
        </w:rPr>
        <w:t>5880</w:t>
      </w:r>
      <w:r>
        <w:rPr>
          <w:rFonts w:ascii="Times New Roman" w:hAnsi="Times New Roman" w:hint="eastAsia"/>
          <w:kern w:val="0"/>
          <w:szCs w:val="24"/>
          <w:u w:val="single"/>
          <w:lang w:val="en-US" w:eastAsia="zh-CN"/>
        </w:rPr>
        <w:t>亩，采砂控制高程</w:t>
      </w:r>
      <w:r>
        <w:rPr>
          <w:rFonts w:ascii="Times New Roman" w:hAnsi="Times New Roman" w:hint="eastAsia"/>
          <w:kern w:val="0"/>
          <w:szCs w:val="24"/>
          <w:u w:val="single"/>
          <w:lang w:val="en-US" w:eastAsia="zh-CN"/>
        </w:rPr>
        <w:t>5m</w:t>
      </w:r>
      <w:r>
        <w:rPr>
          <w:rFonts w:ascii="Times New Roman" w:hAnsi="Times New Roman" w:hint="eastAsia"/>
          <w:kern w:val="0"/>
          <w:szCs w:val="24"/>
          <w:u w:val="single"/>
          <w:lang w:val="en-US" w:eastAsia="zh-CN"/>
        </w:rPr>
        <w:t>，规划采砂期</w:t>
      </w:r>
      <w:r>
        <w:rPr>
          <w:rFonts w:ascii="Times New Roman" w:hAnsi="Times New Roman" w:hint="eastAsia"/>
          <w:kern w:val="0"/>
          <w:szCs w:val="24"/>
          <w:u w:val="single"/>
          <w:lang w:val="en-US" w:eastAsia="zh-CN"/>
        </w:rPr>
        <w:t>4</w:t>
      </w:r>
      <w:r>
        <w:rPr>
          <w:rFonts w:ascii="Times New Roman" w:hAnsi="Times New Roman" w:hint="eastAsia"/>
          <w:kern w:val="0"/>
          <w:szCs w:val="24"/>
          <w:u w:val="single"/>
          <w:lang w:val="en-US" w:eastAsia="zh-CN"/>
        </w:rPr>
        <w:t>年，年度控制采砂量</w:t>
      </w:r>
      <w:r>
        <w:rPr>
          <w:rFonts w:ascii="Times New Roman" w:hAnsi="Times New Roman" w:hint="eastAsia"/>
          <w:kern w:val="0"/>
          <w:szCs w:val="24"/>
          <w:u w:val="single"/>
          <w:lang w:val="en-US" w:eastAsia="zh-CN"/>
        </w:rPr>
        <w:t>1170</w:t>
      </w:r>
      <w:r>
        <w:rPr>
          <w:rFonts w:ascii="Times New Roman" w:hAnsi="Times New Roman" w:hint="eastAsia"/>
          <w:kern w:val="0"/>
          <w:szCs w:val="24"/>
          <w:u w:val="single"/>
          <w:lang w:val="en-US" w:eastAsia="zh-CN"/>
        </w:rPr>
        <w:t>万</w:t>
      </w:r>
      <w:r>
        <w:rPr>
          <w:rFonts w:ascii="Times New Roman" w:hAnsi="Times New Roman" w:hint="eastAsia"/>
          <w:kern w:val="0"/>
          <w:szCs w:val="24"/>
          <w:u w:val="single"/>
          <w:lang w:val="en-US" w:eastAsia="zh-CN"/>
        </w:rPr>
        <w:t>t</w:t>
      </w:r>
      <w:r>
        <w:rPr>
          <w:rFonts w:ascii="Times New Roman" w:hAnsi="Times New Roman" w:hint="eastAsia"/>
          <w:kern w:val="0"/>
          <w:szCs w:val="24"/>
          <w:u w:val="single"/>
          <w:lang w:val="en-US" w:eastAsia="zh-CN"/>
        </w:rPr>
        <w:t>，采砂作业方式为水采，采砂机具功率控制在</w:t>
      </w:r>
      <w:r>
        <w:rPr>
          <w:rFonts w:ascii="Times New Roman" w:hAnsi="Times New Roman" w:hint="eastAsia"/>
          <w:kern w:val="0"/>
          <w:szCs w:val="24"/>
          <w:u w:val="single"/>
          <w:lang w:val="en-US" w:eastAsia="zh-CN"/>
        </w:rPr>
        <w:t>2600KW</w:t>
      </w:r>
      <w:r>
        <w:rPr>
          <w:rFonts w:ascii="Times New Roman" w:hAnsi="Times New Roman" w:hint="eastAsia"/>
          <w:kern w:val="0"/>
          <w:szCs w:val="24"/>
          <w:u w:val="single"/>
          <w:lang w:val="en-US" w:eastAsia="zh-CN"/>
        </w:rPr>
        <w:t>，采砂船</w:t>
      </w:r>
      <w:r>
        <w:rPr>
          <w:rFonts w:ascii="Times New Roman" w:hAnsi="Times New Roman" w:hint="eastAsia"/>
          <w:kern w:val="0"/>
          <w:szCs w:val="24"/>
          <w:u w:val="single"/>
          <w:lang w:val="en-US" w:eastAsia="zh-CN"/>
        </w:rPr>
        <w:t>6</w:t>
      </w:r>
      <w:r>
        <w:rPr>
          <w:rFonts w:ascii="Times New Roman" w:hAnsi="Times New Roman" w:hint="eastAsia"/>
          <w:kern w:val="0"/>
          <w:szCs w:val="24"/>
          <w:u w:val="single"/>
          <w:lang w:val="en-US" w:eastAsia="zh-CN"/>
        </w:rPr>
        <w:t>艘。</w:t>
      </w:r>
    </w:p>
    <w:p w:rsidR="004B4777" w:rsidRDefault="004B4777">
      <w:pPr>
        <w:ind w:firstLine="480"/>
        <w:rPr>
          <w:rFonts w:ascii="Times New Roman" w:hAnsi="Times New Roman" w:hint="eastAsia"/>
          <w:kern w:val="0"/>
          <w:szCs w:val="24"/>
          <w:u w:val="single"/>
          <w:lang w:val="en-US" w:eastAsia="zh-CN"/>
        </w:rPr>
      </w:pPr>
      <w:r>
        <w:rPr>
          <w:rFonts w:ascii="Times New Roman" w:hAnsi="Times New Roman" w:hint="eastAsia"/>
          <w:kern w:val="0"/>
          <w:szCs w:val="24"/>
          <w:u w:val="single"/>
          <w:lang w:val="en-US" w:eastAsia="zh-CN"/>
        </w:rPr>
        <w:t>斗米咀采区位于湘阴县湘水西支出口，起点桩号湘水西</w:t>
      </w:r>
      <w:r>
        <w:rPr>
          <w:rFonts w:ascii="Times New Roman" w:hAnsi="Times New Roman" w:hint="eastAsia"/>
          <w:kern w:val="0"/>
          <w:szCs w:val="24"/>
          <w:u w:val="single"/>
          <w:lang w:val="en-US" w:eastAsia="zh-CN"/>
        </w:rPr>
        <w:t>0+500</w:t>
      </w:r>
      <w:r>
        <w:rPr>
          <w:rFonts w:ascii="Times New Roman" w:hAnsi="Times New Roman" w:hint="eastAsia"/>
          <w:kern w:val="0"/>
          <w:szCs w:val="24"/>
          <w:u w:val="single"/>
          <w:lang w:val="en-US" w:eastAsia="zh-CN"/>
        </w:rPr>
        <w:t>，止点桩号湘水西</w:t>
      </w:r>
      <w:r>
        <w:rPr>
          <w:rFonts w:ascii="Times New Roman" w:hAnsi="Times New Roman" w:hint="eastAsia"/>
          <w:kern w:val="0"/>
          <w:szCs w:val="24"/>
          <w:u w:val="single"/>
          <w:lang w:val="en-US" w:eastAsia="zh-CN"/>
        </w:rPr>
        <w:t>2+220</w:t>
      </w:r>
      <w:r>
        <w:rPr>
          <w:rFonts w:ascii="Times New Roman" w:hAnsi="Times New Roman" w:hint="eastAsia"/>
          <w:kern w:val="0"/>
          <w:szCs w:val="24"/>
          <w:u w:val="single"/>
          <w:lang w:val="en-US" w:eastAsia="zh-CN"/>
        </w:rPr>
        <w:t>，长</w:t>
      </w:r>
      <w:r>
        <w:rPr>
          <w:rFonts w:ascii="Times New Roman" w:hAnsi="Times New Roman" w:hint="eastAsia"/>
          <w:kern w:val="0"/>
          <w:szCs w:val="24"/>
          <w:u w:val="single"/>
          <w:lang w:val="en-US" w:eastAsia="zh-CN"/>
        </w:rPr>
        <w:t>1120m</w:t>
      </w:r>
      <w:r>
        <w:rPr>
          <w:rFonts w:ascii="Times New Roman" w:hAnsi="Times New Roman" w:hint="eastAsia"/>
          <w:kern w:val="0"/>
          <w:szCs w:val="24"/>
          <w:u w:val="single"/>
          <w:lang w:val="en-US" w:eastAsia="zh-CN"/>
        </w:rPr>
        <w:t>、宽</w:t>
      </w:r>
      <w:r>
        <w:rPr>
          <w:rFonts w:ascii="Times New Roman" w:hAnsi="Times New Roman" w:hint="eastAsia"/>
          <w:kern w:val="0"/>
          <w:szCs w:val="24"/>
          <w:u w:val="single"/>
          <w:lang w:val="en-US" w:eastAsia="zh-CN"/>
        </w:rPr>
        <w:t>630m</w:t>
      </w:r>
      <w:r>
        <w:rPr>
          <w:rFonts w:ascii="Times New Roman" w:hAnsi="Times New Roman" w:hint="eastAsia"/>
          <w:kern w:val="0"/>
          <w:szCs w:val="24"/>
          <w:u w:val="single"/>
          <w:lang w:val="en-US" w:eastAsia="zh-CN"/>
        </w:rPr>
        <w:t>，面积</w:t>
      </w:r>
      <w:r>
        <w:rPr>
          <w:rFonts w:ascii="Times New Roman" w:hAnsi="Times New Roman" w:hint="eastAsia"/>
          <w:kern w:val="0"/>
          <w:szCs w:val="24"/>
          <w:u w:val="single"/>
          <w:lang w:val="en-US" w:eastAsia="zh-CN"/>
        </w:rPr>
        <w:t>1059</w:t>
      </w:r>
      <w:r>
        <w:rPr>
          <w:rFonts w:ascii="Times New Roman" w:hAnsi="Times New Roman" w:hint="eastAsia"/>
          <w:kern w:val="0"/>
          <w:szCs w:val="24"/>
          <w:u w:val="single"/>
          <w:lang w:val="en-US" w:eastAsia="zh-CN"/>
        </w:rPr>
        <w:t>亩，采砂控制高程</w:t>
      </w:r>
      <w:r>
        <w:rPr>
          <w:rFonts w:ascii="Times New Roman" w:hAnsi="Times New Roman" w:hint="eastAsia"/>
          <w:kern w:val="0"/>
          <w:szCs w:val="24"/>
          <w:u w:val="single"/>
          <w:lang w:val="en-US" w:eastAsia="zh-CN"/>
        </w:rPr>
        <w:t>5m</w:t>
      </w:r>
      <w:r>
        <w:rPr>
          <w:rFonts w:ascii="Times New Roman" w:hAnsi="Times New Roman" w:hint="eastAsia"/>
          <w:kern w:val="0"/>
          <w:szCs w:val="24"/>
          <w:u w:val="single"/>
          <w:lang w:val="en-US" w:eastAsia="zh-CN"/>
        </w:rPr>
        <w:t>，规划采砂期</w:t>
      </w:r>
      <w:r>
        <w:rPr>
          <w:rFonts w:ascii="Times New Roman" w:hAnsi="Times New Roman" w:hint="eastAsia"/>
          <w:kern w:val="0"/>
          <w:szCs w:val="24"/>
          <w:u w:val="single"/>
          <w:lang w:val="en-US" w:eastAsia="zh-CN"/>
        </w:rPr>
        <w:t>4</w:t>
      </w:r>
      <w:r>
        <w:rPr>
          <w:rFonts w:ascii="Times New Roman" w:hAnsi="Times New Roman" w:hint="eastAsia"/>
          <w:kern w:val="0"/>
          <w:szCs w:val="24"/>
          <w:u w:val="single"/>
          <w:lang w:val="en-US" w:eastAsia="zh-CN"/>
        </w:rPr>
        <w:t>年，年度控制采砂量</w:t>
      </w:r>
      <w:r>
        <w:rPr>
          <w:rFonts w:ascii="Times New Roman" w:hAnsi="Times New Roman" w:hint="eastAsia"/>
          <w:kern w:val="0"/>
          <w:szCs w:val="24"/>
          <w:u w:val="single"/>
          <w:lang w:val="en-US" w:eastAsia="zh-CN"/>
        </w:rPr>
        <w:t>251</w:t>
      </w:r>
      <w:r>
        <w:rPr>
          <w:rFonts w:ascii="Times New Roman" w:hAnsi="Times New Roman" w:hint="eastAsia"/>
          <w:kern w:val="0"/>
          <w:szCs w:val="24"/>
          <w:u w:val="single"/>
          <w:lang w:val="en-US" w:eastAsia="zh-CN"/>
        </w:rPr>
        <w:t>万</w:t>
      </w:r>
      <w:r>
        <w:rPr>
          <w:rFonts w:ascii="Times New Roman" w:hAnsi="Times New Roman" w:hint="eastAsia"/>
          <w:kern w:val="0"/>
          <w:szCs w:val="24"/>
          <w:u w:val="single"/>
          <w:lang w:val="en-US" w:eastAsia="zh-CN"/>
        </w:rPr>
        <w:t>t</w:t>
      </w:r>
      <w:r>
        <w:rPr>
          <w:rFonts w:ascii="Times New Roman" w:hAnsi="Times New Roman" w:hint="eastAsia"/>
          <w:kern w:val="0"/>
          <w:szCs w:val="24"/>
          <w:u w:val="single"/>
          <w:lang w:val="en-US" w:eastAsia="zh-CN"/>
        </w:rPr>
        <w:t>，采砂作业方式为水采，采砂机具功率控制在</w:t>
      </w:r>
      <w:r>
        <w:rPr>
          <w:rFonts w:ascii="Times New Roman" w:hAnsi="Times New Roman" w:hint="eastAsia"/>
          <w:kern w:val="0"/>
          <w:szCs w:val="24"/>
          <w:u w:val="single"/>
          <w:lang w:val="en-US" w:eastAsia="zh-CN"/>
        </w:rPr>
        <w:t>2600KW</w:t>
      </w:r>
      <w:r>
        <w:rPr>
          <w:rFonts w:ascii="Times New Roman" w:hAnsi="Times New Roman" w:hint="eastAsia"/>
          <w:kern w:val="0"/>
          <w:szCs w:val="24"/>
          <w:u w:val="single"/>
          <w:lang w:val="en-US" w:eastAsia="zh-CN"/>
        </w:rPr>
        <w:t>，采砂船</w:t>
      </w:r>
      <w:r>
        <w:rPr>
          <w:rFonts w:ascii="Times New Roman" w:hAnsi="Times New Roman" w:hint="eastAsia"/>
          <w:kern w:val="0"/>
          <w:szCs w:val="24"/>
          <w:u w:val="single"/>
          <w:lang w:val="en-US" w:eastAsia="zh-CN"/>
        </w:rPr>
        <w:t>1</w:t>
      </w:r>
      <w:r>
        <w:rPr>
          <w:rFonts w:ascii="Times New Roman" w:hAnsi="Times New Roman" w:hint="eastAsia"/>
          <w:kern w:val="0"/>
          <w:szCs w:val="24"/>
          <w:u w:val="single"/>
          <w:lang w:val="en-US" w:eastAsia="zh-CN"/>
        </w:rPr>
        <w:t>艘。</w:t>
      </w:r>
    </w:p>
    <w:p w:rsidR="004B4777" w:rsidRDefault="004B4777">
      <w:pPr>
        <w:ind w:firstLineChars="0" w:firstLine="0"/>
        <w:jc w:val="center"/>
        <w:rPr>
          <w:rFonts w:ascii="Times New Roman" w:hAnsi="Times New Roman"/>
          <w:b/>
          <w:kern w:val="28"/>
          <w:szCs w:val="24"/>
          <w:u w:val="single"/>
        </w:rPr>
      </w:pPr>
      <w:r>
        <w:rPr>
          <w:rFonts w:ascii="Times New Roman" w:hAnsi="Times New Roman" w:hint="eastAsia"/>
          <w:b/>
          <w:kern w:val="28"/>
          <w:szCs w:val="24"/>
          <w:u w:val="single"/>
        </w:rPr>
        <w:t>表</w:t>
      </w:r>
      <w:r>
        <w:rPr>
          <w:rFonts w:ascii="Times New Roman" w:hAnsi="Times New Roman" w:hint="eastAsia"/>
          <w:b/>
          <w:kern w:val="28"/>
          <w:szCs w:val="24"/>
          <w:u w:val="single"/>
        </w:rPr>
        <w:t xml:space="preserve">3.3-1 </w:t>
      </w:r>
      <w:r>
        <w:rPr>
          <w:rFonts w:ascii="Times New Roman" w:hAnsi="Times New Roman" w:hint="eastAsia"/>
          <w:b/>
          <w:kern w:val="28"/>
          <w:szCs w:val="24"/>
          <w:u w:val="single"/>
        </w:rPr>
        <w:t>河道可采河段分布及开采控制条件表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2719"/>
        <w:gridCol w:w="2719"/>
      </w:tblGrid>
      <w:tr w:rsidR="004B4777">
        <w:trPr>
          <w:trHeight w:val="432"/>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采区名称</w:t>
            </w:r>
          </w:p>
        </w:tc>
        <w:tc>
          <w:tcPr>
            <w:tcW w:w="2719"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易婆塘采区</w:t>
            </w:r>
          </w:p>
        </w:tc>
        <w:tc>
          <w:tcPr>
            <w:tcW w:w="2719"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斗米咀采区</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行政区划</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湘阴县</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湘阴县</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起点桩号</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资水北</w:t>
            </w:r>
            <w:r>
              <w:rPr>
                <w:rFonts w:ascii="Times New Roman" w:hAnsi="Times New Roman" w:hint="eastAsia"/>
                <w:kern w:val="0"/>
                <w:sz w:val="21"/>
                <w:szCs w:val="21"/>
                <w:u w:val="single"/>
                <w:lang w:val="en-US" w:eastAsia="zh-CN"/>
              </w:rPr>
              <w:t>1+890</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湘水西</w:t>
            </w:r>
            <w:r>
              <w:rPr>
                <w:rFonts w:ascii="Times New Roman" w:hAnsi="Times New Roman" w:hint="eastAsia"/>
                <w:kern w:val="0"/>
                <w:sz w:val="21"/>
                <w:szCs w:val="21"/>
                <w:u w:val="single"/>
                <w:lang w:val="en-US" w:eastAsia="zh-CN"/>
              </w:rPr>
              <w:t>0+500</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止点桩号</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资水北</w:t>
            </w:r>
            <w:r>
              <w:rPr>
                <w:rFonts w:ascii="Times New Roman" w:hAnsi="Times New Roman" w:hint="eastAsia"/>
                <w:kern w:val="0"/>
                <w:sz w:val="21"/>
                <w:szCs w:val="21"/>
                <w:u w:val="single"/>
                <w:lang w:val="en-US" w:eastAsia="zh-CN"/>
              </w:rPr>
              <w:t>11+770</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湘水西</w:t>
            </w:r>
            <w:r>
              <w:rPr>
                <w:rFonts w:ascii="Times New Roman" w:hAnsi="Times New Roman" w:hint="eastAsia"/>
                <w:kern w:val="0"/>
                <w:sz w:val="21"/>
                <w:szCs w:val="21"/>
                <w:u w:val="single"/>
                <w:lang w:val="en-US" w:eastAsia="zh-CN"/>
              </w:rPr>
              <w:t>2+220</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所在位置</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资水北支易婆塘外洲</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lang w:val="en-US" w:eastAsia="zh-CN"/>
              </w:rPr>
              <w:t>湘水西支出口</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lastRenderedPageBreak/>
              <w:t>可采区范围（长</w:t>
            </w:r>
            <w:r>
              <w:rPr>
                <w:rFonts w:ascii="Times New Roman" w:hAnsi="Times New Roman"/>
                <w:color w:val="000000"/>
                <w:kern w:val="0"/>
                <w:sz w:val="21"/>
                <w:szCs w:val="21"/>
                <w:u w:val="single"/>
              </w:rPr>
              <w:t>*</w:t>
            </w:r>
            <w:r>
              <w:rPr>
                <w:rFonts w:ascii="Times New Roman" w:hAnsi="Times New Roman"/>
                <w:color w:val="000000"/>
                <w:kern w:val="0"/>
                <w:sz w:val="21"/>
                <w:szCs w:val="21"/>
                <w:u w:val="single"/>
              </w:rPr>
              <w:t>宽</w:t>
            </w:r>
            <w:r>
              <w:rPr>
                <w:rFonts w:ascii="Times New Roman" w:hAnsi="Times New Roman"/>
                <w:color w:val="000000"/>
                <w:kern w:val="0"/>
                <w:sz w:val="21"/>
                <w:szCs w:val="21"/>
                <w:u w:val="single"/>
              </w:rPr>
              <w:t>m</w:t>
            </w:r>
            <w:r>
              <w:rPr>
                <w:rFonts w:ascii="Times New Roman" w:hAnsi="Times New Roman"/>
                <w:color w:val="000000"/>
                <w:kern w:val="0"/>
                <w:sz w:val="21"/>
                <w:szCs w:val="21"/>
                <w:u w:val="single"/>
              </w:rPr>
              <w:t>）</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102</w:t>
            </w:r>
            <w:r>
              <w:rPr>
                <w:rFonts w:ascii="Times New Roman" w:hAnsi="Times New Roman"/>
                <w:color w:val="000000"/>
                <w:kern w:val="0"/>
                <w:sz w:val="21"/>
                <w:szCs w:val="21"/>
                <w:u w:val="single"/>
              </w:rPr>
              <w:t>00*</w:t>
            </w:r>
            <w:r>
              <w:rPr>
                <w:rFonts w:ascii="Times New Roman" w:hAnsi="Times New Roman" w:hint="eastAsia"/>
                <w:color w:val="000000"/>
                <w:kern w:val="0"/>
                <w:sz w:val="21"/>
                <w:szCs w:val="21"/>
                <w:u w:val="single"/>
              </w:rPr>
              <w:t>384</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1120</w:t>
            </w:r>
            <w:r>
              <w:rPr>
                <w:rFonts w:ascii="Times New Roman" w:hAnsi="Times New Roman"/>
                <w:color w:val="000000"/>
                <w:kern w:val="0"/>
                <w:sz w:val="21"/>
                <w:szCs w:val="21"/>
                <w:u w:val="single"/>
              </w:rPr>
              <w:t>*</w:t>
            </w:r>
            <w:r>
              <w:rPr>
                <w:rFonts w:ascii="Times New Roman" w:hAnsi="Times New Roman" w:hint="eastAsia"/>
                <w:color w:val="000000"/>
                <w:kern w:val="0"/>
                <w:sz w:val="21"/>
                <w:szCs w:val="21"/>
                <w:u w:val="single"/>
              </w:rPr>
              <w:t>630</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可采区面积（亩）</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5880</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1059</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年度控制开采范围（长</w:t>
            </w:r>
            <w:r>
              <w:rPr>
                <w:rFonts w:ascii="Times New Roman" w:hAnsi="Times New Roman"/>
                <w:color w:val="000000"/>
                <w:kern w:val="0"/>
                <w:sz w:val="21"/>
                <w:szCs w:val="21"/>
                <w:u w:val="single"/>
              </w:rPr>
              <w:t>*</w:t>
            </w:r>
            <w:r>
              <w:rPr>
                <w:rFonts w:ascii="Times New Roman" w:hAnsi="Times New Roman"/>
                <w:color w:val="000000"/>
                <w:kern w:val="0"/>
                <w:sz w:val="21"/>
                <w:szCs w:val="21"/>
                <w:u w:val="single"/>
              </w:rPr>
              <w:t>宽</w:t>
            </w:r>
            <w:r>
              <w:rPr>
                <w:rFonts w:ascii="Times New Roman" w:hAnsi="Times New Roman"/>
                <w:color w:val="000000"/>
                <w:kern w:val="0"/>
                <w:sz w:val="21"/>
                <w:szCs w:val="21"/>
                <w:u w:val="single"/>
              </w:rPr>
              <w:t>m</w:t>
            </w:r>
            <w:r>
              <w:rPr>
                <w:rFonts w:ascii="Times New Roman" w:hAnsi="Times New Roman"/>
                <w:color w:val="000000"/>
                <w:kern w:val="0"/>
                <w:sz w:val="21"/>
                <w:szCs w:val="21"/>
                <w:u w:val="single"/>
              </w:rPr>
              <w:t>）</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墈测总可采储量（万</w:t>
            </w:r>
            <w:r>
              <w:rPr>
                <w:rFonts w:ascii="Times New Roman" w:hAnsi="Times New Roman"/>
                <w:color w:val="000000"/>
                <w:kern w:val="0"/>
                <w:sz w:val="21"/>
                <w:szCs w:val="21"/>
                <w:u w:val="single"/>
              </w:rPr>
              <w:t>t</w:t>
            </w:r>
            <w:r>
              <w:rPr>
                <w:rFonts w:ascii="Times New Roman" w:hAnsi="Times New Roman"/>
                <w:color w:val="000000"/>
                <w:kern w:val="0"/>
                <w:sz w:val="21"/>
                <w:szCs w:val="21"/>
                <w:u w:val="single"/>
              </w:rPr>
              <w:t>）</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sz w:val="21"/>
                <w:szCs w:val="21"/>
                <w:u w:val="single"/>
              </w:rPr>
              <w:t>13131.7</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2383.03</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年度控制开采量（万</w:t>
            </w:r>
            <w:r>
              <w:rPr>
                <w:rFonts w:ascii="Times New Roman" w:hAnsi="Times New Roman"/>
                <w:color w:val="000000"/>
                <w:kern w:val="0"/>
                <w:sz w:val="21"/>
                <w:szCs w:val="21"/>
                <w:u w:val="single"/>
              </w:rPr>
              <w:t>t</w:t>
            </w:r>
            <w:r>
              <w:rPr>
                <w:rFonts w:ascii="Times New Roman" w:hAnsi="Times New Roman"/>
                <w:color w:val="000000"/>
                <w:kern w:val="0"/>
                <w:sz w:val="21"/>
                <w:szCs w:val="21"/>
                <w:u w:val="single"/>
              </w:rPr>
              <w:t>）</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1170</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251</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矿床规模</w:t>
            </w:r>
          </w:p>
        </w:tc>
        <w:tc>
          <w:tcPr>
            <w:tcW w:w="2719" w:type="dxa"/>
            <w:vAlign w:val="center"/>
          </w:tcPr>
          <w:p w:rsidR="004B4777" w:rsidRDefault="004B4777">
            <w:pPr>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大型</w:t>
            </w:r>
          </w:p>
        </w:tc>
        <w:tc>
          <w:tcPr>
            <w:tcW w:w="2719" w:type="dxa"/>
            <w:vAlign w:val="center"/>
          </w:tcPr>
          <w:p w:rsidR="004B4777" w:rsidRDefault="004B4777">
            <w:pPr>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中型</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服务年限（年）</w:t>
            </w:r>
          </w:p>
        </w:tc>
        <w:tc>
          <w:tcPr>
            <w:tcW w:w="2719" w:type="dxa"/>
            <w:vAlign w:val="center"/>
          </w:tcPr>
          <w:p w:rsidR="004B4777" w:rsidRDefault="004B4777">
            <w:pPr>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8.11</w:t>
            </w:r>
          </w:p>
        </w:tc>
        <w:tc>
          <w:tcPr>
            <w:tcW w:w="2719" w:type="dxa"/>
            <w:vAlign w:val="center"/>
          </w:tcPr>
          <w:p w:rsidR="004B4777" w:rsidRDefault="004B4777">
            <w:pPr>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5.52</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地勘明确开采控制高程</w:t>
            </w:r>
            <w:r>
              <w:rPr>
                <w:rFonts w:ascii="Times New Roman" w:hAnsi="Times New Roman"/>
                <w:color w:val="000000"/>
                <w:kern w:val="0"/>
                <w:sz w:val="21"/>
                <w:szCs w:val="21"/>
                <w:u w:val="single"/>
              </w:rPr>
              <w:t>(m)</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w:t>
            </w:r>
            <w:r>
              <w:rPr>
                <w:rFonts w:ascii="Times New Roman" w:hAnsi="Times New Roman" w:hint="eastAsia"/>
                <w:color w:val="000000"/>
                <w:kern w:val="0"/>
                <w:sz w:val="21"/>
                <w:szCs w:val="21"/>
                <w:u w:val="single"/>
              </w:rPr>
              <w:t>4.0</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w:t>
            </w:r>
            <w:r>
              <w:rPr>
                <w:rFonts w:ascii="Times New Roman" w:hAnsi="Times New Roman" w:hint="eastAsia"/>
                <w:color w:val="000000"/>
                <w:kern w:val="0"/>
                <w:sz w:val="21"/>
                <w:szCs w:val="21"/>
                <w:u w:val="single"/>
              </w:rPr>
              <w:t>8.1</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开采方式</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水采</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水采</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kern w:val="0"/>
                <w:sz w:val="21"/>
                <w:szCs w:val="21"/>
                <w:u w:val="single"/>
              </w:rPr>
            </w:pPr>
            <w:r>
              <w:rPr>
                <w:rFonts w:ascii="Times New Roman" w:hAnsi="Times New Roman"/>
                <w:color w:val="000000"/>
                <w:kern w:val="0"/>
                <w:sz w:val="21"/>
                <w:szCs w:val="21"/>
                <w:u w:val="single"/>
              </w:rPr>
              <w:t>采砂船控制数量（艘）</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6</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1</w:t>
            </w:r>
          </w:p>
        </w:tc>
      </w:tr>
      <w:tr w:rsidR="004B4777">
        <w:trPr>
          <w:trHeight w:val="397"/>
          <w:jc w:val="center"/>
        </w:trPr>
        <w:tc>
          <w:tcPr>
            <w:tcW w:w="3084" w:type="dxa"/>
            <w:vAlign w:val="center"/>
          </w:tcPr>
          <w:p w:rsidR="004B4777" w:rsidRDefault="004B4777">
            <w:pPr>
              <w:widowControl/>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单船作业功率</w:t>
            </w:r>
            <w:r>
              <w:rPr>
                <w:rFonts w:ascii="Times New Roman" w:hAnsi="Times New Roman" w:hint="eastAsia"/>
                <w:color w:val="000000"/>
                <w:kern w:val="0"/>
                <w:sz w:val="21"/>
                <w:szCs w:val="21"/>
                <w:u w:val="single"/>
              </w:rPr>
              <w:t>(KW)</w:t>
            </w:r>
          </w:p>
        </w:tc>
        <w:tc>
          <w:tcPr>
            <w:tcW w:w="2719" w:type="dxa"/>
            <w:vAlign w:val="center"/>
          </w:tcPr>
          <w:p w:rsidR="004B4777" w:rsidRDefault="004B4777">
            <w:pPr>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2600</w:t>
            </w:r>
          </w:p>
        </w:tc>
        <w:tc>
          <w:tcPr>
            <w:tcW w:w="2719" w:type="dxa"/>
            <w:vAlign w:val="center"/>
          </w:tcPr>
          <w:p w:rsidR="004B4777" w:rsidRDefault="004B4777">
            <w:pPr>
              <w:ind w:firstLineChars="0" w:firstLine="0"/>
              <w:jc w:val="center"/>
              <w:rPr>
                <w:rFonts w:ascii="Times New Roman" w:hAnsi="Times New Roman"/>
                <w:kern w:val="0"/>
                <w:sz w:val="21"/>
                <w:szCs w:val="21"/>
                <w:u w:val="single"/>
              </w:rPr>
            </w:pPr>
            <w:r>
              <w:rPr>
                <w:rFonts w:ascii="Times New Roman" w:hAnsi="Times New Roman" w:hint="eastAsia"/>
                <w:color w:val="000000"/>
                <w:kern w:val="0"/>
                <w:sz w:val="21"/>
                <w:szCs w:val="21"/>
                <w:u w:val="single"/>
              </w:rPr>
              <w:t>2600</w:t>
            </w:r>
          </w:p>
        </w:tc>
      </w:tr>
    </w:tbl>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 xml:space="preserve"> </w:t>
      </w:r>
      <w:r>
        <w:rPr>
          <w:rFonts w:ascii="Times New Roman" w:eastAsia="宋体" w:hAnsi="Times New Roman" w:hint="eastAsia"/>
          <w:b/>
        </w:rPr>
        <w:t>易婆塘采区</w:t>
      </w:r>
    </w:p>
    <w:p w:rsidR="004B4777" w:rsidRDefault="004B4777">
      <w:pPr>
        <w:ind w:firstLine="480"/>
        <w:rPr>
          <w:rFonts w:ascii="Times New Roman" w:hAnsi="Times New Roman"/>
          <w:kern w:val="0"/>
          <w:szCs w:val="24"/>
          <w:lang w:val="en-US" w:eastAsia="zh-CN"/>
        </w:rPr>
      </w:pPr>
      <w:r>
        <w:rPr>
          <w:rFonts w:ascii="Times New Roman" w:hAnsi="Times New Roman" w:hint="eastAsia"/>
          <w:kern w:val="0"/>
          <w:szCs w:val="24"/>
          <w:lang w:val="en-US" w:eastAsia="zh-CN"/>
        </w:rPr>
        <w:t>易婆塘开采区边界</w:t>
      </w:r>
      <w:r>
        <w:rPr>
          <w:rFonts w:ascii="Times New Roman" w:hAnsi="Times New Roman"/>
          <w:kern w:val="0"/>
          <w:szCs w:val="24"/>
          <w:lang w:val="en-US" w:eastAsia="zh-CN"/>
        </w:rPr>
        <w:t>坐标见表</w:t>
      </w:r>
      <w:r>
        <w:rPr>
          <w:rFonts w:ascii="Times New Roman" w:hAnsi="Times New Roman" w:hint="eastAsia"/>
          <w:kern w:val="0"/>
          <w:szCs w:val="24"/>
          <w:lang w:val="en-US" w:eastAsia="zh-CN"/>
        </w:rPr>
        <w:t>3.3</w:t>
      </w:r>
      <w:r>
        <w:rPr>
          <w:rFonts w:ascii="Times New Roman" w:hAnsi="Times New Roman"/>
          <w:kern w:val="0"/>
          <w:szCs w:val="24"/>
          <w:lang w:val="en-US" w:eastAsia="zh-CN"/>
        </w:rPr>
        <w:t>-</w:t>
      </w:r>
      <w:r>
        <w:rPr>
          <w:rFonts w:ascii="Times New Roman" w:hAnsi="Times New Roman" w:hint="eastAsia"/>
          <w:kern w:val="0"/>
          <w:szCs w:val="24"/>
          <w:lang w:val="en-US" w:eastAsia="zh-CN"/>
        </w:rPr>
        <w:t>2</w:t>
      </w:r>
      <w:r>
        <w:rPr>
          <w:rFonts w:ascii="Times New Roman" w:hAnsi="Times New Roman" w:hint="eastAsia"/>
          <w:kern w:val="0"/>
          <w:szCs w:val="24"/>
          <w:lang w:val="en-US" w:eastAsia="zh-CN"/>
        </w:rPr>
        <w:t>。</w:t>
      </w:r>
    </w:p>
    <w:p w:rsidR="004B4777" w:rsidRDefault="004B4777">
      <w:pPr>
        <w:ind w:firstLineChars="0" w:firstLine="0"/>
        <w:jc w:val="center"/>
        <w:rPr>
          <w:rFonts w:ascii="Times New Roman" w:hAnsi="Times New Roman" w:hint="eastAsia"/>
          <w:b/>
          <w:kern w:val="0"/>
          <w:szCs w:val="24"/>
          <w:lang w:val="en-US" w:eastAsia="zh-CN"/>
        </w:rPr>
      </w:pPr>
      <w:bookmarkStart w:id="109" w:name="_Hlk481691951"/>
      <w:r>
        <w:rPr>
          <w:rFonts w:ascii="Times New Roman" w:hAnsi="Times New Roman" w:hint="eastAsia"/>
          <w:b/>
          <w:kern w:val="0"/>
          <w:szCs w:val="24"/>
          <w:lang w:val="en-US" w:eastAsia="zh-CN"/>
        </w:rPr>
        <w:t>表</w:t>
      </w:r>
      <w:r>
        <w:rPr>
          <w:rFonts w:ascii="Times New Roman" w:hAnsi="Times New Roman" w:hint="eastAsia"/>
          <w:b/>
          <w:kern w:val="0"/>
          <w:szCs w:val="24"/>
          <w:lang w:val="en-US" w:eastAsia="zh-CN"/>
        </w:rPr>
        <w:t>3.3</w:t>
      </w:r>
      <w:r>
        <w:rPr>
          <w:rFonts w:ascii="Times New Roman" w:hAnsi="Times New Roman"/>
          <w:b/>
          <w:kern w:val="0"/>
          <w:szCs w:val="24"/>
          <w:lang w:val="en-US" w:eastAsia="zh-CN"/>
        </w:rPr>
        <w:t>-</w:t>
      </w:r>
      <w:r>
        <w:rPr>
          <w:rFonts w:ascii="Times New Roman" w:hAnsi="Times New Roman" w:hint="eastAsia"/>
          <w:b/>
          <w:kern w:val="0"/>
          <w:szCs w:val="24"/>
          <w:lang w:val="en-US" w:eastAsia="zh-CN"/>
        </w:rPr>
        <w:t>2</w:t>
      </w:r>
      <w:r>
        <w:rPr>
          <w:rFonts w:ascii="Times New Roman" w:hAnsi="Times New Roman"/>
          <w:b/>
          <w:kern w:val="0"/>
          <w:szCs w:val="24"/>
          <w:lang w:val="en-US" w:eastAsia="zh-CN"/>
        </w:rPr>
        <w:t xml:space="preserve">    </w:t>
      </w:r>
      <w:r>
        <w:rPr>
          <w:rFonts w:ascii="Times New Roman" w:hAnsi="Times New Roman" w:hint="eastAsia"/>
          <w:b/>
          <w:kern w:val="0"/>
          <w:szCs w:val="24"/>
          <w:lang w:val="en-US" w:eastAsia="zh-CN"/>
        </w:rPr>
        <w:t>开采区</w:t>
      </w:r>
      <w:r>
        <w:rPr>
          <w:rFonts w:ascii="Times New Roman" w:hAnsi="Times New Roman"/>
          <w:b/>
          <w:kern w:val="0"/>
          <w:szCs w:val="24"/>
          <w:lang w:val="en-US" w:eastAsia="zh-CN"/>
        </w:rPr>
        <w:t>拐点坐标</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1455"/>
        <w:gridCol w:w="1315"/>
        <w:gridCol w:w="636"/>
        <w:gridCol w:w="1457"/>
        <w:gridCol w:w="1316"/>
        <w:gridCol w:w="2427"/>
      </w:tblGrid>
      <w:tr w:rsidR="004B4777">
        <w:trPr>
          <w:cantSplit/>
          <w:trHeight w:val="454"/>
          <w:jc w:val="center"/>
        </w:trPr>
        <w:tc>
          <w:tcPr>
            <w:tcW w:w="636" w:type="dxa"/>
            <w:vMerge w:val="restart"/>
            <w:vAlign w:val="center"/>
          </w:tcPr>
          <w:p w:rsidR="004B4777" w:rsidRDefault="004B4777">
            <w:pPr>
              <w:widowControl/>
              <w:snapToGrid w:val="0"/>
              <w:spacing w:line="240" w:lineRule="auto"/>
              <w:ind w:firstLineChars="0" w:firstLine="0"/>
              <w:rPr>
                <w:rFonts w:ascii="Times New Roman" w:hAnsi="Times New Roman"/>
                <w:kern w:val="0"/>
                <w:sz w:val="21"/>
                <w:szCs w:val="21"/>
              </w:rPr>
            </w:pPr>
            <w:r>
              <w:rPr>
                <w:rFonts w:ascii="Times New Roman" w:hAnsi="Times New Roman"/>
                <w:kern w:val="0"/>
                <w:sz w:val="21"/>
                <w:szCs w:val="21"/>
              </w:rPr>
              <w:t>编号</w:t>
            </w:r>
          </w:p>
        </w:tc>
        <w:tc>
          <w:tcPr>
            <w:tcW w:w="2770" w:type="dxa"/>
            <w:gridSpan w:val="2"/>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拐点坐标</w:t>
            </w:r>
          </w:p>
        </w:tc>
        <w:tc>
          <w:tcPr>
            <w:tcW w:w="636" w:type="dxa"/>
            <w:vMerge w:val="restart"/>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编号</w:t>
            </w:r>
          </w:p>
        </w:tc>
        <w:tc>
          <w:tcPr>
            <w:tcW w:w="2773" w:type="dxa"/>
            <w:gridSpan w:val="2"/>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拐点坐标</w:t>
            </w:r>
          </w:p>
        </w:tc>
        <w:tc>
          <w:tcPr>
            <w:tcW w:w="2427" w:type="dxa"/>
            <w:vMerge w:val="restart"/>
            <w:vAlign w:val="center"/>
          </w:tcPr>
          <w:p w:rsidR="004B4777" w:rsidRDefault="004B4777">
            <w:pPr>
              <w:snapToGrid w:val="0"/>
              <w:ind w:firstLineChars="0" w:firstLine="0"/>
              <w:rPr>
                <w:rFonts w:ascii="Times New Roman" w:hAnsi="Times New Roman"/>
                <w:kern w:val="0"/>
                <w:sz w:val="21"/>
                <w:szCs w:val="21"/>
              </w:rPr>
            </w:pPr>
            <w:r>
              <w:rPr>
                <w:rFonts w:ascii="Times New Roman" w:hAnsi="Times New Roman"/>
                <w:kern w:val="0"/>
                <w:sz w:val="21"/>
                <w:szCs w:val="21"/>
              </w:rPr>
              <w:t>可采区范围（长</w:t>
            </w:r>
            <w:r>
              <w:rPr>
                <w:rFonts w:ascii="Times New Roman" w:hAnsi="Times New Roman"/>
                <w:kern w:val="0"/>
                <w:sz w:val="21"/>
                <w:szCs w:val="21"/>
              </w:rPr>
              <w:t>*</w:t>
            </w:r>
            <w:r>
              <w:rPr>
                <w:rFonts w:ascii="Times New Roman" w:hAnsi="Times New Roman"/>
                <w:kern w:val="0"/>
                <w:sz w:val="21"/>
                <w:szCs w:val="21"/>
              </w:rPr>
              <w:t>宽</w:t>
            </w:r>
            <w:r>
              <w:rPr>
                <w:rFonts w:ascii="Times New Roman" w:hAnsi="Times New Roman"/>
                <w:kern w:val="0"/>
                <w:sz w:val="21"/>
                <w:szCs w:val="21"/>
              </w:rPr>
              <w:t>m</w:t>
            </w:r>
            <w:r>
              <w:rPr>
                <w:rFonts w:ascii="Times New Roman" w:hAnsi="Times New Roman"/>
                <w:kern w:val="0"/>
                <w:sz w:val="21"/>
                <w:szCs w:val="21"/>
              </w:rPr>
              <w:t>）</w:t>
            </w:r>
          </w:p>
        </w:tc>
      </w:tr>
      <w:tr w:rsidR="004B4777">
        <w:trPr>
          <w:cantSplit/>
          <w:trHeight w:val="454"/>
          <w:jc w:val="center"/>
        </w:trPr>
        <w:tc>
          <w:tcPr>
            <w:tcW w:w="636"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X</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Y</w:t>
            </w:r>
          </w:p>
        </w:tc>
        <w:tc>
          <w:tcPr>
            <w:tcW w:w="636"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X</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Y</w:t>
            </w:r>
          </w:p>
        </w:tc>
        <w:tc>
          <w:tcPr>
            <w:tcW w:w="2427" w:type="dxa"/>
            <w:vMerge/>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3181759.97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360449.49</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3185693.69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364747.36</w:t>
            </w:r>
          </w:p>
        </w:tc>
        <w:tc>
          <w:tcPr>
            <w:tcW w:w="2427" w:type="dxa"/>
            <w:vMerge w:val="restart"/>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10200*</w:t>
            </w:r>
            <w:r>
              <w:rPr>
                <w:rFonts w:ascii="Times New Roman" w:hAnsi="Times New Roman" w:hint="eastAsia"/>
                <w:kern w:val="0"/>
                <w:sz w:val="21"/>
                <w:szCs w:val="21"/>
              </w:rPr>
              <w:t>384</w:t>
            </w: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3181696.39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361131.94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3185720.68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364772.20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3181735.27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361265.36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3185741.76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364792.33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3181753.74</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361328.23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3185768.83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364811.86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3181751.71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361361.82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3185772.91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364814.26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3181739.82</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361417.37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3185705.44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364838.91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3181720.63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361518.92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3185618.41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364894.19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3181711.86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361602.78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3185544.65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364971.63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3181718.08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361649.80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3185521.26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365055.31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3181736.88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361696.83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3185513.23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365151.67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3181767.23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361739.96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3185518.59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365222.52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3181836.61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361782.50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3185326.65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365168.50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3181866.13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361800.63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3184690.77</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364577.43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lastRenderedPageBreak/>
              <w:t>14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3181884.06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361816.42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3184466.83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364481.00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3181887.07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361826.41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3183948.00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364566.10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3181884.03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361868.37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3183791.14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364453.64</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3181867.63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362017.18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3183848.70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364073.09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3181872.97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362096.64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3183781.24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363800.26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3181885.23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362148.92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3183682.71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363701.83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3181901.27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362175.07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3183000.22</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363352.32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3181919.54</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362225.00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3182360.23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363544.21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3181938.08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362273.08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3181758.65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363596.39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3181945.01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362314.65</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3181270.69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363558.86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3181941.93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362368.18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3181383.72</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363099.36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3181942.43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362409.20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3181571.40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362251.50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3181950.26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362440.53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3181332.13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361698.50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3181995.83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362478.73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3180928.97</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360838.77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3182017.11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362496.33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3180435.24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359961.32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3182046.46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362529.38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3180000.96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359214.01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3182061.97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362549.34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3179473.84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358672.56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3182079.15</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362587.71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3179319.18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358507.21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3182088.96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362597.91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3179634.35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358431.93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3181999.16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362673.04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3179800.97</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358356.25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3181923.62</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362717.01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3179997.59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358243.95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3181837.44</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362768.86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3180159.50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358150.58</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3181791.29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362821.81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3180248.84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358104.25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3181704.33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362923.00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3180308.09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358087.45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3181688.18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362973.25</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3180379.83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358080.77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3181677.49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363035.83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3180436.14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358097.85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3181704.57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363104.45</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3180481.34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358135.55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3181763.72</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363156.54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3180518.86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358217.39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3181819.37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363218.70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3180549.56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358362.91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3181907.39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363248.66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3180597.18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358498.75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lastRenderedPageBreak/>
              <w:t>44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3181939.20</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363240.77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3180668.54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358650.43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3181968.47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363238.18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3180689.45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358730.19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3182038.54</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363179.34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3180686.65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358795.70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3182067.16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363143.31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3180668.98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358848.74</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3182101.96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363113.53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3180614.36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358914.49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3182118.66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363095.96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3180551.01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358971.35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3182148.16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363080.52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3180525.30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359006.89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3182186.83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363056.72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3180514.23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359052.32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3182202.30</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363044.16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3180507.14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359113.67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3182227.77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363036.93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3180503.93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359200.42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3182312.06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363029.47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3180499.30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359242.13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3182349.65</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363020.16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3180495.82</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359250.60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3182373.05</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363000.09</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3180473.29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359268.11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3182373.67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362997.89</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3180416.31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359299.07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3182391.71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363015.05</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3180378.86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359330.64</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3182454.46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363002.24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3180325.69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359392.75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3182455.27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363001.97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3180306.63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359441.51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3182496.32</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363068.11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3180312.28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359494.25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3182633.31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363032.19</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3180329.28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359550.41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3182658.83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363010.48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3180371.74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359603.02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3182689.60</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362965.84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3180442.71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359625.65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3182850.36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362984.05</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3180534.51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359655.05</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3182887.05</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362972.82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3180642.40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359712.57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3182896.13</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362956.06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3180727.39</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359779.91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3182906.11</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362957.44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3180815.94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359882.93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3183031.08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362987.86</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3180874.63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359974.31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3183123.69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363081.58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3180941.55</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360041.28</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3183239.29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363170.01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3181018.91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360088.87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3183326.49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363294.31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3181091.76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360111.00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3183348.07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363315.47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3181153.98</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360101.31</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lastRenderedPageBreak/>
              <w:t>74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3183692.78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363587.82</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3181222.40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360057.26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3183730.76</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363613.87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3181286.91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360012.56</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3183735.02</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363612.95</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3181323.73</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360001.12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77</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3184006.79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363865.11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163</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3181366.17</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360002.42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78</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3184199.99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364001.67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164</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3181404.16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360017.40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79</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3185284.42</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364773.83</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165</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3181431.46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360054.04</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80</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3185449.17</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364616.08</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166</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3181461.12</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360126.02</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81</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3185593.00</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364602.27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167</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3181497.11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360269.27</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82</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3185596.75</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364618.10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168</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3181517.90</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360338.29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83</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3185595.00</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364625.44</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169</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3181557.41</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360385.03</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84</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3185595.00</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364672.17</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170</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3181614.06</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360413.38</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85</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3185626.58</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364702.70</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171</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3181695.62</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360434.89</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cantSplit/>
          <w:trHeight w:val="454"/>
          <w:jc w:val="center"/>
        </w:trPr>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86</w:t>
            </w:r>
          </w:p>
        </w:tc>
        <w:tc>
          <w:tcPr>
            <w:tcW w:w="145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3185667.19</w:t>
            </w:r>
          </w:p>
        </w:tc>
        <w:tc>
          <w:tcPr>
            <w:tcW w:w="1315"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364727.41</w:t>
            </w:r>
          </w:p>
        </w:tc>
        <w:tc>
          <w:tcPr>
            <w:tcW w:w="63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172</w:t>
            </w:r>
          </w:p>
        </w:tc>
        <w:tc>
          <w:tcPr>
            <w:tcW w:w="1457"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3181751.84</w:t>
            </w:r>
          </w:p>
        </w:tc>
        <w:tc>
          <w:tcPr>
            <w:tcW w:w="1316"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360447.40</w:t>
            </w:r>
          </w:p>
        </w:tc>
        <w:tc>
          <w:tcPr>
            <w:tcW w:w="2427"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bl>
    <w:p w:rsidR="004B4777" w:rsidRDefault="001F6CA0">
      <w:pPr>
        <w:pStyle w:val="321"/>
        <w:snapToGrid w:val="0"/>
        <w:spacing w:beforeLines="50" w:line="360" w:lineRule="auto"/>
        <w:ind w:firstLine="480"/>
        <w:jc w:val="center"/>
        <w:rPr>
          <w:rFonts w:ascii="Times New Roman" w:eastAsia="宋体" w:hAnsi="Times New Roman" w:hint="eastAsia"/>
          <w:snapToGrid w:val="0"/>
          <w:szCs w:val="24"/>
        </w:rPr>
      </w:pPr>
      <w:r>
        <w:rPr>
          <w:rFonts w:ascii="Times New Roman" w:eastAsia="宋体" w:hAnsi="Times New Roman" w:hint="eastAsia"/>
          <w:noProof/>
          <w:szCs w:val="24"/>
        </w:rPr>
        <w:drawing>
          <wp:inline distT="0" distB="0" distL="0" distR="0">
            <wp:extent cx="4219575" cy="3924300"/>
            <wp:effectExtent l="19050" t="0" r="9525" b="0"/>
            <wp:docPr id="3"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
                    <pic:cNvPicPr>
                      <a:picLocks noChangeAspect="1" noChangeArrowheads="1"/>
                    </pic:cNvPicPr>
                  </pic:nvPicPr>
                  <pic:blipFill>
                    <a:blip r:embed="rId19" cstate="print"/>
                    <a:srcRect l="209" t="1826" r="17232" b="2136"/>
                    <a:stretch>
                      <a:fillRect/>
                    </a:stretch>
                  </pic:blipFill>
                  <pic:spPr bwMode="auto">
                    <a:xfrm>
                      <a:off x="0" y="0"/>
                      <a:ext cx="4219575" cy="3924300"/>
                    </a:xfrm>
                    <a:prstGeom prst="rect">
                      <a:avLst/>
                    </a:prstGeom>
                    <a:noFill/>
                    <a:ln w="9525">
                      <a:noFill/>
                      <a:miter lim="800000"/>
                      <a:headEnd/>
                      <a:tailEnd/>
                    </a:ln>
                  </pic:spPr>
                </pic:pic>
              </a:graphicData>
            </a:graphic>
          </wp:inline>
        </w:drawing>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t>图</w:t>
      </w:r>
      <w:r>
        <w:rPr>
          <w:rFonts w:ascii="Times New Roman" w:hAnsi="Times New Roman" w:hint="eastAsia"/>
          <w:b/>
          <w:kern w:val="0"/>
          <w:szCs w:val="24"/>
          <w:lang w:val="en-US" w:eastAsia="zh-CN"/>
        </w:rPr>
        <w:t xml:space="preserve">3.3-1       </w:t>
      </w:r>
      <w:r>
        <w:rPr>
          <w:rFonts w:ascii="Times New Roman" w:hAnsi="Times New Roman" w:hint="eastAsia"/>
          <w:b/>
          <w:kern w:val="0"/>
          <w:szCs w:val="24"/>
          <w:lang w:val="en-US" w:eastAsia="zh-CN"/>
        </w:rPr>
        <w:t>易婆洲采区平面布置图</w:t>
      </w:r>
    </w:p>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hint="eastAsia"/>
          <w:b/>
        </w:rPr>
        <w:t>斗米咀采区</w:t>
      </w:r>
    </w:p>
    <w:p w:rsidR="004B4777" w:rsidRDefault="004B4777">
      <w:pPr>
        <w:ind w:firstLine="480"/>
        <w:rPr>
          <w:rFonts w:ascii="Times New Roman" w:hAnsi="Times New Roman"/>
          <w:kern w:val="0"/>
          <w:szCs w:val="24"/>
          <w:lang w:val="en-US" w:eastAsia="zh-CN"/>
        </w:rPr>
      </w:pPr>
      <w:r>
        <w:rPr>
          <w:rFonts w:ascii="Times New Roman" w:hAnsi="Times New Roman" w:hint="eastAsia"/>
          <w:kern w:val="0"/>
          <w:szCs w:val="24"/>
          <w:lang w:val="en-US" w:eastAsia="zh-CN"/>
        </w:rPr>
        <w:t>斗米咀开采区边界</w:t>
      </w:r>
      <w:r>
        <w:rPr>
          <w:rFonts w:ascii="Times New Roman" w:hAnsi="Times New Roman"/>
          <w:kern w:val="0"/>
          <w:szCs w:val="24"/>
          <w:lang w:val="en-US" w:eastAsia="zh-CN"/>
        </w:rPr>
        <w:t>坐标见表</w:t>
      </w:r>
      <w:r>
        <w:rPr>
          <w:rFonts w:ascii="Times New Roman" w:hAnsi="Times New Roman" w:hint="eastAsia"/>
          <w:kern w:val="0"/>
          <w:szCs w:val="24"/>
          <w:lang w:val="en-US" w:eastAsia="zh-CN"/>
        </w:rPr>
        <w:t>3.3</w:t>
      </w:r>
      <w:r>
        <w:rPr>
          <w:rFonts w:ascii="Times New Roman" w:hAnsi="Times New Roman"/>
          <w:kern w:val="0"/>
          <w:szCs w:val="24"/>
          <w:lang w:val="en-US" w:eastAsia="zh-CN"/>
        </w:rPr>
        <w:t>-</w:t>
      </w:r>
      <w:r>
        <w:rPr>
          <w:rFonts w:ascii="Times New Roman" w:hAnsi="Times New Roman" w:hint="eastAsia"/>
          <w:kern w:val="0"/>
          <w:szCs w:val="24"/>
          <w:lang w:val="en-US" w:eastAsia="zh-CN"/>
        </w:rPr>
        <w:t>3</w:t>
      </w:r>
      <w:r>
        <w:rPr>
          <w:rFonts w:ascii="Times New Roman" w:hAnsi="Times New Roman" w:hint="eastAsia"/>
          <w:kern w:val="0"/>
          <w:szCs w:val="24"/>
          <w:lang w:val="en-US" w:eastAsia="zh-CN"/>
        </w:rPr>
        <w:t>。</w:t>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lastRenderedPageBreak/>
        <w:t>表</w:t>
      </w:r>
      <w:r>
        <w:rPr>
          <w:rFonts w:ascii="Times New Roman" w:hAnsi="Times New Roman" w:hint="eastAsia"/>
          <w:b/>
          <w:kern w:val="0"/>
          <w:szCs w:val="24"/>
          <w:lang w:val="en-US" w:eastAsia="zh-CN"/>
        </w:rPr>
        <w:t>3.3</w:t>
      </w:r>
      <w:r>
        <w:rPr>
          <w:rFonts w:ascii="Times New Roman" w:hAnsi="Times New Roman"/>
          <w:b/>
          <w:kern w:val="0"/>
          <w:szCs w:val="24"/>
          <w:lang w:val="en-US" w:eastAsia="zh-CN"/>
        </w:rPr>
        <w:t>-</w:t>
      </w:r>
      <w:r>
        <w:rPr>
          <w:rFonts w:ascii="Times New Roman" w:hAnsi="Times New Roman" w:hint="eastAsia"/>
          <w:b/>
          <w:kern w:val="0"/>
          <w:szCs w:val="24"/>
          <w:lang w:val="en-US" w:eastAsia="zh-CN"/>
        </w:rPr>
        <w:t>3</w:t>
      </w:r>
      <w:r>
        <w:rPr>
          <w:rFonts w:ascii="Times New Roman" w:hAnsi="Times New Roman"/>
          <w:b/>
          <w:kern w:val="0"/>
          <w:szCs w:val="24"/>
          <w:lang w:val="en-US" w:eastAsia="zh-CN"/>
        </w:rPr>
        <w:t xml:space="preserve">    </w:t>
      </w:r>
      <w:r>
        <w:rPr>
          <w:rFonts w:ascii="Times New Roman" w:hAnsi="Times New Roman" w:hint="eastAsia"/>
          <w:b/>
          <w:kern w:val="0"/>
          <w:szCs w:val="24"/>
          <w:lang w:val="en-US" w:eastAsia="zh-CN"/>
        </w:rPr>
        <w:t>开采区</w:t>
      </w:r>
      <w:r>
        <w:rPr>
          <w:rFonts w:ascii="Times New Roman" w:hAnsi="Times New Roman"/>
          <w:b/>
          <w:kern w:val="0"/>
          <w:szCs w:val="24"/>
          <w:lang w:val="en-US" w:eastAsia="zh-CN"/>
        </w:rPr>
        <w:t>拐点坐标</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1619"/>
        <w:gridCol w:w="1462"/>
        <w:gridCol w:w="758"/>
        <w:gridCol w:w="1619"/>
        <w:gridCol w:w="1462"/>
        <w:gridCol w:w="1564"/>
      </w:tblGrid>
      <w:tr w:rsidR="004B4777">
        <w:trPr>
          <w:trHeight w:val="454"/>
          <w:jc w:val="center"/>
        </w:trPr>
        <w:tc>
          <w:tcPr>
            <w:tcW w:w="758" w:type="dxa"/>
            <w:vMerge w:val="restart"/>
            <w:vAlign w:val="center"/>
          </w:tcPr>
          <w:p w:rsidR="004B4777" w:rsidRDefault="004B4777">
            <w:pPr>
              <w:widowControl/>
              <w:snapToGrid w:val="0"/>
              <w:spacing w:line="240" w:lineRule="auto"/>
              <w:ind w:firstLineChars="0" w:firstLine="0"/>
              <w:rPr>
                <w:rFonts w:ascii="Times New Roman" w:hAnsi="Times New Roman"/>
                <w:kern w:val="0"/>
                <w:sz w:val="21"/>
                <w:szCs w:val="21"/>
              </w:rPr>
            </w:pPr>
            <w:r>
              <w:rPr>
                <w:rFonts w:ascii="Times New Roman" w:hAnsi="Times New Roman"/>
                <w:kern w:val="0"/>
                <w:sz w:val="21"/>
                <w:szCs w:val="21"/>
              </w:rPr>
              <w:t>编号</w:t>
            </w:r>
          </w:p>
        </w:tc>
        <w:tc>
          <w:tcPr>
            <w:tcW w:w="3081" w:type="dxa"/>
            <w:gridSpan w:val="2"/>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拐点坐标</w:t>
            </w:r>
          </w:p>
        </w:tc>
        <w:tc>
          <w:tcPr>
            <w:tcW w:w="758" w:type="dxa"/>
            <w:vMerge w:val="restart"/>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编号</w:t>
            </w:r>
          </w:p>
        </w:tc>
        <w:tc>
          <w:tcPr>
            <w:tcW w:w="3081" w:type="dxa"/>
            <w:gridSpan w:val="2"/>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拐点坐标</w:t>
            </w:r>
          </w:p>
        </w:tc>
        <w:tc>
          <w:tcPr>
            <w:tcW w:w="1564" w:type="dxa"/>
            <w:vMerge w:val="restart"/>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可采区范围（长</w:t>
            </w:r>
            <w:r>
              <w:rPr>
                <w:rFonts w:ascii="Times New Roman" w:hAnsi="Times New Roman"/>
                <w:kern w:val="0"/>
                <w:sz w:val="21"/>
                <w:szCs w:val="21"/>
              </w:rPr>
              <w:t>*</w:t>
            </w:r>
            <w:r>
              <w:rPr>
                <w:rFonts w:ascii="Times New Roman" w:hAnsi="Times New Roman"/>
                <w:kern w:val="0"/>
                <w:sz w:val="21"/>
                <w:szCs w:val="21"/>
              </w:rPr>
              <w:t>宽</w:t>
            </w:r>
            <w:r>
              <w:rPr>
                <w:rFonts w:ascii="Times New Roman" w:hAnsi="Times New Roman"/>
                <w:kern w:val="0"/>
                <w:sz w:val="21"/>
                <w:szCs w:val="21"/>
              </w:rPr>
              <w:t>m</w:t>
            </w:r>
            <w:r>
              <w:rPr>
                <w:rFonts w:ascii="Times New Roman" w:hAnsi="Times New Roman"/>
                <w:kern w:val="0"/>
                <w:sz w:val="21"/>
                <w:szCs w:val="21"/>
              </w:rPr>
              <w:t>）</w:t>
            </w:r>
          </w:p>
        </w:tc>
      </w:tr>
      <w:tr w:rsidR="004B4777">
        <w:trPr>
          <w:trHeight w:val="454"/>
          <w:jc w:val="center"/>
        </w:trPr>
        <w:tc>
          <w:tcPr>
            <w:tcW w:w="758"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X</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Y</w:t>
            </w:r>
          </w:p>
        </w:tc>
        <w:tc>
          <w:tcPr>
            <w:tcW w:w="758"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X</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Y</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3184032.39</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385400.92</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14</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3183114.70</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386118.57</w:t>
            </w:r>
          </w:p>
        </w:tc>
        <w:tc>
          <w:tcPr>
            <w:tcW w:w="1564" w:type="dxa"/>
            <w:vMerge w:val="restart"/>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1120*630</w:t>
            </w: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3184152.12</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385523.38</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15</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3183129.40</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386111.62</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3184257.32</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385679.25</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16</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3183273.34</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386152.96</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4</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3184356.69</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385882.28</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17</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3183373.24</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386171.34</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5</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3184403.98</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386115.51</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18</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3183486.60</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386173.98</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6</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3184397.97</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386362.43</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19</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3183713.93</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386137.20</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7</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3184354.98</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386647.43</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20</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3183838.02</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386090.99</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8</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3184327.10</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386785.69</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21</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3183908.71</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385929.97</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9</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3184164.38</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386860.53</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22</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3183905.05</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385853.77</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10</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3184146.68</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386844.33</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23</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3183957.40</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385545.02</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11</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3183729.15</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386442.58</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24</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3183968.01</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385514.74</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12</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3183447.70</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386276.83</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25</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3183998.09</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385466.01</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r w:rsidR="004B4777">
        <w:trPr>
          <w:trHeight w:val="454"/>
          <w:jc w:val="center"/>
        </w:trPr>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13</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3183226.46</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386184.27</w:t>
            </w:r>
          </w:p>
        </w:tc>
        <w:tc>
          <w:tcPr>
            <w:tcW w:w="758"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hint="eastAsia"/>
                <w:kern w:val="0"/>
                <w:sz w:val="21"/>
                <w:szCs w:val="21"/>
              </w:rPr>
              <w:t>/</w:t>
            </w:r>
          </w:p>
        </w:tc>
        <w:tc>
          <w:tcPr>
            <w:tcW w:w="1619"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 xml:space="preserve">　</w:t>
            </w:r>
            <w:r>
              <w:rPr>
                <w:rFonts w:ascii="Times New Roman" w:hAnsi="Times New Roman" w:hint="eastAsia"/>
                <w:kern w:val="0"/>
                <w:sz w:val="21"/>
                <w:szCs w:val="21"/>
              </w:rPr>
              <w:t>/</w:t>
            </w:r>
          </w:p>
        </w:tc>
        <w:tc>
          <w:tcPr>
            <w:tcW w:w="1462" w:type="dxa"/>
            <w:vAlign w:val="center"/>
          </w:tcPr>
          <w:p w:rsidR="004B4777" w:rsidRDefault="004B4777">
            <w:pPr>
              <w:widowControl/>
              <w:snapToGrid w:val="0"/>
              <w:spacing w:line="240" w:lineRule="auto"/>
              <w:ind w:firstLineChars="0" w:firstLine="0"/>
              <w:jc w:val="center"/>
              <w:rPr>
                <w:rFonts w:ascii="Times New Roman" w:hAnsi="Times New Roman"/>
                <w:kern w:val="0"/>
                <w:sz w:val="21"/>
                <w:szCs w:val="21"/>
              </w:rPr>
            </w:pPr>
            <w:r>
              <w:rPr>
                <w:rFonts w:ascii="Times New Roman" w:hAnsi="Times New Roman" w:hint="eastAsia"/>
                <w:kern w:val="0"/>
                <w:sz w:val="21"/>
                <w:szCs w:val="21"/>
              </w:rPr>
              <w:t>/</w:t>
            </w:r>
          </w:p>
        </w:tc>
        <w:tc>
          <w:tcPr>
            <w:tcW w:w="1564" w:type="dxa"/>
            <w:vMerge/>
            <w:vAlign w:val="center"/>
          </w:tcPr>
          <w:p w:rsidR="004B4777" w:rsidRDefault="004B4777">
            <w:pPr>
              <w:widowControl/>
              <w:snapToGrid w:val="0"/>
              <w:spacing w:line="240" w:lineRule="auto"/>
              <w:ind w:firstLineChars="0" w:firstLine="0"/>
              <w:jc w:val="left"/>
              <w:rPr>
                <w:rFonts w:ascii="Times New Roman" w:hAnsi="Times New Roman"/>
                <w:kern w:val="0"/>
                <w:sz w:val="21"/>
                <w:szCs w:val="21"/>
              </w:rPr>
            </w:pPr>
          </w:p>
        </w:tc>
      </w:tr>
    </w:tbl>
    <w:p w:rsidR="004B4777" w:rsidRDefault="004B4777">
      <w:pPr>
        <w:ind w:firstLineChars="0" w:firstLine="0"/>
        <w:jc w:val="center"/>
        <w:rPr>
          <w:rFonts w:ascii="Times New Roman" w:hAnsi="Times New Roman" w:hint="eastAsia"/>
          <w:b/>
          <w:kern w:val="0"/>
          <w:szCs w:val="24"/>
          <w:lang w:val="en-US" w:eastAsia="zh-CN"/>
        </w:rPr>
      </w:pPr>
    </w:p>
    <w:p w:rsidR="004B4777" w:rsidRDefault="001F6CA0">
      <w:pPr>
        <w:pStyle w:val="321"/>
        <w:adjustRightInd w:val="0"/>
        <w:snapToGrid w:val="0"/>
        <w:spacing w:beforeLines="50" w:line="360" w:lineRule="auto"/>
        <w:ind w:firstLine="480"/>
        <w:rPr>
          <w:rFonts w:ascii="Times New Roman" w:eastAsia="宋体" w:hAnsi="Times New Roman" w:hint="eastAsia"/>
          <w:snapToGrid w:val="0"/>
          <w:szCs w:val="24"/>
        </w:rPr>
      </w:pPr>
      <w:r>
        <w:rPr>
          <w:rFonts w:ascii="Times New Roman" w:eastAsia="宋体" w:hAnsi="Times New Roman" w:hint="eastAsia"/>
          <w:noProof/>
          <w:szCs w:val="24"/>
        </w:rPr>
        <w:lastRenderedPageBreak/>
        <w:drawing>
          <wp:inline distT="0" distB="0" distL="0" distR="0">
            <wp:extent cx="5276850" cy="3810000"/>
            <wp:effectExtent l="19050" t="0" r="0" b="0"/>
            <wp:docPr id="4" name="图片 3" descr="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3333333"/>
                    <pic:cNvPicPr>
                      <a:picLocks noChangeAspect="1" noChangeArrowheads="1"/>
                    </pic:cNvPicPr>
                  </pic:nvPicPr>
                  <pic:blipFill>
                    <a:blip r:embed="rId20"/>
                    <a:srcRect/>
                    <a:stretch>
                      <a:fillRect/>
                    </a:stretch>
                  </pic:blipFill>
                  <pic:spPr bwMode="auto">
                    <a:xfrm>
                      <a:off x="0" y="0"/>
                      <a:ext cx="5276850" cy="3810000"/>
                    </a:xfrm>
                    <a:prstGeom prst="rect">
                      <a:avLst/>
                    </a:prstGeom>
                    <a:noFill/>
                    <a:ln w="9525">
                      <a:noFill/>
                      <a:miter lim="800000"/>
                      <a:headEnd/>
                      <a:tailEnd/>
                    </a:ln>
                  </pic:spPr>
                </pic:pic>
              </a:graphicData>
            </a:graphic>
          </wp:inline>
        </w:drawing>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b/>
          <w:kern w:val="0"/>
          <w:szCs w:val="24"/>
          <w:lang w:val="en-US" w:eastAsia="zh-CN"/>
        </w:rPr>
        <w:t xml:space="preserve"> </w:t>
      </w:r>
      <w:r>
        <w:rPr>
          <w:rFonts w:ascii="Times New Roman" w:hAnsi="Times New Roman" w:hint="eastAsia"/>
          <w:b/>
          <w:kern w:val="0"/>
          <w:szCs w:val="24"/>
          <w:lang w:val="en-US" w:eastAsia="zh-CN"/>
        </w:rPr>
        <w:t>图</w:t>
      </w:r>
      <w:r>
        <w:rPr>
          <w:rFonts w:ascii="Times New Roman" w:hAnsi="Times New Roman" w:hint="eastAsia"/>
          <w:b/>
          <w:kern w:val="0"/>
          <w:szCs w:val="24"/>
          <w:lang w:val="en-US" w:eastAsia="zh-CN"/>
        </w:rPr>
        <w:t xml:space="preserve">3.3-2       </w:t>
      </w:r>
      <w:r>
        <w:rPr>
          <w:rFonts w:ascii="Times New Roman" w:hAnsi="Times New Roman" w:hint="eastAsia"/>
          <w:b/>
          <w:kern w:val="0"/>
          <w:szCs w:val="24"/>
          <w:lang w:val="en-US" w:eastAsia="zh-CN"/>
        </w:rPr>
        <w:t>斗米咀采区平面布置图</w:t>
      </w:r>
    </w:p>
    <w:p w:rsidR="004B4777" w:rsidRDefault="004B4777">
      <w:pPr>
        <w:pStyle w:val="4"/>
        <w:spacing w:before="0" w:after="0"/>
        <w:rPr>
          <w:rFonts w:ascii="Times New Roman" w:eastAsia="宋体" w:hAnsi="Times New Roman" w:hint="eastAsia"/>
          <w:b/>
          <w:u w:val="single"/>
        </w:rPr>
      </w:pP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2</w:t>
      </w:r>
      <w:r>
        <w:rPr>
          <w:rFonts w:ascii="Times New Roman" w:eastAsia="宋体" w:hAnsi="Times New Roman"/>
          <w:b/>
          <w:u w:val="single"/>
        </w:rPr>
        <w:t>.</w:t>
      </w:r>
      <w:r>
        <w:rPr>
          <w:rFonts w:ascii="Times New Roman" w:eastAsia="宋体" w:hAnsi="Times New Roman" w:hint="eastAsia"/>
          <w:b/>
          <w:u w:val="single"/>
        </w:rPr>
        <w:t xml:space="preserve">4 </w:t>
      </w:r>
      <w:r>
        <w:rPr>
          <w:rFonts w:ascii="Times New Roman" w:eastAsia="宋体" w:hAnsi="Times New Roman" w:hint="eastAsia"/>
          <w:b/>
          <w:u w:val="single"/>
        </w:rPr>
        <w:t>覆盖层</w:t>
      </w:r>
    </w:p>
    <w:p w:rsidR="004B4777" w:rsidRDefault="004B4777">
      <w:pPr>
        <w:ind w:firstLine="480"/>
        <w:jc w:val="left"/>
        <w:rPr>
          <w:rFonts w:ascii="Times New Roman" w:hAnsi="Times New Roman" w:hint="eastAsia"/>
          <w:u w:val="single"/>
        </w:rPr>
      </w:pPr>
      <w:r>
        <w:rPr>
          <w:rFonts w:ascii="Times New Roman" w:hAnsi="Times New Roman" w:hint="eastAsia"/>
          <w:u w:val="single"/>
        </w:rPr>
        <w:t>采区位于湘阴县水域内，第四系全系统上部为河湖相淤泥质粘土、粉质粘土组成：易婆塘采区厚度</w:t>
      </w:r>
      <w:r>
        <w:rPr>
          <w:rFonts w:ascii="Times New Roman" w:hAnsi="Times New Roman" w:hint="eastAsia"/>
          <w:u w:val="single"/>
        </w:rPr>
        <w:t>4-15</w:t>
      </w:r>
      <w:r>
        <w:rPr>
          <w:rFonts w:ascii="Times New Roman" w:hAnsi="Times New Roman" w:hint="eastAsia"/>
          <w:u w:val="single"/>
        </w:rPr>
        <w:t>米，下部为河相（粉）细砂组成，厚度</w:t>
      </w:r>
      <w:r>
        <w:rPr>
          <w:rFonts w:ascii="Times New Roman" w:hAnsi="Times New Roman" w:hint="eastAsia"/>
          <w:u w:val="single"/>
        </w:rPr>
        <w:t>0-14</w:t>
      </w:r>
      <w:r>
        <w:rPr>
          <w:rFonts w:ascii="Times New Roman" w:hAnsi="Times New Roman" w:hint="eastAsia"/>
          <w:u w:val="single"/>
        </w:rPr>
        <w:t>米；斗米咀采区厚度</w:t>
      </w:r>
      <w:r>
        <w:rPr>
          <w:rFonts w:ascii="Times New Roman" w:hAnsi="Times New Roman" w:hint="eastAsia"/>
          <w:u w:val="single"/>
        </w:rPr>
        <w:t>1.6-9.8</w:t>
      </w:r>
      <w:r>
        <w:rPr>
          <w:rFonts w:ascii="Times New Roman" w:hAnsi="Times New Roman" w:hint="eastAsia"/>
          <w:u w:val="single"/>
        </w:rPr>
        <w:t>米，下部为河相（粉）细砂组成，厚度</w:t>
      </w:r>
      <w:r>
        <w:rPr>
          <w:rFonts w:ascii="Times New Roman" w:hAnsi="Times New Roman" w:hint="eastAsia"/>
          <w:u w:val="single"/>
        </w:rPr>
        <w:t>0-19.5</w:t>
      </w:r>
      <w:r>
        <w:rPr>
          <w:rFonts w:ascii="Times New Roman" w:hAnsi="Times New Roman" w:hint="eastAsia"/>
          <w:u w:val="single"/>
        </w:rPr>
        <w:t>米。第四系更系统为河湖相（砾砂）中粗砂、圆砾组成，厚度</w:t>
      </w:r>
      <w:r>
        <w:rPr>
          <w:rFonts w:ascii="Times New Roman" w:hAnsi="Times New Roman" w:hint="eastAsia"/>
          <w:u w:val="single"/>
        </w:rPr>
        <w:t>5.3-27</w:t>
      </w:r>
      <w:r>
        <w:rPr>
          <w:rFonts w:ascii="Times New Roman" w:hAnsi="Times New Roman" w:hint="eastAsia"/>
          <w:u w:val="single"/>
        </w:rPr>
        <w:t>米。其局部中间夹粉细砂，厚度</w:t>
      </w:r>
      <w:r>
        <w:rPr>
          <w:rFonts w:ascii="Times New Roman" w:hAnsi="Times New Roman" w:hint="eastAsia"/>
          <w:u w:val="single"/>
        </w:rPr>
        <w:t>2</w:t>
      </w:r>
      <w:r>
        <w:rPr>
          <w:rFonts w:ascii="Times New Roman" w:hAnsi="Times New Roman" w:hint="eastAsia"/>
          <w:u w:val="single"/>
        </w:rPr>
        <w:t>米。其中易婆塘采区剥离量为</w:t>
      </w:r>
      <w:r>
        <w:rPr>
          <w:rFonts w:ascii="Times New Roman" w:hAnsi="Times New Roman" w:hint="eastAsia"/>
          <w:u w:val="single"/>
        </w:rPr>
        <w:t>4898.4</w:t>
      </w:r>
      <w:r>
        <w:rPr>
          <w:rFonts w:ascii="Times New Roman" w:hAnsi="Times New Roman" w:hint="eastAsia"/>
          <w:u w:val="single"/>
        </w:rPr>
        <w:t>万立方米，斗米咀采区剥离量为</w:t>
      </w:r>
      <w:r>
        <w:rPr>
          <w:rFonts w:ascii="Times New Roman" w:hAnsi="Times New Roman" w:hint="eastAsia"/>
          <w:u w:val="single"/>
        </w:rPr>
        <w:t>641.05</w:t>
      </w:r>
      <w:r>
        <w:rPr>
          <w:rFonts w:ascii="Times New Roman" w:hAnsi="Times New Roman" w:hint="eastAsia"/>
          <w:u w:val="single"/>
        </w:rPr>
        <w:t>万立方米。</w:t>
      </w:r>
    </w:p>
    <w:p w:rsidR="004B4777" w:rsidRDefault="004B4777">
      <w:pPr>
        <w:ind w:firstLine="480"/>
        <w:jc w:val="left"/>
        <w:rPr>
          <w:rFonts w:hint="eastAsia"/>
          <w:u w:val="single"/>
        </w:rPr>
      </w:pPr>
      <w:r>
        <w:rPr>
          <w:rFonts w:hint="eastAsia"/>
          <w:u w:val="single"/>
        </w:rPr>
        <w:t>覆盖层表土（泥土）需经机械铲除，转运至陆地</w:t>
      </w:r>
      <w:r>
        <w:rPr>
          <w:rFonts w:hint="eastAsia"/>
          <w:kern w:val="0"/>
          <w:szCs w:val="24"/>
          <w:u w:val="single"/>
        </w:rPr>
        <w:t>后送至</w:t>
      </w:r>
      <w:r>
        <w:rPr>
          <w:rFonts w:hint="eastAsia"/>
          <w:u w:val="single"/>
        </w:rPr>
        <w:t>环保砖厂有效利用，严禁将覆盖层表土直接倾倒于河水之中。</w:t>
      </w:r>
    </w:p>
    <w:p w:rsidR="004B4777" w:rsidRDefault="004B4777">
      <w:pPr>
        <w:ind w:firstLine="480"/>
        <w:jc w:val="left"/>
        <w:rPr>
          <w:u w:val="single"/>
        </w:rPr>
      </w:pPr>
      <w:r>
        <w:rPr>
          <w:rFonts w:hint="eastAsia"/>
          <w:u w:val="single"/>
        </w:rPr>
        <w:t>因近年来城乡建设的快速发展，对建材产品的需求量急剧增加，湘阴县或周边现有砖厂完全可消纳本项目产生的泥质粉砂。同时利用江河淤泥制砖，可节约大量土地，有利于资源的合理开发利用。因此，项目覆盖层运至砖厂综合利用合理可行。</w:t>
      </w:r>
    </w:p>
    <w:p w:rsidR="004B4777" w:rsidRDefault="004B4777">
      <w:pPr>
        <w:ind w:firstLine="480"/>
        <w:jc w:val="left"/>
        <w:rPr>
          <w:rFonts w:ascii="Times New Roman" w:hAnsi="Times New Roman" w:hint="eastAsia"/>
          <w:u w:val="single"/>
        </w:rPr>
      </w:pPr>
    </w:p>
    <w:p w:rsidR="004B4777" w:rsidRDefault="004B4777">
      <w:pPr>
        <w:pStyle w:val="4"/>
        <w:spacing w:before="0" w:after="0"/>
        <w:rPr>
          <w:rFonts w:ascii="Times New Roman" w:eastAsia="宋体" w:hAnsi="Times New Roman" w:hint="eastAsia"/>
          <w:b/>
          <w:u w:val="single"/>
        </w:rPr>
      </w:pPr>
      <w:r>
        <w:rPr>
          <w:rFonts w:ascii="Times New Roman" w:eastAsia="宋体" w:hAnsi="Times New Roman" w:hint="eastAsia"/>
          <w:b/>
          <w:u w:val="single"/>
        </w:rPr>
        <w:lastRenderedPageBreak/>
        <w:t>3</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2</w:t>
      </w:r>
      <w:r>
        <w:rPr>
          <w:rFonts w:ascii="Times New Roman" w:eastAsia="宋体" w:hAnsi="Times New Roman"/>
          <w:b/>
          <w:u w:val="single"/>
        </w:rPr>
        <w:t>.</w:t>
      </w:r>
      <w:r>
        <w:rPr>
          <w:rFonts w:ascii="Times New Roman" w:eastAsia="宋体" w:hAnsi="Times New Roman" w:hint="eastAsia"/>
          <w:b/>
          <w:u w:val="single"/>
        </w:rPr>
        <w:t xml:space="preserve">5 </w:t>
      </w:r>
      <w:r>
        <w:rPr>
          <w:rFonts w:ascii="Times New Roman" w:eastAsia="宋体" w:hAnsi="Times New Roman" w:hint="eastAsia"/>
          <w:b/>
          <w:u w:val="single"/>
        </w:rPr>
        <w:t>禁采区</w:t>
      </w:r>
    </w:p>
    <w:p w:rsidR="004B4777" w:rsidRDefault="004B4777">
      <w:pPr>
        <w:ind w:firstLineChars="0" w:firstLine="480"/>
        <w:jc w:val="left"/>
        <w:rPr>
          <w:rFonts w:ascii="Times New Roman" w:hAnsi="Times New Roman" w:hint="eastAsia"/>
          <w:u w:val="single"/>
        </w:rPr>
      </w:pPr>
      <w:r>
        <w:rPr>
          <w:rFonts w:ascii="Times New Roman" w:hAnsi="Times New Roman" w:hint="eastAsia"/>
          <w:u w:val="single"/>
        </w:rPr>
        <w:t>项目运营期应严格控制采砂区开采范围，对划定的禁采水域及禁采区严禁开采，禁止超出开采区划定范围进行开采。根据规划，可采河段中，堤防保护范围即防洪堤</w:t>
      </w:r>
      <w:r>
        <w:rPr>
          <w:rFonts w:ascii="Times New Roman" w:hAnsi="Times New Roman" w:hint="eastAsia"/>
          <w:u w:val="single"/>
        </w:rPr>
        <w:t>200m</w:t>
      </w:r>
      <w:r>
        <w:rPr>
          <w:rFonts w:ascii="Times New Roman" w:hAnsi="Times New Roman" w:hint="eastAsia"/>
          <w:u w:val="single"/>
        </w:rPr>
        <w:t>范围内为禁采水域。本项目两个采区涉及到的禁采水域分布情况见表</w:t>
      </w:r>
      <w:r>
        <w:rPr>
          <w:rFonts w:ascii="Times New Roman" w:hAnsi="Times New Roman" w:hint="eastAsia"/>
          <w:u w:val="single"/>
        </w:rPr>
        <w:t>3.3</w:t>
      </w:r>
      <w:r>
        <w:rPr>
          <w:rFonts w:ascii="Times New Roman" w:hAnsi="Times New Roman"/>
          <w:u w:val="single"/>
        </w:rPr>
        <w:t>-</w:t>
      </w:r>
      <w:r>
        <w:rPr>
          <w:rFonts w:ascii="Times New Roman" w:hAnsi="Times New Roman" w:hint="eastAsia"/>
          <w:u w:val="single"/>
        </w:rPr>
        <w:t>4</w:t>
      </w:r>
      <w:r>
        <w:rPr>
          <w:rFonts w:ascii="Times New Roman" w:hAnsi="Times New Roman" w:hint="eastAsia"/>
          <w:u w:val="single"/>
        </w:rPr>
        <w:t>。</w:t>
      </w:r>
    </w:p>
    <w:p w:rsidR="004B4777" w:rsidRDefault="004B4777">
      <w:pPr>
        <w:ind w:firstLineChars="0" w:firstLine="0"/>
        <w:jc w:val="center"/>
        <w:rPr>
          <w:rFonts w:ascii="Times New Roman" w:hAnsi="Times New Roman"/>
          <w:bCs/>
          <w:kern w:val="28"/>
          <w:sz w:val="21"/>
          <w:szCs w:val="32"/>
          <w:u w:val="single"/>
        </w:rPr>
      </w:pPr>
      <w:r>
        <w:rPr>
          <w:rFonts w:ascii="Times New Roman" w:hAnsi="Times New Roman" w:hint="eastAsia"/>
          <w:b/>
          <w:bCs/>
          <w:kern w:val="0"/>
          <w:szCs w:val="24"/>
          <w:u w:val="single"/>
        </w:rPr>
        <w:t>表</w:t>
      </w:r>
      <w:r>
        <w:rPr>
          <w:rFonts w:ascii="Times New Roman" w:hAnsi="Times New Roman" w:hint="eastAsia"/>
          <w:b/>
          <w:bCs/>
          <w:kern w:val="0"/>
          <w:szCs w:val="24"/>
          <w:u w:val="single"/>
        </w:rPr>
        <w:t xml:space="preserve">3.3-4 </w:t>
      </w:r>
      <w:r>
        <w:rPr>
          <w:rFonts w:ascii="Times New Roman" w:hAnsi="Times New Roman" w:hint="eastAsia"/>
          <w:b/>
          <w:kern w:val="28"/>
          <w:szCs w:val="24"/>
          <w:u w:val="single"/>
        </w:rPr>
        <w:t>禁采河段位置分布表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7"/>
        <w:gridCol w:w="1479"/>
        <w:gridCol w:w="537"/>
        <w:gridCol w:w="974"/>
        <w:gridCol w:w="911"/>
        <w:gridCol w:w="864"/>
        <w:gridCol w:w="905"/>
        <w:gridCol w:w="1240"/>
        <w:gridCol w:w="1180"/>
      </w:tblGrid>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编号</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禁采河段名称</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行政区划</w:t>
            </w:r>
          </w:p>
        </w:tc>
        <w:tc>
          <w:tcPr>
            <w:tcW w:w="97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起点桩号</w:t>
            </w:r>
          </w:p>
        </w:tc>
        <w:tc>
          <w:tcPr>
            <w:tcW w:w="911"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止点桩号</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禁采缘由</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禁采区长度（</w:t>
            </w:r>
            <w:r>
              <w:rPr>
                <w:rFonts w:ascii="Times New Roman" w:hAnsi="Times New Roman"/>
                <w:color w:val="000000"/>
                <w:kern w:val="0"/>
                <w:sz w:val="21"/>
                <w:szCs w:val="21"/>
                <w:u w:val="single"/>
              </w:rPr>
              <w:t>km</w:t>
            </w:r>
            <w:r>
              <w:rPr>
                <w:rFonts w:ascii="Times New Roman" w:hAnsi="Times New Roman"/>
                <w:color w:val="000000"/>
                <w:kern w:val="0"/>
                <w:sz w:val="21"/>
                <w:szCs w:val="21"/>
                <w:u w:val="single"/>
              </w:rPr>
              <w:t>）</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禁采区面积（</w:t>
            </w:r>
            <w:r>
              <w:rPr>
                <w:rFonts w:ascii="Times New Roman" w:hAnsi="Times New Roman"/>
                <w:color w:val="000000"/>
                <w:kern w:val="0"/>
                <w:sz w:val="21"/>
                <w:szCs w:val="21"/>
                <w:u w:val="single"/>
              </w:rPr>
              <w:t>km</w:t>
            </w:r>
            <w:r>
              <w:rPr>
                <w:rFonts w:ascii="Times New Roman" w:hAnsi="Times New Roman"/>
                <w:color w:val="000000"/>
                <w:kern w:val="0"/>
                <w:sz w:val="21"/>
                <w:szCs w:val="21"/>
                <w:u w:val="single"/>
                <w:vertAlign w:val="superscript"/>
              </w:rPr>
              <w:t>2</w:t>
            </w:r>
            <w:r>
              <w:rPr>
                <w:rFonts w:ascii="Times New Roman" w:hAnsi="Times New Roman"/>
                <w:color w:val="000000"/>
                <w:kern w:val="0"/>
                <w:sz w:val="21"/>
                <w:szCs w:val="21"/>
                <w:u w:val="single"/>
              </w:rPr>
              <w:t>）</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位置描述</w:t>
            </w:r>
          </w:p>
        </w:tc>
      </w:tr>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1</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濠河口</w:t>
            </w:r>
            <w:r>
              <w:rPr>
                <w:rFonts w:ascii="Times New Roman" w:hAnsi="Times New Roman"/>
                <w:color w:val="000000"/>
                <w:kern w:val="0"/>
                <w:sz w:val="21"/>
                <w:szCs w:val="21"/>
                <w:u w:val="single"/>
              </w:rPr>
              <w:t>-</w:t>
            </w:r>
            <w:r>
              <w:rPr>
                <w:rFonts w:ascii="Times New Roman" w:hAnsi="Times New Roman"/>
                <w:color w:val="000000"/>
                <w:kern w:val="0"/>
                <w:sz w:val="21"/>
                <w:szCs w:val="21"/>
                <w:u w:val="single"/>
              </w:rPr>
              <w:t>斗米咀禁采区</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湘阴县</w:t>
            </w:r>
          </w:p>
        </w:tc>
        <w:tc>
          <w:tcPr>
            <w:tcW w:w="97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湘水</w:t>
            </w:r>
            <w:r>
              <w:rPr>
                <w:rFonts w:ascii="Times New Roman" w:hAnsi="Times New Roman"/>
                <w:color w:val="000000"/>
                <w:kern w:val="0"/>
                <w:sz w:val="21"/>
                <w:szCs w:val="21"/>
                <w:u w:val="single"/>
              </w:rPr>
              <w:t>56+500</w:t>
            </w:r>
          </w:p>
        </w:tc>
        <w:tc>
          <w:tcPr>
            <w:tcW w:w="911"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湘水</w:t>
            </w:r>
            <w:r>
              <w:rPr>
                <w:rFonts w:ascii="Times New Roman" w:hAnsi="Times New Roman"/>
                <w:color w:val="000000"/>
                <w:kern w:val="0"/>
                <w:sz w:val="21"/>
                <w:szCs w:val="21"/>
                <w:u w:val="single"/>
              </w:rPr>
              <w:t>34+500</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河道弯曲、当冲险工险段多，右岸有县城，左岸为城西垸</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22.00</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15.84</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斗米咀采区上游</w:t>
            </w:r>
          </w:p>
        </w:tc>
      </w:tr>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2</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毛角口</w:t>
            </w:r>
            <w:r>
              <w:rPr>
                <w:rFonts w:ascii="Times New Roman" w:hAnsi="Times New Roman"/>
                <w:color w:val="000000"/>
                <w:kern w:val="0"/>
                <w:sz w:val="21"/>
                <w:szCs w:val="21"/>
                <w:u w:val="single"/>
              </w:rPr>
              <w:t>-</w:t>
            </w:r>
            <w:r>
              <w:rPr>
                <w:rFonts w:ascii="Times New Roman" w:hAnsi="Times New Roman"/>
                <w:color w:val="000000"/>
                <w:kern w:val="0"/>
                <w:sz w:val="21"/>
                <w:szCs w:val="21"/>
                <w:u w:val="single"/>
              </w:rPr>
              <w:t>临资口禁采区</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湘阴县</w:t>
            </w:r>
          </w:p>
        </w:tc>
        <w:tc>
          <w:tcPr>
            <w:tcW w:w="97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资水东</w:t>
            </w:r>
            <w:r>
              <w:rPr>
                <w:rFonts w:ascii="Times New Roman" w:hAnsi="Times New Roman"/>
                <w:color w:val="000000"/>
                <w:kern w:val="0"/>
                <w:sz w:val="21"/>
                <w:szCs w:val="21"/>
                <w:u w:val="single"/>
              </w:rPr>
              <w:t>0+000</w:t>
            </w:r>
          </w:p>
        </w:tc>
        <w:tc>
          <w:tcPr>
            <w:tcW w:w="911"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资水东</w:t>
            </w:r>
            <w:r>
              <w:rPr>
                <w:rFonts w:ascii="Times New Roman" w:hAnsi="Times New Roman"/>
                <w:color w:val="000000"/>
                <w:kern w:val="0"/>
                <w:sz w:val="21"/>
                <w:szCs w:val="21"/>
                <w:u w:val="single"/>
              </w:rPr>
              <w:t>35+600</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当冲险工险段，无砂石可采，主航道</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35.60</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14.95</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资水东支毛角口</w:t>
            </w:r>
            <w:r>
              <w:rPr>
                <w:rFonts w:ascii="Times New Roman" w:hAnsi="Times New Roman"/>
                <w:color w:val="000000"/>
                <w:kern w:val="0"/>
                <w:sz w:val="21"/>
                <w:szCs w:val="21"/>
                <w:u w:val="single"/>
              </w:rPr>
              <w:t>-</w:t>
            </w:r>
            <w:r>
              <w:rPr>
                <w:rFonts w:ascii="Times New Roman" w:hAnsi="Times New Roman"/>
                <w:color w:val="000000"/>
                <w:kern w:val="0"/>
                <w:sz w:val="21"/>
                <w:szCs w:val="21"/>
                <w:u w:val="single"/>
              </w:rPr>
              <w:t>临资口</w:t>
            </w:r>
          </w:p>
        </w:tc>
      </w:tr>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3</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南湖垸禁采区</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湘阴县</w:t>
            </w:r>
          </w:p>
        </w:tc>
        <w:tc>
          <w:tcPr>
            <w:tcW w:w="97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资水北</w:t>
            </w:r>
            <w:r>
              <w:rPr>
                <w:rFonts w:ascii="Times New Roman" w:hAnsi="Times New Roman"/>
                <w:color w:val="000000"/>
                <w:kern w:val="0"/>
                <w:sz w:val="21"/>
                <w:szCs w:val="21"/>
                <w:u w:val="single"/>
              </w:rPr>
              <w:t>21+400</w:t>
            </w:r>
          </w:p>
        </w:tc>
        <w:tc>
          <w:tcPr>
            <w:tcW w:w="911"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资水北</w:t>
            </w:r>
            <w:r>
              <w:rPr>
                <w:rFonts w:ascii="Times New Roman" w:hAnsi="Times New Roman"/>
                <w:color w:val="000000"/>
                <w:kern w:val="0"/>
                <w:sz w:val="21"/>
                <w:szCs w:val="21"/>
                <w:u w:val="single"/>
              </w:rPr>
              <w:t>11+770</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当冲险工险段</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9.63</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4.91</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易婆塘采区上游</w:t>
            </w:r>
          </w:p>
        </w:tc>
      </w:tr>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4</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横岭湖禁采区</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湘阴县</w:t>
            </w:r>
          </w:p>
        </w:tc>
        <w:tc>
          <w:tcPr>
            <w:tcW w:w="1885" w:type="dxa"/>
            <w:gridSpan w:val="2"/>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核心区、缓冲区、实验区</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自然保护区</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87.6</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430</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南洞庭湖横岭湖</w:t>
            </w:r>
          </w:p>
        </w:tc>
      </w:tr>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5</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南洞庭湖大口鲶中华鳖青虾国家级水产种资源保护区</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湘阴县</w:t>
            </w:r>
          </w:p>
        </w:tc>
        <w:tc>
          <w:tcPr>
            <w:tcW w:w="1885" w:type="dxa"/>
            <w:gridSpan w:val="2"/>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核心区、实验区</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水产种质资源保护区</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87.6</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430</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与横岭湖自然保护区重合</w:t>
            </w:r>
          </w:p>
        </w:tc>
      </w:tr>
      <w:tr w:rsidR="004B4777">
        <w:trPr>
          <w:cantSplit/>
          <w:trHeight w:val="454"/>
          <w:jc w:val="center"/>
        </w:trPr>
        <w:tc>
          <w:tcPr>
            <w:tcW w:w="42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6</w:t>
            </w:r>
          </w:p>
        </w:tc>
        <w:tc>
          <w:tcPr>
            <w:tcW w:w="1479"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岳阳市屈原管理区湘江湘阴段饮用水水源保护区</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湘阴县</w:t>
            </w:r>
          </w:p>
        </w:tc>
        <w:tc>
          <w:tcPr>
            <w:tcW w:w="1885" w:type="dxa"/>
            <w:gridSpan w:val="2"/>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一级、二级保护区</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水源保护区</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3.3</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5.94</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斗米咀采区下游</w:t>
            </w:r>
          </w:p>
        </w:tc>
      </w:tr>
      <w:tr w:rsidR="004B4777">
        <w:trPr>
          <w:cantSplit/>
          <w:trHeight w:val="454"/>
          <w:jc w:val="center"/>
        </w:trPr>
        <w:tc>
          <w:tcPr>
            <w:tcW w:w="1906" w:type="dxa"/>
            <w:gridSpan w:val="2"/>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color w:val="000000"/>
                <w:kern w:val="0"/>
                <w:sz w:val="21"/>
                <w:szCs w:val="21"/>
                <w:u w:val="single"/>
              </w:rPr>
              <w:t>合计</w:t>
            </w:r>
          </w:p>
        </w:tc>
        <w:tc>
          <w:tcPr>
            <w:tcW w:w="537"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c>
          <w:tcPr>
            <w:tcW w:w="1885" w:type="dxa"/>
            <w:gridSpan w:val="2"/>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c>
          <w:tcPr>
            <w:tcW w:w="864"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c>
          <w:tcPr>
            <w:tcW w:w="905"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245.73</w:t>
            </w:r>
          </w:p>
        </w:tc>
        <w:tc>
          <w:tcPr>
            <w:tcW w:w="124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901.64</w:t>
            </w:r>
          </w:p>
        </w:tc>
        <w:tc>
          <w:tcPr>
            <w:tcW w:w="1180" w:type="dxa"/>
            <w:vAlign w:val="center"/>
          </w:tcPr>
          <w:p w:rsidR="004B4777" w:rsidRDefault="004B4777">
            <w:pPr>
              <w:widowControl/>
              <w:snapToGrid w:val="0"/>
              <w:spacing w:line="240" w:lineRule="auto"/>
              <w:ind w:firstLineChars="0" w:firstLine="0"/>
              <w:jc w:val="center"/>
              <w:rPr>
                <w:rFonts w:ascii="Times New Roman" w:hAnsi="Times New Roman"/>
                <w:color w:val="000000"/>
                <w:kern w:val="0"/>
                <w:sz w:val="21"/>
                <w:szCs w:val="21"/>
                <w:u w:val="single"/>
              </w:rPr>
            </w:pPr>
            <w:r>
              <w:rPr>
                <w:rFonts w:ascii="Times New Roman" w:hAnsi="Times New Roman" w:hint="eastAsia"/>
                <w:color w:val="000000"/>
                <w:kern w:val="0"/>
                <w:sz w:val="21"/>
                <w:szCs w:val="21"/>
                <w:u w:val="single"/>
              </w:rPr>
              <w:t>/</w:t>
            </w:r>
          </w:p>
        </w:tc>
      </w:tr>
    </w:tbl>
    <w:bookmarkEnd w:id="109"/>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hint="eastAsia"/>
          <w:b/>
        </w:rPr>
        <w:t>周边水域</w:t>
      </w:r>
      <w:r>
        <w:rPr>
          <w:rFonts w:ascii="Times New Roman" w:eastAsia="宋体" w:hAnsi="Times New Roman"/>
          <w:b/>
        </w:rPr>
        <w:t>岸滩稳定性现状</w:t>
      </w:r>
    </w:p>
    <w:p w:rsidR="004B4777" w:rsidRDefault="004B4777">
      <w:pPr>
        <w:ind w:firstLine="480"/>
        <w:rPr>
          <w:rFonts w:ascii="Times New Roman" w:hAnsi="Times New Roman" w:hint="eastAsia"/>
        </w:rPr>
      </w:pPr>
      <w:r>
        <w:rPr>
          <w:rFonts w:ascii="Times New Roman" w:hAnsi="Times New Roman" w:hint="eastAsia"/>
        </w:rPr>
        <w:t>工程区中的易婆塘采区位于资水尾闾地区。资水自马迹塘以下属下游河道，桃江以下为尾闾地区，益阳以下进入洞庭湖平原地区。资水尾闾河道干支流总长</w:t>
      </w:r>
      <w:r>
        <w:rPr>
          <w:rFonts w:ascii="Times New Roman" w:hAnsi="Times New Roman" w:hint="eastAsia"/>
        </w:rPr>
        <w:lastRenderedPageBreak/>
        <w:t>约</w:t>
      </w:r>
      <w:r>
        <w:rPr>
          <w:rFonts w:ascii="Times New Roman" w:hAnsi="Times New Roman" w:hint="eastAsia"/>
        </w:rPr>
        <w:t>130km</w:t>
      </w:r>
      <w:r>
        <w:rPr>
          <w:rFonts w:ascii="Times New Roman" w:hAnsi="Times New Roman" w:hint="eastAsia"/>
        </w:rPr>
        <w:t>，其中桃江～益阳～沙头～杨柳潭为干流，长</w:t>
      </w:r>
      <w:r>
        <w:rPr>
          <w:rFonts w:ascii="Times New Roman" w:hAnsi="Times New Roman" w:hint="eastAsia"/>
        </w:rPr>
        <w:t>73km</w:t>
      </w:r>
      <w:r>
        <w:rPr>
          <w:rFonts w:ascii="Times New Roman" w:hAnsi="Times New Roman" w:hint="eastAsia"/>
        </w:rPr>
        <w:t>，西支甘溪港河长约</w:t>
      </w:r>
      <w:r>
        <w:rPr>
          <w:rFonts w:ascii="Times New Roman" w:hAnsi="Times New Roman" w:hint="eastAsia"/>
        </w:rPr>
        <w:t>22km</w:t>
      </w:r>
      <w:r>
        <w:rPr>
          <w:rFonts w:ascii="Times New Roman" w:hAnsi="Times New Roman" w:hint="eastAsia"/>
        </w:rPr>
        <w:t>，东支毛角口河长约</w:t>
      </w:r>
      <w:r>
        <w:rPr>
          <w:rFonts w:ascii="Times New Roman" w:hAnsi="Times New Roman" w:hint="eastAsia"/>
        </w:rPr>
        <w:t>36km</w:t>
      </w:r>
      <w:r>
        <w:rPr>
          <w:rFonts w:ascii="Times New Roman" w:hAnsi="Times New Roman" w:hint="eastAsia"/>
        </w:rPr>
        <w:t>。资水尾闾河道分流情况复杂，其泄洪能力既受南洞庭湖水位高低及湘、沅两水顶托的影响，又与尾闾地区防洪大堤的抗洪能力与防汛调度有关，所以在不同情况下通过的泄量不同。易婆塘采区所在河段河道宽</w:t>
      </w:r>
      <w:r>
        <w:rPr>
          <w:rFonts w:ascii="Times New Roman" w:hAnsi="Times New Roman" w:hint="eastAsia"/>
        </w:rPr>
        <w:t>550-1000m</w:t>
      </w:r>
      <w:r>
        <w:rPr>
          <w:rFonts w:ascii="Times New Roman" w:hAnsi="Times New Roman" w:hint="eastAsia"/>
        </w:rPr>
        <w:t>，河床高程为</w:t>
      </w:r>
      <w:r>
        <w:rPr>
          <w:rFonts w:ascii="Times New Roman" w:hAnsi="Times New Roman" w:hint="eastAsia"/>
        </w:rPr>
        <w:t>5.53-23.2m</w:t>
      </w:r>
      <w:r>
        <w:rPr>
          <w:rFonts w:ascii="Times New Roman" w:hAnsi="Times New Roman" w:hint="eastAsia"/>
        </w:rPr>
        <w:t>，深宏点高程</w:t>
      </w:r>
      <w:r>
        <w:rPr>
          <w:rFonts w:ascii="Times New Roman" w:hAnsi="Times New Roman" w:hint="eastAsia"/>
        </w:rPr>
        <w:t>55.3m</w:t>
      </w:r>
      <w:r>
        <w:rPr>
          <w:rFonts w:ascii="Times New Roman" w:hAnsi="Times New Roman" w:hint="eastAsia"/>
        </w:rPr>
        <w:t>，左岸为民主垸，堤顶高程为</w:t>
      </w:r>
      <w:r>
        <w:rPr>
          <w:rFonts w:ascii="Times New Roman" w:hAnsi="Times New Roman" w:hint="eastAsia"/>
        </w:rPr>
        <w:t>35.12-35.93m</w:t>
      </w:r>
      <w:r>
        <w:rPr>
          <w:rFonts w:ascii="Times New Roman" w:hAnsi="Times New Roman" w:hint="eastAsia"/>
        </w:rPr>
        <w:t>，堤顶宽度</w:t>
      </w:r>
      <w:r>
        <w:rPr>
          <w:rFonts w:ascii="Times New Roman" w:hAnsi="Times New Roman" w:hint="eastAsia"/>
        </w:rPr>
        <w:t>6.0-7.2m</w:t>
      </w:r>
      <w:r>
        <w:rPr>
          <w:rFonts w:ascii="Times New Roman" w:hAnsi="Times New Roman" w:hint="eastAsia"/>
        </w:rPr>
        <w:t>；右岸为湘滨南湖垸，堤顶高程为</w:t>
      </w:r>
      <w:r>
        <w:rPr>
          <w:rFonts w:ascii="Times New Roman" w:hAnsi="Times New Roman" w:hint="eastAsia"/>
        </w:rPr>
        <w:t>35.30-35.90m</w:t>
      </w:r>
      <w:r>
        <w:rPr>
          <w:rFonts w:ascii="Times New Roman" w:hAnsi="Times New Roman" w:hint="eastAsia"/>
        </w:rPr>
        <w:t>，堤顶宽度</w:t>
      </w:r>
      <w:r>
        <w:rPr>
          <w:rFonts w:ascii="Times New Roman" w:hAnsi="Times New Roman" w:hint="eastAsia"/>
        </w:rPr>
        <w:t>6.2-9.5m</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资水尾闾河道的来水来沙主要来自桃江以上。由沅水、澧水及长江汇入南洞庭湖的泥沙有时经甘溪港河进入沙头以上，但因其逆流量少，又是枯水时期，所进入的泥沙较少。</w:t>
      </w:r>
    </w:p>
    <w:p w:rsidR="004B4777" w:rsidRDefault="004B4777">
      <w:pPr>
        <w:ind w:firstLine="480"/>
        <w:rPr>
          <w:rFonts w:ascii="Times New Roman" w:hAnsi="Times New Roman" w:hint="eastAsia"/>
        </w:rPr>
      </w:pPr>
      <w:r>
        <w:rPr>
          <w:rFonts w:ascii="Times New Roman" w:hAnsi="Times New Roman" w:hint="eastAsia"/>
        </w:rPr>
        <w:t>工程区中的斗米咀采区位于湘水尾闾地区。湘水尾闾河道自禄口以下，干支流河道总长</w:t>
      </w:r>
      <w:r>
        <w:rPr>
          <w:rFonts w:ascii="Times New Roman" w:hAnsi="Times New Roman" w:hint="eastAsia"/>
        </w:rPr>
        <w:t>218.11km</w:t>
      </w:r>
      <w:r>
        <w:rPr>
          <w:rFonts w:ascii="Times New Roman" w:hAnsi="Times New Roman" w:hint="eastAsia"/>
        </w:rPr>
        <w:t>，其中禄口至濠河口长</w:t>
      </w:r>
      <w:r>
        <w:rPr>
          <w:rFonts w:ascii="Times New Roman" w:hAnsi="Times New Roman" w:hint="eastAsia"/>
        </w:rPr>
        <w:t>154.73km</w:t>
      </w:r>
      <w:r>
        <w:rPr>
          <w:rFonts w:ascii="Times New Roman" w:hAnsi="Times New Roman" w:hint="eastAsia"/>
        </w:rPr>
        <w:t>，东支（濠河口～营田）长</w:t>
      </w:r>
      <w:r>
        <w:rPr>
          <w:rFonts w:ascii="Times New Roman" w:hAnsi="Times New Roman" w:hint="eastAsia"/>
        </w:rPr>
        <w:t>32.38km</w:t>
      </w:r>
      <w:r>
        <w:rPr>
          <w:rFonts w:ascii="Times New Roman" w:hAnsi="Times New Roman" w:hint="eastAsia"/>
        </w:rPr>
        <w:t>，西支（濠河口～斗米咀）长</w:t>
      </w:r>
      <w:r>
        <w:rPr>
          <w:rFonts w:ascii="Times New Roman" w:hAnsi="Times New Roman" w:hint="eastAsia"/>
        </w:rPr>
        <w:t>31km</w:t>
      </w:r>
      <w:r>
        <w:rPr>
          <w:rFonts w:ascii="Times New Roman" w:hAnsi="Times New Roman" w:hint="eastAsia"/>
        </w:rPr>
        <w:t>。沿河两岸低矮区均建有防洪大堤。从河流地貌看，株洲至长沙</w:t>
      </w:r>
      <w:r>
        <w:rPr>
          <w:rFonts w:ascii="Times New Roman" w:hAnsi="Times New Roman" w:hint="eastAsia"/>
        </w:rPr>
        <w:t>94km</w:t>
      </w:r>
      <w:r>
        <w:rPr>
          <w:rFonts w:ascii="Times New Roman" w:hAnsi="Times New Roman" w:hint="eastAsia"/>
        </w:rPr>
        <w:t>属丘陵河流。河床多砂卵石组成，间有部分礁岩，河宽与流量沿程增大，河岸较固定，河床基本稳定，分汊河段江心洲无显著变化。长沙以下为平原河流，因四水与长江的洪水期各不相同，水流相互干扰顶托，形成壅水、滞流，水沙运动、河床演变十分复杂，部分河段洪枯水流向差别较大，局部淤积严重。斗米咀采区所在河段河道宽</w:t>
      </w:r>
      <w:r>
        <w:rPr>
          <w:rFonts w:ascii="Times New Roman" w:hAnsi="Times New Roman" w:hint="eastAsia"/>
        </w:rPr>
        <w:t>2500m</w:t>
      </w:r>
      <w:r>
        <w:rPr>
          <w:rFonts w:ascii="Times New Roman" w:hAnsi="Times New Roman" w:hint="eastAsia"/>
        </w:rPr>
        <w:t>左右，河床高程为</w:t>
      </w:r>
      <w:r>
        <w:rPr>
          <w:rFonts w:ascii="Times New Roman" w:hAnsi="Times New Roman" w:hint="eastAsia"/>
        </w:rPr>
        <w:t>-0.6-22.0m</w:t>
      </w:r>
      <w:r>
        <w:rPr>
          <w:rFonts w:ascii="Times New Roman" w:hAnsi="Times New Roman" w:hint="eastAsia"/>
        </w:rPr>
        <w:t>深宏点高程</w:t>
      </w:r>
      <w:r>
        <w:rPr>
          <w:rFonts w:ascii="Times New Roman" w:hAnsi="Times New Roman" w:hint="eastAsia"/>
        </w:rPr>
        <w:t>-0.6m</w:t>
      </w:r>
      <w:r>
        <w:rPr>
          <w:rFonts w:ascii="Times New Roman" w:hAnsi="Times New Roman" w:hint="eastAsia"/>
        </w:rPr>
        <w:t>，左岸为南洞庭湖，右岸为北湖垸和屈原垸，右岸堤顶高程为</w:t>
      </w:r>
      <w:r>
        <w:rPr>
          <w:rFonts w:ascii="Times New Roman" w:hAnsi="Times New Roman" w:hint="eastAsia"/>
        </w:rPr>
        <w:t>35.6-36.2m,</w:t>
      </w:r>
      <w:r>
        <w:rPr>
          <w:rFonts w:ascii="Times New Roman" w:hAnsi="Times New Roman" w:hint="eastAsia"/>
        </w:rPr>
        <w:t>堤顶宽度</w:t>
      </w:r>
      <w:r>
        <w:rPr>
          <w:rFonts w:ascii="Times New Roman" w:hAnsi="Times New Roman" w:hint="eastAsia"/>
        </w:rPr>
        <w:t>6.0-6.5m</w:t>
      </w:r>
      <w:r>
        <w:rPr>
          <w:rFonts w:ascii="Times New Roman" w:hAnsi="Times New Roman" w:hint="eastAsia"/>
        </w:rPr>
        <w:t>。</w:t>
      </w:r>
    </w:p>
    <w:p w:rsidR="004B4777" w:rsidRDefault="004B4777">
      <w:pPr>
        <w:ind w:firstLine="480"/>
        <w:rPr>
          <w:rFonts w:ascii="Times New Roman" w:hAnsi="Times New Roman"/>
        </w:rPr>
      </w:pPr>
      <w:r>
        <w:rPr>
          <w:rFonts w:ascii="Times New Roman" w:hAnsi="Times New Roman" w:hint="eastAsia"/>
        </w:rPr>
        <w:t>湘水虽属少沙河流，但由于株洲以下河段常受洞庭湖回水顶托，泥沙滞留，致使本河段泥沙淤积严重，影响了其泄洪能力，相同流量时水位在逐年抬高，水情日趋恶化。河道内泥沙淤积最为严重的河段为濠河口至湘阴河段。由于此段河道为“</w:t>
      </w:r>
      <w:r>
        <w:rPr>
          <w:rFonts w:ascii="Times New Roman" w:hAnsi="Times New Roman" w:hint="eastAsia"/>
        </w:rPr>
        <w:t>S</w:t>
      </w:r>
      <w:r>
        <w:rPr>
          <w:rFonts w:ascii="Times New Roman" w:hAnsi="Times New Roman" w:hint="eastAsia"/>
        </w:rPr>
        <w:t>”型，河势较平缓，加上一年中大部分时间受洞庭湖回水顶托，造成泥沙沉积。濠河口以上河道中洲滩纵横分布，泥沙沿洲滩淤积，如团鱼洲、柳顺洲等淤积相当严重，其中团鱼洲洲长与</w:t>
      </w:r>
      <w:r>
        <w:rPr>
          <w:rFonts w:ascii="Times New Roman" w:hAnsi="Times New Roman" w:hint="eastAsia"/>
        </w:rPr>
        <w:t>70</w:t>
      </w:r>
      <w:r>
        <w:rPr>
          <w:rFonts w:ascii="Times New Roman" w:hAnsi="Times New Roman" w:hint="eastAsia"/>
        </w:rPr>
        <w:t>年代相比已增数倍，洲滩延伸至河中，侵占了一半的河道，对行洪极为不利。其次航道部门为了航运的需要修筑了一系列丁坝，泥沙随之在此淤积。长</w:t>
      </w:r>
      <w:r>
        <w:rPr>
          <w:rFonts w:ascii="Times New Roman" w:hAnsi="Times New Roman" w:hint="eastAsia"/>
        </w:rPr>
        <w:t>100</w:t>
      </w:r>
      <w:r>
        <w:rPr>
          <w:rFonts w:ascii="Times New Roman" w:hAnsi="Times New Roman" w:hint="eastAsia"/>
        </w:rPr>
        <w:t>多</w:t>
      </w:r>
      <w:r>
        <w:rPr>
          <w:rFonts w:ascii="Times New Roman" w:hAnsi="Times New Roman" w:hint="eastAsia"/>
        </w:rPr>
        <w:t>m</w:t>
      </w:r>
      <w:r>
        <w:rPr>
          <w:rFonts w:ascii="Times New Roman" w:hAnsi="Times New Roman" w:hint="eastAsia"/>
        </w:rPr>
        <w:t>、高</w:t>
      </w:r>
      <w:r>
        <w:rPr>
          <w:rFonts w:ascii="Times New Roman" w:hAnsi="Times New Roman" w:hint="eastAsia"/>
        </w:rPr>
        <w:t>2</w:t>
      </w:r>
      <w:r>
        <w:rPr>
          <w:rFonts w:ascii="Times New Roman" w:hAnsi="Times New Roman" w:hint="eastAsia"/>
        </w:rPr>
        <w:t>～</w:t>
      </w:r>
      <w:r>
        <w:rPr>
          <w:rFonts w:ascii="Times New Roman" w:hAnsi="Times New Roman" w:hint="eastAsia"/>
        </w:rPr>
        <w:t>3m</w:t>
      </w:r>
      <w:r>
        <w:rPr>
          <w:rFonts w:ascii="Times New Roman" w:hAnsi="Times New Roman" w:hint="eastAsia"/>
        </w:rPr>
        <w:t>的丁坝只需几年时间就被泥沙所淤平。而位于长沙市区的橘子洲、月亮岛等江中洲的左支由于泥沙淤积，</w:t>
      </w:r>
      <w:r>
        <w:rPr>
          <w:rFonts w:ascii="Times New Roman" w:hAnsi="Times New Roman" w:hint="eastAsia"/>
        </w:rPr>
        <w:lastRenderedPageBreak/>
        <w:t>现每年均出现断流现象。所有这些都使得本河段泄洪能力降低，洪水宣泄不畅。</w:t>
      </w:r>
    </w:p>
    <w:p w:rsidR="004B4777" w:rsidRDefault="004B4777">
      <w:pPr>
        <w:pStyle w:val="3"/>
        <w:spacing w:before="0" w:after="0"/>
        <w:rPr>
          <w:rFonts w:ascii="Times New Roman" w:eastAsia="宋体" w:hAnsi="Times New Roman" w:hint="eastAsia"/>
          <w:b/>
        </w:rPr>
      </w:pPr>
      <w:bookmarkStart w:id="110" w:name="_Hlk481693263"/>
      <w:r>
        <w:rPr>
          <w:rFonts w:ascii="Times New Roman" w:eastAsia="宋体" w:hAnsi="Times New Roman"/>
          <w:b/>
        </w:rPr>
        <w:t>3.</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hint="eastAsia"/>
          <w:b/>
        </w:rPr>
        <w:t>河砂来源</w:t>
      </w:r>
    </w:p>
    <w:bookmarkEnd w:id="110"/>
    <w:p w:rsidR="004B4777" w:rsidRDefault="004B4777">
      <w:pPr>
        <w:ind w:firstLine="480"/>
        <w:rPr>
          <w:rFonts w:ascii="Times New Roman" w:hAnsi="Times New Roman" w:hint="eastAsia"/>
        </w:rPr>
      </w:pPr>
      <w:r>
        <w:rPr>
          <w:rFonts w:ascii="Times New Roman" w:hAnsi="Times New Roman" w:hint="eastAsia"/>
        </w:rPr>
        <w:t>洞庭湖泥沙主要来源于湘、资、沅、澧四水和长江松滋口、太平口、藕池口三口，根据湘、资、沅、澧四水控制站</w:t>
      </w:r>
      <w:r>
        <w:rPr>
          <w:rFonts w:ascii="Times New Roman" w:hAnsi="Times New Roman" w:hint="eastAsia"/>
        </w:rPr>
        <w:t>1956</w:t>
      </w:r>
      <w:r>
        <w:rPr>
          <w:rFonts w:ascii="Times New Roman" w:hAnsi="Times New Roman" w:hint="eastAsia"/>
        </w:rPr>
        <w:t>～</w:t>
      </w:r>
      <w:r>
        <w:rPr>
          <w:rFonts w:ascii="Times New Roman" w:hAnsi="Times New Roman" w:hint="eastAsia"/>
        </w:rPr>
        <w:t>2008</w:t>
      </w:r>
      <w:r>
        <w:rPr>
          <w:rFonts w:ascii="Times New Roman" w:hAnsi="Times New Roman" w:hint="eastAsia"/>
        </w:rPr>
        <w:t>年实测泥沙资料统计，湘、资、沅、澧四水多年平均输沙量分别为</w:t>
      </w:r>
      <w:r>
        <w:rPr>
          <w:rFonts w:ascii="Times New Roman" w:hAnsi="Times New Roman" w:hint="eastAsia"/>
        </w:rPr>
        <w:t>0.0925</w:t>
      </w:r>
      <w:r>
        <w:rPr>
          <w:rFonts w:ascii="Times New Roman" w:hAnsi="Times New Roman" w:hint="eastAsia"/>
        </w:rPr>
        <w:t>、</w:t>
      </w:r>
      <w:r>
        <w:rPr>
          <w:rFonts w:ascii="Times New Roman" w:hAnsi="Times New Roman" w:hint="eastAsia"/>
        </w:rPr>
        <w:t>0.0175</w:t>
      </w:r>
      <w:r>
        <w:rPr>
          <w:rFonts w:ascii="Times New Roman" w:hAnsi="Times New Roman" w:hint="eastAsia"/>
        </w:rPr>
        <w:t>、</w:t>
      </w:r>
      <w:r>
        <w:rPr>
          <w:rFonts w:ascii="Times New Roman" w:hAnsi="Times New Roman" w:hint="eastAsia"/>
        </w:rPr>
        <w:t>0.0979</w:t>
      </w:r>
      <w:r>
        <w:rPr>
          <w:rFonts w:ascii="Times New Roman" w:hAnsi="Times New Roman" w:hint="eastAsia"/>
        </w:rPr>
        <w:t>、</w:t>
      </w:r>
      <w:r>
        <w:rPr>
          <w:rFonts w:ascii="Times New Roman" w:hAnsi="Times New Roman" w:hint="eastAsia"/>
        </w:rPr>
        <w:t>0.054y</w:t>
      </w:r>
      <w:r>
        <w:rPr>
          <w:rFonts w:ascii="Times New Roman" w:hAnsi="Times New Roman" w:hint="eastAsia"/>
        </w:rPr>
        <w:t>亿</w:t>
      </w:r>
      <w:r>
        <w:rPr>
          <w:rFonts w:ascii="Times New Roman" w:hAnsi="Times New Roman" w:hint="eastAsia"/>
        </w:rPr>
        <w:t>t</w:t>
      </w:r>
      <w:r>
        <w:rPr>
          <w:rFonts w:ascii="Times New Roman" w:hAnsi="Times New Roman" w:hint="eastAsia"/>
        </w:rPr>
        <w:t>，以沅江输沙量为最大。四水来沙主要集中在</w:t>
      </w:r>
      <w:r>
        <w:rPr>
          <w:rFonts w:ascii="Times New Roman" w:hAnsi="Times New Roman" w:hint="eastAsia"/>
        </w:rPr>
        <w:t>4</w:t>
      </w:r>
      <w:r>
        <w:rPr>
          <w:rFonts w:ascii="Times New Roman" w:hAnsi="Times New Roman" w:hint="eastAsia"/>
        </w:rPr>
        <w:t>～</w:t>
      </w:r>
      <w:r>
        <w:rPr>
          <w:rFonts w:ascii="Times New Roman" w:hAnsi="Times New Roman" w:hint="eastAsia"/>
        </w:rPr>
        <w:t>8</w:t>
      </w:r>
      <w:r>
        <w:rPr>
          <w:rFonts w:ascii="Times New Roman" w:hAnsi="Times New Roman" w:hint="eastAsia"/>
        </w:rPr>
        <w:t>月，输沙量占全年的</w:t>
      </w:r>
      <w:r>
        <w:rPr>
          <w:rFonts w:ascii="Times New Roman" w:hAnsi="Times New Roman" w:hint="eastAsia"/>
        </w:rPr>
        <w:t>88.6%</w:t>
      </w:r>
      <w:r>
        <w:rPr>
          <w:rFonts w:ascii="Times New Roman" w:hAnsi="Times New Roman" w:hint="eastAsia"/>
        </w:rPr>
        <w:t>。根据松滋口、太平口、藕池口三口控制站</w:t>
      </w:r>
      <w:r>
        <w:rPr>
          <w:rFonts w:ascii="Times New Roman" w:hAnsi="Times New Roman" w:hint="eastAsia"/>
        </w:rPr>
        <w:t>1955</w:t>
      </w:r>
      <w:r>
        <w:rPr>
          <w:rFonts w:ascii="Times New Roman" w:hAnsi="Times New Roman" w:hint="eastAsia"/>
        </w:rPr>
        <w:t>～</w:t>
      </w:r>
      <w:r>
        <w:rPr>
          <w:rFonts w:ascii="Times New Roman" w:hAnsi="Times New Roman" w:hint="eastAsia"/>
        </w:rPr>
        <w:t>2008</w:t>
      </w:r>
      <w:r>
        <w:rPr>
          <w:rFonts w:ascii="Times New Roman" w:hAnsi="Times New Roman" w:hint="eastAsia"/>
        </w:rPr>
        <w:t>年实测泥沙资料统计，松滋口、太平口、藕池口三口多年平均输沙量分别为</w:t>
      </w:r>
      <w:r>
        <w:rPr>
          <w:rFonts w:ascii="Times New Roman" w:hAnsi="Times New Roman" w:hint="eastAsia"/>
        </w:rPr>
        <w:t>0.4213</w:t>
      </w:r>
      <w:r>
        <w:rPr>
          <w:rFonts w:ascii="Times New Roman" w:hAnsi="Times New Roman" w:hint="eastAsia"/>
        </w:rPr>
        <w:t>、</w:t>
      </w:r>
      <w:r>
        <w:rPr>
          <w:rFonts w:ascii="Times New Roman" w:hAnsi="Times New Roman" w:hint="eastAsia"/>
        </w:rPr>
        <w:t>0.17</w:t>
      </w:r>
      <w:r>
        <w:rPr>
          <w:rFonts w:ascii="Times New Roman" w:hAnsi="Times New Roman" w:hint="eastAsia"/>
        </w:rPr>
        <w:t>、</w:t>
      </w:r>
      <w:r>
        <w:rPr>
          <w:rFonts w:ascii="Times New Roman" w:hAnsi="Times New Roman" w:hint="eastAsia"/>
        </w:rPr>
        <w:t>0.4867</w:t>
      </w:r>
      <w:r>
        <w:rPr>
          <w:rFonts w:ascii="Times New Roman" w:hAnsi="Times New Roman" w:hint="eastAsia"/>
        </w:rPr>
        <w:t>亿</w:t>
      </w:r>
      <w:r>
        <w:rPr>
          <w:rFonts w:ascii="Times New Roman" w:hAnsi="Times New Roman" w:hint="eastAsia"/>
        </w:rPr>
        <w:t>t</w:t>
      </w:r>
      <w:r>
        <w:rPr>
          <w:rFonts w:ascii="Times New Roman" w:hAnsi="Times New Roman" w:hint="eastAsia"/>
        </w:rPr>
        <w:t>，三口以藕池口输沙量最大。四水和三口多年平均总输沙量为</w:t>
      </w:r>
      <w:r>
        <w:rPr>
          <w:rFonts w:ascii="Times New Roman" w:hAnsi="Times New Roman" w:hint="eastAsia"/>
        </w:rPr>
        <w:t>1.34</w:t>
      </w:r>
      <w:r>
        <w:rPr>
          <w:rFonts w:ascii="Times New Roman" w:hAnsi="Times New Roman" w:hint="eastAsia"/>
        </w:rPr>
        <w:t>亿</w:t>
      </w:r>
      <w:r>
        <w:rPr>
          <w:rFonts w:ascii="Times New Roman" w:hAnsi="Times New Roman" w:hint="eastAsia"/>
        </w:rPr>
        <w:t>t</w:t>
      </w:r>
      <w:r>
        <w:rPr>
          <w:rFonts w:ascii="Times New Roman" w:hAnsi="Times New Roman" w:hint="eastAsia"/>
        </w:rPr>
        <w:t>，其中四水多年平均总输沙量为</w:t>
      </w:r>
      <w:r>
        <w:rPr>
          <w:rFonts w:ascii="Times New Roman" w:hAnsi="Times New Roman" w:hint="eastAsia"/>
        </w:rPr>
        <w:t>0.26</w:t>
      </w:r>
      <w:r>
        <w:rPr>
          <w:rFonts w:ascii="Times New Roman" w:hAnsi="Times New Roman" w:hint="eastAsia"/>
        </w:rPr>
        <w:t>亿</w:t>
      </w:r>
      <w:r>
        <w:rPr>
          <w:rFonts w:ascii="Times New Roman" w:hAnsi="Times New Roman" w:hint="eastAsia"/>
        </w:rPr>
        <w:t>t</w:t>
      </w:r>
      <w:r>
        <w:rPr>
          <w:rFonts w:ascii="Times New Roman" w:hAnsi="Times New Roman" w:hint="eastAsia"/>
        </w:rPr>
        <w:t>，占</w:t>
      </w:r>
      <w:r>
        <w:rPr>
          <w:rFonts w:ascii="Times New Roman" w:hAnsi="Times New Roman" w:hint="eastAsia"/>
        </w:rPr>
        <w:t>19.5%</w:t>
      </w:r>
      <w:r>
        <w:rPr>
          <w:rFonts w:ascii="Times New Roman" w:hAnsi="Times New Roman" w:hint="eastAsia"/>
        </w:rPr>
        <w:t>，三口多年平均输沙量为</w:t>
      </w:r>
      <w:r>
        <w:rPr>
          <w:rFonts w:ascii="Times New Roman" w:hAnsi="Times New Roman" w:hint="eastAsia"/>
        </w:rPr>
        <w:t>1.08</w:t>
      </w:r>
      <w:r>
        <w:rPr>
          <w:rFonts w:ascii="Times New Roman" w:hAnsi="Times New Roman" w:hint="eastAsia"/>
        </w:rPr>
        <w:t>亿</w:t>
      </w:r>
      <w:r>
        <w:rPr>
          <w:rFonts w:ascii="Times New Roman" w:hAnsi="Times New Roman" w:hint="eastAsia"/>
        </w:rPr>
        <w:t>t</w:t>
      </w:r>
      <w:r>
        <w:rPr>
          <w:rFonts w:ascii="Times New Roman" w:hAnsi="Times New Roman" w:hint="eastAsia"/>
        </w:rPr>
        <w:t>，占</w:t>
      </w:r>
      <w:r>
        <w:rPr>
          <w:rFonts w:ascii="Times New Roman" w:hAnsi="Times New Roman" w:hint="eastAsia"/>
        </w:rPr>
        <w:t>80.5%</w:t>
      </w:r>
      <w:r>
        <w:rPr>
          <w:rFonts w:ascii="Times New Roman" w:hAnsi="Times New Roman" w:hint="eastAsia"/>
        </w:rPr>
        <w:t>。图</w:t>
      </w:r>
      <w:r>
        <w:rPr>
          <w:rFonts w:ascii="Times New Roman" w:hAnsi="Times New Roman" w:hint="eastAsia"/>
        </w:rPr>
        <w:t>3.3-3</w:t>
      </w:r>
      <w:r>
        <w:rPr>
          <w:rFonts w:ascii="Times New Roman" w:hAnsi="Times New Roman" w:hint="eastAsia"/>
        </w:rPr>
        <w:t>为洞庭湖历年输沙变化过程，可以看出，三口输沙量呈逐渐减少趋势。三峡工程蓄水运用前，三口多年平均（</w:t>
      </w:r>
      <w:r>
        <w:rPr>
          <w:rFonts w:ascii="Times New Roman" w:hAnsi="Times New Roman" w:hint="eastAsia"/>
        </w:rPr>
        <w:t>1955</w:t>
      </w:r>
      <w:r>
        <w:rPr>
          <w:rFonts w:ascii="Times New Roman" w:hAnsi="Times New Roman" w:hint="eastAsia"/>
        </w:rPr>
        <w:t>～</w:t>
      </w:r>
      <w:r>
        <w:rPr>
          <w:rFonts w:ascii="Times New Roman" w:hAnsi="Times New Roman" w:hint="eastAsia"/>
        </w:rPr>
        <w:t>2002</w:t>
      </w:r>
      <w:r>
        <w:rPr>
          <w:rFonts w:ascii="Times New Roman" w:hAnsi="Times New Roman" w:hint="eastAsia"/>
        </w:rPr>
        <w:t>年）输沙量为</w:t>
      </w:r>
      <w:r>
        <w:rPr>
          <w:rFonts w:ascii="Times New Roman" w:hAnsi="Times New Roman" w:hint="eastAsia"/>
        </w:rPr>
        <w:t>1.2</w:t>
      </w:r>
      <w:r>
        <w:rPr>
          <w:rFonts w:ascii="Times New Roman" w:hAnsi="Times New Roman" w:hint="eastAsia"/>
        </w:rPr>
        <w:t>亿</w:t>
      </w:r>
      <w:r>
        <w:rPr>
          <w:rFonts w:ascii="Times New Roman" w:hAnsi="Times New Roman" w:hint="eastAsia"/>
        </w:rPr>
        <w:t>t</w:t>
      </w:r>
      <w:r>
        <w:rPr>
          <w:rFonts w:ascii="Times New Roman" w:hAnsi="Times New Roman" w:hint="eastAsia"/>
        </w:rPr>
        <w:t>，而三峡工程蓄水运用后，</w:t>
      </w:r>
      <w:r>
        <w:rPr>
          <w:rFonts w:ascii="Times New Roman" w:hAnsi="Times New Roman" w:hint="eastAsia"/>
        </w:rPr>
        <w:t>2003-2008</w:t>
      </w:r>
      <w:r>
        <w:rPr>
          <w:rFonts w:ascii="Times New Roman" w:hAnsi="Times New Roman" w:hint="eastAsia"/>
        </w:rPr>
        <w:t>年三口多年平均输沙量仅为</w:t>
      </w:r>
      <w:r>
        <w:rPr>
          <w:rFonts w:ascii="Times New Roman" w:hAnsi="Times New Roman" w:hint="eastAsia"/>
        </w:rPr>
        <w:t>0.1352</w:t>
      </w:r>
      <w:r>
        <w:rPr>
          <w:rFonts w:ascii="Times New Roman" w:hAnsi="Times New Roman" w:hint="eastAsia"/>
        </w:rPr>
        <w:t>亿</w:t>
      </w:r>
      <w:r>
        <w:rPr>
          <w:rFonts w:ascii="Times New Roman" w:hAnsi="Times New Roman" w:hint="eastAsia"/>
        </w:rPr>
        <w:t>t</w:t>
      </w:r>
      <w:r>
        <w:rPr>
          <w:rFonts w:ascii="Times New Roman" w:hAnsi="Times New Roman" w:hint="eastAsia"/>
        </w:rPr>
        <w:t>。根据洞庭湖出口控制站城陵矶（七里山）站泥沙资料统计，多年平均输沙量</w:t>
      </w:r>
      <w:r>
        <w:rPr>
          <w:rFonts w:ascii="Times New Roman" w:hAnsi="Times New Roman" w:hint="eastAsia"/>
        </w:rPr>
        <w:t>0.368</w:t>
      </w:r>
      <w:r>
        <w:rPr>
          <w:rFonts w:ascii="Times New Roman" w:hAnsi="Times New Roman" w:hint="eastAsia"/>
        </w:rPr>
        <w:t>亿</w:t>
      </w:r>
      <w:r>
        <w:rPr>
          <w:rFonts w:ascii="Times New Roman" w:hAnsi="Times New Roman" w:hint="eastAsia"/>
        </w:rPr>
        <w:t>t</w:t>
      </w:r>
      <w:r>
        <w:rPr>
          <w:rFonts w:ascii="Times New Roman" w:hAnsi="Times New Roman" w:hint="eastAsia"/>
        </w:rPr>
        <w:t>，</w:t>
      </w:r>
      <w:r>
        <w:rPr>
          <w:rFonts w:ascii="Times New Roman" w:hAnsi="Times New Roman" w:hint="eastAsia"/>
        </w:rPr>
        <w:t>4</w:t>
      </w:r>
      <w:r>
        <w:rPr>
          <w:rFonts w:ascii="Times New Roman" w:hAnsi="Times New Roman" w:hint="eastAsia"/>
        </w:rPr>
        <w:t>月份输沙量占全年比例最大。</w:t>
      </w:r>
    </w:p>
    <w:p w:rsidR="004B4777" w:rsidRDefault="004B4777">
      <w:pPr>
        <w:ind w:firstLine="480"/>
        <w:rPr>
          <w:rFonts w:ascii="Times New Roman" w:hAnsi="Times New Roman" w:hint="eastAsia"/>
        </w:rPr>
      </w:pPr>
      <w:r>
        <w:rPr>
          <w:rFonts w:ascii="Times New Roman" w:hAnsi="Times New Roman" w:hint="eastAsia"/>
        </w:rPr>
        <w:t>通过入湖和出湖泥沙量对比可知，洞庭湖多年平均泥沙淤积量约</w:t>
      </w:r>
      <w:r>
        <w:rPr>
          <w:rFonts w:ascii="Times New Roman" w:hAnsi="Times New Roman" w:hint="eastAsia"/>
        </w:rPr>
        <w:t>1</w:t>
      </w:r>
      <w:r>
        <w:rPr>
          <w:rFonts w:ascii="Times New Roman" w:hAnsi="Times New Roman" w:hint="eastAsia"/>
        </w:rPr>
        <w:t>亿</w:t>
      </w:r>
      <w:r>
        <w:rPr>
          <w:rFonts w:ascii="Times New Roman" w:hAnsi="Times New Roman" w:hint="eastAsia"/>
        </w:rPr>
        <w:t>t</w:t>
      </w:r>
      <w:r>
        <w:rPr>
          <w:rFonts w:ascii="Times New Roman" w:hAnsi="Times New Roman" w:hint="eastAsia"/>
        </w:rPr>
        <w:t>。从图</w:t>
      </w:r>
      <w:r>
        <w:rPr>
          <w:rFonts w:ascii="Times New Roman" w:hAnsi="Times New Roman" w:hint="eastAsia"/>
        </w:rPr>
        <w:t>3.3-3</w:t>
      </w:r>
      <w:r>
        <w:rPr>
          <w:rFonts w:ascii="Times New Roman" w:hAnsi="Times New Roman" w:hint="eastAsia"/>
        </w:rPr>
        <w:t>中可以看出，洞庭湖入湖泥沙在逐渐减少，泥沙淤积也在逐渐减少。入湖泥沙减少主要是三口输沙量减少。而三口输沙减少的主要原因是荆江裁弯、葛洲坝和三峡水库蓄水以及上游水土保持等因素影响。从图中看，三口泥沙减少规律很明显，</w:t>
      </w:r>
      <w:r>
        <w:rPr>
          <w:rFonts w:ascii="Times New Roman" w:hAnsi="Times New Roman" w:hint="eastAsia"/>
        </w:rPr>
        <w:t>1970</w:t>
      </w:r>
      <w:r>
        <w:rPr>
          <w:rFonts w:ascii="Times New Roman" w:hAnsi="Times New Roman" w:hint="eastAsia"/>
        </w:rPr>
        <w:t>～</w:t>
      </w:r>
      <w:r>
        <w:rPr>
          <w:rFonts w:ascii="Times New Roman" w:hAnsi="Times New Roman" w:hint="eastAsia"/>
        </w:rPr>
        <w:t>1980</w:t>
      </w:r>
      <w:r>
        <w:rPr>
          <w:rFonts w:ascii="Times New Roman" w:hAnsi="Times New Roman" w:hint="eastAsia"/>
        </w:rPr>
        <w:t>年代受裁弯影响，</w:t>
      </w:r>
      <w:r>
        <w:rPr>
          <w:rFonts w:ascii="Times New Roman" w:hAnsi="Times New Roman" w:hint="eastAsia"/>
        </w:rPr>
        <w:t>1980</w:t>
      </w:r>
      <w:r>
        <w:rPr>
          <w:rFonts w:ascii="Times New Roman" w:hAnsi="Times New Roman" w:hint="eastAsia"/>
        </w:rPr>
        <w:t>～</w:t>
      </w:r>
      <w:r>
        <w:rPr>
          <w:rFonts w:ascii="Times New Roman" w:hAnsi="Times New Roman" w:hint="eastAsia"/>
        </w:rPr>
        <w:t>1990</w:t>
      </w:r>
      <w:r>
        <w:rPr>
          <w:rFonts w:ascii="Times New Roman" w:hAnsi="Times New Roman" w:hint="eastAsia"/>
        </w:rPr>
        <w:t>年代除上述影响外，增加了葛洲坝蓄水的影响，</w:t>
      </w:r>
      <w:r>
        <w:rPr>
          <w:rFonts w:ascii="Times New Roman" w:hAnsi="Times New Roman" w:hint="eastAsia"/>
        </w:rPr>
        <w:t>2003</w:t>
      </w:r>
      <w:r>
        <w:rPr>
          <w:rFonts w:ascii="Times New Roman" w:hAnsi="Times New Roman" w:hint="eastAsia"/>
        </w:rPr>
        <w:t>年以后又增加了三峡蓄水影响。</w:t>
      </w:r>
    </w:p>
    <w:p w:rsidR="004B4777" w:rsidRDefault="001F6CA0">
      <w:pPr>
        <w:pStyle w:val="afff0"/>
        <w:snapToGrid w:val="0"/>
        <w:spacing w:line="360" w:lineRule="auto"/>
        <w:rPr>
          <w:rFonts w:ascii="Times New Roman" w:eastAsia="宋体" w:hint="eastAsia"/>
          <w:snapToGrid w:val="0"/>
          <w:kern w:val="2"/>
          <w:szCs w:val="24"/>
        </w:rPr>
      </w:pPr>
      <w:r>
        <w:rPr>
          <w:rFonts w:ascii="Times New Roman" w:eastAsia="宋体"/>
          <w:noProof/>
          <w:kern w:val="2"/>
          <w:szCs w:val="24"/>
        </w:rPr>
        <w:lastRenderedPageBreak/>
        <w:drawing>
          <wp:inline distT="0" distB="0" distL="0" distR="0">
            <wp:extent cx="5143500" cy="3343275"/>
            <wp:effectExtent l="0" t="0" r="0" b="0"/>
            <wp:docPr id="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1"/>
                    <a:srcRect/>
                    <a:stretch>
                      <a:fillRect/>
                    </a:stretch>
                  </pic:blipFill>
                  <pic:spPr bwMode="auto">
                    <a:xfrm>
                      <a:off x="0" y="0"/>
                      <a:ext cx="5143500" cy="3343275"/>
                    </a:xfrm>
                    <a:prstGeom prst="rect">
                      <a:avLst/>
                    </a:prstGeom>
                    <a:noFill/>
                    <a:ln w="9525">
                      <a:noFill/>
                      <a:miter lim="800000"/>
                      <a:headEnd/>
                      <a:tailEnd/>
                    </a:ln>
                  </pic:spPr>
                </pic:pic>
              </a:graphicData>
            </a:graphic>
          </wp:inline>
        </w:drawing>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t>图</w:t>
      </w:r>
      <w:r>
        <w:rPr>
          <w:rFonts w:ascii="Times New Roman" w:hAnsi="Times New Roman" w:hint="eastAsia"/>
          <w:b/>
          <w:kern w:val="0"/>
          <w:szCs w:val="24"/>
          <w:lang w:val="en-US" w:eastAsia="zh-CN"/>
        </w:rPr>
        <w:t xml:space="preserve">3.3-3  </w:t>
      </w:r>
      <w:r>
        <w:rPr>
          <w:rFonts w:ascii="Times New Roman" w:hAnsi="Times New Roman" w:hint="eastAsia"/>
          <w:b/>
          <w:kern w:val="0"/>
          <w:szCs w:val="24"/>
          <w:lang w:val="en-US" w:eastAsia="zh-CN"/>
        </w:rPr>
        <w:t>洞庭湖历年出、入湖输沙量</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5</w:t>
      </w:r>
      <w:r>
        <w:rPr>
          <w:rFonts w:ascii="Times New Roman" w:eastAsia="宋体" w:hAnsi="Times New Roman"/>
          <w:b/>
        </w:rPr>
        <w:t xml:space="preserve"> </w:t>
      </w:r>
      <w:r>
        <w:rPr>
          <w:rFonts w:ascii="Times New Roman" w:eastAsia="宋体" w:hAnsi="Times New Roman" w:hint="eastAsia"/>
          <w:b/>
        </w:rPr>
        <w:t>河砂品位及</w:t>
      </w:r>
      <w:r>
        <w:rPr>
          <w:rFonts w:ascii="Times New Roman" w:eastAsia="宋体" w:hAnsi="Times New Roman"/>
          <w:b/>
        </w:rPr>
        <w:t>储量分析</w:t>
      </w:r>
    </w:p>
    <w:p w:rsidR="004B4777" w:rsidRDefault="004B4777">
      <w:pPr>
        <w:ind w:firstLine="480"/>
        <w:rPr>
          <w:rFonts w:ascii="Times New Roman" w:hAnsi="Times New Roman" w:hint="eastAsia"/>
        </w:rPr>
      </w:pPr>
      <w:r>
        <w:rPr>
          <w:rFonts w:ascii="Times New Roman" w:hAnsi="Times New Roman" w:hint="eastAsia"/>
        </w:rPr>
        <w:t>根据《湖南省湘阴县</w:t>
      </w:r>
      <w:r>
        <w:rPr>
          <w:rFonts w:ascii="Times New Roman" w:hAnsi="Times New Roman" w:hint="eastAsia"/>
        </w:rPr>
        <w:t>4</w:t>
      </w:r>
      <w:r>
        <w:rPr>
          <w:rFonts w:ascii="Times New Roman" w:hAnsi="Times New Roman" w:hint="eastAsia"/>
        </w:rPr>
        <w:t>个采区建筑用砂卵石资源地质调查评价报告》，易婆塘采区资源储量（</w:t>
      </w:r>
      <w:r>
        <w:rPr>
          <w:rFonts w:ascii="Times New Roman" w:hAnsi="Times New Roman" w:hint="eastAsia"/>
        </w:rPr>
        <w:t>122b</w:t>
      </w:r>
      <w:r>
        <w:rPr>
          <w:rFonts w:ascii="Times New Roman" w:hAnsi="Times New Roman" w:hint="eastAsia"/>
        </w:rPr>
        <w:t>）</w:t>
      </w:r>
      <w:r>
        <w:rPr>
          <w:rFonts w:ascii="Times New Roman" w:hAnsi="Times New Roman" w:hint="eastAsia"/>
        </w:rPr>
        <w:t xml:space="preserve">13131.7 </w:t>
      </w:r>
      <w:r>
        <w:rPr>
          <w:rFonts w:ascii="Times New Roman" w:hAnsi="Times New Roman" w:hint="eastAsia"/>
        </w:rPr>
        <w:t>万吨，其中一矿层资源储量</w:t>
      </w:r>
      <w:r>
        <w:rPr>
          <w:rFonts w:ascii="Times New Roman" w:hAnsi="Times New Roman" w:hint="eastAsia"/>
        </w:rPr>
        <w:t xml:space="preserve"> 1652.96 </w:t>
      </w:r>
      <w:r>
        <w:rPr>
          <w:rFonts w:ascii="Times New Roman" w:hAnsi="Times New Roman" w:hint="eastAsia"/>
        </w:rPr>
        <w:t>万吨，二矿层资源储量</w:t>
      </w:r>
      <w:r>
        <w:rPr>
          <w:rFonts w:ascii="Times New Roman" w:hAnsi="Times New Roman" w:hint="eastAsia"/>
        </w:rPr>
        <w:t xml:space="preserve">816.05 </w:t>
      </w:r>
      <w:r>
        <w:rPr>
          <w:rFonts w:ascii="Times New Roman" w:hAnsi="Times New Roman" w:hint="eastAsia"/>
        </w:rPr>
        <w:t>万吨，三矿层资源储量</w:t>
      </w:r>
      <w:r>
        <w:rPr>
          <w:rFonts w:ascii="Times New Roman" w:hAnsi="Times New Roman" w:hint="eastAsia"/>
        </w:rPr>
        <w:t xml:space="preserve"> 10662.69</w:t>
      </w:r>
      <w:r>
        <w:rPr>
          <w:rFonts w:ascii="Times New Roman" w:hAnsi="Times New Roman" w:hint="eastAsia"/>
        </w:rPr>
        <w:t>万吨，预可采矿石量为</w:t>
      </w:r>
      <w:r>
        <w:rPr>
          <w:rFonts w:ascii="Times New Roman" w:hAnsi="Times New Roman" w:hint="eastAsia"/>
        </w:rPr>
        <w:t>13131.7 *0.9</w:t>
      </w:r>
      <w:r>
        <w:rPr>
          <w:rFonts w:ascii="Times New Roman" w:hAnsi="Times New Roman" w:hint="eastAsia"/>
        </w:rPr>
        <w:t>万吨，规模为大型，年度控制开采量</w:t>
      </w:r>
      <w:r>
        <w:rPr>
          <w:rFonts w:ascii="Times New Roman" w:hAnsi="Times New Roman" w:hint="eastAsia"/>
        </w:rPr>
        <w:t>1170</w:t>
      </w:r>
      <w:r>
        <w:rPr>
          <w:rFonts w:ascii="Times New Roman" w:hAnsi="Times New Roman" w:hint="eastAsia"/>
        </w:rPr>
        <w:t>万吨；斗米咀采区资源储量（</w:t>
      </w:r>
      <w:r>
        <w:rPr>
          <w:rFonts w:ascii="Times New Roman" w:hAnsi="Times New Roman" w:hint="eastAsia"/>
        </w:rPr>
        <w:t>122b</w:t>
      </w:r>
      <w:r>
        <w:rPr>
          <w:rFonts w:ascii="Times New Roman" w:hAnsi="Times New Roman" w:hint="eastAsia"/>
        </w:rPr>
        <w:t>）</w:t>
      </w:r>
      <w:r>
        <w:rPr>
          <w:rFonts w:ascii="Times New Roman" w:hAnsi="Times New Roman" w:hint="eastAsia"/>
        </w:rPr>
        <w:t>2383.03</w:t>
      </w:r>
      <w:r>
        <w:rPr>
          <w:rFonts w:ascii="Times New Roman" w:hAnsi="Times New Roman" w:hint="eastAsia"/>
        </w:rPr>
        <w:t>万吨，其中一矿层资源储量</w:t>
      </w:r>
      <w:r>
        <w:rPr>
          <w:rFonts w:ascii="Times New Roman" w:hAnsi="Times New Roman" w:hint="eastAsia"/>
        </w:rPr>
        <w:t>511.58</w:t>
      </w:r>
      <w:r>
        <w:rPr>
          <w:rFonts w:ascii="Times New Roman" w:hAnsi="Times New Roman" w:hint="eastAsia"/>
        </w:rPr>
        <w:t>万吨，二矿层资源储量</w:t>
      </w:r>
      <w:r>
        <w:rPr>
          <w:rFonts w:ascii="Times New Roman" w:hAnsi="Times New Roman" w:hint="eastAsia"/>
        </w:rPr>
        <w:t>347.34</w:t>
      </w:r>
      <w:r>
        <w:rPr>
          <w:rFonts w:ascii="Times New Roman" w:hAnsi="Times New Roman" w:hint="eastAsia"/>
        </w:rPr>
        <w:t>万吨，三矿层资源储量</w:t>
      </w:r>
      <w:r>
        <w:rPr>
          <w:rFonts w:ascii="Times New Roman" w:hAnsi="Times New Roman" w:hint="eastAsia"/>
        </w:rPr>
        <w:t>1524.11</w:t>
      </w:r>
      <w:r>
        <w:rPr>
          <w:rFonts w:ascii="Times New Roman" w:hAnsi="Times New Roman" w:hint="eastAsia"/>
        </w:rPr>
        <w:t>万吨，预可采矿石量为</w:t>
      </w:r>
      <w:r>
        <w:rPr>
          <w:rFonts w:ascii="Times New Roman" w:hAnsi="Times New Roman" w:hint="eastAsia"/>
        </w:rPr>
        <w:t>2383.03*0.9</w:t>
      </w:r>
      <w:r>
        <w:rPr>
          <w:rFonts w:ascii="Times New Roman" w:hAnsi="Times New Roman" w:hint="eastAsia"/>
        </w:rPr>
        <w:t>万吨，规模为中型，年度控制开采量</w:t>
      </w:r>
      <w:r>
        <w:rPr>
          <w:rFonts w:ascii="Times New Roman" w:hAnsi="Times New Roman" w:hint="eastAsia"/>
        </w:rPr>
        <w:t>251</w:t>
      </w:r>
      <w:r>
        <w:rPr>
          <w:rFonts w:ascii="Times New Roman" w:hAnsi="Times New Roman" w:hint="eastAsia"/>
        </w:rPr>
        <w:t>万吨。</w:t>
      </w:r>
    </w:p>
    <w:p w:rsidR="004B4777" w:rsidRDefault="004B4777">
      <w:pPr>
        <w:ind w:firstLine="480"/>
        <w:rPr>
          <w:rFonts w:ascii="Times New Roman" w:hAnsi="Times New Roman" w:hint="eastAsia"/>
        </w:rPr>
      </w:pPr>
      <w:r>
        <w:rPr>
          <w:rFonts w:ascii="Times New Roman" w:hAnsi="Times New Roman" w:hint="eastAsia"/>
        </w:rPr>
        <w:t>工作区内的主含矿层为第四系全新统（</w:t>
      </w:r>
      <w:r>
        <w:rPr>
          <w:rFonts w:ascii="Times New Roman" w:hAnsi="Times New Roman" w:hint="eastAsia"/>
        </w:rPr>
        <w:t>Qh</w:t>
      </w:r>
      <w:r>
        <w:rPr>
          <w:rFonts w:ascii="Times New Roman" w:hAnsi="Times New Roman" w:hint="eastAsia"/>
        </w:rPr>
        <w:t>）细砂、粉细砂层，其次是第四系更新统（</w:t>
      </w:r>
      <w:r>
        <w:rPr>
          <w:rFonts w:ascii="Times New Roman" w:hAnsi="Times New Roman" w:hint="eastAsia"/>
        </w:rPr>
        <w:t>Qp</w:t>
      </w:r>
      <w:r>
        <w:rPr>
          <w:rFonts w:ascii="Times New Roman" w:hAnsi="Times New Roman" w:hint="eastAsia"/>
        </w:rPr>
        <w:t>）的中粗砂、（砾砂）圆砾层。</w:t>
      </w:r>
    </w:p>
    <w:p w:rsidR="004B4777" w:rsidRDefault="004B4777">
      <w:pPr>
        <w:ind w:firstLine="480"/>
        <w:rPr>
          <w:rFonts w:ascii="Times New Roman" w:hAnsi="Times New Roman" w:hint="eastAsia"/>
        </w:rPr>
      </w:pPr>
      <w:r>
        <w:rPr>
          <w:rFonts w:ascii="Times New Roman" w:hAnsi="Times New Roman" w:hint="eastAsia"/>
        </w:rPr>
        <w:t>①第四系全新统（</w:t>
      </w:r>
      <w:r>
        <w:rPr>
          <w:rFonts w:ascii="Times New Roman" w:hAnsi="Times New Roman" w:hint="eastAsia"/>
        </w:rPr>
        <w:t>Qh</w:t>
      </w:r>
      <w:r>
        <w:rPr>
          <w:rFonts w:ascii="Times New Roman" w:hAnsi="Times New Roman" w:hint="eastAsia"/>
        </w:rPr>
        <w:t>）粉细砂、细砂层（一矿层）</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由主要为长江四口洪水泛滥和湘江共同作用冲积淤积的含泥粉细砂、细砂组成，为天然石英细砂。主要分布在洲滩和河底上部，一般上面覆有淤泥质粘土、（粉质）粘土，直接底板为更新统的中粗砂、圆砾层。</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易婆塘采区矿体厚度</w:t>
      </w:r>
      <w:r>
        <w:rPr>
          <w:rFonts w:ascii="Times New Roman" w:hAnsi="Times New Roman" w:hint="eastAsia"/>
        </w:rPr>
        <w:t xml:space="preserve"> 0-14</w:t>
      </w:r>
      <w:r>
        <w:rPr>
          <w:rFonts w:ascii="Times New Roman" w:hAnsi="Times New Roman" w:hint="eastAsia"/>
        </w:rPr>
        <w:t>米，顶板高程</w:t>
      </w:r>
      <w:r>
        <w:rPr>
          <w:rFonts w:ascii="Times New Roman" w:hAnsi="Times New Roman" w:hint="eastAsia"/>
        </w:rPr>
        <w:t xml:space="preserve"> 11.5-22.8</w:t>
      </w:r>
      <w:r>
        <w:rPr>
          <w:rFonts w:ascii="Times New Roman" w:hAnsi="Times New Roman" w:hint="eastAsia"/>
        </w:rPr>
        <w:t>米，砂含量约</w:t>
      </w:r>
      <w:r>
        <w:rPr>
          <w:rFonts w:ascii="Times New Roman" w:hAnsi="Times New Roman" w:hint="eastAsia"/>
        </w:rPr>
        <w:t>97%</w:t>
      </w:r>
      <w:r>
        <w:rPr>
          <w:rFonts w:ascii="Times New Roman" w:hAnsi="Times New Roman" w:hint="eastAsia"/>
        </w:rPr>
        <w:t>以上。斗米咀采区矿体厚度</w:t>
      </w:r>
      <w:r>
        <w:rPr>
          <w:rFonts w:ascii="Times New Roman" w:hAnsi="Times New Roman" w:hint="eastAsia"/>
        </w:rPr>
        <w:t xml:space="preserve"> 0</w:t>
      </w:r>
      <w:r>
        <w:rPr>
          <w:rFonts w:ascii="Times New Roman" w:hAnsi="Times New Roman" w:hint="eastAsia"/>
        </w:rPr>
        <w:t>—</w:t>
      </w:r>
      <w:r>
        <w:rPr>
          <w:rFonts w:ascii="Times New Roman" w:hAnsi="Times New Roman" w:hint="eastAsia"/>
        </w:rPr>
        <w:t>19.5</w:t>
      </w:r>
      <w:r>
        <w:rPr>
          <w:rFonts w:ascii="Times New Roman" w:hAnsi="Times New Roman" w:hint="eastAsia"/>
        </w:rPr>
        <w:t>米，顶板高程</w:t>
      </w:r>
      <w:r>
        <w:rPr>
          <w:rFonts w:ascii="Times New Roman" w:hAnsi="Times New Roman" w:hint="eastAsia"/>
        </w:rPr>
        <w:t xml:space="preserve"> 14.7-21.6</w:t>
      </w:r>
      <w:r>
        <w:rPr>
          <w:rFonts w:ascii="Times New Roman" w:hAnsi="Times New Roman" w:hint="eastAsia"/>
        </w:rPr>
        <w:t>米，砂含量约</w:t>
      </w:r>
      <w:r>
        <w:rPr>
          <w:rFonts w:ascii="Times New Roman" w:hAnsi="Times New Roman" w:hint="eastAsia"/>
        </w:rPr>
        <w:t>95%</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②第四系更新统（</w:t>
      </w:r>
      <w:r>
        <w:rPr>
          <w:rFonts w:ascii="Times New Roman" w:hAnsi="Times New Roman" w:hint="eastAsia"/>
        </w:rPr>
        <w:t>Qp</w:t>
      </w:r>
      <w:r>
        <w:rPr>
          <w:rFonts w:ascii="Times New Roman" w:hAnsi="Times New Roman" w:hint="eastAsia"/>
        </w:rPr>
        <w:t>）中粗砂、圆砾层（二、三矿层）</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lastRenderedPageBreak/>
        <w:t>为第四纪更新世古湘江的冲、洪积物，由中粗砂层间夹细砂和圆砾层组成，圆砾成分主要为石英、砂岩、硅质岩等。在区内分布广泛，并延伸到区外，厚度较稳定，由于受现代资江、湘江的冲蚀作用，工作区河床其顶板局部缺失，大部裸露不平。顶板高程：</w:t>
      </w:r>
      <w:r>
        <w:rPr>
          <w:rFonts w:ascii="Times New Roman" w:hAnsi="Times New Roman" w:hint="eastAsia"/>
        </w:rPr>
        <w:t>1.3-19.0</w:t>
      </w:r>
      <w:r>
        <w:rPr>
          <w:rFonts w:ascii="Times New Roman" w:hAnsi="Times New Roman" w:hint="eastAsia"/>
        </w:rPr>
        <w:t>米，底板高程未见底。</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易婆塘采区矿体厚度</w:t>
      </w:r>
      <w:r>
        <w:rPr>
          <w:rFonts w:ascii="Times New Roman" w:hAnsi="Times New Roman" w:hint="eastAsia"/>
        </w:rPr>
        <w:t>5.3-22.3</w:t>
      </w:r>
      <w:r>
        <w:rPr>
          <w:rFonts w:ascii="Times New Roman" w:hAnsi="Times New Roman" w:hint="eastAsia"/>
        </w:rPr>
        <w:t>米。顶板高程</w:t>
      </w:r>
      <w:r>
        <w:rPr>
          <w:rFonts w:ascii="Times New Roman" w:hAnsi="Times New Roman" w:hint="eastAsia"/>
        </w:rPr>
        <w:t xml:space="preserve">1.3-19.0 </w:t>
      </w:r>
      <w:r>
        <w:rPr>
          <w:rFonts w:ascii="Times New Roman" w:hAnsi="Times New Roman" w:hint="eastAsia"/>
        </w:rPr>
        <w:t>米，据钻探取样颗粒分析资料统计，中粗砂层建筑用砂粒级（</w:t>
      </w:r>
      <w:r>
        <w:rPr>
          <w:rFonts w:ascii="Times New Roman" w:hAnsi="Times New Roman" w:hint="eastAsia"/>
        </w:rPr>
        <w:t>0.15-4.75</w:t>
      </w:r>
      <w:r>
        <w:rPr>
          <w:rFonts w:ascii="Times New Roman" w:hAnsi="Times New Roman" w:hint="eastAsia"/>
        </w:rPr>
        <w:t>毫米）的含量</w:t>
      </w:r>
      <w:r>
        <w:rPr>
          <w:rFonts w:ascii="Times New Roman" w:hAnsi="Times New Roman" w:hint="eastAsia"/>
        </w:rPr>
        <w:t>65.9-95.1%</w:t>
      </w:r>
      <w:r>
        <w:rPr>
          <w:rFonts w:ascii="Times New Roman" w:hAnsi="Times New Roman" w:hint="eastAsia"/>
        </w:rPr>
        <w:t>，建筑用卵石级（</w:t>
      </w:r>
      <w:r>
        <w:rPr>
          <w:rFonts w:ascii="Times New Roman" w:hAnsi="Times New Roman" w:hint="eastAsia"/>
        </w:rPr>
        <w:t xml:space="preserve">&gt;4.75 </w:t>
      </w:r>
      <w:r>
        <w:rPr>
          <w:rFonts w:ascii="Times New Roman" w:hAnsi="Times New Roman" w:hint="eastAsia"/>
        </w:rPr>
        <w:t>毫米）的含量</w:t>
      </w:r>
      <w:r>
        <w:rPr>
          <w:rFonts w:ascii="Times New Roman" w:hAnsi="Times New Roman" w:hint="eastAsia"/>
        </w:rPr>
        <w:t xml:space="preserve"> 1.7-29.1%</w:t>
      </w:r>
      <w:r>
        <w:rPr>
          <w:rFonts w:ascii="Times New Roman" w:hAnsi="Times New Roman" w:hint="eastAsia"/>
        </w:rPr>
        <w:t>，泥含量</w:t>
      </w:r>
      <w:r>
        <w:rPr>
          <w:rFonts w:ascii="Times New Roman" w:hAnsi="Times New Roman" w:hint="eastAsia"/>
        </w:rPr>
        <w:t xml:space="preserve"> 2.9-5%</w:t>
      </w:r>
      <w:r>
        <w:rPr>
          <w:rFonts w:ascii="Times New Roman" w:hAnsi="Times New Roman" w:hint="eastAsia"/>
        </w:rPr>
        <w:t>，砂粒、卵石均为石英、硅质岩、石英砂岩为主。圆砾层建筑用卵石（</w:t>
      </w:r>
      <w:r>
        <w:rPr>
          <w:rFonts w:ascii="Times New Roman" w:hAnsi="Times New Roman" w:hint="eastAsia"/>
        </w:rPr>
        <w:t>&gt;4.75</w:t>
      </w:r>
      <w:r>
        <w:rPr>
          <w:rFonts w:ascii="Times New Roman" w:hAnsi="Times New Roman" w:hint="eastAsia"/>
        </w:rPr>
        <w:t>毫米）粒级的含量</w:t>
      </w:r>
      <w:r>
        <w:rPr>
          <w:rFonts w:ascii="Times New Roman" w:hAnsi="Times New Roman" w:hint="eastAsia"/>
        </w:rPr>
        <w:t>28.8-70.4%</w:t>
      </w:r>
      <w:r>
        <w:rPr>
          <w:rFonts w:ascii="Times New Roman" w:hAnsi="Times New Roman" w:hint="eastAsia"/>
        </w:rPr>
        <w:t>，平均</w:t>
      </w:r>
      <w:r>
        <w:rPr>
          <w:rFonts w:ascii="Times New Roman" w:hAnsi="Times New Roman" w:hint="eastAsia"/>
        </w:rPr>
        <w:t xml:space="preserve"> 52.3%</w:t>
      </w:r>
      <w:r>
        <w:rPr>
          <w:rFonts w:ascii="Times New Roman" w:hAnsi="Times New Roman" w:hint="eastAsia"/>
        </w:rPr>
        <w:t>，泥的平均含量</w:t>
      </w:r>
      <w:r>
        <w:rPr>
          <w:rFonts w:ascii="Times New Roman" w:hAnsi="Times New Roman" w:hint="eastAsia"/>
        </w:rPr>
        <w:t xml:space="preserve"> 3.52%</w:t>
      </w:r>
      <w:r>
        <w:rPr>
          <w:rFonts w:ascii="Times New Roman" w:hAnsi="Times New Roman" w:hint="eastAsia"/>
        </w:rPr>
        <w:t>，砂粒、卵石均为石英、硅质岩、石英砂岩为主。</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斗米咀采区矿体厚度</w:t>
      </w:r>
      <w:r>
        <w:rPr>
          <w:rFonts w:ascii="Times New Roman" w:hAnsi="Times New Roman" w:hint="eastAsia"/>
        </w:rPr>
        <w:t xml:space="preserve"> 5.3-27.0</w:t>
      </w:r>
      <w:r>
        <w:rPr>
          <w:rFonts w:ascii="Times New Roman" w:hAnsi="Times New Roman" w:hint="eastAsia"/>
        </w:rPr>
        <w:t>米。顶板高程</w:t>
      </w:r>
      <w:r>
        <w:rPr>
          <w:rFonts w:ascii="Times New Roman" w:hAnsi="Times New Roman" w:hint="eastAsia"/>
        </w:rPr>
        <w:t xml:space="preserve"> 8.2-18.9</w:t>
      </w:r>
      <w:r>
        <w:rPr>
          <w:rFonts w:ascii="Times New Roman" w:hAnsi="Times New Roman" w:hint="eastAsia"/>
        </w:rPr>
        <w:t>米，据钻探资料统计，中粗砂层建筑用砂粒级（</w:t>
      </w:r>
      <w:r>
        <w:rPr>
          <w:rFonts w:ascii="Times New Roman" w:hAnsi="Times New Roman" w:hint="eastAsia"/>
        </w:rPr>
        <w:t>0.15-4.75</w:t>
      </w:r>
      <w:r>
        <w:rPr>
          <w:rFonts w:ascii="Times New Roman" w:hAnsi="Times New Roman" w:hint="eastAsia"/>
        </w:rPr>
        <w:t>毫米）的含量</w:t>
      </w:r>
      <w:r>
        <w:rPr>
          <w:rFonts w:ascii="Times New Roman" w:hAnsi="Times New Roman" w:hint="eastAsia"/>
        </w:rPr>
        <w:t xml:space="preserve"> 86.7-92.9%</w:t>
      </w:r>
      <w:r>
        <w:rPr>
          <w:rFonts w:ascii="Times New Roman" w:hAnsi="Times New Roman" w:hint="eastAsia"/>
        </w:rPr>
        <w:t>，建筑用卵石级（</w:t>
      </w:r>
      <w:r>
        <w:rPr>
          <w:rFonts w:ascii="Times New Roman" w:hAnsi="Times New Roman" w:hint="eastAsia"/>
        </w:rPr>
        <w:t>&gt;4.75</w:t>
      </w:r>
      <w:r>
        <w:rPr>
          <w:rFonts w:ascii="Times New Roman" w:hAnsi="Times New Roman" w:hint="eastAsia"/>
        </w:rPr>
        <w:t>毫米）的含量</w:t>
      </w:r>
      <w:r>
        <w:rPr>
          <w:rFonts w:ascii="Times New Roman" w:hAnsi="Times New Roman" w:hint="eastAsia"/>
        </w:rPr>
        <w:t xml:space="preserve"> 2.5-9.5%</w:t>
      </w:r>
      <w:r>
        <w:rPr>
          <w:rFonts w:ascii="Times New Roman" w:hAnsi="Times New Roman" w:hint="eastAsia"/>
        </w:rPr>
        <w:t>，泥平均含量</w:t>
      </w:r>
      <w:r>
        <w:rPr>
          <w:rFonts w:ascii="Times New Roman" w:hAnsi="Times New Roman" w:hint="eastAsia"/>
        </w:rPr>
        <w:t xml:space="preserve"> 4.2%</w:t>
      </w:r>
      <w:r>
        <w:rPr>
          <w:rFonts w:ascii="Times New Roman" w:hAnsi="Times New Roman" w:hint="eastAsia"/>
        </w:rPr>
        <w:t>，砂粒、卵石均为石英、硅质岩、石英砂岩为主。据取样颗粒分析资料统计，圆砾层建筑用卵石（</w:t>
      </w:r>
      <w:r>
        <w:rPr>
          <w:rFonts w:ascii="Times New Roman" w:hAnsi="Times New Roman" w:hint="eastAsia"/>
        </w:rPr>
        <w:t>&gt;4.75</w:t>
      </w:r>
      <w:r>
        <w:rPr>
          <w:rFonts w:ascii="Times New Roman" w:hAnsi="Times New Roman" w:hint="eastAsia"/>
        </w:rPr>
        <w:t>毫米）粒级的含量</w:t>
      </w:r>
      <w:r>
        <w:rPr>
          <w:rFonts w:ascii="Times New Roman" w:hAnsi="Times New Roman" w:hint="eastAsia"/>
        </w:rPr>
        <w:t xml:space="preserve"> 30.5-62.5%</w:t>
      </w:r>
      <w:r>
        <w:rPr>
          <w:rFonts w:ascii="Times New Roman" w:hAnsi="Times New Roman" w:hint="eastAsia"/>
        </w:rPr>
        <w:t>，平均含量</w:t>
      </w:r>
      <w:r>
        <w:rPr>
          <w:rFonts w:ascii="Times New Roman" w:hAnsi="Times New Roman" w:hint="eastAsia"/>
        </w:rPr>
        <w:t xml:space="preserve"> 48.46%</w:t>
      </w:r>
      <w:r>
        <w:rPr>
          <w:rFonts w:ascii="Times New Roman" w:hAnsi="Times New Roman" w:hint="eastAsia"/>
        </w:rPr>
        <w:t>，泥平均含量</w:t>
      </w:r>
      <w:r>
        <w:rPr>
          <w:rFonts w:ascii="Times New Roman" w:hAnsi="Times New Roman" w:hint="eastAsia"/>
        </w:rPr>
        <w:t xml:space="preserve"> 5.55%</w:t>
      </w:r>
      <w:r>
        <w:rPr>
          <w:rFonts w:ascii="Times New Roman" w:hAnsi="Times New Roman" w:hint="eastAsia"/>
        </w:rPr>
        <w:t>，砂粒、卵石均为石英、硅质岩、石英砂岩为主。</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矿石经挖掘冲洗、筛分，直接分离出建筑用砂和卵石，为天然建筑用砂卵石。</w:t>
      </w:r>
    </w:p>
    <w:p w:rsidR="004B4777" w:rsidRDefault="004B4777">
      <w:pPr>
        <w:spacing w:after="120"/>
        <w:ind w:firstLineChars="100" w:firstLine="241"/>
        <w:jc w:val="center"/>
        <w:rPr>
          <w:rFonts w:ascii="Times New Roman" w:hAnsi="Times New Roman"/>
          <w:b/>
          <w:kern w:val="28"/>
          <w:szCs w:val="24"/>
          <w:u w:val="single"/>
        </w:rPr>
      </w:pPr>
      <w:r>
        <w:rPr>
          <w:rFonts w:ascii="Times New Roman" w:hAnsi="Times New Roman" w:hint="eastAsia"/>
          <w:b/>
          <w:kern w:val="28"/>
          <w:szCs w:val="24"/>
          <w:u w:val="single"/>
        </w:rPr>
        <w:t>表</w:t>
      </w:r>
      <w:r>
        <w:rPr>
          <w:rFonts w:ascii="Times New Roman" w:hAnsi="Times New Roman" w:hint="eastAsia"/>
          <w:b/>
          <w:kern w:val="28"/>
          <w:szCs w:val="24"/>
          <w:u w:val="single"/>
        </w:rPr>
        <w:t xml:space="preserve">3.3-5  </w:t>
      </w:r>
      <w:r>
        <w:rPr>
          <w:rFonts w:ascii="Times New Roman" w:hAnsi="Times New Roman" w:hint="eastAsia"/>
          <w:b/>
          <w:kern w:val="28"/>
          <w:szCs w:val="24"/>
          <w:u w:val="single"/>
        </w:rPr>
        <w:t>采区建筑用砂卵石资源量估算结果表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9"/>
        <w:gridCol w:w="708"/>
        <w:gridCol w:w="709"/>
        <w:gridCol w:w="709"/>
        <w:gridCol w:w="709"/>
        <w:gridCol w:w="3543"/>
        <w:gridCol w:w="993"/>
        <w:gridCol w:w="891"/>
      </w:tblGrid>
      <w:tr w:rsidR="004B4777">
        <w:trPr>
          <w:trHeight w:val="170"/>
          <w:jc w:val="center"/>
        </w:trPr>
        <w:tc>
          <w:tcPr>
            <w:tcW w:w="8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采区名称</w:t>
            </w: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资源类型</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矿石类型</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矿体厚度（</w:t>
            </w:r>
            <w:r>
              <w:rPr>
                <w:rFonts w:ascii="Times New Roman" w:hAnsi="Times New Roman"/>
                <w:sz w:val="21"/>
                <w:szCs w:val="21"/>
                <w:u w:val="single"/>
              </w:rPr>
              <w:t>m</w:t>
            </w:r>
            <w:r>
              <w:rPr>
                <w:rFonts w:ascii="Times New Roman" w:hAnsi="Times New Roman"/>
                <w:sz w:val="21"/>
                <w:szCs w:val="21"/>
                <w:u w:val="single"/>
              </w:rPr>
              <w:t>）</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顶板标高（</w:t>
            </w:r>
            <w:r>
              <w:rPr>
                <w:rFonts w:ascii="Times New Roman" w:hAnsi="Times New Roman"/>
                <w:sz w:val="21"/>
                <w:szCs w:val="21"/>
                <w:u w:val="single"/>
              </w:rPr>
              <w:t>m</w:t>
            </w:r>
            <w:r>
              <w:rPr>
                <w:rFonts w:ascii="Times New Roman" w:hAnsi="Times New Roman"/>
                <w:sz w:val="21"/>
                <w:szCs w:val="21"/>
                <w:u w:val="single"/>
              </w:rPr>
              <w:t>）</w:t>
            </w: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sz w:val="21"/>
                <w:szCs w:val="21"/>
                <w:u w:val="single"/>
              </w:rPr>
              <w:t>品位</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准采范围资源储量（万</w:t>
            </w:r>
            <w:r>
              <w:rPr>
                <w:rFonts w:ascii="Times New Roman" w:hAnsi="Times New Roman"/>
                <w:sz w:val="21"/>
                <w:szCs w:val="21"/>
                <w:u w:val="single"/>
              </w:rPr>
              <w:t>t</w:t>
            </w:r>
            <w:r>
              <w:rPr>
                <w:rFonts w:ascii="Times New Roman" w:hAnsi="Times New Roman"/>
                <w:sz w:val="21"/>
                <w:szCs w:val="21"/>
                <w:u w:val="single"/>
              </w:rPr>
              <w:t>）</w:t>
            </w:r>
          </w:p>
        </w:tc>
        <w:tc>
          <w:tcPr>
            <w:tcW w:w="891"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准采范围资源储量（万</w:t>
            </w:r>
            <w:r>
              <w:rPr>
                <w:rFonts w:ascii="Times New Roman" w:hAnsi="Times New Roman"/>
                <w:sz w:val="21"/>
                <w:szCs w:val="21"/>
                <w:u w:val="single"/>
              </w:rPr>
              <w:t>t</w:t>
            </w:r>
            <w:r>
              <w:rPr>
                <w:rFonts w:ascii="Times New Roman" w:hAnsi="Times New Roman"/>
                <w:sz w:val="21"/>
                <w:szCs w:val="21"/>
                <w:u w:val="single"/>
              </w:rPr>
              <w:t>）</w:t>
            </w:r>
          </w:p>
        </w:tc>
      </w:tr>
      <w:tr w:rsidR="004B4777">
        <w:trPr>
          <w:trHeight w:val="390"/>
          <w:jc w:val="center"/>
        </w:trPr>
        <w:tc>
          <w:tcPr>
            <w:tcW w:w="809" w:type="dxa"/>
            <w:vMerge w:val="restart"/>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易婆塘</w:t>
            </w: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122b</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细砂</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2.68</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11.5-22.8</w:t>
            </w: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sz w:val="21"/>
                <w:szCs w:val="21"/>
                <w:u w:val="single"/>
              </w:rPr>
              <w:t>泥含量</w:t>
            </w:r>
            <w:r>
              <w:rPr>
                <w:rFonts w:ascii="Times New Roman" w:hAnsi="Times New Roman"/>
                <w:sz w:val="21"/>
                <w:szCs w:val="21"/>
                <w:u w:val="single"/>
              </w:rPr>
              <w:t>&lt;</w:t>
            </w:r>
            <w:r>
              <w:rPr>
                <w:rFonts w:ascii="Times New Roman" w:hAnsi="Times New Roman" w:hint="eastAsia"/>
                <w:sz w:val="21"/>
                <w:szCs w:val="21"/>
                <w:u w:val="single"/>
              </w:rPr>
              <w:t>2</w:t>
            </w:r>
            <w:r>
              <w:rPr>
                <w:rFonts w:ascii="Times New Roman" w:hAnsi="Times New Roman"/>
                <w:sz w:val="21"/>
                <w:szCs w:val="21"/>
                <w:u w:val="single"/>
              </w:rPr>
              <w:t>%</w:t>
            </w:r>
            <w:r>
              <w:rPr>
                <w:rFonts w:ascii="Times New Roman" w:hAnsi="Times New Roman"/>
                <w:sz w:val="21"/>
                <w:szCs w:val="21"/>
                <w:u w:val="single"/>
              </w:rPr>
              <w:t>，砂含量约</w:t>
            </w:r>
            <w:r>
              <w:rPr>
                <w:rFonts w:ascii="Times New Roman" w:hAnsi="Times New Roman"/>
                <w:sz w:val="21"/>
                <w:szCs w:val="21"/>
                <w:u w:val="single"/>
              </w:rPr>
              <w:t>97%</w:t>
            </w:r>
            <w:r>
              <w:rPr>
                <w:rFonts w:ascii="Times New Roman" w:hAnsi="Times New Roman"/>
                <w:sz w:val="21"/>
                <w:szCs w:val="21"/>
                <w:u w:val="single"/>
              </w:rPr>
              <w:t>以上</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1652.96</w:t>
            </w:r>
          </w:p>
        </w:tc>
        <w:tc>
          <w:tcPr>
            <w:tcW w:w="891" w:type="dxa"/>
            <w:vMerge w:val="restart"/>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13131.7</w:t>
            </w:r>
          </w:p>
        </w:tc>
      </w:tr>
      <w:tr w:rsidR="004B4777">
        <w:trPr>
          <w:trHeight w:val="170"/>
          <w:jc w:val="center"/>
        </w:trPr>
        <w:tc>
          <w:tcPr>
            <w:tcW w:w="809"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122b</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中粗砂</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1.32</w:t>
            </w:r>
          </w:p>
        </w:tc>
        <w:tc>
          <w:tcPr>
            <w:tcW w:w="709" w:type="dxa"/>
            <w:vMerge w:val="restart"/>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1.3-19.0</w:t>
            </w: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hint="eastAsia"/>
                <w:sz w:val="21"/>
                <w:szCs w:val="21"/>
                <w:u w:val="single"/>
              </w:rPr>
              <w:t>建筑用砂粒级（</w:t>
            </w:r>
            <w:r>
              <w:rPr>
                <w:rFonts w:ascii="Times New Roman" w:hAnsi="Times New Roman" w:hint="eastAsia"/>
                <w:sz w:val="21"/>
                <w:szCs w:val="21"/>
                <w:u w:val="single"/>
              </w:rPr>
              <w:t>0.15-4.75</w:t>
            </w:r>
            <w:r>
              <w:rPr>
                <w:rFonts w:ascii="Times New Roman" w:hAnsi="Times New Roman" w:hint="eastAsia"/>
                <w:sz w:val="21"/>
                <w:szCs w:val="21"/>
                <w:u w:val="single"/>
              </w:rPr>
              <w:t>毫米）的含量</w:t>
            </w:r>
            <w:r>
              <w:rPr>
                <w:rFonts w:ascii="Times New Roman" w:hAnsi="Times New Roman" w:hint="eastAsia"/>
                <w:sz w:val="21"/>
                <w:szCs w:val="21"/>
                <w:u w:val="single"/>
              </w:rPr>
              <w:t>65.9-95.1%</w:t>
            </w:r>
            <w:r>
              <w:rPr>
                <w:rFonts w:ascii="Times New Roman" w:hAnsi="Times New Roman" w:hint="eastAsia"/>
                <w:sz w:val="21"/>
                <w:szCs w:val="21"/>
                <w:u w:val="single"/>
              </w:rPr>
              <w:t>，建筑用卵石级（</w:t>
            </w:r>
            <w:r>
              <w:rPr>
                <w:rFonts w:ascii="Times New Roman" w:hAnsi="Times New Roman" w:hint="eastAsia"/>
                <w:sz w:val="21"/>
                <w:szCs w:val="21"/>
                <w:u w:val="single"/>
              </w:rPr>
              <w:t xml:space="preserve">&gt;4.75 </w:t>
            </w:r>
            <w:r>
              <w:rPr>
                <w:rFonts w:ascii="Times New Roman" w:hAnsi="Times New Roman" w:hint="eastAsia"/>
                <w:sz w:val="21"/>
                <w:szCs w:val="21"/>
                <w:u w:val="single"/>
              </w:rPr>
              <w:t>毫米）的含量</w:t>
            </w:r>
            <w:r>
              <w:rPr>
                <w:rFonts w:ascii="Times New Roman" w:hAnsi="Times New Roman" w:hint="eastAsia"/>
                <w:sz w:val="21"/>
                <w:szCs w:val="21"/>
                <w:u w:val="single"/>
              </w:rPr>
              <w:t xml:space="preserve"> 1.7-29.1%</w:t>
            </w:r>
            <w:r>
              <w:rPr>
                <w:rFonts w:ascii="Times New Roman" w:hAnsi="Times New Roman" w:hint="eastAsia"/>
                <w:sz w:val="21"/>
                <w:szCs w:val="21"/>
                <w:u w:val="single"/>
              </w:rPr>
              <w:t>，泥含量</w:t>
            </w:r>
            <w:r>
              <w:rPr>
                <w:rFonts w:ascii="Times New Roman" w:hAnsi="Times New Roman" w:hint="eastAsia"/>
                <w:sz w:val="21"/>
                <w:szCs w:val="21"/>
                <w:u w:val="single"/>
              </w:rPr>
              <w:t xml:space="preserve"> 2.9-5%</w:t>
            </w:r>
            <w:r>
              <w:rPr>
                <w:rFonts w:ascii="Times New Roman" w:hAnsi="Times New Roman"/>
                <w:sz w:val="21"/>
                <w:szCs w:val="21"/>
                <w:u w:val="single"/>
              </w:rPr>
              <w:t>，以石英、硅质岩、石英砂岩为主</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816.05</w:t>
            </w:r>
          </w:p>
        </w:tc>
        <w:tc>
          <w:tcPr>
            <w:tcW w:w="891"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r>
      <w:tr w:rsidR="004B4777">
        <w:trPr>
          <w:trHeight w:val="170"/>
          <w:jc w:val="center"/>
        </w:trPr>
        <w:tc>
          <w:tcPr>
            <w:tcW w:w="809"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122b</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圆砾</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16.10</w:t>
            </w:r>
          </w:p>
        </w:tc>
        <w:tc>
          <w:tcPr>
            <w:tcW w:w="709"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hint="eastAsia"/>
                <w:sz w:val="21"/>
                <w:szCs w:val="21"/>
                <w:u w:val="single"/>
              </w:rPr>
              <w:t>圆砾层建筑用卵石（</w:t>
            </w:r>
            <w:r>
              <w:rPr>
                <w:rFonts w:ascii="Times New Roman" w:hAnsi="Times New Roman" w:hint="eastAsia"/>
                <w:sz w:val="21"/>
                <w:szCs w:val="21"/>
                <w:u w:val="single"/>
              </w:rPr>
              <w:t>&gt;4.75</w:t>
            </w:r>
            <w:r>
              <w:rPr>
                <w:rFonts w:ascii="Times New Roman" w:hAnsi="Times New Roman" w:hint="eastAsia"/>
                <w:sz w:val="21"/>
                <w:szCs w:val="21"/>
                <w:u w:val="single"/>
              </w:rPr>
              <w:t>毫米）粒级的含量</w:t>
            </w:r>
            <w:r>
              <w:rPr>
                <w:rFonts w:ascii="Times New Roman" w:hAnsi="Times New Roman" w:hint="eastAsia"/>
                <w:sz w:val="21"/>
                <w:szCs w:val="21"/>
                <w:u w:val="single"/>
              </w:rPr>
              <w:t>28.8-70.4%</w:t>
            </w:r>
            <w:r>
              <w:rPr>
                <w:rFonts w:ascii="Times New Roman" w:hAnsi="Times New Roman" w:hint="eastAsia"/>
                <w:sz w:val="21"/>
                <w:szCs w:val="21"/>
                <w:u w:val="single"/>
              </w:rPr>
              <w:t>，平均</w:t>
            </w:r>
            <w:r>
              <w:rPr>
                <w:rFonts w:ascii="Times New Roman" w:hAnsi="Times New Roman" w:hint="eastAsia"/>
                <w:sz w:val="21"/>
                <w:szCs w:val="21"/>
                <w:u w:val="single"/>
              </w:rPr>
              <w:t xml:space="preserve"> 52.3%</w:t>
            </w:r>
            <w:r>
              <w:rPr>
                <w:rFonts w:ascii="Times New Roman" w:hAnsi="Times New Roman" w:hint="eastAsia"/>
                <w:sz w:val="21"/>
                <w:szCs w:val="21"/>
                <w:u w:val="single"/>
              </w:rPr>
              <w:t>，泥的平均含量</w:t>
            </w:r>
            <w:r>
              <w:rPr>
                <w:rFonts w:ascii="Times New Roman" w:hAnsi="Times New Roman" w:hint="eastAsia"/>
                <w:sz w:val="21"/>
                <w:szCs w:val="21"/>
                <w:u w:val="single"/>
              </w:rPr>
              <w:t xml:space="preserve"> 3.52%</w:t>
            </w:r>
            <w:r>
              <w:rPr>
                <w:rFonts w:ascii="Times New Roman" w:hAnsi="Times New Roman"/>
                <w:sz w:val="21"/>
                <w:szCs w:val="21"/>
                <w:u w:val="single"/>
              </w:rPr>
              <w:t>，以石英、硅质岩、石英砂岩为主</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10662.69</w:t>
            </w:r>
          </w:p>
        </w:tc>
        <w:tc>
          <w:tcPr>
            <w:tcW w:w="891"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r>
      <w:tr w:rsidR="004B4777">
        <w:trPr>
          <w:trHeight w:val="170"/>
          <w:jc w:val="center"/>
        </w:trPr>
        <w:tc>
          <w:tcPr>
            <w:tcW w:w="809" w:type="dxa"/>
            <w:vMerge w:val="restart"/>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lastRenderedPageBreak/>
              <w:t>斗米咀</w:t>
            </w: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122b</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细砂</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5.65</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14.7-21.6</w:t>
            </w: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sz w:val="21"/>
                <w:szCs w:val="21"/>
                <w:u w:val="single"/>
              </w:rPr>
              <w:t>泥含量</w:t>
            </w:r>
            <w:r>
              <w:rPr>
                <w:rFonts w:ascii="Times New Roman" w:hAnsi="Times New Roman"/>
                <w:sz w:val="21"/>
                <w:szCs w:val="21"/>
                <w:u w:val="single"/>
              </w:rPr>
              <w:t>&lt;3%</w:t>
            </w:r>
            <w:r>
              <w:rPr>
                <w:rFonts w:ascii="Times New Roman" w:hAnsi="Times New Roman"/>
                <w:sz w:val="21"/>
                <w:szCs w:val="21"/>
                <w:u w:val="single"/>
              </w:rPr>
              <w:t>，砂含量约</w:t>
            </w:r>
            <w:r>
              <w:rPr>
                <w:rFonts w:ascii="Times New Roman" w:hAnsi="Times New Roman"/>
                <w:sz w:val="21"/>
                <w:szCs w:val="21"/>
                <w:u w:val="single"/>
              </w:rPr>
              <w:t>95%</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511.58</w:t>
            </w:r>
          </w:p>
        </w:tc>
        <w:tc>
          <w:tcPr>
            <w:tcW w:w="891" w:type="dxa"/>
            <w:vMerge w:val="restart"/>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2383.03</w:t>
            </w:r>
          </w:p>
        </w:tc>
      </w:tr>
      <w:tr w:rsidR="004B4777">
        <w:trPr>
          <w:trHeight w:val="1287"/>
          <w:jc w:val="center"/>
        </w:trPr>
        <w:tc>
          <w:tcPr>
            <w:tcW w:w="809"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122b</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中粗砂</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3.79</w:t>
            </w:r>
          </w:p>
        </w:tc>
        <w:tc>
          <w:tcPr>
            <w:tcW w:w="709" w:type="dxa"/>
            <w:vMerge w:val="restart"/>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8.2-18.9</w:t>
            </w: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hint="eastAsia"/>
                <w:sz w:val="21"/>
                <w:szCs w:val="21"/>
                <w:u w:val="single"/>
              </w:rPr>
              <w:t>建筑用砂粒级（</w:t>
            </w:r>
            <w:r>
              <w:rPr>
                <w:rFonts w:ascii="Times New Roman" w:hAnsi="Times New Roman" w:hint="eastAsia"/>
                <w:sz w:val="21"/>
                <w:szCs w:val="21"/>
                <w:u w:val="single"/>
              </w:rPr>
              <w:t>0.15-4.75</w:t>
            </w:r>
            <w:r>
              <w:rPr>
                <w:rFonts w:ascii="Times New Roman" w:hAnsi="Times New Roman" w:hint="eastAsia"/>
                <w:sz w:val="21"/>
                <w:szCs w:val="21"/>
                <w:u w:val="single"/>
              </w:rPr>
              <w:t>毫米）的含量</w:t>
            </w:r>
            <w:r>
              <w:rPr>
                <w:rFonts w:ascii="Times New Roman" w:hAnsi="Times New Roman" w:hint="eastAsia"/>
                <w:sz w:val="21"/>
                <w:szCs w:val="21"/>
                <w:u w:val="single"/>
              </w:rPr>
              <w:t xml:space="preserve"> 86.7-92.9%</w:t>
            </w:r>
            <w:r>
              <w:rPr>
                <w:rFonts w:ascii="Times New Roman" w:hAnsi="Times New Roman" w:hint="eastAsia"/>
                <w:sz w:val="21"/>
                <w:szCs w:val="21"/>
                <w:u w:val="single"/>
              </w:rPr>
              <w:t>，建筑用卵石级（</w:t>
            </w:r>
            <w:r>
              <w:rPr>
                <w:rFonts w:ascii="Times New Roman" w:hAnsi="Times New Roman" w:hint="eastAsia"/>
                <w:sz w:val="21"/>
                <w:szCs w:val="21"/>
                <w:u w:val="single"/>
              </w:rPr>
              <w:t>&gt;4.75</w:t>
            </w:r>
            <w:r>
              <w:rPr>
                <w:rFonts w:ascii="Times New Roman" w:hAnsi="Times New Roman" w:hint="eastAsia"/>
                <w:sz w:val="21"/>
                <w:szCs w:val="21"/>
                <w:u w:val="single"/>
              </w:rPr>
              <w:t>毫米）的含量</w:t>
            </w:r>
            <w:r>
              <w:rPr>
                <w:rFonts w:ascii="Times New Roman" w:hAnsi="Times New Roman" w:hint="eastAsia"/>
                <w:sz w:val="21"/>
                <w:szCs w:val="21"/>
                <w:u w:val="single"/>
              </w:rPr>
              <w:t xml:space="preserve"> 2.5-9.5%</w:t>
            </w:r>
            <w:r>
              <w:rPr>
                <w:rFonts w:ascii="Times New Roman" w:hAnsi="Times New Roman" w:hint="eastAsia"/>
                <w:sz w:val="21"/>
                <w:szCs w:val="21"/>
                <w:u w:val="single"/>
              </w:rPr>
              <w:t>，泥平均含量</w:t>
            </w:r>
            <w:r>
              <w:rPr>
                <w:rFonts w:ascii="Times New Roman" w:hAnsi="Times New Roman" w:hint="eastAsia"/>
                <w:sz w:val="21"/>
                <w:szCs w:val="21"/>
                <w:u w:val="single"/>
              </w:rPr>
              <w:t xml:space="preserve"> 4.2%</w:t>
            </w:r>
            <w:r>
              <w:rPr>
                <w:rFonts w:ascii="Times New Roman" w:hAnsi="Times New Roman"/>
                <w:sz w:val="21"/>
                <w:szCs w:val="21"/>
                <w:u w:val="single"/>
              </w:rPr>
              <w:t>，以石英、硅质岩、石英砂岩为主</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347.34</w:t>
            </w:r>
          </w:p>
        </w:tc>
        <w:tc>
          <w:tcPr>
            <w:tcW w:w="891"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r>
      <w:tr w:rsidR="004B4777">
        <w:trPr>
          <w:trHeight w:val="1066"/>
          <w:jc w:val="center"/>
        </w:trPr>
        <w:tc>
          <w:tcPr>
            <w:tcW w:w="809"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c>
          <w:tcPr>
            <w:tcW w:w="708"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122b</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圆砾</w:t>
            </w:r>
          </w:p>
        </w:tc>
        <w:tc>
          <w:tcPr>
            <w:tcW w:w="709"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15.99</w:t>
            </w:r>
          </w:p>
        </w:tc>
        <w:tc>
          <w:tcPr>
            <w:tcW w:w="709"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c>
          <w:tcPr>
            <w:tcW w:w="3543" w:type="dxa"/>
            <w:vAlign w:val="center"/>
          </w:tcPr>
          <w:p w:rsidR="004B4777" w:rsidRDefault="004B4777">
            <w:pPr>
              <w:spacing w:after="120" w:line="240" w:lineRule="auto"/>
              <w:ind w:firstLineChars="100" w:firstLine="210"/>
              <w:jc w:val="center"/>
              <w:rPr>
                <w:rFonts w:ascii="Times New Roman" w:hAnsi="Times New Roman"/>
                <w:sz w:val="21"/>
                <w:szCs w:val="21"/>
                <w:u w:val="single"/>
              </w:rPr>
            </w:pPr>
            <w:r>
              <w:rPr>
                <w:rFonts w:ascii="Times New Roman" w:hAnsi="Times New Roman" w:hint="eastAsia"/>
                <w:sz w:val="21"/>
                <w:szCs w:val="21"/>
                <w:u w:val="single"/>
              </w:rPr>
              <w:t>建筑用卵石（</w:t>
            </w:r>
            <w:r>
              <w:rPr>
                <w:rFonts w:ascii="Times New Roman" w:hAnsi="Times New Roman" w:hint="eastAsia"/>
                <w:sz w:val="21"/>
                <w:szCs w:val="21"/>
                <w:u w:val="single"/>
              </w:rPr>
              <w:t>&gt;4.75</w:t>
            </w:r>
            <w:r>
              <w:rPr>
                <w:rFonts w:ascii="Times New Roman" w:hAnsi="Times New Roman" w:hint="eastAsia"/>
                <w:sz w:val="21"/>
                <w:szCs w:val="21"/>
                <w:u w:val="single"/>
              </w:rPr>
              <w:t>毫米）粒级的含量</w:t>
            </w:r>
            <w:r>
              <w:rPr>
                <w:rFonts w:ascii="Times New Roman" w:hAnsi="Times New Roman" w:hint="eastAsia"/>
                <w:sz w:val="21"/>
                <w:szCs w:val="21"/>
                <w:u w:val="single"/>
              </w:rPr>
              <w:t xml:space="preserve"> 30.5-62.5%</w:t>
            </w:r>
            <w:r>
              <w:rPr>
                <w:rFonts w:ascii="Times New Roman" w:hAnsi="Times New Roman" w:hint="eastAsia"/>
                <w:sz w:val="21"/>
                <w:szCs w:val="21"/>
                <w:u w:val="single"/>
              </w:rPr>
              <w:t>，平均含量</w:t>
            </w:r>
            <w:r>
              <w:rPr>
                <w:rFonts w:ascii="Times New Roman" w:hAnsi="Times New Roman" w:hint="eastAsia"/>
                <w:sz w:val="21"/>
                <w:szCs w:val="21"/>
                <w:u w:val="single"/>
              </w:rPr>
              <w:t xml:space="preserve"> 48.46%</w:t>
            </w:r>
            <w:r>
              <w:rPr>
                <w:rFonts w:ascii="Times New Roman" w:hAnsi="Times New Roman" w:hint="eastAsia"/>
                <w:sz w:val="21"/>
                <w:szCs w:val="21"/>
                <w:u w:val="single"/>
              </w:rPr>
              <w:t>，泥平均含量</w:t>
            </w:r>
            <w:r>
              <w:rPr>
                <w:rFonts w:ascii="Times New Roman" w:hAnsi="Times New Roman" w:hint="eastAsia"/>
                <w:sz w:val="21"/>
                <w:szCs w:val="21"/>
                <w:u w:val="single"/>
              </w:rPr>
              <w:t xml:space="preserve"> 5.55%</w:t>
            </w:r>
            <w:r>
              <w:rPr>
                <w:rFonts w:ascii="Times New Roman" w:hAnsi="Times New Roman"/>
                <w:sz w:val="21"/>
                <w:szCs w:val="21"/>
                <w:u w:val="single"/>
              </w:rPr>
              <w:t>，以石英、硅质岩、石英砂岩为主</w:t>
            </w:r>
          </w:p>
        </w:tc>
        <w:tc>
          <w:tcPr>
            <w:tcW w:w="993" w:type="dxa"/>
            <w:vAlign w:val="center"/>
          </w:tcPr>
          <w:p w:rsidR="004B4777" w:rsidRDefault="004B4777">
            <w:pPr>
              <w:spacing w:after="120" w:line="240" w:lineRule="auto"/>
              <w:ind w:firstLineChars="0" w:firstLine="0"/>
              <w:jc w:val="center"/>
              <w:rPr>
                <w:rFonts w:ascii="Times New Roman" w:hAnsi="Times New Roman"/>
                <w:sz w:val="21"/>
                <w:szCs w:val="21"/>
                <w:u w:val="single"/>
              </w:rPr>
            </w:pPr>
            <w:r>
              <w:rPr>
                <w:rFonts w:ascii="Times New Roman" w:hAnsi="Times New Roman"/>
                <w:sz w:val="21"/>
                <w:szCs w:val="21"/>
                <w:u w:val="single"/>
              </w:rPr>
              <w:t>1</w:t>
            </w:r>
            <w:r>
              <w:rPr>
                <w:rFonts w:ascii="Times New Roman" w:hAnsi="Times New Roman" w:hint="eastAsia"/>
                <w:sz w:val="21"/>
                <w:szCs w:val="21"/>
                <w:u w:val="single"/>
              </w:rPr>
              <w:t>524.11</w:t>
            </w:r>
          </w:p>
        </w:tc>
        <w:tc>
          <w:tcPr>
            <w:tcW w:w="891" w:type="dxa"/>
            <w:vMerge/>
            <w:vAlign w:val="center"/>
          </w:tcPr>
          <w:p w:rsidR="004B4777" w:rsidRDefault="004B4777">
            <w:pPr>
              <w:spacing w:after="120" w:line="240" w:lineRule="auto"/>
              <w:ind w:firstLineChars="100" w:firstLine="210"/>
              <w:jc w:val="center"/>
              <w:rPr>
                <w:rFonts w:ascii="Times New Roman" w:hAnsi="Times New Roman"/>
                <w:sz w:val="21"/>
                <w:szCs w:val="21"/>
                <w:u w:val="single"/>
              </w:rPr>
            </w:pPr>
          </w:p>
        </w:tc>
      </w:tr>
    </w:tbl>
    <w:p w:rsidR="004B4777" w:rsidRDefault="004B4777">
      <w:pPr>
        <w:pStyle w:val="3"/>
        <w:spacing w:before="0" w:after="0"/>
        <w:rPr>
          <w:rFonts w:ascii="Times New Roman" w:eastAsia="宋体" w:hAnsi="Times New Roman" w:hint="eastAsia"/>
          <w:b/>
        </w:rPr>
      </w:pPr>
      <w:r>
        <w:rPr>
          <w:rFonts w:ascii="Times New Roman" w:eastAsia="宋体" w:hAnsi="Times New Roman"/>
          <w:b/>
        </w:rPr>
        <w:t>3.</w:t>
      </w:r>
      <w:r>
        <w:rPr>
          <w:rFonts w:ascii="Times New Roman" w:eastAsia="宋体" w:hAnsi="Times New Roman" w:hint="eastAsia"/>
          <w:b/>
        </w:rPr>
        <w:t>3</w:t>
      </w:r>
      <w:r>
        <w:rPr>
          <w:rFonts w:ascii="Times New Roman" w:eastAsia="宋体" w:hAnsi="Times New Roman"/>
          <w:b/>
        </w:rPr>
        <w:t>.</w:t>
      </w:r>
      <w:r>
        <w:rPr>
          <w:rFonts w:ascii="Times New Roman" w:eastAsia="宋体" w:hAnsi="Times New Roman" w:hint="eastAsia"/>
          <w:b/>
        </w:rPr>
        <w:t>6</w:t>
      </w:r>
      <w:r>
        <w:rPr>
          <w:rFonts w:ascii="Times New Roman" w:eastAsia="宋体" w:hAnsi="Times New Roman"/>
          <w:b/>
        </w:rPr>
        <w:t xml:space="preserve"> </w:t>
      </w:r>
      <w:r>
        <w:rPr>
          <w:rFonts w:ascii="Times New Roman" w:eastAsia="宋体" w:hAnsi="Times New Roman" w:hint="eastAsia"/>
          <w:b/>
        </w:rPr>
        <w:t>采砂区地质</w:t>
      </w:r>
      <w:r>
        <w:rPr>
          <w:rFonts w:ascii="Times New Roman" w:eastAsia="宋体" w:hAnsi="Times New Roman"/>
          <w:b/>
        </w:rPr>
        <w:t>条件</w:t>
      </w:r>
    </w:p>
    <w:p w:rsidR="004B4777" w:rsidRDefault="004B4777">
      <w:pPr>
        <w:ind w:firstLine="480"/>
        <w:rPr>
          <w:rFonts w:ascii="Times New Roman" w:hAnsi="Times New Roman" w:hint="eastAsia"/>
        </w:rPr>
      </w:pPr>
      <w:r>
        <w:rPr>
          <w:rFonts w:ascii="Times New Roman" w:hAnsi="Times New Roman" w:hint="eastAsia"/>
        </w:rPr>
        <w:t>本区位于洞庭湖盆地的东南部边缘，东岸为抬升的岗丘地貌，西岸为沉降堆积平原，湘江断裂、公田</w:t>
      </w:r>
      <w:r>
        <w:rPr>
          <w:rFonts w:ascii="Times New Roman" w:hAnsi="Times New Roman" w:hint="eastAsia"/>
        </w:rPr>
        <w:t>-</w:t>
      </w:r>
      <w:r>
        <w:rPr>
          <w:rFonts w:ascii="Times New Roman" w:hAnsi="Times New Roman" w:hint="eastAsia"/>
        </w:rPr>
        <w:t>湘阴断裂在本区交汇，使下更新统地层在湘阴</w:t>
      </w:r>
      <w:r>
        <w:rPr>
          <w:rFonts w:ascii="Times New Roman" w:hAnsi="Times New Roman" w:hint="eastAsia"/>
        </w:rPr>
        <w:t>-</w:t>
      </w:r>
      <w:r>
        <w:rPr>
          <w:rFonts w:ascii="Times New Roman" w:hAnsi="Times New Roman" w:hint="eastAsia"/>
        </w:rPr>
        <w:t>樟树港一带抬升，湘江河床及以西地区下降，地貌差异明显，但对湘江河床砂、卵石层影响较小。构造类型简单。</w:t>
      </w:r>
    </w:p>
    <w:p w:rsidR="004B4777" w:rsidRDefault="004B4777">
      <w:pPr>
        <w:ind w:firstLine="480"/>
        <w:rPr>
          <w:rFonts w:ascii="Times New Roman" w:hAnsi="Times New Roman" w:hint="eastAsia"/>
        </w:rPr>
      </w:pPr>
      <w:r>
        <w:rPr>
          <w:rFonts w:ascii="Times New Roman" w:hAnsi="Times New Roman" w:hint="eastAsia"/>
        </w:rPr>
        <w:t>区内出露地层主要有第四系全新统（</w:t>
      </w:r>
      <w:r>
        <w:rPr>
          <w:rFonts w:ascii="Times New Roman" w:hAnsi="Times New Roman" w:hint="eastAsia"/>
        </w:rPr>
        <w:t>Qh</w:t>
      </w:r>
      <w:r>
        <w:rPr>
          <w:rFonts w:ascii="Times New Roman" w:hAnsi="Times New Roman" w:hint="eastAsia"/>
        </w:rPr>
        <w:t>）、更新统</w:t>
      </w:r>
      <w:r>
        <w:rPr>
          <w:rFonts w:ascii="Times New Roman" w:hAnsi="Times New Roman" w:hint="eastAsia"/>
        </w:rPr>
        <w:t>(Qp)</w:t>
      </w:r>
      <w:r>
        <w:rPr>
          <w:rFonts w:ascii="Times New Roman" w:hAnsi="Times New Roman" w:hint="eastAsia"/>
        </w:rPr>
        <w:t>。</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w:t>
      </w:r>
      <w:r>
        <w:rPr>
          <w:rFonts w:ascii="Times New Roman" w:hAnsi="Times New Roman" w:hint="eastAsia"/>
        </w:rPr>
        <w:t>）第四系全新统（</w:t>
      </w:r>
      <w:r>
        <w:rPr>
          <w:rFonts w:ascii="Times New Roman" w:hAnsi="Times New Roman" w:hint="eastAsia"/>
        </w:rPr>
        <w:t>Qh</w:t>
      </w:r>
      <w:r>
        <w:rPr>
          <w:rFonts w:ascii="Times New Roman" w:hAnsi="Times New Roman" w:hint="eastAsia"/>
        </w:rPr>
        <w:t>）河湖相沉积层</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上部以湖相为主的淤泥质（粉砂）粘土、粘土组成，厚度</w:t>
      </w:r>
      <w:r>
        <w:rPr>
          <w:rFonts w:ascii="Times New Roman" w:hAnsi="Times New Roman" w:hint="eastAsia"/>
        </w:rPr>
        <w:t xml:space="preserve"> 1-15.4 </w:t>
      </w:r>
      <w:r>
        <w:rPr>
          <w:rFonts w:ascii="Times New Roman" w:hAnsi="Times New Roman" w:hint="eastAsia"/>
        </w:rPr>
        <w:t>米，平均</w:t>
      </w:r>
      <w:r>
        <w:rPr>
          <w:rFonts w:ascii="Times New Roman" w:hAnsi="Times New Roman" w:hint="eastAsia"/>
        </w:rPr>
        <w:t xml:space="preserve"> 12.1 </w:t>
      </w:r>
      <w:r>
        <w:rPr>
          <w:rFonts w:ascii="Times New Roman" w:hAnsi="Times New Roman" w:hint="eastAsia"/>
        </w:rPr>
        <w:t>米左右。主要分布在洲滩表面。</w:t>
      </w:r>
    </w:p>
    <w:p w:rsidR="004B4777" w:rsidRDefault="004B4777">
      <w:pPr>
        <w:ind w:firstLine="480"/>
        <w:rPr>
          <w:rFonts w:ascii="Times New Roman" w:hAnsi="Times New Roman" w:hint="eastAsia"/>
        </w:rPr>
      </w:pPr>
      <w:r>
        <w:rPr>
          <w:rFonts w:ascii="Times New Roman" w:hAnsi="Times New Roman" w:hint="eastAsia"/>
        </w:rPr>
        <w:t>下部以河相为主的含泥（粉）细砂组成，厚度</w:t>
      </w:r>
      <w:r>
        <w:rPr>
          <w:rFonts w:ascii="Times New Roman" w:hAnsi="Times New Roman" w:hint="eastAsia"/>
        </w:rPr>
        <w:t xml:space="preserve"> 0-19.50 </w:t>
      </w:r>
      <w:r>
        <w:rPr>
          <w:rFonts w:ascii="Times New Roman" w:hAnsi="Times New Roman" w:hint="eastAsia"/>
        </w:rPr>
        <w:t>米，平均</w:t>
      </w:r>
      <w:r>
        <w:rPr>
          <w:rFonts w:ascii="Times New Roman" w:hAnsi="Times New Roman" w:hint="eastAsia"/>
        </w:rPr>
        <w:t xml:space="preserve"> 3.81 </w:t>
      </w:r>
      <w:r>
        <w:rPr>
          <w:rFonts w:ascii="Times New Roman" w:hAnsi="Times New Roman" w:hint="eastAsia"/>
        </w:rPr>
        <w:t>米左右。含泥量</w:t>
      </w:r>
      <w:r>
        <w:rPr>
          <w:rFonts w:ascii="Times New Roman" w:hAnsi="Times New Roman" w:hint="eastAsia"/>
        </w:rPr>
        <w:t xml:space="preserve"> 2-5%</w:t>
      </w:r>
      <w:r>
        <w:rPr>
          <w:rFonts w:ascii="Times New Roman" w:hAnsi="Times New Roman" w:hint="eastAsia"/>
        </w:rPr>
        <w:t>，主要分布于洲滩和湖洲上部，顶板高程（海拔高程）各采区均有差异，在</w:t>
      </w:r>
      <w:r>
        <w:rPr>
          <w:rFonts w:ascii="Times New Roman" w:hAnsi="Times New Roman" w:hint="eastAsia"/>
        </w:rPr>
        <w:t xml:space="preserve"> 5-22.8</w:t>
      </w:r>
      <w:r>
        <w:rPr>
          <w:rFonts w:ascii="Times New Roman" w:hAnsi="Times New Roman" w:hint="eastAsia"/>
        </w:rPr>
        <w:t>米之间。是普通建筑用砂浆砂料赋存层位。</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）第四系更新统（</w:t>
      </w:r>
      <w:r>
        <w:rPr>
          <w:rFonts w:ascii="Times New Roman" w:hAnsi="Times New Roman" w:hint="eastAsia"/>
        </w:rPr>
        <w:t>Qp</w:t>
      </w:r>
      <w:r>
        <w:rPr>
          <w:rFonts w:ascii="Times New Roman" w:hAnsi="Times New Roman" w:hint="eastAsia"/>
        </w:rPr>
        <w:t>）冲、洪积相沉积层</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中粗砂层：浅灰黄色，夹薄层粘土（细砂）或透镜体，控制厚度</w:t>
      </w:r>
      <w:r>
        <w:rPr>
          <w:rFonts w:ascii="Times New Roman" w:hAnsi="Times New Roman" w:hint="eastAsia"/>
        </w:rPr>
        <w:t xml:space="preserve"> 0-25.10 </w:t>
      </w:r>
      <w:r>
        <w:rPr>
          <w:rFonts w:ascii="Times New Roman" w:hAnsi="Times New Roman" w:hint="eastAsia"/>
        </w:rPr>
        <w:t>米，局部细砂夹层厚</w:t>
      </w:r>
      <w:r>
        <w:rPr>
          <w:rFonts w:ascii="Times New Roman" w:hAnsi="Times New Roman" w:hint="eastAsia"/>
        </w:rPr>
        <w:t xml:space="preserve"> 2 </w:t>
      </w:r>
      <w:r>
        <w:rPr>
          <w:rFonts w:ascii="Times New Roman" w:hAnsi="Times New Roman" w:hint="eastAsia"/>
        </w:rPr>
        <w:t>米。以中粗砂为主，砂的含量平均</w:t>
      </w:r>
      <w:r>
        <w:rPr>
          <w:rFonts w:ascii="Times New Roman" w:hAnsi="Times New Roman" w:hint="eastAsia"/>
        </w:rPr>
        <w:t xml:space="preserve"> 86.7%</w:t>
      </w:r>
      <w:r>
        <w:rPr>
          <w:rFonts w:ascii="Times New Roman" w:hAnsi="Times New Roman" w:hint="eastAsia"/>
        </w:rPr>
        <w:t>。砾石含量平均</w:t>
      </w:r>
      <w:r>
        <w:rPr>
          <w:rFonts w:ascii="Times New Roman" w:hAnsi="Times New Roman" w:hint="eastAsia"/>
        </w:rPr>
        <w:t xml:space="preserve"> 9.53%</w:t>
      </w:r>
      <w:r>
        <w:rPr>
          <w:rFonts w:ascii="Times New Roman" w:hAnsi="Times New Roman" w:hint="eastAsia"/>
        </w:rPr>
        <w:t>，含泥量平均</w:t>
      </w:r>
      <w:r>
        <w:rPr>
          <w:rFonts w:ascii="Times New Roman" w:hAnsi="Times New Roman" w:hint="eastAsia"/>
        </w:rPr>
        <w:t xml:space="preserve"> 3.77%</w:t>
      </w:r>
      <w:r>
        <w:rPr>
          <w:rFonts w:ascii="Times New Roman" w:hAnsi="Times New Roman" w:hint="eastAsia"/>
        </w:rPr>
        <w:t>。砂成分以石英砂为主，卵砾石成分以石英、石英砂岩、石英岩、硅质岩为主。是建筑用砂资源主要赋存层位。</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t>下部圆砾层：灰黄色，控制厚度</w:t>
      </w:r>
      <w:r>
        <w:rPr>
          <w:rFonts w:ascii="Times New Roman" w:hAnsi="Times New Roman" w:hint="eastAsia"/>
        </w:rPr>
        <w:t xml:space="preserve"> 0-24.00 </w:t>
      </w:r>
      <w:r>
        <w:rPr>
          <w:rFonts w:ascii="Times New Roman" w:hAnsi="Times New Roman" w:hint="eastAsia"/>
        </w:rPr>
        <w:t>米，卵石含量平均</w:t>
      </w:r>
      <w:r>
        <w:rPr>
          <w:rFonts w:ascii="Times New Roman" w:hAnsi="Times New Roman" w:hint="eastAsia"/>
        </w:rPr>
        <w:t xml:space="preserve"> 53%</w:t>
      </w:r>
      <w:r>
        <w:rPr>
          <w:rFonts w:ascii="Times New Roman" w:hAnsi="Times New Roman" w:hint="eastAsia"/>
        </w:rPr>
        <w:t>，成分以石英、石英砂岩、石英岩、硅质岩为主。砂以砾砂（＜</w:t>
      </w:r>
      <w:r>
        <w:rPr>
          <w:rFonts w:ascii="Times New Roman" w:hAnsi="Times New Roman" w:hint="eastAsia"/>
        </w:rPr>
        <w:t xml:space="preserve">4.75 </w:t>
      </w:r>
      <w:r>
        <w:rPr>
          <w:rFonts w:ascii="Times New Roman" w:hAnsi="Times New Roman" w:hint="eastAsia"/>
        </w:rPr>
        <w:t>毫米）为主，含量平均</w:t>
      </w:r>
      <w:r>
        <w:rPr>
          <w:rFonts w:ascii="Times New Roman" w:hAnsi="Times New Roman" w:hint="eastAsia"/>
        </w:rPr>
        <w:t xml:space="preserve"> 43%</w:t>
      </w:r>
      <w:r>
        <w:rPr>
          <w:rFonts w:ascii="Times New Roman" w:hAnsi="Times New Roman" w:hint="eastAsia"/>
        </w:rPr>
        <w:t>左右，砂成分以石英砂为主，基本无针片状矿物含量，含泥量约</w:t>
      </w:r>
      <w:r>
        <w:rPr>
          <w:rFonts w:ascii="Times New Roman" w:hAnsi="Times New Roman" w:hint="eastAsia"/>
        </w:rPr>
        <w:t xml:space="preserve"> 3.52-5.3%</w:t>
      </w:r>
      <w:r>
        <w:rPr>
          <w:rFonts w:ascii="Times New Roman" w:hAnsi="Times New Roman" w:hint="eastAsia"/>
        </w:rPr>
        <w:t>。是建筑用圆砾（卵石）资源主要赋存层位。</w:t>
      </w:r>
      <w:r>
        <w:rPr>
          <w:rFonts w:ascii="Times New Roman" w:hAnsi="Times New Roman" w:hint="eastAsia"/>
        </w:rPr>
        <w:t xml:space="preserve"> </w:t>
      </w:r>
    </w:p>
    <w:p w:rsidR="004B4777" w:rsidRDefault="004B4777">
      <w:pPr>
        <w:ind w:firstLine="480"/>
        <w:rPr>
          <w:rFonts w:ascii="Times New Roman" w:hAnsi="Times New Roman" w:hint="eastAsia"/>
        </w:rPr>
      </w:pPr>
      <w:r>
        <w:rPr>
          <w:rFonts w:ascii="Times New Roman" w:hAnsi="Times New Roman" w:hint="eastAsia"/>
        </w:rPr>
        <w:lastRenderedPageBreak/>
        <w:t>工程地质条件：区内全为松散堆积的土体类。土体类型：</w:t>
      </w:r>
    </w:p>
    <w:p w:rsidR="004B4777" w:rsidRDefault="004B4777">
      <w:pPr>
        <w:ind w:firstLine="480"/>
        <w:rPr>
          <w:rFonts w:ascii="Times New Roman" w:hAnsi="Times New Roman" w:hint="eastAsia"/>
        </w:rPr>
      </w:pPr>
      <w:r>
        <w:rPr>
          <w:rFonts w:ascii="Times New Roman" w:hAnsi="Times New Roman" w:hint="eastAsia"/>
        </w:rPr>
        <w:t>①</w:t>
      </w:r>
      <w:r>
        <w:rPr>
          <w:rFonts w:ascii="Times New Roman" w:hAnsi="Times New Roman" w:hint="eastAsia"/>
        </w:rPr>
        <w:t xml:space="preserve"> </w:t>
      </w:r>
      <w:r>
        <w:rPr>
          <w:rFonts w:ascii="Times New Roman" w:hAnsi="Times New Roman" w:hint="eastAsia"/>
        </w:rPr>
        <w:t>松软淤泥质粘土、粉质粘土、粉细砂土体：主要分布于湘江边滩、洲滩和湖洲地段，上部以泥质粘土、粉质粘土、淤泥质粉细砂为主，含有机质和云母，呈软塑</w:t>
      </w:r>
      <w:r>
        <w:rPr>
          <w:rFonts w:ascii="Times New Roman" w:hAnsi="Times New Roman" w:hint="eastAsia"/>
        </w:rPr>
        <w:t>-</w:t>
      </w:r>
      <w:r>
        <w:rPr>
          <w:rFonts w:ascii="Times New Roman" w:hAnsi="Times New Roman" w:hint="eastAsia"/>
        </w:rPr>
        <w:t>可塑，松软，湿</w:t>
      </w:r>
      <w:r>
        <w:rPr>
          <w:rFonts w:ascii="Times New Roman" w:hAnsi="Times New Roman" w:hint="eastAsia"/>
        </w:rPr>
        <w:t>-</w:t>
      </w:r>
      <w:r>
        <w:rPr>
          <w:rFonts w:ascii="Times New Roman" w:hAnsi="Times New Roman" w:hint="eastAsia"/>
        </w:rPr>
        <w:t>饱和，下部为细砂层，据区域资料内摩擦角</w:t>
      </w:r>
      <w:r>
        <w:rPr>
          <w:rFonts w:ascii="Times New Roman" w:hAnsi="Times New Roman" w:hint="eastAsia"/>
        </w:rPr>
        <w:t>6</w:t>
      </w:r>
      <w:r>
        <w:rPr>
          <w:rFonts w:ascii="Times New Roman" w:hAnsi="Times New Roman" w:hint="eastAsia"/>
        </w:rPr>
        <w:t>°</w:t>
      </w:r>
      <w:r>
        <w:rPr>
          <w:rFonts w:ascii="Times New Roman" w:hAnsi="Times New Roman" w:hint="eastAsia"/>
        </w:rPr>
        <w:t>45</w:t>
      </w:r>
      <w:r>
        <w:rPr>
          <w:rFonts w:ascii="Times New Roman" w:hAnsi="Times New Roman" w:hint="eastAsia"/>
        </w:rPr>
        <w:t>′～</w:t>
      </w:r>
      <w:r>
        <w:rPr>
          <w:rFonts w:ascii="Times New Roman" w:hAnsi="Times New Roman" w:hint="eastAsia"/>
        </w:rPr>
        <w:t>9</w:t>
      </w:r>
      <w:r>
        <w:rPr>
          <w:rFonts w:ascii="Times New Roman" w:hAnsi="Times New Roman" w:hint="eastAsia"/>
        </w:rPr>
        <w:t>°</w:t>
      </w:r>
      <w:r>
        <w:rPr>
          <w:rFonts w:ascii="Times New Roman" w:hAnsi="Times New Roman" w:hint="eastAsia"/>
        </w:rPr>
        <w:t>58</w:t>
      </w:r>
      <w:r>
        <w:rPr>
          <w:rFonts w:ascii="Times New Roman" w:hAnsi="Times New Roman" w:hint="eastAsia"/>
        </w:rPr>
        <w:t>′，允许承载力一般小于</w:t>
      </w:r>
      <w:r>
        <w:rPr>
          <w:rFonts w:ascii="Times New Roman" w:hAnsi="Times New Roman" w:hint="eastAsia"/>
        </w:rPr>
        <w:t>100kPa</w:t>
      </w:r>
      <w:r>
        <w:rPr>
          <w:rFonts w:ascii="Times New Roman" w:hAnsi="Times New Roman" w:hint="eastAsia"/>
        </w:rPr>
        <w:t>，是防洪大堤的堤基土，具高压缩性。</w:t>
      </w:r>
    </w:p>
    <w:p w:rsidR="004B4777" w:rsidRDefault="004B4777">
      <w:pPr>
        <w:ind w:firstLine="480"/>
        <w:rPr>
          <w:rFonts w:ascii="Times New Roman" w:hAnsi="Times New Roman" w:hint="eastAsia"/>
        </w:rPr>
      </w:pPr>
      <w:r>
        <w:rPr>
          <w:rFonts w:ascii="Times New Roman" w:hAnsi="Times New Roman" w:hint="eastAsia"/>
        </w:rPr>
        <w:t>②</w:t>
      </w:r>
      <w:r>
        <w:rPr>
          <w:rFonts w:ascii="Times New Roman" w:hAnsi="Times New Roman" w:hint="eastAsia"/>
        </w:rPr>
        <w:t xml:space="preserve"> </w:t>
      </w:r>
      <w:r>
        <w:rPr>
          <w:rFonts w:ascii="Times New Roman" w:hAnsi="Times New Roman" w:hint="eastAsia"/>
        </w:rPr>
        <w:t>砂砾卵石类：分布广泛，稳定，厚度大（一般＞</w:t>
      </w:r>
      <w:r>
        <w:rPr>
          <w:rFonts w:ascii="Times New Roman" w:hAnsi="Times New Roman" w:hint="eastAsia"/>
        </w:rPr>
        <w:t>20</w:t>
      </w:r>
      <w:r>
        <w:rPr>
          <w:rFonts w:ascii="Times New Roman" w:hAnsi="Times New Roman" w:hint="eastAsia"/>
        </w:rPr>
        <w:t>米），是主要含矿层，湘江两岸其上有</w:t>
      </w:r>
      <w:r>
        <w:rPr>
          <w:rFonts w:ascii="Times New Roman" w:hAnsi="Times New Roman" w:hint="eastAsia"/>
        </w:rPr>
        <w:t>5.53-15.75</w:t>
      </w:r>
      <w:r>
        <w:rPr>
          <w:rFonts w:ascii="Times New Roman" w:hAnsi="Times New Roman" w:hint="eastAsia"/>
        </w:rPr>
        <w:t>米覆盖层，湘江河道内一般裸露于河床内，未胶结松散，内摩擦角</w:t>
      </w:r>
      <w:r>
        <w:rPr>
          <w:rFonts w:ascii="Times New Roman" w:hAnsi="Times New Roman" w:hint="eastAsia"/>
        </w:rPr>
        <w:t>8.31</w:t>
      </w:r>
      <w:r>
        <w:rPr>
          <w:rFonts w:ascii="Times New Roman" w:hAnsi="Times New Roman" w:hint="eastAsia"/>
        </w:rPr>
        <w:t>°，渗透系数</w:t>
      </w:r>
      <w:r>
        <w:rPr>
          <w:rFonts w:ascii="Times New Roman" w:hAnsi="Times New Roman" w:hint="eastAsia"/>
        </w:rPr>
        <w:t xml:space="preserve"> 5-10 </w:t>
      </w:r>
      <w:r>
        <w:rPr>
          <w:rFonts w:ascii="Times New Roman" w:hAnsi="Times New Roman" w:hint="eastAsia"/>
        </w:rPr>
        <w:t>米</w:t>
      </w:r>
      <w:r>
        <w:rPr>
          <w:rFonts w:ascii="Times New Roman" w:hAnsi="Times New Roman" w:hint="eastAsia"/>
        </w:rPr>
        <w:t>/d</w:t>
      </w:r>
      <w:r>
        <w:rPr>
          <w:rFonts w:ascii="Times New Roman" w:hAnsi="Times New Roman" w:hint="eastAsia"/>
        </w:rPr>
        <w:t>，允许承载力</w:t>
      </w:r>
      <w:r>
        <w:rPr>
          <w:rFonts w:ascii="Times New Roman" w:hAnsi="Times New Roman" w:hint="eastAsia"/>
        </w:rPr>
        <w:t>&gt;200kPa</w:t>
      </w:r>
      <w:r>
        <w:rPr>
          <w:rFonts w:ascii="Times New Roman" w:hAnsi="Times New Roman" w:hint="eastAsia"/>
        </w:rPr>
        <w:t>。</w:t>
      </w:r>
    </w:p>
    <w:p w:rsidR="004B4777" w:rsidRDefault="004B4777">
      <w:pPr>
        <w:ind w:firstLine="480"/>
        <w:rPr>
          <w:rFonts w:ascii="Times New Roman" w:hAnsi="Times New Roman" w:hint="eastAsia"/>
        </w:rPr>
      </w:pPr>
      <w:r>
        <w:rPr>
          <w:rFonts w:ascii="Times New Roman" w:hAnsi="Times New Roman" w:hint="eastAsia"/>
        </w:rPr>
        <w:t>矿层结构松散，距离河岸、堤防远，基本无安全隐患。</w:t>
      </w:r>
    </w:p>
    <w:p w:rsidR="004B4777" w:rsidRDefault="004B4777">
      <w:pPr>
        <w:ind w:firstLine="480"/>
        <w:rPr>
          <w:rFonts w:ascii="Times New Roman" w:hAnsi="Times New Roman"/>
        </w:rPr>
        <w:sectPr w:rsidR="004B4777">
          <w:pgSz w:w="11906" w:h="16838"/>
          <w:pgMar w:top="1440" w:right="1800" w:bottom="1440" w:left="1800" w:header="851" w:footer="992" w:gutter="0"/>
          <w:cols w:space="720"/>
          <w:docGrid w:type="lines" w:linePitch="312"/>
        </w:sectPr>
      </w:pPr>
    </w:p>
    <w:p w:rsidR="004B4777" w:rsidRDefault="001F6CA0">
      <w:pPr>
        <w:ind w:firstLineChars="0" w:firstLine="0"/>
        <w:rPr>
          <w:rFonts w:ascii="Times New Roman" w:hAnsi="Times New Roman"/>
        </w:rPr>
      </w:pPr>
      <w:r>
        <w:rPr>
          <w:rFonts w:ascii="Times New Roman" w:hAnsi="Times New Roman"/>
          <w:noProof/>
        </w:rPr>
        <w:lastRenderedPageBreak/>
        <w:drawing>
          <wp:inline distT="0" distB="0" distL="0" distR="0">
            <wp:extent cx="8753475" cy="4781550"/>
            <wp:effectExtent l="19050" t="0" r="9525" b="0"/>
            <wp:docPr id="6" name="图片 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6"/>
                    <pic:cNvPicPr>
                      <a:picLocks noChangeAspect="1" noChangeArrowheads="1"/>
                    </pic:cNvPicPr>
                  </pic:nvPicPr>
                  <pic:blipFill>
                    <a:blip r:embed="rId22"/>
                    <a:srcRect/>
                    <a:stretch>
                      <a:fillRect/>
                    </a:stretch>
                  </pic:blipFill>
                  <pic:spPr bwMode="auto">
                    <a:xfrm>
                      <a:off x="0" y="0"/>
                      <a:ext cx="8753475" cy="4781550"/>
                    </a:xfrm>
                    <a:prstGeom prst="rect">
                      <a:avLst/>
                    </a:prstGeom>
                    <a:noFill/>
                    <a:ln w="9525">
                      <a:noFill/>
                      <a:miter lim="800000"/>
                      <a:headEnd/>
                      <a:tailEnd/>
                    </a:ln>
                  </pic:spPr>
                </pic:pic>
              </a:graphicData>
            </a:graphic>
          </wp:inline>
        </w:drawing>
      </w:r>
    </w:p>
    <w:p w:rsidR="004B4777" w:rsidRDefault="004B4777">
      <w:pPr>
        <w:ind w:firstLineChars="0" w:firstLine="0"/>
        <w:jc w:val="center"/>
        <w:rPr>
          <w:rFonts w:ascii="Times New Roman" w:hAnsi="Times New Roman" w:hint="eastAsia"/>
          <w:b/>
        </w:rPr>
      </w:pPr>
      <w:r>
        <w:rPr>
          <w:rFonts w:ascii="Times New Roman" w:hAnsi="Times New Roman" w:hint="eastAsia"/>
          <w:b/>
        </w:rPr>
        <w:t>图</w:t>
      </w:r>
      <w:r>
        <w:rPr>
          <w:rFonts w:ascii="Times New Roman" w:hAnsi="Times New Roman" w:hint="eastAsia"/>
          <w:b/>
        </w:rPr>
        <w:t>3.3</w:t>
      </w:r>
      <w:r>
        <w:rPr>
          <w:rFonts w:ascii="Times New Roman" w:hAnsi="Times New Roman"/>
          <w:b/>
        </w:rPr>
        <w:t>-</w:t>
      </w:r>
      <w:r>
        <w:rPr>
          <w:rFonts w:ascii="Times New Roman" w:hAnsi="Times New Roman" w:hint="eastAsia"/>
          <w:b/>
        </w:rPr>
        <w:t>1</w:t>
      </w:r>
      <w:r>
        <w:rPr>
          <w:rFonts w:ascii="Times New Roman" w:hAnsi="Times New Roman"/>
          <w:b/>
        </w:rPr>
        <w:t xml:space="preserve">    </w:t>
      </w:r>
      <w:r>
        <w:rPr>
          <w:rFonts w:ascii="Times New Roman" w:hAnsi="Times New Roman" w:hint="eastAsia"/>
          <w:b/>
        </w:rPr>
        <w:t>易婆塘采区工程地质剖面</w:t>
      </w:r>
      <w:r>
        <w:rPr>
          <w:rFonts w:ascii="Times New Roman" w:hAnsi="Times New Roman"/>
          <w:b/>
        </w:rPr>
        <w:t>图</w:t>
      </w:r>
      <w:r>
        <w:rPr>
          <w:rFonts w:ascii="Times New Roman" w:hAnsi="Times New Roman" w:hint="eastAsia"/>
          <w:b/>
        </w:rPr>
        <w:t>（</w:t>
      </w:r>
      <w:r>
        <w:rPr>
          <w:rFonts w:ascii="Times New Roman" w:hAnsi="Times New Roman" w:hint="eastAsia"/>
          <w:b/>
        </w:rPr>
        <w:t>1</w:t>
      </w:r>
      <w:r>
        <w:rPr>
          <w:rFonts w:ascii="Times New Roman" w:hAnsi="Times New Roman" w:hint="eastAsia"/>
          <w:b/>
        </w:rPr>
        <w:t>）</w:t>
      </w:r>
    </w:p>
    <w:p w:rsidR="004B4777" w:rsidRDefault="001F6CA0">
      <w:pPr>
        <w:ind w:firstLineChars="0" w:firstLine="0"/>
        <w:rPr>
          <w:rFonts w:ascii="Times New Roman" w:hAnsi="Times New Roman"/>
        </w:rPr>
      </w:pPr>
      <w:r>
        <w:rPr>
          <w:rFonts w:ascii="Times New Roman" w:hAnsi="Times New Roman"/>
          <w:noProof/>
        </w:rPr>
        <w:lastRenderedPageBreak/>
        <w:drawing>
          <wp:inline distT="0" distB="0" distL="0" distR="0">
            <wp:extent cx="9010650" cy="4914900"/>
            <wp:effectExtent l="19050" t="0" r="0" b="0"/>
            <wp:docPr id="7" name="图片 6" descr="7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7线"/>
                    <pic:cNvPicPr>
                      <a:picLocks noChangeAspect="1" noChangeArrowheads="1"/>
                    </pic:cNvPicPr>
                  </pic:nvPicPr>
                  <pic:blipFill>
                    <a:blip r:embed="rId23"/>
                    <a:srcRect/>
                    <a:stretch>
                      <a:fillRect/>
                    </a:stretch>
                  </pic:blipFill>
                  <pic:spPr bwMode="auto">
                    <a:xfrm>
                      <a:off x="0" y="0"/>
                      <a:ext cx="9010650" cy="4914900"/>
                    </a:xfrm>
                    <a:prstGeom prst="rect">
                      <a:avLst/>
                    </a:prstGeom>
                    <a:noFill/>
                    <a:ln w="9525">
                      <a:noFill/>
                      <a:miter lim="800000"/>
                      <a:headEnd/>
                      <a:tailEnd/>
                    </a:ln>
                  </pic:spPr>
                </pic:pic>
              </a:graphicData>
            </a:graphic>
          </wp:inline>
        </w:drawing>
      </w:r>
    </w:p>
    <w:p w:rsidR="004B4777" w:rsidRDefault="004B4777">
      <w:pPr>
        <w:spacing w:line="240" w:lineRule="auto"/>
        <w:ind w:firstLineChars="0" w:firstLine="0"/>
        <w:jc w:val="center"/>
        <w:rPr>
          <w:rFonts w:ascii="Times New Roman" w:hAnsi="Times New Roman" w:hint="eastAsia"/>
          <w:b/>
        </w:rPr>
      </w:pPr>
      <w:bookmarkStart w:id="111" w:name="_Hlk481694561"/>
      <w:r>
        <w:rPr>
          <w:rFonts w:ascii="Times New Roman" w:hAnsi="Times New Roman" w:hint="eastAsia"/>
          <w:b/>
        </w:rPr>
        <w:t>图</w:t>
      </w:r>
      <w:r>
        <w:rPr>
          <w:rFonts w:ascii="Times New Roman" w:hAnsi="Times New Roman" w:hint="eastAsia"/>
          <w:b/>
        </w:rPr>
        <w:t>3.3</w:t>
      </w:r>
      <w:r>
        <w:rPr>
          <w:rFonts w:ascii="Times New Roman" w:hAnsi="Times New Roman"/>
          <w:b/>
        </w:rPr>
        <w:t>-</w:t>
      </w:r>
      <w:r>
        <w:rPr>
          <w:rFonts w:ascii="Times New Roman" w:hAnsi="Times New Roman" w:hint="eastAsia"/>
          <w:b/>
        </w:rPr>
        <w:t>2</w:t>
      </w:r>
      <w:r>
        <w:rPr>
          <w:rFonts w:ascii="Times New Roman" w:hAnsi="Times New Roman"/>
          <w:b/>
        </w:rPr>
        <w:t xml:space="preserve">   </w:t>
      </w:r>
      <w:r>
        <w:rPr>
          <w:rFonts w:ascii="Times New Roman" w:hAnsi="Times New Roman" w:hint="eastAsia"/>
          <w:b/>
        </w:rPr>
        <w:t>易婆塘采区工程地质剖面</w:t>
      </w:r>
      <w:r>
        <w:rPr>
          <w:rFonts w:ascii="Times New Roman" w:hAnsi="Times New Roman"/>
          <w:b/>
        </w:rPr>
        <w:t>图</w:t>
      </w:r>
      <w:bookmarkEnd w:id="111"/>
      <w:r>
        <w:rPr>
          <w:rFonts w:ascii="Times New Roman" w:hAnsi="Times New Roman" w:hint="eastAsia"/>
          <w:b/>
        </w:rPr>
        <w:t>（</w:t>
      </w:r>
      <w:r>
        <w:rPr>
          <w:rFonts w:ascii="Times New Roman" w:hAnsi="Times New Roman" w:hint="eastAsia"/>
          <w:b/>
        </w:rPr>
        <w:t>2</w:t>
      </w:r>
      <w:r>
        <w:rPr>
          <w:rFonts w:ascii="Times New Roman" w:hAnsi="Times New Roman"/>
          <w:b/>
        </w:rPr>
        <w:t>）</w:t>
      </w:r>
    </w:p>
    <w:p w:rsidR="004B4777" w:rsidRDefault="001F6CA0">
      <w:pPr>
        <w:ind w:firstLineChars="0" w:firstLine="0"/>
        <w:rPr>
          <w:rFonts w:ascii="Times New Roman" w:hAnsi="Times New Roman"/>
        </w:rPr>
      </w:pPr>
      <w:r>
        <w:rPr>
          <w:rFonts w:ascii="Times New Roman" w:hAnsi="Times New Roman"/>
          <w:noProof/>
        </w:rPr>
        <w:lastRenderedPageBreak/>
        <w:drawing>
          <wp:inline distT="0" distB="0" distL="0" distR="0">
            <wp:extent cx="8877300" cy="4800600"/>
            <wp:effectExtent l="19050" t="0" r="0" b="0"/>
            <wp:docPr id="8" name="图片 7" descr="13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3线"/>
                    <pic:cNvPicPr>
                      <a:picLocks noChangeAspect="1" noChangeArrowheads="1"/>
                    </pic:cNvPicPr>
                  </pic:nvPicPr>
                  <pic:blipFill>
                    <a:blip r:embed="rId24"/>
                    <a:srcRect/>
                    <a:stretch>
                      <a:fillRect/>
                    </a:stretch>
                  </pic:blipFill>
                  <pic:spPr bwMode="auto">
                    <a:xfrm>
                      <a:off x="0" y="0"/>
                      <a:ext cx="8877300" cy="4800600"/>
                    </a:xfrm>
                    <a:prstGeom prst="rect">
                      <a:avLst/>
                    </a:prstGeom>
                    <a:noFill/>
                    <a:ln w="9525">
                      <a:noFill/>
                      <a:miter lim="800000"/>
                      <a:headEnd/>
                      <a:tailEnd/>
                    </a:ln>
                  </pic:spPr>
                </pic:pic>
              </a:graphicData>
            </a:graphic>
          </wp:inline>
        </w:drawing>
      </w:r>
    </w:p>
    <w:p w:rsidR="004B4777" w:rsidRDefault="004B4777">
      <w:pPr>
        <w:spacing w:line="240" w:lineRule="auto"/>
        <w:ind w:firstLineChars="0" w:firstLine="0"/>
        <w:jc w:val="center"/>
        <w:rPr>
          <w:rFonts w:ascii="Times New Roman" w:hAnsi="Times New Roman" w:hint="eastAsia"/>
          <w:b/>
        </w:rPr>
      </w:pPr>
      <w:r>
        <w:rPr>
          <w:rFonts w:ascii="Times New Roman" w:hAnsi="Times New Roman" w:hint="eastAsia"/>
          <w:b/>
        </w:rPr>
        <w:t>图</w:t>
      </w:r>
      <w:r>
        <w:rPr>
          <w:rFonts w:ascii="Times New Roman" w:hAnsi="Times New Roman" w:hint="eastAsia"/>
          <w:b/>
        </w:rPr>
        <w:t>3.3</w:t>
      </w:r>
      <w:r>
        <w:rPr>
          <w:rFonts w:ascii="Times New Roman" w:hAnsi="Times New Roman"/>
          <w:b/>
        </w:rPr>
        <w:t>-</w:t>
      </w:r>
      <w:r>
        <w:rPr>
          <w:rFonts w:ascii="Times New Roman" w:hAnsi="Times New Roman" w:hint="eastAsia"/>
          <w:b/>
        </w:rPr>
        <w:t>3</w:t>
      </w:r>
      <w:r>
        <w:rPr>
          <w:rFonts w:ascii="Times New Roman" w:hAnsi="Times New Roman"/>
          <w:b/>
        </w:rPr>
        <w:t xml:space="preserve">    </w:t>
      </w:r>
      <w:r>
        <w:rPr>
          <w:rFonts w:ascii="Times New Roman" w:hAnsi="Times New Roman" w:hint="eastAsia"/>
          <w:b/>
        </w:rPr>
        <w:t>易婆塘采区工程地质剖面</w:t>
      </w:r>
      <w:r>
        <w:rPr>
          <w:rFonts w:ascii="Times New Roman" w:hAnsi="Times New Roman"/>
          <w:b/>
        </w:rPr>
        <w:t>图</w:t>
      </w:r>
      <w:r>
        <w:rPr>
          <w:rFonts w:ascii="Times New Roman" w:hAnsi="Times New Roman" w:hint="eastAsia"/>
          <w:b/>
        </w:rPr>
        <w:t>（</w:t>
      </w:r>
      <w:r>
        <w:rPr>
          <w:rFonts w:ascii="Times New Roman" w:hAnsi="Times New Roman" w:hint="eastAsia"/>
          <w:b/>
        </w:rPr>
        <w:t>3</w:t>
      </w:r>
      <w:r>
        <w:rPr>
          <w:rFonts w:ascii="Times New Roman" w:hAnsi="Times New Roman"/>
          <w:b/>
        </w:rPr>
        <w:t>）</w:t>
      </w:r>
    </w:p>
    <w:p w:rsidR="004B4777" w:rsidRDefault="001F6CA0">
      <w:pPr>
        <w:ind w:firstLineChars="0" w:firstLine="0"/>
        <w:rPr>
          <w:rFonts w:ascii="Times New Roman" w:hAnsi="Times New Roman" w:hint="eastAsia"/>
        </w:rPr>
      </w:pPr>
      <w:r>
        <w:rPr>
          <w:rFonts w:ascii="Times New Roman" w:hAnsi="Times New Roman"/>
          <w:noProof/>
        </w:rPr>
        <w:lastRenderedPageBreak/>
        <w:drawing>
          <wp:inline distT="0" distB="0" distL="0" distR="0">
            <wp:extent cx="8791575" cy="4867275"/>
            <wp:effectExtent l="19050" t="0" r="9525" b="0"/>
            <wp:docPr id="9" name="图片 8" descr="剖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剖面1"/>
                    <pic:cNvPicPr>
                      <a:picLocks noChangeAspect="1" noChangeArrowheads="1"/>
                    </pic:cNvPicPr>
                  </pic:nvPicPr>
                  <pic:blipFill>
                    <a:blip r:embed="rId25"/>
                    <a:srcRect/>
                    <a:stretch>
                      <a:fillRect/>
                    </a:stretch>
                  </pic:blipFill>
                  <pic:spPr bwMode="auto">
                    <a:xfrm>
                      <a:off x="0" y="0"/>
                      <a:ext cx="8791575" cy="4867275"/>
                    </a:xfrm>
                    <a:prstGeom prst="rect">
                      <a:avLst/>
                    </a:prstGeom>
                    <a:noFill/>
                    <a:ln w="9525">
                      <a:noFill/>
                      <a:miter lim="800000"/>
                      <a:headEnd/>
                      <a:tailEnd/>
                    </a:ln>
                  </pic:spPr>
                </pic:pic>
              </a:graphicData>
            </a:graphic>
          </wp:inline>
        </w:drawing>
      </w:r>
    </w:p>
    <w:p w:rsidR="004B4777" w:rsidRDefault="004B4777">
      <w:pPr>
        <w:spacing w:line="240" w:lineRule="auto"/>
        <w:ind w:firstLineChars="0" w:firstLine="0"/>
        <w:jc w:val="center"/>
        <w:rPr>
          <w:rFonts w:ascii="Times New Roman" w:hAnsi="Times New Roman" w:hint="eastAsia"/>
          <w:b/>
        </w:rPr>
      </w:pPr>
      <w:r>
        <w:rPr>
          <w:rFonts w:ascii="Times New Roman" w:hAnsi="Times New Roman" w:hint="eastAsia"/>
          <w:b/>
        </w:rPr>
        <w:t>图</w:t>
      </w:r>
      <w:r>
        <w:rPr>
          <w:rFonts w:ascii="Times New Roman" w:hAnsi="Times New Roman" w:hint="eastAsia"/>
          <w:b/>
        </w:rPr>
        <w:t>3.3</w:t>
      </w:r>
      <w:r>
        <w:rPr>
          <w:rFonts w:ascii="Times New Roman" w:hAnsi="Times New Roman"/>
          <w:b/>
        </w:rPr>
        <w:t>-</w:t>
      </w:r>
      <w:r>
        <w:rPr>
          <w:rFonts w:ascii="Times New Roman" w:hAnsi="Times New Roman" w:hint="eastAsia"/>
          <w:b/>
        </w:rPr>
        <w:t>4</w:t>
      </w:r>
      <w:r>
        <w:rPr>
          <w:rFonts w:ascii="Times New Roman" w:hAnsi="Times New Roman"/>
          <w:b/>
        </w:rPr>
        <w:t xml:space="preserve">    </w:t>
      </w:r>
      <w:r>
        <w:rPr>
          <w:rFonts w:ascii="Times New Roman" w:hAnsi="Times New Roman" w:hint="eastAsia"/>
          <w:b/>
        </w:rPr>
        <w:t>斗米咀采区工程地质剖面</w:t>
      </w:r>
      <w:r>
        <w:rPr>
          <w:rFonts w:ascii="Times New Roman" w:hAnsi="Times New Roman"/>
          <w:b/>
        </w:rPr>
        <w:t>图</w:t>
      </w:r>
    </w:p>
    <w:p w:rsidR="004B4777" w:rsidRDefault="001F6CA0">
      <w:pPr>
        <w:spacing w:line="240" w:lineRule="auto"/>
        <w:ind w:firstLineChars="0" w:firstLine="0"/>
        <w:jc w:val="center"/>
        <w:rPr>
          <w:rFonts w:ascii="Times New Roman" w:hAnsi="Times New Roman" w:hint="eastAsia"/>
          <w:b/>
        </w:rPr>
      </w:pPr>
      <w:r>
        <w:rPr>
          <w:rFonts w:ascii="Times New Roman" w:hAnsi="Times New Roman"/>
          <w:b/>
          <w:noProof/>
        </w:rPr>
        <w:lastRenderedPageBreak/>
        <w:drawing>
          <wp:inline distT="0" distB="0" distL="0" distR="0">
            <wp:extent cx="9153525" cy="4962525"/>
            <wp:effectExtent l="19050" t="0" r="9525" b="0"/>
            <wp:docPr id="10" name="图片 9" descr="矿层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矿层对比图"/>
                    <pic:cNvPicPr>
                      <a:picLocks noChangeAspect="1" noChangeArrowheads="1"/>
                    </pic:cNvPicPr>
                  </pic:nvPicPr>
                  <pic:blipFill>
                    <a:blip r:embed="rId26"/>
                    <a:srcRect/>
                    <a:stretch>
                      <a:fillRect/>
                    </a:stretch>
                  </pic:blipFill>
                  <pic:spPr bwMode="auto">
                    <a:xfrm>
                      <a:off x="0" y="0"/>
                      <a:ext cx="9153525" cy="4962525"/>
                    </a:xfrm>
                    <a:prstGeom prst="rect">
                      <a:avLst/>
                    </a:prstGeom>
                    <a:noFill/>
                    <a:ln w="9525">
                      <a:noFill/>
                      <a:miter lim="800000"/>
                      <a:headEnd/>
                      <a:tailEnd/>
                    </a:ln>
                  </pic:spPr>
                </pic:pic>
              </a:graphicData>
            </a:graphic>
          </wp:inline>
        </w:drawing>
      </w:r>
      <w:r w:rsidR="004B4777">
        <w:rPr>
          <w:rFonts w:ascii="Times New Roman" w:hAnsi="Times New Roman" w:hint="eastAsia"/>
          <w:b/>
        </w:rPr>
        <w:t>图</w:t>
      </w:r>
      <w:r w:rsidR="004B4777">
        <w:rPr>
          <w:rFonts w:ascii="Times New Roman" w:hAnsi="Times New Roman" w:hint="eastAsia"/>
          <w:b/>
        </w:rPr>
        <w:t>3.3</w:t>
      </w:r>
      <w:r w:rsidR="004B4777">
        <w:rPr>
          <w:rFonts w:ascii="Times New Roman" w:hAnsi="Times New Roman"/>
          <w:b/>
        </w:rPr>
        <w:t>-</w:t>
      </w:r>
      <w:r w:rsidR="004B4777">
        <w:rPr>
          <w:rFonts w:ascii="Times New Roman" w:hAnsi="Times New Roman" w:hint="eastAsia"/>
          <w:b/>
        </w:rPr>
        <w:t>5</w:t>
      </w:r>
      <w:r w:rsidR="004B4777">
        <w:rPr>
          <w:rFonts w:ascii="Times New Roman" w:hAnsi="Times New Roman"/>
          <w:b/>
        </w:rPr>
        <w:t xml:space="preserve">   </w:t>
      </w:r>
      <w:r w:rsidR="004B4777">
        <w:rPr>
          <w:rFonts w:ascii="Times New Roman" w:hAnsi="Times New Roman" w:hint="eastAsia"/>
          <w:b/>
        </w:rPr>
        <w:t>易婆塘采区矿层对比</w:t>
      </w:r>
      <w:r w:rsidR="004B4777">
        <w:rPr>
          <w:rFonts w:ascii="Times New Roman" w:hAnsi="Times New Roman"/>
          <w:b/>
        </w:rPr>
        <w:t>图</w:t>
      </w:r>
    </w:p>
    <w:p w:rsidR="004B4777" w:rsidRDefault="004B4777">
      <w:pPr>
        <w:ind w:firstLineChars="0" w:firstLine="0"/>
        <w:rPr>
          <w:rFonts w:ascii="Times New Roman" w:hAnsi="Times New Roman" w:hint="eastAsia"/>
        </w:rPr>
        <w:sectPr w:rsidR="004B4777">
          <w:pgSz w:w="16838" w:h="11906" w:orient="landscape"/>
          <w:pgMar w:top="1800" w:right="1440" w:bottom="1800" w:left="1440" w:header="851" w:footer="992" w:gutter="0"/>
          <w:cols w:space="720"/>
          <w:docGrid w:type="lines" w:linePitch="326"/>
        </w:sectPr>
      </w:pPr>
    </w:p>
    <w:p w:rsidR="004B4777" w:rsidRDefault="004B4777">
      <w:pPr>
        <w:pStyle w:val="1"/>
        <w:spacing w:before="0" w:after="0" w:line="360" w:lineRule="auto"/>
        <w:rPr>
          <w:rFonts w:ascii="Times New Roman" w:eastAsia="宋体" w:hAnsi="Times New Roman"/>
          <w:b/>
          <w:sz w:val="32"/>
          <w:szCs w:val="32"/>
        </w:rPr>
      </w:pPr>
      <w:bookmarkStart w:id="112" w:name="_Toc523854023"/>
      <w:r>
        <w:rPr>
          <w:rFonts w:ascii="Times New Roman" w:eastAsia="宋体" w:hAnsi="Times New Roman"/>
          <w:b/>
          <w:sz w:val="32"/>
          <w:szCs w:val="32"/>
        </w:rPr>
        <w:lastRenderedPageBreak/>
        <w:t>第</w:t>
      </w:r>
      <w:r>
        <w:rPr>
          <w:rFonts w:ascii="Times New Roman" w:eastAsia="宋体" w:hAnsi="Times New Roman"/>
          <w:b/>
          <w:sz w:val="32"/>
          <w:szCs w:val="32"/>
        </w:rPr>
        <w:t>4</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工程分析</w:t>
      </w:r>
      <w:bookmarkEnd w:id="112"/>
    </w:p>
    <w:p w:rsidR="004B4777" w:rsidRDefault="004B4777">
      <w:pPr>
        <w:pStyle w:val="2"/>
        <w:spacing w:before="0" w:after="0"/>
        <w:rPr>
          <w:rFonts w:ascii="Times New Roman" w:eastAsia="宋体" w:hAnsi="Times New Roman"/>
          <w:b/>
          <w:sz w:val="30"/>
          <w:szCs w:val="30"/>
        </w:rPr>
      </w:pPr>
      <w:bookmarkStart w:id="113" w:name="_Toc523854024"/>
      <w:r>
        <w:rPr>
          <w:rFonts w:ascii="Times New Roman" w:eastAsia="宋体" w:hAnsi="Times New Roman"/>
          <w:b/>
          <w:sz w:val="30"/>
          <w:szCs w:val="30"/>
        </w:rPr>
        <w:t xml:space="preserve">4.1 </w:t>
      </w:r>
      <w:r>
        <w:rPr>
          <w:rFonts w:ascii="Times New Roman" w:eastAsia="宋体" w:hAnsi="Times New Roman"/>
          <w:b/>
          <w:sz w:val="30"/>
          <w:szCs w:val="30"/>
        </w:rPr>
        <w:t>开采方案</w:t>
      </w:r>
      <w:bookmarkEnd w:id="113"/>
    </w:p>
    <w:p w:rsidR="004B4777" w:rsidRDefault="004B4777">
      <w:pPr>
        <w:pStyle w:val="3"/>
        <w:spacing w:before="0" w:after="0"/>
        <w:rPr>
          <w:rFonts w:ascii="Times New Roman" w:eastAsia="宋体" w:hAnsi="Times New Roman"/>
          <w:b/>
        </w:rPr>
      </w:pPr>
      <w:bookmarkStart w:id="114" w:name="_Hlk481690997"/>
      <w:r>
        <w:rPr>
          <w:rFonts w:ascii="Times New Roman" w:eastAsia="宋体" w:hAnsi="Times New Roman"/>
          <w:b/>
        </w:rPr>
        <w:t xml:space="preserve">4.1.1 </w:t>
      </w:r>
      <w:r>
        <w:rPr>
          <w:rFonts w:ascii="Times New Roman" w:eastAsia="宋体" w:hAnsi="Times New Roman"/>
          <w:b/>
        </w:rPr>
        <w:t>开采方式</w:t>
      </w:r>
    </w:p>
    <w:bookmarkEnd w:id="114"/>
    <w:p w:rsidR="004B4777" w:rsidRDefault="004B4777">
      <w:pPr>
        <w:ind w:firstLine="480"/>
        <w:rPr>
          <w:rFonts w:ascii="Times New Roman" w:hAnsi="Times New Roman" w:hint="eastAsia"/>
          <w:u w:val="single"/>
        </w:rPr>
      </w:pPr>
      <w:r>
        <w:rPr>
          <w:rFonts w:ascii="Times New Roman" w:hAnsi="Times New Roman"/>
        </w:rPr>
        <w:t>本项目河砂开采的主体为细砂、粗砂和</w:t>
      </w:r>
      <w:r>
        <w:rPr>
          <w:rFonts w:ascii="Times New Roman" w:hAnsi="Times New Roman" w:hint="eastAsia"/>
        </w:rPr>
        <w:t>圆砾</w:t>
      </w:r>
      <w:r>
        <w:rPr>
          <w:rFonts w:ascii="Times New Roman" w:hAnsi="Times New Roman"/>
        </w:rPr>
        <w:t>。结合采砂区自然状况及湘江、资江及入洞庭湖区处普遍使用的采砂船型，本项目河砂开采作业方式为采用</w:t>
      </w:r>
      <w:r>
        <w:rPr>
          <w:rFonts w:ascii="Times New Roman" w:hAnsi="Times New Roman" w:hint="eastAsia"/>
        </w:rPr>
        <w:t>吸管式吸泵挖砂式采砂工作船</w:t>
      </w:r>
      <w:r>
        <w:rPr>
          <w:rFonts w:ascii="Times New Roman" w:hAnsi="Times New Roman"/>
        </w:rPr>
        <w:t>作业。依据开采规模，</w:t>
      </w:r>
      <w:r>
        <w:rPr>
          <w:rFonts w:ascii="Times New Roman" w:hAnsi="Times New Roman" w:hint="eastAsia"/>
        </w:rPr>
        <w:t>易婆塘采区</w:t>
      </w:r>
      <w:r>
        <w:rPr>
          <w:rFonts w:ascii="Times New Roman" w:hAnsi="Times New Roman"/>
        </w:rPr>
        <w:t>拟采用</w:t>
      </w:r>
      <w:r>
        <w:rPr>
          <w:rFonts w:ascii="Times New Roman" w:hAnsi="Times New Roman" w:hint="eastAsia"/>
        </w:rPr>
        <w:t>6</w:t>
      </w:r>
      <w:r>
        <w:rPr>
          <w:rFonts w:ascii="Times New Roman" w:hAnsi="Times New Roman"/>
        </w:rPr>
        <w:t>艘</w:t>
      </w:r>
      <w:r>
        <w:rPr>
          <w:rFonts w:ascii="Times New Roman" w:hAnsi="Times New Roman" w:hint="eastAsia"/>
        </w:rPr>
        <w:t>吸管式吸泵挖砂式采砂工作船</w:t>
      </w:r>
      <w:r>
        <w:rPr>
          <w:rFonts w:ascii="Times New Roman" w:hAnsi="Times New Roman"/>
        </w:rPr>
        <w:t>采砂，</w:t>
      </w:r>
      <w:r>
        <w:rPr>
          <w:rFonts w:ascii="Times New Roman" w:hAnsi="Times New Roman" w:hint="eastAsia"/>
        </w:rPr>
        <w:t>斗米咀采区</w:t>
      </w:r>
      <w:r>
        <w:rPr>
          <w:rFonts w:ascii="Times New Roman" w:hAnsi="Times New Roman"/>
        </w:rPr>
        <w:t>拟采用</w:t>
      </w:r>
      <w:r>
        <w:rPr>
          <w:rFonts w:ascii="Times New Roman" w:hAnsi="Times New Roman" w:hint="eastAsia"/>
        </w:rPr>
        <w:t>1</w:t>
      </w:r>
      <w:r>
        <w:rPr>
          <w:rFonts w:ascii="Times New Roman" w:hAnsi="Times New Roman"/>
        </w:rPr>
        <w:t>艘</w:t>
      </w:r>
      <w:r>
        <w:rPr>
          <w:rFonts w:ascii="Times New Roman" w:hAnsi="Times New Roman" w:hint="eastAsia"/>
        </w:rPr>
        <w:t>吸管式吸泵挖砂式采砂工作船</w:t>
      </w:r>
      <w:r>
        <w:rPr>
          <w:rFonts w:ascii="Times New Roman" w:hAnsi="Times New Roman"/>
        </w:rPr>
        <w:t>采砂，吸砂功率为</w:t>
      </w:r>
      <w:r>
        <w:rPr>
          <w:rFonts w:ascii="Times New Roman" w:hAnsi="Times New Roman" w:hint="eastAsia"/>
        </w:rPr>
        <w:t>日采砂量</w:t>
      </w:r>
      <w:r>
        <w:rPr>
          <w:rFonts w:ascii="Times New Roman" w:hAnsi="Times New Roman" w:hint="eastAsia"/>
        </w:rPr>
        <w:t>5000-8000t</w:t>
      </w:r>
      <w:r>
        <w:rPr>
          <w:rFonts w:ascii="Times New Roman" w:hAnsi="Times New Roman"/>
        </w:rPr>
        <w:t>，抽吸上来的砂通过皮带输送至运砂船，</w:t>
      </w:r>
      <w:r>
        <w:rPr>
          <w:rFonts w:ascii="Times New Roman" w:hAnsi="Times New Roman"/>
          <w:u w:val="single"/>
        </w:rPr>
        <w:t>运砂船将砂石</w:t>
      </w:r>
      <w:r>
        <w:rPr>
          <w:rFonts w:ascii="Times New Roman" w:hAnsi="Times New Roman" w:hint="eastAsia"/>
          <w:u w:val="single"/>
        </w:rPr>
        <w:t>直接运往买家砂场堆放或</w:t>
      </w:r>
      <w:r>
        <w:rPr>
          <w:rFonts w:ascii="Times New Roman" w:hAnsi="Times New Roman"/>
          <w:u w:val="single"/>
        </w:rPr>
        <w:t>运至湘阴县河道砂石综合执法局现有的三个堆砂场（</w:t>
      </w:r>
      <w:r>
        <w:rPr>
          <w:rFonts w:ascii="Times New Roman" w:hAnsi="Times New Roman" w:hint="eastAsia"/>
          <w:u w:val="single"/>
        </w:rPr>
        <w:t>易婆塘采区运往易婆塘砂石场、燎原砂石场，斗米咀采区运往港口砂石场</w:t>
      </w:r>
      <w:r>
        <w:rPr>
          <w:rFonts w:ascii="Times New Roman" w:hAnsi="Times New Roman"/>
          <w:u w:val="single"/>
        </w:rPr>
        <w:t>），这三个堆料场</w:t>
      </w:r>
      <w:r>
        <w:rPr>
          <w:rFonts w:ascii="Times New Roman" w:hAnsi="Times New Roman" w:hint="eastAsia"/>
          <w:u w:val="single"/>
        </w:rPr>
        <w:t>为湘阴县水务局合法成立的堆料场，已</w:t>
      </w:r>
      <w:r>
        <w:rPr>
          <w:rFonts w:ascii="Times New Roman" w:hAnsi="Times New Roman"/>
          <w:u w:val="single"/>
        </w:rPr>
        <w:t>运行多年，不在本次评价范围之内。</w:t>
      </w:r>
    </w:p>
    <w:p w:rsidR="004B4777" w:rsidRDefault="004B4777">
      <w:pPr>
        <w:pStyle w:val="4"/>
        <w:spacing w:before="0" w:after="0"/>
        <w:rPr>
          <w:rFonts w:ascii="Times New Roman" w:eastAsia="宋体" w:hAnsi="Times New Roman" w:hint="eastAsia"/>
          <w:b/>
          <w:u w:val="single"/>
        </w:rPr>
      </w:pPr>
      <w:r>
        <w:rPr>
          <w:rFonts w:ascii="Times New Roman" w:eastAsia="宋体" w:hAnsi="Times New Roman" w:hint="eastAsia"/>
          <w:b/>
          <w:u w:val="single"/>
        </w:rPr>
        <w:t>4</w:t>
      </w:r>
      <w:r>
        <w:rPr>
          <w:rFonts w:ascii="Times New Roman" w:eastAsia="宋体" w:hAnsi="Times New Roman"/>
          <w:b/>
          <w:u w:val="single"/>
        </w:rPr>
        <w:t>.</w:t>
      </w:r>
      <w:r>
        <w:rPr>
          <w:rFonts w:ascii="Times New Roman" w:eastAsia="宋体" w:hAnsi="Times New Roman" w:hint="eastAsia"/>
          <w:b/>
          <w:u w:val="single"/>
        </w:rPr>
        <w:t>1</w:t>
      </w:r>
      <w:r>
        <w:rPr>
          <w:rFonts w:ascii="Times New Roman" w:eastAsia="宋体" w:hAnsi="Times New Roman"/>
          <w:b/>
          <w:u w:val="single"/>
        </w:rPr>
        <w:t>.</w:t>
      </w:r>
      <w:r>
        <w:rPr>
          <w:rFonts w:ascii="Times New Roman" w:eastAsia="宋体" w:hAnsi="Times New Roman" w:hint="eastAsia"/>
          <w:b/>
          <w:u w:val="single"/>
        </w:rPr>
        <w:t>1</w:t>
      </w:r>
      <w:r>
        <w:rPr>
          <w:rFonts w:ascii="Times New Roman" w:eastAsia="宋体" w:hAnsi="Times New Roman"/>
          <w:b/>
          <w:u w:val="single"/>
        </w:rPr>
        <w:t xml:space="preserve">.1 </w:t>
      </w:r>
      <w:r>
        <w:rPr>
          <w:rFonts w:ascii="Times New Roman" w:eastAsia="宋体" w:hAnsi="Times New Roman" w:hint="eastAsia"/>
          <w:b/>
          <w:u w:val="single"/>
        </w:rPr>
        <w:t>采砂船船型</w:t>
      </w:r>
    </w:p>
    <w:p w:rsidR="004B4777" w:rsidRDefault="004B4777">
      <w:pPr>
        <w:ind w:firstLine="480"/>
        <w:rPr>
          <w:rFonts w:ascii="Times New Roman" w:hAnsi="Times New Roman" w:hint="eastAsia"/>
          <w:u w:val="single"/>
        </w:rPr>
      </w:pPr>
      <w:r>
        <w:rPr>
          <w:rFonts w:ascii="Times New Roman" w:hAnsi="Times New Roman" w:hint="eastAsia"/>
          <w:u w:val="single"/>
        </w:rPr>
        <w:t>链条挖斗式：挖砂船：从河道湖泊水库中提取沙子资源的机械船只，开采方式为链条挖斗式，工作量达</w:t>
      </w:r>
      <w:r>
        <w:rPr>
          <w:rFonts w:ascii="Times New Roman" w:hAnsi="Times New Roman" w:hint="eastAsia"/>
          <w:u w:val="single"/>
        </w:rPr>
        <w:t>60</w:t>
      </w:r>
      <w:r>
        <w:rPr>
          <w:rFonts w:ascii="Times New Roman" w:hAnsi="Times New Roman" w:hint="eastAsia"/>
          <w:u w:val="single"/>
        </w:rPr>
        <w:t>～</w:t>
      </w:r>
      <w:r>
        <w:rPr>
          <w:rFonts w:ascii="Times New Roman" w:hAnsi="Times New Roman" w:hint="eastAsia"/>
          <w:u w:val="single"/>
        </w:rPr>
        <w:t>150m</w:t>
      </w:r>
      <w:r>
        <w:rPr>
          <w:rFonts w:ascii="Times New Roman" w:hAnsi="Times New Roman" w:hint="eastAsia"/>
          <w:u w:val="single"/>
          <w:vertAlign w:val="superscript"/>
        </w:rPr>
        <w:t>3</w:t>
      </w:r>
      <w:r>
        <w:rPr>
          <w:rFonts w:ascii="Times New Roman" w:hAnsi="Times New Roman" w:hint="eastAsia"/>
          <w:u w:val="single"/>
        </w:rPr>
        <w:t>/</w:t>
      </w:r>
      <w:r>
        <w:rPr>
          <w:rFonts w:ascii="Times New Roman" w:hAnsi="Times New Roman" w:hint="eastAsia"/>
          <w:u w:val="single"/>
        </w:rPr>
        <w:t>小时，动力为柴油机或电机，价格</w:t>
      </w:r>
      <w:r>
        <w:rPr>
          <w:rFonts w:ascii="Times New Roman" w:hAnsi="Times New Roman" w:hint="eastAsia"/>
          <w:u w:val="single"/>
        </w:rPr>
        <w:t>10</w:t>
      </w:r>
      <w:r>
        <w:rPr>
          <w:rFonts w:ascii="Times New Roman" w:hAnsi="Times New Roman" w:hint="eastAsia"/>
          <w:u w:val="single"/>
        </w:rPr>
        <w:t>～</w:t>
      </w:r>
      <w:r>
        <w:rPr>
          <w:rFonts w:ascii="Times New Roman" w:hAnsi="Times New Roman" w:hint="eastAsia"/>
          <w:u w:val="single"/>
        </w:rPr>
        <w:t>30</w:t>
      </w:r>
      <w:r>
        <w:rPr>
          <w:rFonts w:ascii="Times New Roman" w:hAnsi="Times New Roman" w:hint="eastAsia"/>
          <w:u w:val="single"/>
        </w:rPr>
        <w:t>万不等。但是在距离岸边远时，须用传送带式或者配套运输船或者大扬程打沙泵（</w:t>
      </w:r>
      <w:r>
        <w:rPr>
          <w:rFonts w:ascii="Times New Roman" w:hAnsi="Times New Roman" w:hint="eastAsia"/>
          <w:u w:val="single"/>
        </w:rPr>
        <w:t>10</w:t>
      </w:r>
      <w:r>
        <w:rPr>
          <w:rFonts w:ascii="Times New Roman" w:hAnsi="Times New Roman" w:hint="eastAsia"/>
          <w:u w:val="single"/>
        </w:rPr>
        <w:t>～</w:t>
      </w:r>
      <w:r>
        <w:rPr>
          <w:rFonts w:ascii="Times New Roman" w:hAnsi="Times New Roman" w:hint="eastAsia"/>
          <w:u w:val="single"/>
        </w:rPr>
        <w:t>100m</w:t>
      </w:r>
      <w:r>
        <w:rPr>
          <w:rFonts w:ascii="Times New Roman" w:hAnsi="Times New Roman" w:hint="eastAsia"/>
          <w:u w:val="single"/>
        </w:rPr>
        <w:t>左右）。该采砂船适合于粗砂、卵石含量较多河段采砂。</w:t>
      </w:r>
    </w:p>
    <w:p w:rsidR="004B4777" w:rsidRDefault="004B4777">
      <w:pPr>
        <w:ind w:firstLine="480"/>
        <w:rPr>
          <w:rFonts w:ascii="Times New Roman" w:hAnsi="Times New Roman" w:hint="eastAsia"/>
          <w:u w:val="single"/>
        </w:rPr>
      </w:pPr>
      <w:r>
        <w:rPr>
          <w:rFonts w:ascii="Times New Roman" w:hAnsi="Times New Roman" w:hint="eastAsia"/>
          <w:u w:val="single"/>
        </w:rPr>
        <w:t>抽沙泵式：抽沙船：从河道湖泊水库中抽取沙子资源的机械船只，开采方式为抽沙泵式，工作量可达</w:t>
      </w:r>
      <w:r>
        <w:rPr>
          <w:rFonts w:ascii="Times New Roman" w:hAnsi="Times New Roman" w:hint="eastAsia"/>
          <w:u w:val="single"/>
        </w:rPr>
        <w:t>60</w:t>
      </w:r>
      <w:r>
        <w:rPr>
          <w:rFonts w:ascii="Times New Roman" w:hAnsi="Times New Roman" w:hint="eastAsia"/>
          <w:u w:val="single"/>
        </w:rPr>
        <w:t>～</w:t>
      </w:r>
      <w:r>
        <w:rPr>
          <w:rFonts w:ascii="Times New Roman" w:hAnsi="Times New Roman" w:hint="eastAsia"/>
          <w:u w:val="single"/>
        </w:rPr>
        <w:t>250m</w:t>
      </w:r>
      <w:r>
        <w:rPr>
          <w:rFonts w:ascii="Times New Roman" w:hAnsi="Times New Roman" w:hint="eastAsia"/>
          <w:u w:val="single"/>
          <w:vertAlign w:val="superscript"/>
        </w:rPr>
        <w:t>3</w:t>
      </w:r>
      <w:r>
        <w:rPr>
          <w:rFonts w:ascii="Times New Roman" w:hAnsi="Times New Roman" w:hint="eastAsia"/>
          <w:u w:val="single"/>
        </w:rPr>
        <w:t>/</w:t>
      </w:r>
      <w:r>
        <w:rPr>
          <w:rFonts w:ascii="Times New Roman" w:hAnsi="Times New Roman" w:hint="eastAsia"/>
          <w:u w:val="single"/>
        </w:rPr>
        <w:t>小时，动力采用柴油机或发电机组，价格</w:t>
      </w:r>
      <w:r>
        <w:rPr>
          <w:rFonts w:ascii="Times New Roman" w:hAnsi="Times New Roman" w:hint="eastAsia"/>
          <w:u w:val="single"/>
        </w:rPr>
        <w:t>4</w:t>
      </w:r>
      <w:r>
        <w:rPr>
          <w:rFonts w:ascii="Times New Roman" w:hAnsi="Times New Roman" w:hint="eastAsia"/>
          <w:u w:val="single"/>
        </w:rPr>
        <w:t>～</w:t>
      </w:r>
      <w:r>
        <w:rPr>
          <w:rFonts w:ascii="Times New Roman" w:hAnsi="Times New Roman" w:hint="eastAsia"/>
          <w:u w:val="single"/>
        </w:rPr>
        <w:t>200</w:t>
      </w:r>
      <w:r>
        <w:rPr>
          <w:rFonts w:ascii="Times New Roman" w:hAnsi="Times New Roman" w:hint="eastAsia"/>
          <w:u w:val="single"/>
        </w:rPr>
        <w:t>万不等，种类有岸边高效抽沙船和湖中高效抽沙船。抽砂式采砂船为小型采砂船，较适合于河流下游或湖泊采砂</w:t>
      </w:r>
    </w:p>
    <w:p w:rsidR="004B4777" w:rsidRDefault="004B4777">
      <w:pPr>
        <w:ind w:firstLine="480"/>
        <w:rPr>
          <w:rFonts w:ascii="Times New Roman" w:hAnsi="Times New Roman" w:hint="eastAsia"/>
          <w:u w:val="single"/>
        </w:rPr>
      </w:pPr>
      <w:r>
        <w:rPr>
          <w:rFonts w:ascii="Times New Roman" w:hAnsi="Times New Roman" w:hint="eastAsia"/>
          <w:u w:val="single"/>
        </w:rPr>
        <w:t>水采式：水采式采砂工用吸砂泵船从采床吸取砂子，分砂到运砂船的开采方式。</w:t>
      </w:r>
    </w:p>
    <w:p w:rsidR="004B4777" w:rsidRDefault="004B4777">
      <w:pPr>
        <w:ind w:firstLine="480"/>
        <w:rPr>
          <w:rFonts w:ascii="Times New Roman" w:hAnsi="Times New Roman" w:hint="eastAsia"/>
          <w:u w:val="single"/>
        </w:rPr>
      </w:pPr>
      <w:r>
        <w:rPr>
          <w:rFonts w:ascii="Times New Roman" w:hAnsi="Times New Roman" w:hint="eastAsia"/>
          <w:u w:val="single"/>
        </w:rPr>
        <w:t>一般对采砂而言，砂质用途不同，采挖船形式也不同。细砂多用水采式采砂工程船，粗砂则多用链斗式或吊抓式采砂船。其中链斗式采砂船工作时的位置相对比较固定，移动范围小，而且移动速度也慢，吸砂式采砂船工作时分定位和自航吸砂式，前者较为稳定，后者活动范围大、上下移动快，左右摆动大。吊抓式与吸砂式基本相同，但活动采砂时稍比吸砂式慢一点，且范围稍小一点。</w:t>
      </w:r>
    </w:p>
    <w:p w:rsidR="004B4777" w:rsidRDefault="004B4777">
      <w:pPr>
        <w:pStyle w:val="4"/>
        <w:spacing w:before="0" w:after="0"/>
        <w:rPr>
          <w:rFonts w:ascii="Times New Roman" w:eastAsia="宋体" w:hAnsi="Times New Roman" w:hint="eastAsia"/>
          <w:b/>
          <w:u w:val="single"/>
        </w:rPr>
      </w:pPr>
      <w:r>
        <w:rPr>
          <w:rFonts w:ascii="Times New Roman" w:eastAsia="宋体" w:hAnsi="Times New Roman" w:hint="eastAsia"/>
          <w:b/>
          <w:u w:val="single"/>
        </w:rPr>
        <w:lastRenderedPageBreak/>
        <w:t>4</w:t>
      </w:r>
      <w:r>
        <w:rPr>
          <w:rFonts w:ascii="Times New Roman" w:eastAsia="宋体" w:hAnsi="Times New Roman"/>
          <w:b/>
          <w:u w:val="single"/>
        </w:rPr>
        <w:t>.</w:t>
      </w:r>
      <w:r>
        <w:rPr>
          <w:rFonts w:ascii="Times New Roman" w:eastAsia="宋体" w:hAnsi="Times New Roman" w:hint="eastAsia"/>
          <w:b/>
          <w:u w:val="single"/>
        </w:rPr>
        <w:t>1</w:t>
      </w:r>
      <w:r>
        <w:rPr>
          <w:rFonts w:ascii="Times New Roman" w:eastAsia="宋体" w:hAnsi="Times New Roman"/>
          <w:b/>
          <w:u w:val="single"/>
        </w:rPr>
        <w:t>.</w:t>
      </w:r>
      <w:r>
        <w:rPr>
          <w:rFonts w:ascii="Times New Roman" w:eastAsia="宋体" w:hAnsi="Times New Roman" w:hint="eastAsia"/>
          <w:b/>
          <w:u w:val="single"/>
        </w:rPr>
        <w:t>1</w:t>
      </w:r>
      <w:r>
        <w:rPr>
          <w:rFonts w:ascii="Times New Roman" w:eastAsia="宋体" w:hAnsi="Times New Roman"/>
          <w:b/>
          <w:u w:val="single"/>
        </w:rPr>
        <w:t>.</w:t>
      </w:r>
      <w:r>
        <w:rPr>
          <w:rFonts w:ascii="Times New Roman" w:eastAsia="宋体" w:hAnsi="Times New Roman" w:hint="eastAsia"/>
          <w:b/>
          <w:u w:val="single"/>
        </w:rPr>
        <w:t>2</w:t>
      </w:r>
      <w:r>
        <w:rPr>
          <w:rFonts w:ascii="Times New Roman" w:eastAsia="宋体" w:hAnsi="Times New Roman"/>
          <w:b/>
          <w:u w:val="single"/>
        </w:rPr>
        <w:t xml:space="preserve"> </w:t>
      </w:r>
      <w:r>
        <w:rPr>
          <w:rFonts w:ascii="Times New Roman" w:eastAsia="宋体" w:hAnsi="Times New Roman" w:hint="eastAsia"/>
          <w:b/>
          <w:u w:val="single"/>
        </w:rPr>
        <w:t>采砂船采挖方法</w:t>
      </w:r>
    </w:p>
    <w:p w:rsidR="004B4777" w:rsidRDefault="004B4777">
      <w:pPr>
        <w:ind w:firstLine="480"/>
        <w:rPr>
          <w:rFonts w:ascii="Times New Roman" w:hAnsi="Times New Roman" w:hint="eastAsia"/>
          <w:u w:val="single"/>
        </w:rPr>
      </w:pPr>
      <w:r>
        <w:rPr>
          <w:rFonts w:ascii="Times New Roman" w:hAnsi="Times New Roman" w:hint="eastAsia"/>
          <w:u w:val="single"/>
        </w:rPr>
        <w:t>采砂船采挖法指采砂船在工作面上的采挖顺序，也称回采方法。采挖法可分为分层回采法和掏槽采挖法两类。</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1</w:t>
      </w:r>
      <w:r>
        <w:rPr>
          <w:rFonts w:ascii="Times New Roman" w:hAnsi="Times New Roman" w:hint="eastAsia"/>
          <w:u w:val="single"/>
        </w:rPr>
        <w:t>）分层回采法</w:t>
      </w:r>
    </w:p>
    <w:p w:rsidR="004B4777" w:rsidRDefault="004B4777">
      <w:pPr>
        <w:ind w:firstLine="480"/>
        <w:rPr>
          <w:rFonts w:ascii="Times New Roman" w:hAnsi="Times New Roman" w:hint="eastAsia"/>
          <w:u w:val="single"/>
        </w:rPr>
      </w:pPr>
      <w:r>
        <w:rPr>
          <w:rFonts w:ascii="Times New Roman" w:hAnsi="Times New Roman" w:hint="eastAsia"/>
          <w:u w:val="single"/>
        </w:rPr>
        <w:t>采砂船在工作面自上而下逐层回采，直至底板；船前移一个步距，又自上而下分层回采。优点是可根据土岩性质调整采挖的分层厚度，易于控制满斗系数，供矿均匀利于稳定选矿回收率，土岩平均提升高度小，易于操作管理。根据船的轴线与工作面中心线相对位置和一次采挖工作面的宽度，分层回采法又可分为正、斜全工作面回采法及半工作面回采法等三种。</w:t>
      </w:r>
    </w:p>
    <w:p w:rsidR="004B4777" w:rsidRDefault="004B4777">
      <w:pPr>
        <w:ind w:firstLine="480"/>
        <w:rPr>
          <w:rFonts w:ascii="Times New Roman" w:hAnsi="Times New Roman" w:hint="eastAsia"/>
          <w:u w:val="single"/>
        </w:rPr>
      </w:pPr>
      <w:r>
        <w:rPr>
          <w:rFonts w:ascii="Times New Roman" w:hAnsi="Times New Roman"/>
          <w:u w:val="single"/>
        </w:rPr>
        <w:fldChar w:fldCharType="begin"/>
      </w:r>
      <w:r>
        <w:rPr>
          <w:rFonts w:ascii="Times New Roman" w:hAnsi="Times New Roman"/>
          <w:u w:val="single"/>
        </w:rPr>
        <w:instrText xml:space="preserve"> </w:instrText>
      </w:r>
      <w:r>
        <w:rPr>
          <w:rFonts w:ascii="Times New Roman" w:hAnsi="Times New Roman" w:hint="eastAsia"/>
          <w:u w:val="single"/>
        </w:rPr>
        <w:instrText>= 1 \* GB3</w:instrText>
      </w:r>
      <w:r>
        <w:rPr>
          <w:rFonts w:ascii="Times New Roman" w:hAnsi="Times New Roman"/>
          <w:u w:val="single"/>
        </w:rPr>
        <w:instrText xml:space="preserve"> </w:instrText>
      </w:r>
      <w:r>
        <w:rPr>
          <w:rFonts w:ascii="Times New Roman" w:hAnsi="Times New Roman"/>
          <w:u w:val="single"/>
        </w:rPr>
        <w:fldChar w:fldCharType="separate"/>
      </w:r>
      <w:r>
        <w:rPr>
          <w:rFonts w:ascii="Times New Roman" w:hAnsi="Times New Roman" w:hint="eastAsia"/>
          <w:u w:val="single"/>
          <w:lang w:val="en-US" w:eastAsia="zh-CN"/>
        </w:rPr>
        <w:t>①</w:t>
      </w:r>
      <w:r>
        <w:rPr>
          <w:rFonts w:ascii="Times New Roman" w:hAnsi="Times New Roman"/>
          <w:u w:val="single"/>
        </w:rPr>
        <w:fldChar w:fldCharType="end"/>
      </w:r>
      <w:r>
        <w:rPr>
          <w:rFonts w:ascii="Times New Roman" w:hAnsi="Times New Roman" w:hint="eastAsia"/>
          <w:u w:val="single"/>
        </w:rPr>
        <w:t>正工作面回采法。船的轴线与工作面中心线相重合，船左右调动的角度基本相等，尾砂砾石堆位于中间。此法的优点是满斗系数较高和船的调动绞车的负荷均匀；主要缺点是当开采厚度较大的砂矿体时，尾砂堆在侧面可能出现压矿，增大砂矿的贫化和损失。</w:t>
      </w:r>
    </w:p>
    <w:p w:rsidR="004B4777" w:rsidRDefault="004B4777">
      <w:pPr>
        <w:ind w:firstLine="480"/>
        <w:rPr>
          <w:rFonts w:ascii="Times New Roman" w:hAnsi="Times New Roman" w:hint="eastAsia"/>
          <w:u w:val="single"/>
        </w:rPr>
      </w:pPr>
      <w:r>
        <w:rPr>
          <w:rFonts w:ascii="Times New Roman" w:hAnsi="Times New Roman"/>
          <w:u w:val="single"/>
        </w:rPr>
        <w:fldChar w:fldCharType="begin"/>
      </w:r>
      <w:r>
        <w:rPr>
          <w:rFonts w:ascii="Times New Roman" w:hAnsi="Times New Roman"/>
          <w:u w:val="single"/>
        </w:rPr>
        <w:instrText xml:space="preserve"> </w:instrText>
      </w:r>
      <w:r>
        <w:rPr>
          <w:rFonts w:ascii="Times New Roman" w:hAnsi="Times New Roman" w:hint="eastAsia"/>
          <w:u w:val="single"/>
        </w:rPr>
        <w:instrText>= 2 \* GB3</w:instrText>
      </w:r>
      <w:r>
        <w:rPr>
          <w:rFonts w:ascii="Times New Roman" w:hAnsi="Times New Roman"/>
          <w:u w:val="single"/>
        </w:rPr>
        <w:instrText xml:space="preserve"> </w:instrText>
      </w:r>
      <w:r>
        <w:rPr>
          <w:rFonts w:ascii="Times New Roman" w:hAnsi="Times New Roman"/>
          <w:u w:val="single"/>
        </w:rPr>
        <w:fldChar w:fldCharType="separate"/>
      </w:r>
      <w:r>
        <w:rPr>
          <w:rFonts w:ascii="Times New Roman" w:hAnsi="Times New Roman" w:hint="eastAsia"/>
          <w:u w:val="single"/>
          <w:lang w:val="en-US" w:eastAsia="zh-CN"/>
        </w:rPr>
        <w:t>②</w:t>
      </w:r>
      <w:r>
        <w:rPr>
          <w:rFonts w:ascii="Times New Roman" w:hAnsi="Times New Roman"/>
          <w:u w:val="single"/>
        </w:rPr>
        <w:fldChar w:fldCharType="end"/>
      </w:r>
      <w:r>
        <w:rPr>
          <w:rFonts w:ascii="Times New Roman" w:hAnsi="Times New Roman" w:hint="eastAsia"/>
          <w:u w:val="single"/>
        </w:rPr>
        <w:t>斜工作面回采法。这是针对正工作面回采法的缺点而出现的，当船的轴线偏离工作面中心线一定距离时，可使尾砂堆偏向某一侧，从而避免另一侧压矿。</w:t>
      </w:r>
    </w:p>
    <w:p w:rsidR="004B4777" w:rsidRDefault="004B4777">
      <w:pPr>
        <w:ind w:firstLine="480"/>
        <w:rPr>
          <w:rFonts w:ascii="Times New Roman" w:hAnsi="Times New Roman" w:hint="eastAsia"/>
          <w:u w:val="single"/>
        </w:rPr>
      </w:pPr>
      <w:r>
        <w:rPr>
          <w:rFonts w:ascii="Times New Roman" w:hAnsi="Times New Roman"/>
          <w:u w:val="single"/>
        </w:rPr>
        <w:fldChar w:fldCharType="begin"/>
      </w:r>
      <w:r>
        <w:rPr>
          <w:rFonts w:ascii="Times New Roman" w:hAnsi="Times New Roman"/>
          <w:u w:val="single"/>
        </w:rPr>
        <w:instrText xml:space="preserve"> </w:instrText>
      </w:r>
      <w:r>
        <w:rPr>
          <w:rFonts w:ascii="Times New Roman" w:hAnsi="Times New Roman" w:hint="eastAsia"/>
          <w:u w:val="single"/>
        </w:rPr>
        <w:instrText>= 3 \* GB3</w:instrText>
      </w:r>
      <w:r>
        <w:rPr>
          <w:rFonts w:ascii="Times New Roman" w:hAnsi="Times New Roman"/>
          <w:u w:val="single"/>
        </w:rPr>
        <w:instrText xml:space="preserve"> </w:instrText>
      </w:r>
      <w:r>
        <w:rPr>
          <w:rFonts w:ascii="Times New Roman" w:hAnsi="Times New Roman"/>
          <w:u w:val="single"/>
        </w:rPr>
        <w:fldChar w:fldCharType="separate"/>
      </w:r>
      <w:r>
        <w:rPr>
          <w:rFonts w:ascii="Times New Roman" w:hAnsi="Times New Roman" w:hint="eastAsia"/>
          <w:u w:val="single"/>
          <w:lang w:val="en-US" w:eastAsia="zh-CN"/>
        </w:rPr>
        <w:t>③</w:t>
      </w:r>
      <w:r>
        <w:rPr>
          <w:rFonts w:ascii="Times New Roman" w:hAnsi="Times New Roman"/>
          <w:u w:val="single"/>
        </w:rPr>
        <w:fldChar w:fldCharType="end"/>
      </w:r>
      <w:r>
        <w:rPr>
          <w:rFonts w:ascii="Times New Roman" w:hAnsi="Times New Roman" w:hint="eastAsia"/>
          <w:u w:val="single"/>
        </w:rPr>
        <w:t>半工作面回采法。将一个工作面大致视为左右两半，先自上而下分层采挖其中的一半，直至底板，再紧接着采挖余下的一半，然后船向前移动一个步距，再又轮流回采。该法适用于工作面的土岩性质区别较大，或者土岩含有巨砾的条件下。掏槽采挖法采砂船的斗链或吸管架首先下放到矿层底部或中间某一高度上，沿水平掏槽，槽上部土岩崩落下来，然后又回采崩落的土岩并清理底板。该法适用于开采具有尾砂砾堆的老采区、水上干帮较高或表层冻结的砂矿。</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2</w:t>
      </w:r>
      <w:r>
        <w:rPr>
          <w:rFonts w:ascii="Times New Roman" w:hAnsi="Times New Roman" w:hint="eastAsia"/>
          <w:u w:val="single"/>
        </w:rPr>
        <w:t>）掏槽采挖法</w:t>
      </w:r>
    </w:p>
    <w:p w:rsidR="004B4777" w:rsidRDefault="004B4777">
      <w:pPr>
        <w:ind w:firstLine="480"/>
        <w:rPr>
          <w:rFonts w:ascii="Times New Roman" w:hAnsi="Times New Roman" w:hint="eastAsia"/>
          <w:u w:val="single"/>
        </w:rPr>
      </w:pPr>
      <w:r>
        <w:rPr>
          <w:rFonts w:ascii="Times New Roman" w:hAnsi="Times New Roman" w:hint="eastAsia"/>
          <w:u w:val="single"/>
        </w:rPr>
        <w:t>采砂船的斗链或吸管架首先下放到矿层底部或中间某一高度上，沿水平掏槽，槽上部土岩崩落下来。然后又向采崩落的土岩并清理底板。该法适用于开采具有尾砂砾堆的老采区、水上下帮较高或表层冻结的砂矿。</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3</w:t>
      </w:r>
      <w:r>
        <w:rPr>
          <w:rFonts w:ascii="Times New Roman" w:hAnsi="Times New Roman" w:hint="eastAsia"/>
          <w:u w:val="single"/>
        </w:rPr>
        <w:t>）采区作业方式、采砂船功率及数量比选</w:t>
      </w:r>
    </w:p>
    <w:p w:rsidR="004B4777" w:rsidRDefault="004B4777">
      <w:pPr>
        <w:ind w:firstLine="480"/>
        <w:rPr>
          <w:rFonts w:ascii="Times New Roman" w:hAnsi="Times New Roman" w:hint="eastAsia"/>
          <w:u w:val="single"/>
        </w:rPr>
      </w:pPr>
      <w:r>
        <w:rPr>
          <w:rFonts w:ascii="Times New Roman" w:hAnsi="Times New Roman" w:hint="eastAsia"/>
          <w:u w:val="single"/>
        </w:rPr>
        <w:t>一般而言，铲车、链斗式及抓斗式采砂船对河势的影响较小，挖掘机、吸砂船，特别是大功率吸砂船对河势影响较大。根据河势、河岸稳定程度、两岸堤防的重要性等条件确定河段最有利的开采方式。可采区开采方式均为水采。</w:t>
      </w:r>
    </w:p>
    <w:p w:rsidR="004B4777" w:rsidRDefault="004B4777">
      <w:pPr>
        <w:ind w:firstLine="480"/>
        <w:rPr>
          <w:rFonts w:ascii="Times New Roman" w:hAnsi="Times New Roman" w:hint="eastAsia"/>
          <w:u w:val="single"/>
        </w:rPr>
      </w:pPr>
      <w:r>
        <w:rPr>
          <w:rFonts w:ascii="Times New Roman" w:hAnsi="Times New Roman" w:hint="eastAsia"/>
          <w:u w:val="single"/>
        </w:rPr>
        <w:lastRenderedPageBreak/>
        <w:t>为避免采砂船只过多影响航运安全，同时为减少采砂机具对水体的污染和对水生态环境的影响，应对采砂机具的功率及数量进行控制。对河道较窄、河道边界条件较差的河段采砂船的最大功率从严控制，防止对堤防安全和河势稳定造成较大影响。采砂作业集中船只过多，一是影响航运交通，甚至发生海损事故；二是造成底泥中吸附的重金属和其它有害物质大量渗入水中，致使大范围的水体悬浮物浓度增加，污染水质；三是采砂、运砂船只本身产生的油污、生活污水、垃圾排放量增加，影响了水环境与水生态的保护。因此，必须对可采区内采砂船只的数量进行控制。据典型调查，一艘采砂船一般带有</w:t>
      </w:r>
      <w:r>
        <w:rPr>
          <w:rFonts w:ascii="Times New Roman" w:hAnsi="Times New Roman" w:hint="eastAsia"/>
          <w:u w:val="single"/>
        </w:rPr>
        <w:t>2</w:t>
      </w:r>
      <w:r>
        <w:rPr>
          <w:rFonts w:ascii="Times New Roman" w:hAnsi="Times New Roman" w:hint="eastAsia"/>
          <w:u w:val="single"/>
        </w:rPr>
        <w:t>～</w:t>
      </w:r>
      <w:r>
        <w:rPr>
          <w:rFonts w:ascii="Times New Roman" w:hAnsi="Times New Roman" w:hint="eastAsia"/>
          <w:u w:val="single"/>
        </w:rPr>
        <w:t>3</w:t>
      </w:r>
      <w:r>
        <w:rPr>
          <w:rFonts w:ascii="Times New Roman" w:hAnsi="Times New Roman" w:hint="eastAsia"/>
          <w:u w:val="single"/>
        </w:rPr>
        <w:t>艘运砂船，而且越往下游船型越大，这与河面宽、吃水深、河砂储量有关，因此，各采区的采砂船只控制数量应在发放采砂许可证时，根据采区长度、控制采砂量、采砂船生产能力、作业方式等具体情况确定。</w:t>
      </w:r>
    </w:p>
    <w:p w:rsidR="004B4777" w:rsidRDefault="004B4777">
      <w:pPr>
        <w:ind w:firstLine="480"/>
        <w:rPr>
          <w:rFonts w:ascii="Times New Roman" w:hAnsi="Times New Roman"/>
          <w:u w:val="single"/>
        </w:rPr>
      </w:pPr>
      <w:r>
        <w:rPr>
          <w:rFonts w:ascii="Times New Roman" w:hAnsi="Times New Roman" w:hint="eastAsia"/>
          <w:u w:val="single"/>
        </w:rPr>
        <w:t>根据上述要求，结合湘江洪道及洞庭湖河道现有挖沙船的实际情况，采区砂质为细砂，少卵石的特点，确定易婆塘采区采砂方式——水采式，采砂船为水采式采砂工程船，易婆塘采区置</w:t>
      </w:r>
      <w:r>
        <w:rPr>
          <w:rFonts w:ascii="Times New Roman" w:hAnsi="Times New Roman" w:hint="eastAsia"/>
          <w:u w:val="single"/>
        </w:rPr>
        <w:t>6</w:t>
      </w:r>
      <w:r>
        <w:rPr>
          <w:rFonts w:ascii="Times New Roman" w:hAnsi="Times New Roman" w:hint="eastAsia"/>
          <w:u w:val="single"/>
        </w:rPr>
        <w:t>艘采砂船，采砂船功率不超过</w:t>
      </w:r>
      <w:r>
        <w:rPr>
          <w:rFonts w:ascii="Times New Roman" w:hAnsi="Times New Roman" w:hint="eastAsia"/>
          <w:u w:val="single"/>
        </w:rPr>
        <w:t>2600kw</w:t>
      </w:r>
      <w:r>
        <w:rPr>
          <w:rFonts w:ascii="Times New Roman" w:hAnsi="Times New Roman" w:hint="eastAsia"/>
          <w:u w:val="single"/>
        </w:rPr>
        <w:t>；斗米咀采区采砂方式——水采式，采砂船为水采式采砂工程船，斗米咀采区置</w:t>
      </w:r>
      <w:r>
        <w:rPr>
          <w:rFonts w:ascii="Times New Roman" w:hAnsi="Times New Roman" w:hint="eastAsia"/>
          <w:u w:val="single"/>
        </w:rPr>
        <w:t>1</w:t>
      </w:r>
      <w:r>
        <w:rPr>
          <w:rFonts w:ascii="Times New Roman" w:hAnsi="Times New Roman" w:hint="eastAsia"/>
          <w:u w:val="single"/>
        </w:rPr>
        <w:t>艘采砂船，采砂船功率不超过</w:t>
      </w:r>
      <w:r>
        <w:rPr>
          <w:rFonts w:ascii="Times New Roman" w:hAnsi="Times New Roman" w:hint="eastAsia"/>
          <w:u w:val="single"/>
        </w:rPr>
        <w:t>2600kw</w:t>
      </w:r>
      <w:r>
        <w:rPr>
          <w:rFonts w:ascii="Times New Roman" w:hAnsi="Times New Roman" w:hint="eastAsia"/>
          <w:u w:val="single"/>
        </w:rPr>
        <w:t>。</w:t>
      </w:r>
    </w:p>
    <w:p w:rsidR="004B4777" w:rsidRDefault="004B4777">
      <w:pPr>
        <w:pStyle w:val="3"/>
        <w:spacing w:before="0" w:after="0"/>
        <w:rPr>
          <w:rFonts w:ascii="Times New Roman" w:eastAsia="宋体" w:hAnsi="Times New Roman"/>
          <w:b/>
        </w:rPr>
      </w:pPr>
      <w:r>
        <w:rPr>
          <w:rFonts w:ascii="Times New Roman" w:eastAsia="宋体" w:hAnsi="Times New Roman"/>
          <w:b/>
        </w:rPr>
        <w:t xml:space="preserve">4.1.2 </w:t>
      </w:r>
      <w:r>
        <w:rPr>
          <w:rFonts w:ascii="Times New Roman" w:eastAsia="宋体" w:hAnsi="Times New Roman"/>
          <w:b/>
        </w:rPr>
        <w:t>采砂船型</w:t>
      </w:r>
    </w:p>
    <w:p w:rsidR="004B4777" w:rsidRDefault="004B4777">
      <w:pPr>
        <w:ind w:firstLine="480"/>
        <w:jc w:val="left"/>
        <w:rPr>
          <w:rFonts w:ascii="Times New Roman" w:hAnsi="Times New Roman" w:hint="eastAsia"/>
          <w:b/>
        </w:rPr>
      </w:pPr>
      <w:r>
        <w:rPr>
          <w:rFonts w:ascii="Times New Roman" w:hAnsi="Times New Roman" w:hint="eastAsia"/>
        </w:rPr>
        <w:t>易婆塘采区</w:t>
      </w:r>
      <w:r>
        <w:rPr>
          <w:rFonts w:ascii="Times New Roman" w:hAnsi="Times New Roman"/>
        </w:rPr>
        <w:t>拟采用</w:t>
      </w:r>
      <w:r>
        <w:rPr>
          <w:rFonts w:ascii="Times New Roman" w:hAnsi="Times New Roman" w:hint="eastAsia"/>
        </w:rPr>
        <w:t>6</w:t>
      </w:r>
      <w:r>
        <w:rPr>
          <w:rFonts w:ascii="Times New Roman" w:hAnsi="Times New Roman"/>
        </w:rPr>
        <w:t>艘吸管式吸泵挖砂式采砂船，</w:t>
      </w:r>
      <w:r>
        <w:rPr>
          <w:rFonts w:ascii="Times New Roman" w:hAnsi="Times New Roman" w:hint="eastAsia"/>
        </w:rPr>
        <w:t>斗米咀采区</w:t>
      </w:r>
      <w:r>
        <w:rPr>
          <w:rFonts w:ascii="Times New Roman" w:hAnsi="Times New Roman"/>
        </w:rPr>
        <w:t>拟采用</w:t>
      </w:r>
      <w:r>
        <w:rPr>
          <w:rFonts w:ascii="Times New Roman" w:hAnsi="Times New Roman" w:hint="eastAsia"/>
        </w:rPr>
        <w:t>1</w:t>
      </w:r>
      <w:r>
        <w:rPr>
          <w:rFonts w:ascii="Times New Roman" w:hAnsi="Times New Roman"/>
        </w:rPr>
        <w:t>艘吸管式吸泵挖砂式采砂船，总吨位约为</w:t>
      </w:r>
      <w:r>
        <w:rPr>
          <w:rFonts w:ascii="Times New Roman" w:hAnsi="Times New Roman" w:hint="eastAsia"/>
        </w:rPr>
        <w:t>10</w:t>
      </w:r>
      <w:r>
        <w:rPr>
          <w:rFonts w:ascii="Times New Roman" w:hAnsi="Times New Roman"/>
        </w:rPr>
        <w:t>00</w:t>
      </w:r>
      <w:r>
        <w:rPr>
          <w:rFonts w:ascii="Times New Roman" w:hAnsi="Times New Roman"/>
        </w:rPr>
        <w:t>吨，船长约为</w:t>
      </w:r>
      <w:r>
        <w:rPr>
          <w:rFonts w:ascii="Times New Roman" w:hAnsi="Times New Roman" w:hint="eastAsia"/>
        </w:rPr>
        <w:t>90</w:t>
      </w:r>
      <w:r>
        <w:rPr>
          <w:rFonts w:ascii="Times New Roman" w:hAnsi="Times New Roman"/>
        </w:rPr>
        <w:t>m</w:t>
      </w:r>
      <w:r>
        <w:rPr>
          <w:rFonts w:ascii="Times New Roman" w:hAnsi="Times New Roman"/>
        </w:rPr>
        <w:t>，</w:t>
      </w:r>
      <w:r>
        <w:rPr>
          <w:rFonts w:ascii="Times New Roman" w:hAnsi="Times New Roman" w:hint="eastAsia"/>
        </w:rPr>
        <w:t>宽约</w:t>
      </w:r>
      <w:r>
        <w:rPr>
          <w:rFonts w:ascii="Times New Roman" w:hAnsi="Times New Roman" w:hint="eastAsia"/>
        </w:rPr>
        <w:t>20m</w:t>
      </w:r>
      <w:r>
        <w:rPr>
          <w:rFonts w:ascii="Times New Roman" w:hAnsi="Times New Roman" w:hint="eastAsia"/>
        </w:rPr>
        <w:t>，高约</w:t>
      </w:r>
      <w:r>
        <w:rPr>
          <w:rFonts w:ascii="Times New Roman" w:hAnsi="Times New Roman" w:hint="eastAsia"/>
        </w:rPr>
        <w:t>20m</w:t>
      </w:r>
      <w:r>
        <w:rPr>
          <w:rFonts w:ascii="Times New Roman" w:hAnsi="Times New Roman" w:hint="eastAsia"/>
        </w:rPr>
        <w:t>，</w:t>
      </w:r>
      <w:r>
        <w:rPr>
          <w:rFonts w:ascii="Times New Roman" w:hAnsi="Times New Roman"/>
        </w:rPr>
        <w:t>满载吃水约</w:t>
      </w:r>
      <w:r>
        <w:rPr>
          <w:rFonts w:ascii="Times New Roman" w:hAnsi="Times New Roman"/>
        </w:rPr>
        <w:t>1.85m</w:t>
      </w:r>
      <w:r>
        <w:rPr>
          <w:rFonts w:ascii="Times New Roman" w:hAnsi="Times New Roman"/>
        </w:rPr>
        <w:t>，最大挖深</w:t>
      </w:r>
      <w:r>
        <w:rPr>
          <w:rFonts w:ascii="Times New Roman" w:hAnsi="Times New Roman"/>
        </w:rPr>
        <w:t>54m</w:t>
      </w:r>
      <w:r>
        <w:rPr>
          <w:rFonts w:ascii="Times New Roman" w:hAnsi="Times New Roman"/>
        </w:rPr>
        <w:t>，最小挖深</w:t>
      </w:r>
      <w:r>
        <w:rPr>
          <w:rFonts w:ascii="Times New Roman" w:hAnsi="Times New Roman"/>
        </w:rPr>
        <w:t>16m</w:t>
      </w:r>
      <w:r>
        <w:rPr>
          <w:rFonts w:ascii="Times New Roman" w:hAnsi="Times New Roman"/>
        </w:rPr>
        <w:t>。拟采用的自卸式皮带船运砂，总吨位约为</w:t>
      </w:r>
      <w:r>
        <w:rPr>
          <w:rFonts w:ascii="Times New Roman" w:hAnsi="Times New Roman"/>
        </w:rPr>
        <w:t>573~736</w:t>
      </w:r>
      <w:r>
        <w:rPr>
          <w:rFonts w:ascii="Times New Roman" w:hAnsi="Times New Roman"/>
        </w:rPr>
        <w:t>吨，净吨位为</w:t>
      </w:r>
      <w:r>
        <w:rPr>
          <w:rFonts w:ascii="Times New Roman" w:hAnsi="Times New Roman"/>
        </w:rPr>
        <w:t>304~412</w:t>
      </w:r>
      <w:r>
        <w:rPr>
          <w:rFonts w:ascii="Times New Roman" w:hAnsi="Times New Roman"/>
        </w:rPr>
        <w:t>吨，船长</w:t>
      </w:r>
      <w:r>
        <w:rPr>
          <w:rFonts w:ascii="Times New Roman" w:hAnsi="Times New Roman"/>
        </w:rPr>
        <w:t>43~50m</w:t>
      </w:r>
      <w:r>
        <w:rPr>
          <w:rFonts w:ascii="Times New Roman" w:hAnsi="Times New Roman"/>
        </w:rPr>
        <w:t>，满载吃水约</w:t>
      </w:r>
      <w:r>
        <w:rPr>
          <w:rFonts w:ascii="Times New Roman" w:hAnsi="Times New Roman"/>
        </w:rPr>
        <w:t>2.5~2.8m</w:t>
      </w:r>
      <w:r>
        <w:rPr>
          <w:rFonts w:ascii="Times New Roman" w:hAnsi="Times New Roman"/>
        </w:rPr>
        <w:t>。</w:t>
      </w:r>
      <w:r w:rsidR="001F6CA0">
        <w:rPr>
          <w:rFonts w:ascii="Times New Roman" w:hAnsi="Times New Roman" w:hint="eastAsia"/>
          <w:b/>
          <w:noProof/>
        </w:rPr>
        <w:lastRenderedPageBreak/>
        <w:drawing>
          <wp:inline distT="0" distB="0" distL="0" distR="0">
            <wp:extent cx="5219700" cy="2695575"/>
            <wp:effectExtent l="1905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7"/>
                    <a:srcRect/>
                    <a:stretch>
                      <a:fillRect/>
                    </a:stretch>
                  </pic:blipFill>
                  <pic:spPr bwMode="auto">
                    <a:xfrm>
                      <a:off x="0" y="0"/>
                      <a:ext cx="5219700" cy="2695575"/>
                    </a:xfrm>
                    <a:prstGeom prst="rect">
                      <a:avLst/>
                    </a:prstGeom>
                    <a:noFill/>
                    <a:ln w="9525">
                      <a:noFill/>
                      <a:miter lim="800000"/>
                      <a:headEnd/>
                      <a:tailEnd/>
                    </a:ln>
                  </pic:spPr>
                </pic:pic>
              </a:graphicData>
            </a:graphic>
          </wp:inline>
        </w:drawing>
      </w:r>
    </w:p>
    <w:p w:rsidR="004B4777" w:rsidRDefault="004B4777">
      <w:pPr>
        <w:ind w:firstLine="482"/>
        <w:jc w:val="center"/>
        <w:rPr>
          <w:rFonts w:ascii="Times New Roman" w:hAnsi="Times New Roman"/>
          <w:b/>
        </w:rPr>
      </w:pPr>
      <w:r>
        <w:rPr>
          <w:rFonts w:ascii="Times New Roman" w:hAnsi="Times New Roman" w:hint="eastAsia"/>
          <w:b/>
        </w:rPr>
        <w:t>图</w:t>
      </w:r>
      <w:r>
        <w:rPr>
          <w:rFonts w:ascii="Times New Roman" w:hAnsi="Times New Roman" w:hint="eastAsia"/>
          <w:b/>
        </w:rPr>
        <w:t>4.1-1</w:t>
      </w:r>
      <w:r>
        <w:rPr>
          <w:rFonts w:ascii="Times New Roman" w:hAnsi="Times New Roman"/>
          <w:b/>
        </w:rPr>
        <w:t>吸管式吸泵挖砂式采砂船</w:t>
      </w:r>
      <w:r w:rsidR="001F6CA0">
        <w:rPr>
          <w:rFonts w:ascii="Times New Roman" w:hAnsi="Times New Roman" w:hint="eastAsia"/>
          <w:b/>
          <w:noProof/>
        </w:rPr>
        <w:drawing>
          <wp:inline distT="0" distB="0" distL="0" distR="0">
            <wp:extent cx="5267325" cy="2962275"/>
            <wp:effectExtent l="1905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a:srcRect/>
                    <a:stretch>
                      <a:fillRect/>
                    </a:stretch>
                  </pic:blipFill>
                  <pic:spPr bwMode="auto">
                    <a:xfrm>
                      <a:off x="0" y="0"/>
                      <a:ext cx="5267325" cy="2962275"/>
                    </a:xfrm>
                    <a:prstGeom prst="rect">
                      <a:avLst/>
                    </a:prstGeom>
                    <a:noFill/>
                    <a:ln w="9525">
                      <a:noFill/>
                      <a:miter lim="800000"/>
                      <a:headEnd/>
                      <a:tailEnd/>
                    </a:ln>
                  </pic:spPr>
                </pic:pic>
              </a:graphicData>
            </a:graphic>
          </wp:inline>
        </w:drawing>
      </w:r>
      <w:r>
        <w:rPr>
          <w:rFonts w:ascii="Times New Roman" w:hAnsi="Times New Roman" w:hint="eastAsia"/>
          <w:b/>
        </w:rPr>
        <w:t>图</w:t>
      </w:r>
      <w:r>
        <w:rPr>
          <w:rFonts w:ascii="Times New Roman" w:hAnsi="Times New Roman" w:hint="eastAsia"/>
          <w:b/>
        </w:rPr>
        <w:t>4.1-2</w:t>
      </w:r>
      <w:r>
        <w:rPr>
          <w:rFonts w:ascii="Times New Roman" w:hAnsi="Times New Roman" w:hint="eastAsia"/>
          <w:b/>
        </w:rPr>
        <w:t>运</w:t>
      </w:r>
      <w:r>
        <w:rPr>
          <w:rFonts w:ascii="Times New Roman" w:hAnsi="Times New Roman"/>
          <w:b/>
        </w:rPr>
        <w:t>砂船</w:t>
      </w:r>
    </w:p>
    <w:p w:rsidR="004B4777" w:rsidRDefault="004B4777">
      <w:pPr>
        <w:pStyle w:val="3"/>
        <w:spacing w:before="0" w:after="0"/>
        <w:rPr>
          <w:rFonts w:ascii="Times New Roman" w:eastAsia="宋体" w:hAnsi="Times New Roman"/>
          <w:b/>
          <w:u w:val="single"/>
        </w:rPr>
      </w:pPr>
      <w:r>
        <w:rPr>
          <w:rFonts w:ascii="Times New Roman" w:eastAsia="宋体" w:hAnsi="Times New Roman"/>
          <w:b/>
          <w:u w:val="single"/>
        </w:rPr>
        <w:t>4.1.</w:t>
      </w:r>
      <w:r>
        <w:rPr>
          <w:rFonts w:ascii="Times New Roman" w:eastAsia="宋体" w:hAnsi="Times New Roman" w:hint="eastAsia"/>
          <w:b/>
          <w:u w:val="single"/>
        </w:rPr>
        <w:t>3</w:t>
      </w:r>
      <w:r>
        <w:rPr>
          <w:rFonts w:ascii="Times New Roman" w:eastAsia="宋体" w:hAnsi="Times New Roman"/>
          <w:b/>
          <w:u w:val="single"/>
        </w:rPr>
        <w:t xml:space="preserve"> </w:t>
      </w:r>
      <w:r>
        <w:rPr>
          <w:rFonts w:ascii="Times New Roman" w:eastAsia="宋体" w:hAnsi="Times New Roman"/>
          <w:b/>
          <w:u w:val="single"/>
        </w:rPr>
        <w:t>采砂</w:t>
      </w:r>
      <w:r>
        <w:rPr>
          <w:rFonts w:ascii="Times New Roman" w:eastAsia="宋体" w:hAnsi="Times New Roman" w:hint="eastAsia"/>
          <w:b/>
          <w:u w:val="single"/>
        </w:rPr>
        <w:t>工程船作业流程</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1</w:t>
      </w:r>
      <w:r>
        <w:rPr>
          <w:rFonts w:ascii="Times New Roman" w:hAnsi="Times New Roman" w:hint="eastAsia"/>
          <w:u w:val="single"/>
        </w:rPr>
        <w:t>）进入采区。采砂工程船统一按总平台指令，由生产平台进行调度，进入采区。</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2</w:t>
      </w:r>
      <w:r>
        <w:rPr>
          <w:rFonts w:ascii="Times New Roman" w:hAnsi="Times New Roman" w:hint="eastAsia"/>
          <w:u w:val="single"/>
        </w:rPr>
        <w:t>）进入采点。生产平台接总平台指令后，安排采砂工程船到指定采点开采。</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3</w:t>
      </w:r>
      <w:r>
        <w:rPr>
          <w:rFonts w:ascii="Times New Roman" w:hAnsi="Times New Roman" w:hint="eastAsia"/>
          <w:u w:val="single"/>
        </w:rPr>
        <w:t>）开采作业。接到开采指令后，采砂工程船按规定开采直到接到停采指令。</w:t>
      </w:r>
    </w:p>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4</w:t>
      </w:r>
      <w:r>
        <w:rPr>
          <w:rFonts w:ascii="Times New Roman" w:hAnsi="Times New Roman" w:hint="eastAsia"/>
          <w:u w:val="single"/>
        </w:rPr>
        <w:t>）集中停靠。生产平台接总平台指令后，安排采砂工程船按规程退档，</w:t>
      </w:r>
      <w:r>
        <w:rPr>
          <w:rFonts w:ascii="Times New Roman" w:hAnsi="Times New Roman" w:hint="eastAsia"/>
          <w:u w:val="single"/>
        </w:rPr>
        <w:lastRenderedPageBreak/>
        <w:t>并到指定安全水域集中停靠。</w:t>
      </w:r>
    </w:p>
    <w:p w:rsidR="004B4777" w:rsidRDefault="004B4777">
      <w:pPr>
        <w:pStyle w:val="3"/>
        <w:spacing w:before="0" w:after="0"/>
        <w:rPr>
          <w:rFonts w:ascii="Times New Roman" w:eastAsia="宋体" w:hAnsi="Times New Roman"/>
          <w:b/>
          <w:u w:val="single"/>
        </w:rPr>
      </w:pPr>
      <w:r>
        <w:rPr>
          <w:rFonts w:ascii="Times New Roman" w:eastAsia="宋体" w:hAnsi="Times New Roman"/>
          <w:b/>
          <w:u w:val="single"/>
        </w:rPr>
        <w:t>4.1.</w:t>
      </w:r>
      <w:r>
        <w:rPr>
          <w:rFonts w:ascii="Times New Roman" w:eastAsia="宋体" w:hAnsi="Times New Roman" w:hint="eastAsia"/>
          <w:b/>
          <w:u w:val="single"/>
        </w:rPr>
        <w:t>4</w:t>
      </w:r>
      <w:r>
        <w:rPr>
          <w:rFonts w:ascii="Times New Roman" w:eastAsia="宋体" w:hAnsi="Times New Roman"/>
          <w:b/>
          <w:u w:val="single"/>
        </w:rPr>
        <w:t xml:space="preserve"> </w:t>
      </w:r>
      <w:r>
        <w:rPr>
          <w:rFonts w:ascii="Times New Roman" w:eastAsia="宋体" w:hAnsi="Times New Roman" w:hint="eastAsia"/>
          <w:b/>
          <w:u w:val="single"/>
        </w:rPr>
        <w:t>运砂船生产操作流程</w:t>
      </w:r>
    </w:p>
    <w:p w:rsidR="004B4777" w:rsidRDefault="004B4777">
      <w:pPr>
        <w:ind w:firstLine="480"/>
        <w:rPr>
          <w:rFonts w:ascii="Times New Roman" w:hAnsi="Times New Roman" w:hint="eastAsia"/>
          <w:u w:val="single"/>
        </w:rPr>
      </w:pPr>
      <w:r>
        <w:rPr>
          <w:rFonts w:ascii="Times New Roman" w:hAnsi="Times New Roman" w:hint="eastAsia"/>
          <w:u w:val="single"/>
        </w:rPr>
        <w:t>采取统一核准载量、统一开票收款、统一指令候档、统一实量配载、统一干舷复核、统一签单发航的统一一管理模式，设一个总平台，两个分平台。公司办公地点、总调度室、开票大厅设在总平台，地点设扁山。在采区设生产管理平台，负责采区的生产管理。在采区下游设干舷复核平台，负责复核减载、签单发航。实行开采时间动态调整，冬季开采时间为早</w:t>
      </w:r>
      <w:r>
        <w:rPr>
          <w:rFonts w:ascii="Times New Roman" w:hAnsi="Times New Roman" w:hint="eastAsia"/>
          <w:u w:val="single"/>
        </w:rPr>
        <w:t>7</w:t>
      </w:r>
      <w:r>
        <w:rPr>
          <w:rFonts w:ascii="Times New Roman" w:hAnsi="Times New Roman" w:hint="eastAsia"/>
          <w:u w:val="single"/>
        </w:rPr>
        <w:t>晚</w:t>
      </w:r>
      <w:r>
        <w:rPr>
          <w:rFonts w:ascii="Times New Roman" w:hAnsi="Times New Roman" w:hint="eastAsia"/>
          <w:u w:val="single"/>
        </w:rPr>
        <w:t>7</w:t>
      </w:r>
      <w:r>
        <w:rPr>
          <w:rFonts w:ascii="Times New Roman" w:hAnsi="Times New Roman" w:hint="eastAsia"/>
          <w:u w:val="single"/>
        </w:rPr>
        <w:t>，夏季开采时间为早</w:t>
      </w:r>
      <w:r>
        <w:rPr>
          <w:rFonts w:ascii="Times New Roman" w:hAnsi="Times New Roman" w:hint="eastAsia"/>
          <w:u w:val="single"/>
        </w:rPr>
        <w:t>6: 00</w:t>
      </w:r>
      <w:r>
        <w:rPr>
          <w:rFonts w:ascii="Times New Roman" w:hAnsi="Times New Roman" w:hint="eastAsia"/>
          <w:u w:val="single"/>
        </w:rPr>
        <w:t>晚</w:t>
      </w:r>
      <w:r>
        <w:rPr>
          <w:rFonts w:ascii="Times New Roman" w:hAnsi="Times New Roman" w:hint="eastAsia"/>
          <w:u w:val="single"/>
        </w:rPr>
        <w:t>8: 00</w:t>
      </w:r>
      <w:r>
        <w:rPr>
          <w:rFonts w:ascii="Times New Roman" w:hAnsi="Times New Roman" w:hint="eastAsia"/>
          <w:u w:val="single"/>
        </w:rPr>
        <w:t>，每日停机后，各工作平台，将当日工程船采量、运输船开票缴款情况核定无误后，填写日报表报公司领导。</w:t>
      </w:r>
    </w:p>
    <w:p w:rsidR="004B4777" w:rsidRDefault="004B4777">
      <w:pPr>
        <w:ind w:firstLine="480"/>
        <w:rPr>
          <w:rFonts w:ascii="Times New Roman" w:hAnsi="Times New Roman" w:hint="eastAsia"/>
          <w:u w:val="single"/>
        </w:rPr>
      </w:pPr>
      <w:r>
        <w:rPr>
          <w:rFonts w:ascii="Times New Roman" w:hAnsi="Times New Roman" w:hint="eastAsia"/>
          <w:u w:val="single"/>
        </w:rPr>
        <w:t xml:space="preserve"> </w:t>
      </w:r>
      <w:r>
        <w:rPr>
          <w:rFonts w:ascii="Times New Roman" w:hAnsi="Times New Roman" w:hint="eastAsia"/>
          <w:u w:val="single"/>
        </w:rPr>
        <w:t>①核准吨位。运输船只停靠总平台，工作人员查验相关证照，调取系统内该运输船信息，核定实际吨位。第一次进入的船只需由工作人员上船丈量核定实际载货吨位，并将船名、船号、船主、实际吨位等详细信息录入系统，建立档案。</w:t>
      </w:r>
    </w:p>
    <w:p w:rsidR="004B4777" w:rsidRDefault="004B4777">
      <w:pPr>
        <w:ind w:firstLine="480"/>
        <w:rPr>
          <w:rFonts w:ascii="Times New Roman" w:hAnsi="Times New Roman" w:hint="eastAsia"/>
          <w:u w:val="single"/>
        </w:rPr>
      </w:pPr>
      <w:r>
        <w:rPr>
          <w:rFonts w:ascii="Times New Roman" w:hAnsi="Times New Roman" w:hint="eastAsia"/>
          <w:u w:val="single"/>
        </w:rPr>
        <w:t xml:space="preserve"> </w:t>
      </w:r>
      <w:r>
        <w:rPr>
          <w:rFonts w:ascii="Times New Roman" w:hAnsi="Times New Roman" w:hint="eastAsia"/>
          <w:u w:val="single"/>
        </w:rPr>
        <w:t>②开票收款。核准吨位后，运输船统一在总平台开票大厅开具采运票据，刷卡收款。原则上不收现金。</w:t>
      </w:r>
    </w:p>
    <w:p w:rsidR="004B4777" w:rsidRDefault="004B4777">
      <w:pPr>
        <w:ind w:firstLine="480"/>
        <w:rPr>
          <w:rFonts w:ascii="Times New Roman" w:hAnsi="Times New Roman" w:hint="eastAsia"/>
          <w:u w:val="single"/>
        </w:rPr>
      </w:pPr>
      <w:r>
        <w:rPr>
          <w:rFonts w:ascii="Times New Roman" w:hAnsi="Times New Roman" w:hint="eastAsia"/>
          <w:u w:val="single"/>
        </w:rPr>
        <w:t xml:space="preserve"> </w:t>
      </w:r>
      <w:r>
        <w:rPr>
          <w:rFonts w:ascii="Times New Roman" w:hAnsi="Times New Roman" w:hint="eastAsia"/>
          <w:u w:val="single"/>
        </w:rPr>
        <w:t>③指令候档。开票缴款后的船只，按照现场调度的指令，到指定位置集中停靠，等候候档安排。</w:t>
      </w:r>
    </w:p>
    <w:p w:rsidR="004B4777" w:rsidRDefault="004B4777">
      <w:pPr>
        <w:ind w:firstLine="480"/>
        <w:rPr>
          <w:rFonts w:ascii="Times New Roman" w:hAnsi="Times New Roman" w:hint="eastAsia"/>
          <w:u w:val="single"/>
        </w:rPr>
      </w:pPr>
      <w:r>
        <w:rPr>
          <w:rFonts w:ascii="Times New Roman" w:hAnsi="Times New Roman" w:hint="eastAsia"/>
          <w:u w:val="single"/>
        </w:rPr>
        <w:t xml:space="preserve"> </w:t>
      </w:r>
      <w:r>
        <w:rPr>
          <w:rFonts w:ascii="Times New Roman" w:hAnsi="Times New Roman" w:hint="eastAsia"/>
          <w:u w:val="single"/>
        </w:rPr>
        <w:t>④实量配载。按照现场调度指令到采砂工程船按实际吨位配载，配载后必须保留</w:t>
      </w:r>
      <w:r>
        <w:rPr>
          <w:rFonts w:ascii="Times New Roman" w:hAnsi="Times New Roman" w:hint="eastAsia"/>
          <w:u w:val="single"/>
        </w:rPr>
        <w:t>300MM</w:t>
      </w:r>
      <w:r>
        <w:rPr>
          <w:rFonts w:ascii="Times New Roman" w:hAnsi="Times New Roman" w:hint="eastAsia"/>
          <w:u w:val="single"/>
        </w:rPr>
        <w:t>干舷。</w:t>
      </w:r>
    </w:p>
    <w:p w:rsidR="004B4777" w:rsidRDefault="004B4777">
      <w:pPr>
        <w:ind w:firstLine="480"/>
        <w:rPr>
          <w:rFonts w:ascii="Times New Roman" w:hAnsi="Times New Roman" w:hint="eastAsia"/>
          <w:u w:val="single"/>
        </w:rPr>
      </w:pPr>
      <w:r>
        <w:rPr>
          <w:rFonts w:ascii="Times New Roman" w:hAnsi="Times New Roman" w:hint="eastAsia"/>
          <w:u w:val="single"/>
        </w:rPr>
        <w:t xml:space="preserve"> </w:t>
      </w:r>
      <w:r>
        <w:rPr>
          <w:rFonts w:ascii="Times New Roman" w:hAnsi="Times New Roman" w:hint="eastAsia"/>
          <w:u w:val="single"/>
        </w:rPr>
        <w:t>⑤干舷复核。配载完毕，船只退出采砂工程船作业区，在指定安全水域停靠，统一接受干舷复核人员复核干舷。干舷复核合格的船只方可办理发航手续，干舷复核未达标的，按工作人员要求在指定地点卸载，直到干舷符合要求为止。</w:t>
      </w:r>
    </w:p>
    <w:p w:rsidR="004B4777" w:rsidRDefault="004B4777">
      <w:pPr>
        <w:ind w:firstLine="480"/>
        <w:rPr>
          <w:rFonts w:ascii="Times New Roman" w:hAnsi="Times New Roman" w:hint="eastAsia"/>
          <w:u w:val="single"/>
        </w:rPr>
      </w:pPr>
      <w:r>
        <w:rPr>
          <w:rFonts w:ascii="Times New Roman" w:hAnsi="Times New Roman"/>
          <w:u w:val="single"/>
        </w:rPr>
        <w:fldChar w:fldCharType="begin"/>
      </w:r>
      <w:r>
        <w:rPr>
          <w:rFonts w:ascii="Times New Roman" w:hAnsi="Times New Roman"/>
          <w:u w:val="single"/>
        </w:rPr>
        <w:instrText xml:space="preserve"> </w:instrText>
      </w:r>
      <w:r>
        <w:rPr>
          <w:rFonts w:ascii="Times New Roman" w:hAnsi="Times New Roman" w:hint="eastAsia"/>
          <w:u w:val="single"/>
        </w:rPr>
        <w:instrText>= 6 \* GB3</w:instrText>
      </w:r>
      <w:r>
        <w:rPr>
          <w:rFonts w:ascii="Times New Roman" w:hAnsi="Times New Roman"/>
          <w:u w:val="single"/>
        </w:rPr>
        <w:instrText xml:space="preserve"> </w:instrText>
      </w:r>
      <w:r>
        <w:rPr>
          <w:rFonts w:ascii="Times New Roman" w:hAnsi="Times New Roman"/>
          <w:u w:val="single"/>
        </w:rPr>
        <w:fldChar w:fldCharType="separate"/>
      </w:r>
      <w:r>
        <w:rPr>
          <w:rFonts w:ascii="Times New Roman" w:hAnsi="Times New Roman" w:hint="eastAsia"/>
          <w:u w:val="single"/>
          <w:lang w:val="en-US" w:eastAsia="zh-CN"/>
        </w:rPr>
        <w:t>⑥</w:t>
      </w:r>
      <w:r>
        <w:rPr>
          <w:rFonts w:ascii="Times New Roman" w:hAnsi="Times New Roman"/>
          <w:u w:val="single"/>
        </w:rPr>
        <w:fldChar w:fldCharType="end"/>
      </w:r>
      <w:r>
        <w:rPr>
          <w:rFonts w:ascii="Times New Roman" w:hAnsi="Times New Roman" w:hint="eastAsia"/>
          <w:u w:val="single"/>
        </w:rPr>
        <w:t>签单发航。复核完毕后，按照“四不发航”要求，确认安全后，开具准许发航单。</w:t>
      </w:r>
    </w:p>
    <w:p w:rsidR="004B4777" w:rsidRDefault="004B4777">
      <w:pPr>
        <w:pStyle w:val="3"/>
        <w:spacing w:before="0" w:after="0"/>
        <w:rPr>
          <w:rFonts w:ascii="Times New Roman" w:eastAsia="宋体" w:hAnsi="Times New Roman"/>
          <w:b/>
          <w:u w:val="single"/>
        </w:rPr>
      </w:pPr>
      <w:r>
        <w:rPr>
          <w:rFonts w:ascii="Times New Roman" w:eastAsia="宋体" w:hAnsi="Times New Roman"/>
          <w:b/>
          <w:u w:val="single"/>
        </w:rPr>
        <w:t>4.1.</w:t>
      </w:r>
      <w:r>
        <w:rPr>
          <w:rFonts w:ascii="Times New Roman" w:eastAsia="宋体" w:hAnsi="Times New Roman" w:hint="eastAsia"/>
          <w:b/>
          <w:u w:val="single"/>
        </w:rPr>
        <w:t>5</w:t>
      </w:r>
      <w:r>
        <w:rPr>
          <w:rFonts w:ascii="Times New Roman" w:eastAsia="宋体" w:hAnsi="Times New Roman"/>
          <w:b/>
          <w:u w:val="single"/>
        </w:rPr>
        <w:t xml:space="preserve"> </w:t>
      </w:r>
      <w:r>
        <w:rPr>
          <w:rFonts w:ascii="Times New Roman" w:eastAsia="宋体" w:hAnsi="Times New Roman" w:hint="eastAsia"/>
          <w:b/>
          <w:u w:val="single"/>
        </w:rPr>
        <w:t>采砂监管</w:t>
      </w:r>
    </w:p>
    <w:p w:rsidR="004B4777" w:rsidRDefault="004B4777">
      <w:pPr>
        <w:ind w:firstLine="480"/>
        <w:rPr>
          <w:rFonts w:ascii="Times New Roman" w:hAnsi="Times New Roman" w:hint="eastAsia"/>
          <w:u w:val="single"/>
        </w:rPr>
      </w:pPr>
      <w:r>
        <w:rPr>
          <w:rFonts w:ascii="Times New Roman" w:hAnsi="Times New Roman" w:hint="eastAsia"/>
          <w:u w:val="single"/>
        </w:rPr>
        <w:t>主要从四个层面加强对采砂活动的监管：</w:t>
      </w:r>
    </w:p>
    <w:p w:rsidR="004B4777" w:rsidRDefault="004B4777">
      <w:pPr>
        <w:ind w:firstLine="480"/>
        <w:rPr>
          <w:rFonts w:ascii="Times New Roman" w:hAnsi="Times New Roman" w:hint="eastAsia"/>
          <w:u w:val="single"/>
        </w:rPr>
      </w:pPr>
      <w:r>
        <w:rPr>
          <w:rFonts w:ascii="Times New Roman" w:hAnsi="Times New Roman" w:hint="eastAsia"/>
          <w:u w:val="single"/>
        </w:rPr>
        <w:t>①县政府实行多重监管。建立覆盖全采区范围的监控系统，利用高清监控摄像头和北斗导航系统对采区生产经营的全过程进行视频与定位跟踪监控，并在县政府办公室、砂管局、砂石公司总平台各开设一个监控平台，形成对砂石开采的多重监管。</w:t>
      </w:r>
      <w:r>
        <w:rPr>
          <w:rFonts w:ascii="Times New Roman" w:hAnsi="Times New Roman" w:hint="eastAsia"/>
          <w:u w:val="single"/>
        </w:rPr>
        <w:t xml:space="preserve"> </w:t>
      </w:r>
    </w:p>
    <w:p w:rsidR="004B4777" w:rsidRDefault="004B4777">
      <w:pPr>
        <w:ind w:firstLine="480"/>
        <w:rPr>
          <w:rFonts w:ascii="Times New Roman" w:hAnsi="Times New Roman" w:hint="eastAsia"/>
          <w:u w:val="single"/>
        </w:rPr>
      </w:pPr>
      <w:r>
        <w:rPr>
          <w:rFonts w:ascii="Times New Roman" w:hAnsi="Times New Roman" w:hint="eastAsia"/>
          <w:u w:val="single"/>
        </w:rPr>
        <w:lastRenderedPageBreak/>
        <w:t>②砂管办负责执法监管。负责对采区生产现场执法管理、对违规作业的船只进行打击处理、对运输船超载货吨位进行稽查。负责打击盗采，查处运输船超载航行、夜间航行、恶劣天气航行。对工作人员依法履职的各环节进行监督，作风与廉政建设情况进行监督。</w:t>
      </w:r>
      <w:r>
        <w:rPr>
          <w:rFonts w:ascii="Times New Roman" w:hAnsi="Times New Roman" w:hint="eastAsia"/>
          <w:u w:val="single"/>
        </w:rPr>
        <w:t xml:space="preserve"> </w:t>
      </w:r>
    </w:p>
    <w:p w:rsidR="004B4777" w:rsidRDefault="004B4777">
      <w:pPr>
        <w:ind w:firstLine="480"/>
        <w:rPr>
          <w:rFonts w:ascii="Times New Roman" w:hAnsi="Times New Roman" w:hint="eastAsia"/>
          <w:u w:val="single"/>
        </w:rPr>
      </w:pPr>
      <w:r>
        <w:rPr>
          <w:rFonts w:ascii="Times New Roman" w:hAnsi="Times New Roman" w:hint="eastAsia"/>
          <w:u w:val="single"/>
        </w:rPr>
        <w:t>③砂管局负责行政监管。砂管局领导班子对砂石采、运、售及收入入库、成本核算、资产管理进行全过程监督并负主体责任。砂管局纪检组负责对砂石公司生产管理，工作人员廉洁自律、依法依规办事等方面进行监督。安监股负责对砂石公司安全生产方面进行监督。财计股负责砂石公司的财务核查监督，砂政股负责对工程船的生产经营进行监督。</w:t>
      </w:r>
      <w:r>
        <w:rPr>
          <w:rFonts w:ascii="Times New Roman" w:hAnsi="Times New Roman" w:hint="eastAsia"/>
          <w:u w:val="single"/>
        </w:rPr>
        <w:t xml:space="preserve"> </w:t>
      </w:r>
    </w:p>
    <w:p w:rsidR="004B4777" w:rsidRDefault="004B4777">
      <w:pPr>
        <w:ind w:firstLine="480"/>
        <w:rPr>
          <w:rFonts w:ascii="Times New Roman" w:hAnsi="Times New Roman" w:hint="eastAsia"/>
          <w:u w:val="single"/>
        </w:rPr>
      </w:pPr>
      <w:r>
        <w:rPr>
          <w:rFonts w:ascii="Times New Roman" w:hAnsi="Times New Roman" w:hint="eastAsia"/>
          <w:u w:val="single"/>
        </w:rPr>
        <w:t>④砂石公司负责生产经营监管。为规范管理，取缔私营采砂船只，统一由县砂石公司负责经营。砂石公司成立监督管理部，负责对生产经营、开票收款、核定吨位、安全生产等方面工作监督。</w:t>
      </w:r>
    </w:p>
    <w:p w:rsidR="004B4777" w:rsidRDefault="004B4777">
      <w:pPr>
        <w:pStyle w:val="3"/>
        <w:spacing w:before="0" w:after="0"/>
        <w:rPr>
          <w:rFonts w:ascii="Times New Roman" w:eastAsia="宋体" w:hAnsi="Times New Roman"/>
          <w:b/>
        </w:rPr>
      </w:pPr>
      <w:r>
        <w:rPr>
          <w:rFonts w:ascii="Times New Roman" w:eastAsia="宋体" w:hAnsi="Times New Roman"/>
          <w:b/>
        </w:rPr>
        <w:t>4.1.</w:t>
      </w:r>
      <w:r>
        <w:rPr>
          <w:rFonts w:ascii="Times New Roman" w:eastAsia="宋体" w:hAnsi="Times New Roman" w:hint="eastAsia"/>
          <w:b/>
        </w:rPr>
        <w:t>6</w:t>
      </w:r>
      <w:r>
        <w:rPr>
          <w:rFonts w:ascii="Times New Roman" w:eastAsia="宋体" w:hAnsi="Times New Roman"/>
          <w:b/>
        </w:rPr>
        <w:t xml:space="preserve"> </w:t>
      </w:r>
      <w:r>
        <w:rPr>
          <w:rFonts w:ascii="Times New Roman" w:eastAsia="宋体" w:hAnsi="Times New Roman"/>
          <w:b/>
        </w:rPr>
        <w:t>采砂工艺</w:t>
      </w:r>
    </w:p>
    <w:p w:rsidR="004B4777" w:rsidRDefault="004B4777">
      <w:pPr>
        <w:ind w:firstLineChars="0" w:firstLine="0"/>
        <w:jc w:val="left"/>
        <w:rPr>
          <w:rFonts w:ascii="Times New Roman" w:hAnsi="Times New Roman" w:hint="eastAsia"/>
        </w:rPr>
      </w:pPr>
      <w:r>
        <w:rPr>
          <w:rFonts w:ascii="Times New Roman" w:hAnsi="Times New Roman" w:hint="eastAsia"/>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）工艺流程</w:t>
      </w:r>
    </w:p>
    <w:p w:rsidR="004B4777" w:rsidRDefault="004B4777">
      <w:pPr>
        <w:ind w:firstLineChars="0" w:firstLine="0"/>
        <w:jc w:val="center"/>
        <w:rPr>
          <w:rFonts w:ascii="Times New Roman" w:hAnsi="Times New Roman" w:hint="eastAsia"/>
        </w:rPr>
      </w:pPr>
      <w:r>
        <w:rPr>
          <w:rFonts w:ascii="Times New Roman" w:hAnsi="Times New Roman" w:hint="eastAsia"/>
        </w:rPr>
        <w:t>本项目工艺流程及污染物分析见图</w:t>
      </w:r>
      <w:r>
        <w:rPr>
          <w:rFonts w:ascii="Times New Roman" w:hAnsi="Times New Roman" w:hint="eastAsia"/>
        </w:rPr>
        <w:t>4.1</w:t>
      </w:r>
      <w:r>
        <w:rPr>
          <w:rFonts w:ascii="Times New Roman" w:hAnsi="Times New Roman"/>
        </w:rPr>
        <w:t>-</w:t>
      </w:r>
      <w:r>
        <w:rPr>
          <w:rFonts w:ascii="Times New Roman" w:hAnsi="Times New Roman" w:hint="eastAsia"/>
        </w:rPr>
        <w:t>3</w:t>
      </w:r>
      <w:r>
        <w:rPr>
          <w:rFonts w:ascii="Times New Roman" w:hAnsi="Times New Roman"/>
        </w:rPr>
        <w:t xml:space="preserve"> </w:t>
      </w:r>
      <w:r>
        <w:rPr>
          <w:rFonts w:ascii="Times New Roman" w:hAnsi="Times New Roman" w:hint="eastAsia"/>
        </w:rPr>
        <w:t>所示。</w:t>
      </w:r>
      <w:r w:rsidR="001F6CA0">
        <w:rPr>
          <w:rFonts w:ascii="Times New Roman" w:hAnsi="Times New Roman" w:hint="eastAsia"/>
          <w:b/>
          <w:noProof/>
        </w:rPr>
        <w:drawing>
          <wp:inline distT="0" distB="0" distL="0" distR="0">
            <wp:extent cx="3590925" cy="3838575"/>
            <wp:effectExtent l="1905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a:srcRect/>
                    <a:stretch>
                      <a:fillRect/>
                    </a:stretch>
                  </pic:blipFill>
                  <pic:spPr bwMode="auto">
                    <a:xfrm>
                      <a:off x="0" y="0"/>
                      <a:ext cx="3590925" cy="3838575"/>
                    </a:xfrm>
                    <a:prstGeom prst="rect">
                      <a:avLst/>
                    </a:prstGeom>
                    <a:noFill/>
                    <a:ln w="9525">
                      <a:noFill/>
                      <a:miter lim="800000"/>
                      <a:headEnd/>
                      <a:tailEnd/>
                    </a:ln>
                  </pic:spPr>
                </pic:pic>
              </a:graphicData>
            </a:graphic>
          </wp:inline>
        </w:drawing>
      </w:r>
    </w:p>
    <w:p w:rsidR="004B4777" w:rsidRDefault="004B4777">
      <w:pPr>
        <w:ind w:firstLine="482"/>
        <w:jc w:val="center"/>
        <w:rPr>
          <w:rFonts w:ascii="Times New Roman" w:hAnsi="Times New Roman" w:hint="eastAsia"/>
          <w:b/>
        </w:rPr>
      </w:pPr>
      <w:r>
        <w:rPr>
          <w:rFonts w:ascii="Times New Roman" w:hAnsi="Times New Roman" w:hint="eastAsia"/>
          <w:b/>
        </w:rPr>
        <w:t>图</w:t>
      </w:r>
      <w:r>
        <w:rPr>
          <w:rFonts w:ascii="Times New Roman" w:hAnsi="Times New Roman" w:hint="eastAsia"/>
          <w:b/>
        </w:rPr>
        <w:t>4.1-3</w:t>
      </w:r>
      <w:r>
        <w:rPr>
          <w:rFonts w:ascii="Times New Roman" w:hAnsi="Times New Roman" w:hint="eastAsia"/>
          <w:b/>
        </w:rPr>
        <w:t>工艺流程及产污节点图</w:t>
      </w:r>
    </w:p>
    <w:p w:rsidR="004B4777" w:rsidRDefault="004B4777">
      <w:pPr>
        <w:ind w:firstLine="480"/>
        <w:rPr>
          <w:rFonts w:ascii="Times New Roman" w:hAnsi="Times New Roman" w:hint="eastAsia"/>
        </w:rPr>
      </w:pPr>
      <w:r>
        <w:rPr>
          <w:rFonts w:ascii="Times New Roman" w:hAnsi="Times New Roman" w:hint="eastAsia"/>
        </w:rPr>
        <w:lastRenderedPageBreak/>
        <w:t>（</w:t>
      </w:r>
      <w:r>
        <w:rPr>
          <w:rFonts w:ascii="Times New Roman" w:hAnsi="Times New Roman" w:hint="eastAsia"/>
        </w:rPr>
        <w:t>2</w:t>
      </w:r>
      <w:r>
        <w:rPr>
          <w:rFonts w:ascii="Times New Roman" w:hAnsi="Times New Roman" w:hint="eastAsia"/>
        </w:rPr>
        <w:t>）工艺说明</w:t>
      </w:r>
    </w:p>
    <w:p w:rsidR="004B4777" w:rsidRDefault="004B4777">
      <w:pPr>
        <w:ind w:firstLine="480"/>
        <w:rPr>
          <w:rFonts w:ascii="Times New Roman" w:hAnsi="Times New Roman" w:hint="eastAsia"/>
        </w:rPr>
      </w:pPr>
      <w:r>
        <w:rPr>
          <w:rFonts w:ascii="Times New Roman" w:hAnsi="Times New Roman" w:hint="eastAsia"/>
        </w:rPr>
        <w:t>本项目使用</w:t>
      </w:r>
      <w:r>
        <w:rPr>
          <w:rFonts w:ascii="Times New Roman" w:hAnsi="Times New Roman"/>
        </w:rPr>
        <w:t>吸管式吸泵挖砂式采砂船</w:t>
      </w:r>
      <w:r>
        <w:rPr>
          <w:rFonts w:ascii="Times New Roman" w:hAnsi="Times New Roman" w:hint="eastAsia"/>
        </w:rPr>
        <w:t>（采砂功率不超过</w:t>
      </w:r>
      <w:r>
        <w:rPr>
          <w:rFonts w:ascii="Times New Roman" w:hAnsi="Times New Roman" w:hint="eastAsia"/>
        </w:rPr>
        <w:t>2600kW</w:t>
      </w:r>
      <w:r>
        <w:rPr>
          <w:rFonts w:ascii="Times New Roman" w:hAnsi="Times New Roman" w:hint="eastAsia"/>
        </w:rPr>
        <w:t>）采挖资江和湘江的砂石。采用吸泵将河水和砂石一并抽吸入吸砂管道送入采砂船的互层型圆筒筛分机。经筛分的砂石再经喷洒式水仓将砂石冲洗干净，后通过皮带输送机运送至运砂船至买家砂石场堆放（由于本项目采砂采用根据市场情况调节采砂计划，一般采砂即采即售）。</w:t>
      </w:r>
    </w:p>
    <w:p w:rsidR="004B4777" w:rsidRDefault="004B4777">
      <w:pPr>
        <w:pStyle w:val="2"/>
        <w:spacing w:before="0" w:after="0"/>
        <w:ind w:firstLineChars="50" w:firstLine="151"/>
        <w:rPr>
          <w:rFonts w:ascii="Times New Roman" w:eastAsia="宋体" w:hAnsi="Times New Roman" w:hint="eastAsia"/>
          <w:b/>
          <w:sz w:val="30"/>
          <w:szCs w:val="30"/>
        </w:rPr>
      </w:pPr>
      <w:bookmarkStart w:id="115" w:name="_Toc523854025"/>
      <w:r>
        <w:rPr>
          <w:rFonts w:ascii="Times New Roman" w:eastAsia="宋体" w:hAnsi="Times New Roman"/>
          <w:b/>
          <w:sz w:val="30"/>
          <w:szCs w:val="30"/>
        </w:rPr>
        <w:t xml:space="preserve">4.2 </w:t>
      </w:r>
      <w:r>
        <w:rPr>
          <w:rFonts w:ascii="Times New Roman" w:eastAsia="宋体" w:hAnsi="Times New Roman" w:hint="eastAsia"/>
          <w:b/>
          <w:sz w:val="30"/>
          <w:szCs w:val="30"/>
        </w:rPr>
        <w:t>污染源及其源强分析</w:t>
      </w:r>
      <w:bookmarkEnd w:id="115"/>
    </w:p>
    <w:p w:rsidR="004B4777" w:rsidRDefault="004B4777">
      <w:pPr>
        <w:pStyle w:val="3"/>
        <w:spacing w:before="0" w:after="0"/>
        <w:rPr>
          <w:rFonts w:ascii="Times New Roman" w:eastAsia="宋体" w:hAnsi="Times New Roman" w:hint="eastAsia"/>
          <w:b/>
        </w:rPr>
      </w:pPr>
      <w:bookmarkStart w:id="116" w:name="_Hlk481087382"/>
      <w:r>
        <w:rPr>
          <w:rFonts w:ascii="Times New Roman" w:eastAsia="宋体" w:hAnsi="Times New Roman"/>
          <w:b/>
        </w:rPr>
        <w:t xml:space="preserve">4.2.1 </w:t>
      </w:r>
      <w:r>
        <w:rPr>
          <w:rFonts w:ascii="Times New Roman" w:eastAsia="宋体" w:hAnsi="Times New Roman" w:hint="eastAsia"/>
          <w:b/>
        </w:rPr>
        <w:t>施工期产污环节分析</w:t>
      </w:r>
    </w:p>
    <w:bookmarkEnd w:id="116"/>
    <w:p w:rsidR="004B4777" w:rsidRDefault="004B4777">
      <w:pPr>
        <w:ind w:firstLine="480"/>
        <w:rPr>
          <w:rFonts w:ascii="Times New Roman" w:hAnsi="Times New Roman"/>
        </w:rPr>
      </w:pPr>
      <w:r>
        <w:rPr>
          <w:rFonts w:ascii="Times New Roman" w:hAnsi="Times New Roman" w:hint="eastAsia"/>
        </w:rPr>
        <w:t>本项目无须施工，故不对施工期的环境影响进行评价。</w:t>
      </w:r>
    </w:p>
    <w:p w:rsidR="004B4777" w:rsidRDefault="004B4777">
      <w:pPr>
        <w:pStyle w:val="3"/>
        <w:spacing w:before="0" w:after="0"/>
        <w:rPr>
          <w:rFonts w:ascii="Times New Roman" w:eastAsia="宋体" w:hAnsi="Times New Roman" w:hint="eastAsia"/>
          <w:b/>
        </w:rPr>
      </w:pPr>
      <w:bookmarkStart w:id="117" w:name="_Hlk481485248"/>
      <w:r>
        <w:rPr>
          <w:rFonts w:ascii="Times New Roman" w:eastAsia="宋体" w:hAnsi="Times New Roman"/>
          <w:b/>
        </w:rPr>
        <w:t>4.2.2</w:t>
      </w:r>
      <w:r>
        <w:rPr>
          <w:rFonts w:ascii="Times New Roman" w:eastAsia="宋体" w:hAnsi="Times New Roman" w:hint="eastAsia"/>
          <w:b/>
        </w:rPr>
        <w:t xml:space="preserve"> </w:t>
      </w:r>
      <w:r>
        <w:rPr>
          <w:rFonts w:ascii="Times New Roman" w:eastAsia="宋体" w:hAnsi="Times New Roman" w:hint="eastAsia"/>
          <w:b/>
        </w:rPr>
        <w:t>营运期产污环节分析</w:t>
      </w:r>
    </w:p>
    <w:bookmarkEnd w:id="117"/>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4</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1</w:t>
      </w:r>
      <w:r>
        <w:rPr>
          <w:rFonts w:ascii="Times New Roman" w:eastAsia="宋体" w:hAnsi="Times New Roman"/>
          <w:b/>
        </w:rPr>
        <w:t xml:space="preserve"> </w:t>
      </w:r>
      <w:r>
        <w:rPr>
          <w:rFonts w:ascii="Times New Roman" w:eastAsia="宋体" w:hAnsi="Times New Roman" w:hint="eastAsia"/>
          <w:b/>
        </w:rPr>
        <w:t>采砂作业对河流水质影响</w:t>
      </w:r>
    </w:p>
    <w:p w:rsidR="004B4777" w:rsidRDefault="004B4777">
      <w:pPr>
        <w:ind w:firstLine="480"/>
        <w:rPr>
          <w:rFonts w:ascii="Times New Roman" w:hAnsi="Times New Roman"/>
          <w:u w:val="single"/>
        </w:rPr>
      </w:pPr>
      <w:r>
        <w:rPr>
          <w:rFonts w:ascii="Times New Roman" w:hAnsi="Times New Roman"/>
          <w:u w:val="single"/>
        </w:rPr>
        <w:t>采砂作业采用</w:t>
      </w:r>
      <w:r>
        <w:rPr>
          <w:rFonts w:ascii="Times New Roman" w:hAnsi="Times New Roman" w:hint="eastAsia"/>
          <w:u w:val="single"/>
        </w:rPr>
        <w:t>吸泵</w:t>
      </w:r>
      <w:r>
        <w:rPr>
          <w:rFonts w:ascii="Times New Roman" w:hAnsi="Times New Roman"/>
          <w:u w:val="single"/>
        </w:rPr>
        <w:t>抽沙和洗砂溢流作业。采砂船作业方式是：</w:t>
      </w:r>
      <w:r>
        <w:rPr>
          <w:rFonts w:ascii="Times New Roman" w:hAnsi="Times New Roman" w:hint="eastAsia"/>
          <w:u w:val="single"/>
        </w:rPr>
        <w:t>真空泵</w:t>
      </w:r>
      <w:r>
        <w:rPr>
          <w:rFonts w:ascii="Times New Roman" w:hAnsi="Times New Roman"/>
          <w:u w:val="single"/>
        </w:rPr>
        <w:t>将水和砂混合、抽砂泵把砂浆送到砂舱吸砂，砂粒沉到船舱，细颗粒淤泥和粉砂沿回流管溢流到采砂坑。扰动与吸砂环节产生悬浮泥沙会影响附近河流水质。</w:t>
      </w:r>
    </w:p>
    <w:p w:rsidR="004B4777" w:rsidRDefault="004B4777">
      <w:pPr>
        <w:ind w:firstLine="480"/>
        <w:rPr>
          <w:rFonts w:ascii="Times New Roman" w:hAnsi="Times New Roman"/>
          <w:u w:val="single"/>
        </w:rPr>
      </w:pPr>
      <w:r>
        <w:rPr>
          <w:rFonts w:ascii="Times New Roman" w:hAnsi="Times New Roman"/>
          <w:u w:val="single"/>
        </w:rPr>
        <w:t>（</w:t>
      </w:r>
      <w:r>
        <w:rPr>
          <w:rFonts w:ascii="Times New Roman" w:hAnsi="Times New Roman"/>
          <w:u w:val="single"/>
        </w:rPr>
        <w:t>1</w:t>
      </w:r>
      <w:r>
        <w:rPr>
          <w:rFonts w:ascii="Times New Roman" w:hAnsi="Times New Roman"/>
          <w:u w:val="single"/>
        </w:rPr>
        <w:t>）采砂作业源强</w:t>
      </w:r>
    </w:p>
    <w:p w:rsidR="004B4777" w:rsidRDefault="004B4777">
      <w:pPr>
        <w:ind w:firstLine="480"/>
        <w:rPr>
          <w:rFonts w:ascii="Times New Roman" w:hAnsi="Times New Roman"/>
          <w:u w:val="single"/>
        </w:rPr>
      </w:pPr>
      <w:r>
        <w:rPr>
          <w:rFonts w:ascii="Times New Roman" w:hAnsi="Times New Roman"/>
          <w:u w:val="single"/>
        </w:rPr>
        <w:t>根据采砂工艺，采砂过程中有</w:t>
      </w:r>
      <w:r>
        <w:rPr>
          <w:rFonts w:ascii="Times New Roman" w:hAnsi="Times New Roman" w:hint="eastAsia"/>
          <w:u w:val="single"/>
        </w:rPr>
        <w:t>2</w:t>
      </w:r>
      <w:r>
        <w:rPr>
          <w:rFonts w:ascii="Times New Roman" w:hAnsi="Times New Roman"/>
          <w:u w:val="single"/>
        </w:rPr>
        <w:t>个环节会产生悬浮物：</w:t>
      </w:r>
    </w:p>
    <w:p w:rsidR="004B4777" w:rsidRDefault="004B4777">
      <w:pPr>
        <w:ind w:firstLine="480"/>
        <w:rPr>
          <w:rFonts w:ascii="Times New Roman" w:hAnsi="Times New Roman"/>
          <w:u w:val="single"/>
        </w:rPr>
      </w:pPr>
      <w:r>
        <w:rPr>
          <w:rFonts w:ascii="Times New Roman" w:hAnsi="Times New Roman" w:hint="eastAsia"/>
          <w:u w:val="single"/>
        </w:rPr>
        <w:t>1</w:t>
      </w:r>
      <w:r>
        <w:rPr>
          <w:rFonts w:ascii="Times New Roman" w:hAnsi="Times New Roman"/>
          <w:u w:val="single"/>
        </w:rPr>
        <w:t>）扰动砂层产生的悬浮泥沙未被吸到船上而随河流扩散</w:t>
      </w:r>
    </w:p>
    <w:p w:rsidR="004B4777" w:rsidRDefault="004B4777">
      <w:pPr>
        <w:ind w:firstLine="480"/>
        <w:rPr>
          <w:rFonts w:ascii="Times New Roman" w:hAnsi="Times New Roman"/>
          <w:u w:val="single"/>
        </w:rPr>
      </w:pPr>
      <w:r>
        <w:rPr>
          <w:rFonts w:ascii="Times New Roman" w:hAnsi="Times New Roman"/>
          <w:u w:val="single"/>
        </w:rPr>
        <w:t>根据工程实践经验，扰动砂层产生的悬浮泥沙量约为流量的</w:t>
      </w:r>
      <w:r>
        <w:rPr>
          <w:rFonts w:ascii="Times New Roman" w:hAnsi="Times New Roman"/>
          <w:u w:val="single"/>
        </w:rPr>
        <w:t>5%</w:t>
      </w:r>
      <w:r>
        <w:rPr>
          <w:rFonts w:ascii="Times New Roman" w:hAnsi="Times New Roman"/>
          <w:u w:val="single"/>
        </w:rPr>
        <w:t>左右，计算悬沙排放强度约为</w:t>
      </w:r>
      <w:r>
        <w:rPr>
          <w:rFonts w:ascii="Times New Roman" w:hAnsi="Times New Roman" w:hint="eastAsia"/>
          <w:u w:val="single"/>
        </w:rPr>
        <w:t>10</w:t>
      </w:r>
      <w:r>
        <w:rPr>
          <w:rFonts w:ascii="Times New Roman" w:hAnsi="Times New Roman"/>
          <w:u w:val="single"/>
        </w:rPr>
        <w:t>m</w:t>
      </w:r>
      <w:r>
        <w:rPr>
          <w:rFonts w:ascii="Times New Roman" w:hAnsi="Times New Roman"/>
          <w:u w:val="single"/>
          <w:vertAlign w:val="superscript"/>
        </w:rPr>
        <w:t>3</w:t>
      </w:r>
      <w:r>
        <w:rPr>
          <w:rFonts w:ascii="Times New Roman" w:hAnsi="Times New Roman"/>
          <w:u w:val="single"/>
        </w:rPr>
        <w:t>/h</w:t>
      </w:r>
      <w:r>
        <w:rPr>
          <w:rFonts w:ascii="Times New Roman" w:hAnsi="Times New Roman"/>
          <w:u w:val="single"/>
        </w:rPr>
        <w:t>，泥质的干容重按</w:t>
      </w:r>
      <w:r>
        <w:rPr>
          <w:rFonts w:ascii="Times New Roman" w:hAnsi="Times New Roman"/>
          <w:u w:val="single"/>
        </w:rPr>
        <w:t>1.12t/m</w:t>
      </w:r>
      <w:r>
        <w:rPr>
          <w:rFonts w:ascii="Times New Roman" w:hAnsi="Times New Roman"/>
          <w:u w:val="single"/>
          <w:vertAlign w:val="superscript"/>
        </w:rPr>
        <w:t>3</w:t>
      </w:r>
      <w:r>
        <w:rPr>
          <w:rFonts w:ascii="Times New Roman" w:hAnsi="Times New Roman"/>
          <w:u w:val="single"/>
        </w:rPr>
        <w:t>计算，则每艘采砂船铰刀扰动底质的源强为</w:t>
      </w:r>
      <w:r>
        <w:rPr>
          <w:rFonts w:ascii="Times New Roman" w:hAnsi="Times New Roman" w:hint="eastAsia"/>
          <w:u w:val="single"/>
        </w:rPr>
        <w:t>3.11</w:t>
      </w:r>
      <w:r>
        <w:rPr>
          <w:rFonts w:ascii="Times New Roman" w:hAnsi="Times New Roman"/>
          <w:u w:val="single"/>
        </w:rPr>
        <w:t>kg/s</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hint="eastAsia"/>
          <w:u w:val="single"/>
        </w:rPr>
        <w:t>2</w:t>
      </w:r>
      <w:r>
        <w:rPr>
          <w:rFonts w:ascii="Times New Roman" w:hAnsi="Times New Roman"/>
          <w:u w:val="single"/>
        </w:rPr>
        <w:t>）洗砂环节产生的悬浮泥沙溢流</w:t>
      </w:r>
    </w:p>
    <w:p w:rsidR="004B4777" w:rsidRDefault="004B4777">
      <w:pPr>
        <w:ind w:firstLine="480"/>
        <w:rPr>
          <w:rFonts w:ascii="Times New Roman" w:hAnsi="Times New Roman"/>
          <w:u w:val="single"/>
        </w:rPr>
      </w:pPr>
      <w:r>
        <w:rPr>
          <w:rFonts w:ascii="Times New Roman" w:hAnsi="Times New Roman"/>
          <w:u w:val="single"/>
        </w:rPr>
        <w:t>根据砂层调查资料，泥质</w:t>
      </w:r>
      <w:r>
        <w:rPr>
          <w:rFonts w:ascii="Times New Roman" w:hAnsi="Times New Roman" w:hint="eastAsia"/>
          <w:u w:val="single"/>
        </w:rPr>
        <w:t>平均含量约</w:t>
      </w:r>
      <w:r>
        <w:rPr>
          <w:rFonts w:ascii="Times New Roman" w:hAnsi="Times New Roman" w:hint="eastAsia"/>
          <w:u w:val="single"/>
        </w:rPr>
        <w:t>5</w:t>
      </w:r>
      <w:r>
        <w:rPr>
          <w:rFonts w:ascii="Times New Roman" w:hAnsi="Times New Roman"/>
          <w:u w:val="single"/>
        </w:rPr>
        <w:t>%</w:t>
      </w:r>
      <w:r>
        <w:rPr>
          <w:rFonts w:ascii="Times New Roman" w:hAnsi="Times New Roman"/>
          <w:u w:val="single"/>
        </w:rPr>
        <w:t>。根据抽砂船开采效率取值为</w:t>
      </w:r>
      <w:r>
        <w:rPr>
          <w:rFonts w:ascii="Times New Roman" w:hAnsi="Times New Roman"/>
          <w:u w:val="single"/>
        </w:rPr>
        <w:t>500m</w:t>
      </w:r>
      <w:r>
        <w:rPr>
          <w:rFonts w:ascii="Times New Roman" w:hAnsi="Times New Roman"/>
          <w:u w:val="single"/>
          <w:vertAlign w:val="superscript"/>
        </w:rPr>
        <w:t>3</w:t>
      </w:r>
      <w:r>
        <w:rPr>
          <w:rFonts w:ascii="Times New Roman" w:hAnsi="Times New Roman"/>
          <w:u w:val="single"/>
        </w:rPr>
        <w:t>/h</w:t>
      </w:r>
      <w:r>
        <w:rPr>
          <w:rFonts w:ascii="Times New Roman" w:hAnsi="Times New Roman"/>
          <w:u w:val="single"/>
        </w:rPr>
        <w:t>计算，没有被利用的淤泥将随溢流排入水中。以淤泥含量</w:t>
      </w:r>
      <w:r>
        <w:rPr>
          <w:rFonts w:ascii="Times New Roman" w:hAnsi="Times New Roman" w:hint="eastAsia"/>
          <w:u w:val="single"/>
        </w:rPr>
        <w:t>4</w:t>
      </w:r>
      <w:r>
        <w:rPr>
          <w:rFonts w:ascii="Times New Roman" w:hAnsi="Times New Roman"/>
          <w:u w:val="single"/>
        </w:rPr>
        <w:t>%</w:t>
      </w:r>
      <w:r>
        <w:rPr>
          <w:rFonts w:ascii="Times New Roman" w:hAnsi="Times New Roman"/>
          <w:u w:val="single"/>
        </w:rPr>
        <w:t>计，按照</w:t>
      </w:r>
      <w:r>
        <w:rPr>
          <w:rFonts w:ascii="Times New Roman" w:hAnsi="Times New Roman"/>
          <w:u w:val="single"/>
        </w:rPr>
        <w:t>80%</w:t>
      </w:r>
      <w:r>
        <w:rPr>
          <w:rFonts w:ascii="Times New Roman" w:hAnsi="Times New Roman"/>
          <w:u w:val="single"/>
        </w:rPr>
        <w:t>的淤泥被洗掉，则淤泥的排量为</w:t>
      </w:r>
      <w:r>
        <w:rPr>
          <w:rFonts w:ascii="Times New Roman" w:hAnsi="Times New Roman" w:hint="eastAsia"/>
          <w:u w:val="single"/>
        </w:rPr>
        <w:t>16</w:t>
      </w:r>
      <w:r>
        <w:rPr>
          <w:rFonts w:ascii="Times New Roman" w:hAnsi="Times New Roman"/>
          <w:u w:val="single"/>
        </w:rPr>
        <w:t>m</w:t>
      </w:r>
      <w:r>
        <w:rPr>
          <w:rFonts w:ascii="Times New Roman" w:hAnsi="Times New Roman"/>
          <w:u w:val="single"/>
          <w:vertAlign w:val="superscript"/>
        </w:rPr>
        <w:t>3</w:t>
      </w:r>
      <w:r>
        <w:rPr>
          <w:rFonts w:ascii="Times New Roman" w:hAnsi="Times New Roman"/>
          <w:u w:val="single"/>
        </w:rPr>
        <w:t>/h</w:t>
      </w:r>
      <w:r>
        <w:rPr>
          <w:rFonts w:ascii="Times New Roman" w:hAnsi="Times New Roman"/>
          <w:u w:val="single"/>
        </w:rPr>
        <w:t>，按泥质干容重</w:t>
      </w:r>
      <w:r>
        <w:rPr>
          <w:rFonts w:ascii="Times New Roman" w:hAnsi="Times New Roman"/>
          <w:u w:val="single"/>
        </w:rPr>
        <w:t>1.12t/m</w:t>
      </w:r>
      <w:r>
        <w:rPr>
          <w:rFonts w:ascii="Times New Roman" w:hAnsi="Times New Roman"/>
          <w:u w:val="single"/>
          <w:vertAlign w:val="superscript"/>
        </w:rPr>
        <w:t>3</w:t>
      </w:r>
      <w:r>
        <w:rPr>
          <w:rFonts w:ascii="Times New Roman" w:hAnsi="Times New Roman"/>
          <w:u w:val="single"/>
        </w:rPr>
        <w:t>计算，每条船粉砂与粘土排放源强为</w:t>
      </w:r>
      <w:r>
        <w:rPr>
          <w:rFonts w:ascii="Times New Roman" w:hAnsi="Times New Roman" w:hint="eastAsia"/>
          <w:u w:val="single"/>
        </w:rPr>
        <w:t>4.98</w:t>
      </w:r>
      <w:r>
        <w:rPr>
          <w:rFonts w:ascii="Times New Roman" w:hAnsi="Times New Roman"/>
          <w:u w:val="single"/>
        </w:rPr>
        <w:t>kg/s</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需要说明的是：</w:t>
      </w:r>
      <w:r>
        <w:rPr>
          <w:rFonts w:ascii="Times New Roman" w:hAnsi="Times New Roman" w:cs="宋体" w:hint="eastAsia"/>
          <w:u w:val="single"/>
        </w:rPr>
        <w:t>①</w:t>
      </w:r>
      <w:r>
        <w:rPr>
          <w:rFonts w:ascii="Times New Roman" w:hAnsi="Times New Roman"/>
          <w:u w:val="single"/>
        </w:rPr>
        <w:t>当采砂位置移动时，为了避免损坏吸砂管，需要先把吸砂</w:t>
      </w:r>
    </w:p>
    <w:p w:rsidR="004B4777" w:rsidRDefault="004B4777">
      <w:pPr>
        <w:ind w:firstLineChars="0" w:firstLine="0"/>
        <w:rPr>
          <w:rFonts w:ascii="Times New Roman" w:hAnsi="Times New Roman"/>
          <w:u w:val="single"/>
        </w:rPr>
      </w:pPr>
      <w:r>
        <w:rPr>
          <w:rFonts w:ascii="Times New Roman" w:hAnsi="Times New Roman"/>
          <w:u w:val="single"/>
        </w:rPr>
        <w:t>管抽出并离开河底表面，然后才能移动采砂船，因此，采砂位置移动时并不会产生悬浮泥沙。</w:t>
      </w:r>
      <w:r>
        <w:rPr>
          <w:rFonts w:ascii="Times New Roman" w:hAnsi="Times New Roman" w:cs="宋体" w:hint="eastAsia"/>
          <w:u w:val="single"/>
        </w:rPr>
        <w:t>②</w:t>
      </w:r>
      <w:r>
        <w:rPr>
          <w:rFonts w:ascii="Times New Roman" w:hAnsi="Times New Roman"/>
          <w:u w:val="single"/>
        </w:rPr>
        <w:t>本项目拟使用的吸管式吸泵挖砂式采砂船的吸砂效率取值</w:t>
      </w:r>
      <w:r>
        <w:rPr>
          <w:rFonts w:ascii="Times New Roman" w:hAnsi="Times New Roman"/>
          <w:u w:val="single"/>
        </w:rPr>
        <w:lastRenderedPageBreak/>
        <w:t>500m</w:t>
      </w:r>
      <w:r>
        <w:rPr>
          <w:rFonts w:ascii="Times New Roman" w:hAnsi="Times New Roman"/>
          <w:u w:val="single"/>
          <w:vertAlign w:val="superscript"/>
        </w:rPr>
        <w:t>3</w:t>
      </w:r>
      <w:r>
        <w:rPr>
          <w:rFonts w:ascii="Times New Roman" w:hAnsi="Times New Roman"/>
          <w:u w:val="single"/>
        </w:rPr>
        <w:t>/h</w:t>
      </w:r>
      <w:r>
        <w:rPr>
          <w:rFonts w:ascii="Times New Roman" w:hAnsi="Times New Roman"/>
          <w:u w:val="single"/>
        </w:rPr>
        <w:t>。根据国际上对疏浚船形成的水砂混合物的设计标准，通常含水量要达到</w:t>
      </w:r>
      <w:r>
        <w:rPr>
          <w:rFonts w:ascii="Times New Roman" w:hAnsi="Times New Roman"/>
          <w:u w:val="single"/>
        </w:rPr>
        <w:t>70%</w:t>
      </w:r>
      <w:r>
        <w:rPr>
          <w:rFonts w:ascii="Times New Roman" w:hAnsi="Times New Roman"/>
          <w:u w:val="single"/>
        </w:rPr>
        <w:t>～</w:t>
      </w:r>
      <w:r>
        <w:rPr>
          <w:rFonts w:ascii="Times New Roman" w:hAnsi="Times New Roman"/>
          <w:u w:val="single"/>
        </w:rPr>
        <w:t>80%</w:t>
      </w:r>
      <w:r>
        <w:rPr>
          <w:rFonts w:ascii="Times New Roman" w:hAnsi="Times New Roman"/>
          <w:u w:val="single"/>
        </w:rPr>
        <w:t>才能顺利的将水砂混合物吸起来。本项目每小时的采砂量平均为</w:t>
      </w:r>
      <w:r>
        <w:rPr>
          <w:rFonts w:ascii="Times New Roman" w:hAnsi="Times New Roman"/>
          <w:u w:val="single"/>
        </w:rPr>
        <w:t>500m</w:t>
      </w:r>
      <w:r>
        <w:rPr>
          <w:rFonts w:ascii="Times New Roman" w:hAnsi="Times New Roman"/>
          <w:u w:val="single"/>
          <w:vertAlign w:val="superscript"/>
        </w:rPr>
        <w:t>3</w:t>
      </w:r>
      <w:r>
        <w:rPr>
          <w:rFonts w:ascii="Times New Roman" w:hAnsi="Times New Roman"/>
          <w:u w:val="single"/>
        </w:rPr>
        <w:t>，抽砂量约为砂水混合物的</w:t>
      </w:r>
      <w:r>
        <w:rPr>
          <w:rFonts w:ascii="Times New Roman" w:hAnsi="Times New Roman"/>
          <w:u w:val="single"/>
        </w:rPr>
        <w:t>25%</w:t>
      </w:r>
      <w:r>
        <w:rPr>
          <w:rFonts w:ascii="Times New Roman" w:hAnsi="Times New Roman"/>
          <w:u w:val="single"/>
        </w:rPr>
        <w:t>。</w:t>
      </w:r>
      <w:r>
        <w:rPr>
          <w:rFonts w:ascii="Times New Roman" w:hAnsi="Times New Roman" w:cs="宋体" w:hint="eastAsia"/>
          <w:u w:val="single"/>
        </w:rPr>
        <w:t>③</w:t>
      </w:r>
      <w:r>
        <w:rPr>
          <w:rFonts w:ascii="Times New Roman" w:hAnsi="Times New Roman"/>
          <w:u w:val="single"/>
        </w:rPr>
        <w:t>洗砂溢流水产生的悬浮泥沙源强已包含在上述的粉砂与粘土排放的源强（</w:t>
      </w:r>
      <w:r>
        <w:rPr>
          <w:rFonts w:ascii="Times New Roman" w:hAnsi="Times New Roman" w:hint="eastAsia"/>
          <w:u w:val="single"/>
        </w:rPr>
        <w:t>4.98</w:t>
      </w:r>
      <w:r>
        <w:rPr>
          <w:rFonts w:ascii="Times New Roman" w:hAnsi="Times New Roman"/>
          <w:u w:val="single"/>
        </w:rPr>
        <w:t>kg/s</w:t>
      </w:r>
      <w:r>
        <w:rPr>
          <w:rFonts w:ascii="Times New Roman" w:hAnsi="Times New Roman"/>
          <w:u w:val="single"/>
        </w:rPr>
        <w:t>）之中。</w:t>
      </w:r>
    </w:p>
    <w:p w:rsidR="004B4777" w:rsidRDefault="004B4777">
      <w:pPr>
        <w:ind w:firstLine="480"/>
        <w:rPr>
          <w:rFonts w:ascii="Times New Roman" w:hAnsi="Times New Roman"/>
          <w:u w:val="single"/>
        </w:rPr>
      </w:pPr>
      <w:r>
        <w:rPr>
          <w:rFonts w:ascii="Times New Roman" w:hAnsi="Times New Roman"/>
          <w:u w:val="single"/>
        </w:rPr>
        <w:t>本项目在采砂船增加溢流管将含泥污水直接排放到采砂基坑，同时在采砂</w:t>
      </w:r>
      <w:r>
        <w:rPr>
          <w:rFonts w:ascii="Times New Roman" w:hAnsi="Times New Roman" w:hint="eastAsia"/>
          <w:u w:val="single"/>
        </w:rPr>
        <w:t>基坑</w:t>
      </w:r>
      <w:r>
        <w:rPr>
          <w:rFonts w:ascii="Times New Roman" w:hAnsi="Times New Roman"/>
          <w:u w:val="single"/>
        </w:rPr>
        <w:t>增设围埝、溢流口处增设防护栏等措施，可以大大降低悬浮泥沙的扩散量，远小于估算值。</w:t>
      </w:r>
    </w:p>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4</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 xml:space="preserve"> </w:t>
      </w:r>
      <w:r>
        <w:rPr>
          <w:rFonts w:ascii="Times New Roman" w:eastAsia="宋体" w:hAnsi="Times New Roman" w:hint="eastAsia"/>
          <w:b/>
        </w:rPr>
        <w:t>废水</w:t>
      </w:r>
    </w:p>
    <w:p w:rsidR="004B4777" w:rsidRDefault="004B4777">
      <w:pPr>
        <w:ind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含油污水</w:t>
      </w:r>
    </w:p>
    <w:p w:rsidR="004B4777" w:rsidRDefault="004B4777">
      <w:pPr>
        <w:ind w:firstLine="480"/>
        <w:rPr>
          <w:rFonts w:ascii="Times New Roman" w:hAnsi="Times New Roman"/>
        </w:rPr>
      </w:pPr>
      <w:r>
        <w:rPr>
          <w:rFonts w:ascii="Times New Roman" w:hAnsi="Times New Roman"/>
        </w:rPr>
        <w:t>主要是机舱含油污水，按《港口工程环境保护设计规范》（</w:t>
      </w:r>
      <w:r>
        <w:rPr>
          <w:rFonts w:ascii="Times New Roman" w:hAnsi="Times New Roman"/>
        </w:rPr>
        <w:t>JTS149-1-2007</w:t>
      </w:r>
      <w:r>
        <w:rPr>
          <w:rFonts w:ascii="Times New Roman" w:hAnsi="Times New Roman"/>
        </w:rPr>
        <w:t>）含油污水浓度为</w:t>
      </w:r>
      <w:r>
        <w:rPr>
          <w:rFonts w:ascii="Times New Roman" w:hAnsi="Times New Roman"/>
        </w:rPr>
        <w:t>2000</w:t>
      </w:r>
      <w:r>
        <w:rPr>
          <w:rFonts w:ascii="Times New Roman" w:hAnsi="Times New Roman"/>
        </w:rPr>
        <w:t>～</w:t>
      </w:r>
      <w:r>
        <w:rPr>
          <w:rFonts w:ascii="Times New Roman" w:hAnsi="Times New Roman"/>
        </w:rPr>
        <w:t>20000mg/L</w:t>
      </w:r>
      <w:r>
        <w:rPr>
          <w:rFonts w:ascii="Times New Roman" w:hAnsi="Times New Roman"/>
        </w:rPr>
        <w:t>，舱底含油污水发生量以</w:t>
      </w:r>
      <w:r>
        <w:rPr>
          <w:rFonts w:ascii="Times New Roman" w:hAnsi="Times New Roman"/>
        </w:rPr>
        <w:t>1.2m</w:t>
      </w:r>
      <w:r>
        <w:rPr>
          <w:rFonts w:ascii="Times New Roman" w:hAnsi="Times New Roman"/>
          <w:vertAlign w:val="superscript"/>
        </w:rPr>
        <w:t>3</w:t>
      </w:r>
      <w:r>
        <w:rPr>
          <w:rFonts w:ascii="Times New Roman" w:hAnsi="Times New Roman"/>
        </w:rPr>
        <w:t>/d</w:t>
      </w:r>
      <w:r>
        <w:rPr>
          <w:rFonts w:ascii="Times New Roman" w:hAnsi="Times New Roman"/>
        </w:rPr>
        <w:t>艘计，初步估算最大作业强度下约</w:t>
      </w:r>
      <w:r>
        <w:rPr>
          <w:rFonts w:ascii="Times New Roman" w:hAnsi="Times New Roman" w:hint="eastAsia"/>
        </w:rPr>
        <w:t>来往</w:t>
      </w:r>
      <w:r>
        <w:rPr>
          <w:rFonts w:ascii="Times New Roman" w:hAnsi="Times New Roman"/>
        </w:rPr>
        <w:t>20</w:t>
      </w:r>
      <w:r>
        <w:rPr>
          <w:rFonts w:ascii="Times New Roman" w:hAnsi="Times New Roman"/>
        </w:rPr>
        <w:t>艘</w:t>
      </w:r>
      <w:r>
        <w:rPr>
          <w:rFonts w:ascii="Times New Roman" w:hAnsi="Times New Roman" w:hint="eastAsia"/>
        </w:rPr>
        <w:t>采砂船</w:t>
      </w:r>
      <w:r>
        <w:rPr>
          <w:rFonts w:ascii="Times New Roman" w:hAnsi="Times New Roman"/>
        </w:rPr>
        <w:t>和运砂船每日共产生含油污水</w:t>
      </w:r>
      <w:r>
        <w:rPr>
          <w:rFonts w:ascii="Times New Roman" w:hAnsi="Times New Roman"/>
        </w:rPr>
        <w:t>24m</w:t>
      </w:r>
      <w:r>
        <w:rPr>
          <w:rFonts w:ascii="Times New Roman" w:hAnsi="Times New Roman"/>
          <w:vertAlign w:val="superscript"/>
        </w:rPr>
        <w:t>3</w:t>
      </w:r>
      <w:r>
        <w:rPr>
          <w:rFonts w:ascii="Times New Roman" w:hAnsi="Times New Roman"/>
        </w:rPr>
        <w:t>，处理前油污水含油浓度按</w:t>
      </w:r>
      <w:r>
        <w:rPr>
          <w:rFonts w:ascii="Times New Roman" w:hAnsi="Times New Roman"/>
        </w:rPr>
        <w:t>10000mg/L</w:t>
      </w:r>
      <w:r>
        <w:rPr>
          <w:rFonts w:ascii="Times New Roman" w:hAnsi="Times New Roman"/>
        </w:rPr>
        <w:t>计算，则船舶含油污水中石油类产生量为</w:t>
      </w:r>
      <w:r>
        <w:rPr>
          <w:rFonts w:ascii="Times New Roman" w:hAnsi="Times New Roman"/>
        </w:rPr>
        <w:t>240kg/d</w:t>
      </w:r>
      <w:r>
        <w:rPr>
          <w:rFonts w:ascii="Times New Roman" w:hAnsi="Times New Roman"/>
        </w:rPr>
        <w:t>。</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）生活污水</w:t>
      </w:r>
    </w:p>
    <w:p w:rsidR="004B4777" w:rsidRDefault="004B4777">
      <w:pPr>
        <w:ind w:firstLine="480"/>
        <w:rPr>
          <w:rFonts w:ascii="Times New Roman" w:hAnsi="Times New Roman" w:hint="eastAsia"/>
        </w:rPr>
      </w:pPr>
      <w:r>
        <w:rPr>
          <w:rFonts w:ascii="Times New Roman" w:hAnsi="Times New Roman" w:hint="eastAsia"/>
        </w:rPr>
        <w:t>本项目定员为</w:t>
      </w:r>
      <w:r>
        <w:rPr>
          <w:rFonts w:ascii="Times New Roman" w:hAnsi="Times New Roman" w:hint="eastAsia"/>
        </w:rPr>
        <w:t>210</w:t>
      </w:r>
      <w:r>
        <w:rPr>
          <w:rFonts w:ascii="Times New Roman" w:hAnsi="Times New Roman" w:hint="eastAsia"/>
        </w:rPr>
        <w:t>人，采砂期按</w:t>
      </w:r>
      <w:r>
        <w:rPr>
          <w:rFonts w:ascii="Times New Roman" w:hAnsi="Times New Roman" w:hint="eastAsia"/>
        </w:rPr>
        <w:t>300d</w:t>
      </w:r>
      <w:r>
        <w:rPr>
          <w:rFonts w:ascii="Times New Roman" w:hAnsi="Times New Roman" w:hint="eastAsia"/>
        </w:rPr>
        <w:t>计算。平均每人用水按照</w:t>
      </w:r>
      <w:r>
        <w:rPr>
          <w:rFonts w:ascii="Times New Roman" w:hAnsi="Times New Roman" w:hint="eastAsia"/>
        </w:rPr>
        <w:t xml:space="preserve">100L/d </w:t>
      </w:r>
      <w:r>
        <w:rPr>
          <w:rFonts w:ascii="Times New Roman" w:hAnsi="Times New Roman" w:hint="eastAsia"/>
        </w:rPr>
        <w:t>计，则生活用水量为</w:t>
      </w:r>
      <w:r>
        <w:rPr>
          <w:rFonts w:ascii="Times New Roman" w:hAnsi="Times New Roman" w:hint="eastAsia"/>
        </w:rPr>
        <w:t>6300m</w:t>
      </w:r>
      <w:r>
        <w:rPr>
          <w:rFonts w:ascii="Times New Roman" w:hAnsi="Times New Roman" w:hint="eastAsia"/>
          <w:vertAlign w:val="superscript"/>
        </w:rPr>
        <w:t>3</w:t>
      </w:r>
      <w:r>
        <w:rPr>
          <w:rFonts w:ascii="Times New Roman" w:hAnsi="Times New Roman" w:hint="eastAsia"/>
        </w:rPr>
        <w:t>/a</w:t>
      </w:r>
      <w:r>
        <w:rPr>
          <w:rFonts w:ascii="Times New Roman" w:hAnsi="Times New Roman" w:hint="eastAsia"/>
        </w:rPr>
        <w:t>；生活污水排放量按用水量的</w:t>
      </w:r>
      <w:r>
        <w:rPr>
          <w:rFonts w:ascii="Times New Roman" w:hAnsi="Times New Roman" w:hint="eastAsia"/>
        </w:rPr>
        <w:t>80%</w:t>
      </w:r>
      <w:r>
        <w:rPr>
          <w:rFonts w:ascii="Times New Roman" w:hAnsi="Times New Roman" w:hint="eastAsia"/>
        </w:rPr>
        <w:t>计，则生活污水排放量为</w:t>
      </w:r>
      <w:r>
        <w:rPr>
          <w:rFonts w:ascii="Times New Roman" w:hAnsi="Times New Roman" w:hint="eastAsia"/>
        </w:rPr>
        <w:t>5040m</w:t>
      </w:r>
      <w:r>
        <w:rPr>
          <w:rFonts w:ascii="Times New Roman" w:hAnsi="Times New Roman" w:hint="eastAsia"/>
          <w:vertAlign w:val="superscript"/>
        </w:rPr>
        <w:t>3</w:t>
      </w:r>
      <w:r>
        <w:rPr>
          <w:rFonts w:ascii="Times New Roman" w:hAnsi="Times New Roman" w:hint="eastAsia"/>
        </w:rPr>
        <w:t>/a</w:t>
      </w:r>
      <w:r>
        <w:rPr>
          <w:rFonts w:ascii="Times New Roman" w:hAnsi="Times New Roman" w:hint="eastAsia"/>
        </w:rPr>
        <w:t>。生活污水经各采砂船的配套的生化一体化处理器处理，</w:t>
      </w:r>
      <w:r>
        <w:rPr>
          <w:rFonts w:ascii="Times New Roman" w:hAnsi="Times New Roman" w:hint="eastAsia"/>
          <w:u w:val="single"/>
        </w:rPr>
        <w:t>处理后委托有资质单位处理，不直接排入地表水体。</w:t>
      </w:r>
    </w:p>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4</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hint="eastAsia"/>
          <w:b/>
        </w:rPr>
        <w:t>废气</w:t>
      </w:r>
    </w:p>
    <w:p w:rsidR="004B4777" w:rsidRDefault="004B4777">
      <w:pPr>
        <w:ind w:firstLine="480"/>
        <w:rPr>
          <w:rFonts w:ascii="Times New Roman" w:hAnsi="Times New Roman" w:hint="eastAsia"/>
        </w:rPr>
      </w:pPr>
      <w:r>
        <w:rPr>
          <w:rFonts w:ascii="Times New Roman" w:hAnsi="Times New Roman" w:hint="eastAsia"/>
        </w:rPr>
        <w:t>本项目废气主要有采砂船柴油机燃油废气和采砂扬尘。</w:t>
      </w:r>
    </w:p>
    <w:p w:rsidR="004B4777" w:rsidRDefault="004B4777">
      <w:pPr>
        <w:ind w:firstLine="480"/>
        <w:rPr>
          <w:rFonts w:ascii="Times New Roman" w:hAnsi="Times New Roman" w:hint="eastAsia"/>
        </w:rPr>
      </w:pPr>
      <w:r>
        <w:rPr>
          <w:rFonts w:ascii="Times New Roman" w:hAnsi="Times New Roman" w:hint="eastAsia"/>
        </w:rPr>
        <w:t>1</w:t>
      </w:r>
      <w:r>
        <w:rPr>
          <w:rFonts w:ascii="Times New Roman" w:hAnsi="Times New Roman" w:hint="eastAsia"/>
        </w:rPr>
        <w:t>）燃油废气</w:t>
      </w:r>
    </w:p>
    <w:p w:rsidR="004B4777" w:rsidRDefault="004B4777">
      <w:pPr>
        <w:ind w:firstLine="480"/>
        <w:rPr>
          <w:rFonts w:ascii="Times New Roman" w:hAnsi="Times New Roman" w:hint="eastAsia"/>
          <w:u w:val="single"/>
        </w:rPr>
      </w:pPr>
      <w:r>
        <w:rPr>
          <w:rFonts w:ascii="Times New Roman" w:hAnsi="Times New Roman" w:hint="eastAsia"/>
          <w:u w:val="single"/>
        </w:rPr>
        <w:t>本项目采砂船用电、采砂等使用柴油作为能源，这些设备运行时内燃机将排放出废气，主要污染因子是</w:t>
      </w:r>
      <w:r>
        <w:rPr>
          <w:rFonts w:ascii="Times New Roman" w:hAnsi="Times New Roman" w:hint="eastAsia"/>
          <w:u w:val="single"/>
        </w:rPr>
        <w:t>C</w:t>
      </w:r>
      <w:r>
        <w:rPr>
          <w:rFonts w:ascii="Times New Roman" w:hAnsi="Times New Roman" w:hint="eastAsia"/>
          <w:u w:val="single"/>
          <w:vertAlign w:val="subscript"/>
        </w:rPr>
        <w:t>m</w:t>
      </w:r>
      <w:r>
        <w:rPr>
          <w:rFonts w:ascii="Times New Roman" w:hAnsi="Times New Roman" w:hint="eastAsia"/>
          <w:u w:val="single"/>
        </w:rPr>
        <w:t>H</w:t>
      </w:r>
      <w:r>
        <w:rPr>
          <w:rFonts w:ascii="Times New Roman" w:hAnsi="Times New Roman" w:hint="eastAsia"/>
          <w:u w:val="single"/>
          <w:vertAlign w:val="subscript"/>
        </w:rPr>
        <w:t>n</w:t>
      </w:r>
      <w:r>
        <w:rPr>
          <w:rFonts w:ascii="Times New Roman" w:hAnsi="Times New Roman" w:hint="eastAsia"/>
          <w:u w:val="single"/>
        </w:rPr>
        <w:t>、</w:t>
      </w:r>
      <w:r>
        <w:rPr>
          <w:rFonts w:ascii="Times New Roman" w:hAnsi="Times New Roman" w:hint="eastAsia"/>
          <w:u w:val="single"/>
        </w:rPr>
        <w:t>CO</w:t>
      </w:r>
      <w:r>
        <w:rPr>
          <w:rFonts w:ascii="Times New Roman" w:hAnsi="Times New Roman" w:hint="eastAsia"/>
          <w:u w:val="single"/>
        </w:rPr>
        <w:t>、</w:t>
      </w:r>
      <w:r>
        <w:rPr>
          <w:rFonts w:ascii="Times New Roman" w:hAnsi="Times New Roman" w:hint="eastAsia"/>
          <w:u w:val="single"/>
        </w:rPr>
        <w:t>NO</w:t>
      </w:r>
      <w:r>
        <w:rPr>
          <w:rFonts w:ascii="Times New Roman" w:hAnsi="Times New Roman" w:hint="eastAsia"/>
          <w:u w:val="single"/>
          <w:vertAlign w:val="subscript"/>
        </w:rPr>
        <w:t>x</w:t>
      </w:r>
      <w:r>
        <w:rPr>
          <w:rFonts w:ascii="Times New Roman" w:hAnsi="Times New Roman" w:hint="eastAsia"/>
          <w:u w:val="single"/>
        </w:rPr>
        <w:t>等。按柴油密度</w:t>
      </w:r>
      <w:r>
        <w:rPr>
          <w:rFonts w:ascii="Times New Roman" w:hAnsi="Times New Roman" w:hint="eastAsia"/>
          <w:u w:val="single"/>
        </w:rPr>
        <w:t>0.83kg/L</w:t>
      </w:r>
      <w:r>
        <w:rPr>
          <w:rFonts w:ascii="Times New Roman" w:hAnsi="Times New Roman" w:hint="eastAsia"/>
          <w:u w:val="single"/>
        </w:rPr>
        <w:t>折算为</w:t>
      </w:r>
      <w:r>
        <w:rPr>
          <w:rFonts w:ascii="Times New Roman" w:hAnsi="Times New Roman" w:hint="eastAsia"/>
          <w:u w:val="single"/>
        </w:rPr>
        <w:t>17373.5m</w:t>
      </w:r>
      <w:r>
        <w:rPr>
          <w:rFonts w:ascii="Times New Roman" w:hAnsi="Times New Roman" w:hint="eastAsia"/>
          <w:u w:val="single"/>
          <w:vertAlign w:val="superscript"/>
        </w:rPr>
        <w:t>3</w:t>
      </w:r>
      <w:r>
        <w:rPr>
          <w:rFonts w:ascii="Times New Roman" w:hAnsi="Times New Roman" w:hint="eastAsia"/>
          <w:u w:val="single"/>
        </w:rPr>
        <w:t>。根据国家公布的机动车辆消耗单位燃料大气污染物排放系数，计算得到本项目各类机械总柴油燃烧废气污染物排放量为</w:t>
      </w:r>
      <w:r>
        <w:rPr>
          <w:rFonts w:ascii="Times New Roman" w:hAnsi="Times New Roman" w:hint="eastAsia"/>
          <w:u w:val="single"/>
        </w:rPr>
        <w:t>CO587.2t/a</w:t>
      </w:r>
      <w:r>
        <w:rPr>
          <w:rFonts w:ascii="Times New Roman" w:hAnsi="Times New Roman" w:hint="eastAsia"/>
          <w:u w:val="single"/>
        </w:rPr>
        <w:t>、</w:t>
      </w:r>
      <w:r>
        <w:rPr>
          <w:rFonts w:ascii="Times New Roman" w:hAnsi="Times New Roman" w:hint="eastAsia"/>
          <w:u w:val="single"/>
        </w:rPr>
        <w:t>CmHn 63.8t/a</w:t>
      </w:r>
      <w:r>
        <w:rPr>
          <w:rFonts w:ascii="Times New Roman" w:hAnsi="Times New Roman" w:hint="eastAsia"/>
          <w:u w:val="single"/>
        </w:rPr>
        <w:t>、</w:t>
      </w:r>
      <w:r>
        <w:rPr>
          <w:rFonts w:ascii="Times New Roman" w:hAnsi="Times New Roman" w:hint="eastAsia"/>
          <w:u w:val="single"/>
        </w:rPr>
        <w:t>NOx 380.5t/a</w:t>
      </w:r>
      <w:r>
        <w:rPr>
          <w:rFonts w:ascii="Times New Roman" w:hAnsi="Times New Roman" w:hint="eastAsia"/>
          <w:u w:val="single"/>
        </w:rPr>
        <w:t>。</w:t>
      </w:r>
    </w:p>
    <w:p w:rsidR="004B4777" w:rsidRDefault="004B4777">
      <w:pPr>
        <w:ind w:firstLineChars="0" w:firstLine="0"/>
        <w:jc w:val="center"/>
        <w:rPr>
          <w:rFonts w:ascii="Times New Roman" w:hAnsi="Times New Roman" w:hint="eastAsia"/>
          <w:b/>
          <w:kern w:val="0"/>
          <w:szCs w:val="24"/>
          <w:u w:val="single"/>
          <w:lang w:val="en-US" w:eastAsia="zh-CN"/>
        </w:rPr>
      </w:pPr>
      <w:r>
        <w:rPr>
          <w:rFonts w:ascii="Times New Roman" w:hAnsi="Times New Roman" w:hint="eastAsia"/>
          <w:b/>
          <w:kern w:val="0"/>
          <w:szCs w:val="24"/>
          <w:u w:val="single"/>
          <w:lang w:val="en-US" w:eastAsia="zh-CN"/>
        </w:rPr>
        <w:t>表</w:t>
      </w:r>
      <w:r>
        <w:rPr>
          <w:rFonts w:ascii="Times New Roman" w:hAnsi="Times New Roman" w:hint="eastAsia"/>
          <w:b/>
          <w:kern w:val="0"/>
          <w:szCs w:val="24"/>
          <w:u w:val="single"/>
          <w:lang w:val="en-US" w:eastAsia="zh-CN"/>
        </w:rPr>
        <w:t>4.2</w:t>
      </w:r>
      <w:r>
        <w:rPr>
          <w:rFonts w:ascii="Times New Roman" w:hAnsi="Times New Roman"/>
          <w:b/>
          <w:kern w:val="0"/>
          <w:szCs w:val="24"/>
          <w:u w:val="single"/>
          <w:lang w:val="en-US" w:eastAsia="zh-CN"/>
        </w:rPr>
        <w:t>-</w:t>
      </w:r>
      <w:r>
        <w:rPr>
          <w:rFonts w:ascii="Times New Roman" w:hAnsi="Times New Roman" w:hint="eastAsia"/>
          <w:b/>
          <w:kern w:val="0"/>
          <w:szCs w:val="24"/>
          <w:u w:val="single"/>
          <w:lang w:val="en-US" w:eastAsia="zh-CN"/>
        </w:rPr>
        <w:t>1</w:t>
      </w:r>
      <w:r>
        <w:rPr>
          <w:rFonts w:ascii="Times New Roman" w:hAnsi="Times New Roman"/>
          <w:b/>
          <w:kern w:val="0"/>
          <w:szCs w:val="24"/>
          <w:u w:val="single"/>
          <w:lang w:val="en-US" w:eastAsia="zh-CN"/>
        </w:rPr>
        <w:t xml:space="preserve">    </w:t>
      </w:r>
      <w:r>
        <w:rPr>
          <w:rFonts w:ascii="Times New Roman" w:hAnsi="Times New Roman" w:hint="eastAsia"/>
          <w:b/>
          <w:kern w:val="0"/>
          <w:szCs w:val="24"/>
          <w:u w:val="single"/>
          <w:lang w:val="en-US" w:eastAsia="zh-CN"/>
        </w:rPr>
        <w:t>柴油大气污染物产生情况</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8"/>
        <w:gridCol w:w="2318"/>
        <w:gridCol w:w="2318"/>
        <w:gridCol w:w="2318"/>
      </w:tblGrid>
      <w:tr w:rsidR="004B4777">
        <w:tc>
          <w:tcPr>
            <w:tcW w:w="156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污染物</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sz w:val="21"/>
                <w:szCs w:val="21"/>
                <w:u w:val="single"/>
              </w:rPr>
              <w:t>CO</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sz w:val="21"/>
                <w:szCs w:val="21"/>
                <w:u w:val="single"/>
              </w:rPr>
              <w:t>C</w:t>
            </w:r>
            <w:r>
              <w:rPr>
                <w:rFonts w:ascii="Times New Roman" w:hAnsi="Times New Roman" w:hint="eastAsia"/>
                <w:sz w:val="21"/>
                <w:szCs w:val="21"/>
                <w:u w:val="single"/>
                <w:vertAlign w:val="subscript"/>
              </w:rPr>
              <w:t>m</w:t>
            </w:r>
            <w:r>
              <w:rPr>
                <w:rFonts w:ascii="Times New Roman" w:hAnsi="Times New Roman" w:hint="eastAsia"/>
                <w:sz w:val="21"/>
                <w:szCs w:val="21"/>
                <w:u w:val="single"/>
              </w:rPr>
              <w:t>H</w:t>
            </w:r>
            <w:r>
              <w:rPr>
                <w:rFonts w:ascii="Times New Roman" w:hAnsi="Times New Roman" w:hint="eastAsia"/>
                <w:sz w:val="21"/>
                <w:szCs w:val="21"/>
                <w:u w:val="single"/>
                <w:vertAlign w:val="subscript"/>
              </w:rPr>
              <w:t>n</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sz w:val="21"/>
                <w:szCs w:val="21"/>
                <w:u w:val="single"/>
              </w:rPr>
              <w:t>NO</w:t>
            </w:r>
            <w:r>
              <w:rPr>
                <w:rFonts w:ascii="Times New Roman" w:hAnsi="Times New Roman" w:hint="eastAsia"/>
                <w:sz w:val="21"/>
                <w:szCs w:val="21"/>
                <w:u w:val="single"/>
                <w:vertAlign w:val="subscript"/>
              </w:rPr>
              <w:t>x</w:t>
            </w:r>
          </w:p>
        </w:tc>
      </w:tr>
      <w:tr w:rsidR="004B4777">
        <w:tc>
          <w:tcPr>
            <w:tcW w:w="156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产污系数（</w:t>
            </w:r>
            <w:r>
              <w:rPr>
                <w:rFonts w:ascii="Times New Roman" w:hAnsi="Times New Roman" w:hint="eastAsia"/>
                <w:kern w:val="0"/>
                <w:sz w:val="21"/>
                <w:szCs w:val="21"/>
                <w:u w:val="single"/>
                <w:lang w:val="en-US" w:eastAsia="zh-CN"/>
              </w:rPr>
              <w:t>g/L</w:t>
            </w:r>
            <w:r>
              <w:rPr>
                <w:rFonts w:ascii="Times New Roman" w:hAnsi="Times New Roman" w:hint="eastAsia"/>
                <w:kern w:val="0"/>
                <w:sz w:val="21"/>
                <w:szCs w:val="21"/>
                <w:u w:val="single"/>
                <w:lang w:val="en-US" w:eastAsia="zh-CN"/>
              </w:rPr>
              <w:t>）</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33.8</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3.67</w:t>
            </w:r>
          </w:p>
        </w:tc>
        <w:tc>
          <w:tcPr>
            <w:tcW w:w="2318" w:type="dxa"/>
            <w:vAlign w:val="center"/>
          </w:tcPr>
          <w:p w:rsidR="004B4777" w:rsidRDefault="004B4777">
            <w:pPr>
              <w:spacing w:line="240" w:lineRule="auto"/>
              <w:ind w:firstLineChars="0" w:firstLine="0"/>
              <w:jc w:val="center"/>
              <w:rPr>
                <w:rFonts w:ascii="Times New Roman" w:hAnsi="Times New Roman"/>
                <w:kern w:val="0"/>
                <w:sz w:val="21"/>
                <w:szCs w:val="21"/>
                <w:u w:val="single"/>
                <w:lang w:val="en-US" w:eastAsia="zh-CN"/>
              </w:rPr>
            </w:pPr>
            <w:r>
              <w:rPr>
                <w:rFonts w:ascii="Times New Roman" w:hAnsi="Times New Roman" w:hint="eastAsia"/>
                <w:kern w:val="0"/>
                <w:sz w:val="21"/>
                <w:szCs w:val="21"/>
                <w:u w:val="single"/>
                <w:lang w:val="en-US" w:eastAsia="zh-CN"/>
              </w:rPr>
              <w:t>21.9</w:t>
            </w:r>
          </w:p>
        </w:tc>
      </w:tr>
      <w:tr w:rsidR="004B4777">
        <w:tc>
          <w:tcPr>
            <w:tcW w:w="156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lastRenderedPageBreak/>
              <w:t>产生量（</w:t>
            </w:r>
            <w:r>
              <w:rPr>
                <w:rFonts w:ascii="Times New Roman" w:hAnsi="Times New Roman" w:hint="eastAsia"/>
                <w:kern w:val="0"/>
                <w:sz w:val="21"/>
                <w:szCs w:val="21"/>
                <w:u w:val="single"/>
                <w:lang w:val="en-US" w:eastAsia="zh-CN"/>
              </w:rPr>
              <w:t>t/a</w:t>
            </w:r>
            <w:r>
              <w:rPr>
                <w:rFonts w:ascii="Times New Roman" w:hAnsi="Times New Roman" w:hint="eastAsia"/>
                <w:kern w:val="0"/>
                <w:sz w:val="21"/>
                <w:szCs w:val="21"/>
                <w:u w:val="single"/>
                <w:lang w:val="en-US" w:eastAsia="zh-CN"/>
              </w:rPr>
              <w:t>）</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587.2</w:t>
            </w:r>
          </w:p>
        </w:tc>
        <w:tc>
          <w:tcPr>
            <w:tcW w:w="2318"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63.8</w:t>
            </w:r>
          </w:p>
        </w:tc>
        <w:tc>
          <w:tcPr>
            <w:tcW w:w="2318" w:type="dxa"/>
            <w:vAlign w:val="center"/>
          </w:tcPr>
          <w:p w:rsidR="004B4777" w:rsidRDefault="004B4777">
            <w:pPr>
              <w:spacing w:line="240" w:lineRule="auto"/>
              <w:ind w:firstLineChars="0" w:firstLine="0"/>
              <w:jc w:val="center"/>
              <w:rPr>
                <w:rFonts w:ascii="Times New Roman" w:hAnsi="Times New Roman"/>
                <w:kern w:val="0"/>
                <w:sz w:val="21"/>
                <w:szCs w:val="21"/>
                <w:u w:val="single"/>
                <w:lang w:val="en-US" w:eastAsia="zh-CN"/>
              </w:rPr>
            </w:pPr>
            <w:r>
              <w:rPr>
                <w:rFonts w:ascii="Times New Roman" w:hAnsi="Times New Roman" w:hint="eastAsia"/>
                <w:kern w:val="0"/>
                <w:sz w:val="21"/>
                <w:szCs w:val="21"/>
                <w:u w:val="single"/>
                <w:lang w:val="en-US" w:eastAsia="zh-CN"/>
              </w:rPr>
              <w:t>380.5</w:t>
            </w:r>
          </w:p>
        </w:tc>
      </w:tr>
    </w:tbl>
    <w:p w:rsidR="004B4777" w:rsidRDefault="004B4777">
      <w:pPr>
        <w:ind w:firstLine="480"/>
        <w:rPr>
          <w:rFonts w:ascii="Times New Roman" w:hAnsi="Times New Roman"/>
        </w:rPr>
      </w:pPr>
      <w:r>
        <w:rPr>
          <w:rFonts w:ascii="Times New Roman" w:hAnsi="Times New Roman" w:hint="eastAsia"/>
        </w:rPr>
        <w:t>2</w:t>
      </w:r>
      <w:r>
        <w:rPr>
          <w:rFonts w:ascii="Times New Roman" w:hAnsi="Times New Roman" w:hint="eastAsia"/>
        </w:rPr>
        <w:t>）采砂</w:t>
      </w:r>
      <w:r>
        <w:rPr>
          <w:rFonts w:ascii="Times New Roman" w:hAnsi="Times New Roman"/>
        </w:rPr>
        <w:t>扬尘</w:t>
      </w:r>
    </w:p>
    <w:p w:rsidR="004B4777" w:rsidRDefault="004B4777">
      <w:pPr>
        <w:ind w:firstLine="480"/>
        <w:rPr>
          <w:rFonts w:ascii="Times New Roman" w:hAnsi="Times New Roman"/>
        </w:rPr>
      </w:pPr>
      <w:r>
        <w:rPr>
          <w:rFonts w:ascii="Times New Roman" w:hAnsi="Times New Roman"/>
        </w:rPr>
        <w:t>项目在采砂和运输砂石过程中将会产生一定量的扬尘，由于考虑到项目砂石水份含量较多，砂石扬尘产生量较少，同时采砂船和运输船作业场地较为开阔，废气经稀释扩散后不会对周边空气环境产生明显影响。</w:t>
      </w:r>
    </w:p>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4</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hint="eastAsia"/>
          <w:b/>
        </w:rPr>
        <w:t>噪声</w:t>
      </w:r>
    </w:p>
    <w:p w:rsidR="004B4777" w:rsidRDefault="004B4777">
      <w:pPr>
        <w:ind w:firstLine="480"/>
        <w:rPr>
          <w:rFonts w:ascii="Times New Roman" w:hAnsi="Times New Roman" w:hint="eastAsia"/>
        </w:rPr>
      </w:pPr>
      <w:r>
        <w:rPr>
          <w:rFonts w:ascii="Times New Roman" w:hAnsi="Times New Roman" w:hint="eastAsia"/>
        </w:rPr>
        <w:t>本项目噪声主要来源于采砂船开采抽吸砂石、矿石筛分机等。其噪声强度如表</w:t>
      </w:r>
      <w:r>
        <w:rPr>
          <w:rFonts w:ascii="Times New Roman" w:hAnsi="Times New Roman" w:hint="eastAsia"/>
        </w:rPr>
        <w:t>4.2-2</w:t>
      </w:r>
      <w:r>
        <w:rPr>
          <w:rFonts w:ascii="Times New Roman" w:hAnsi="Times New Roman" w:hint="eastAsia"/>
        </w:rPr>
        <w:t>。</w:t>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t>表</w:t>
      </w:r>
      <w:r>
        <w:rPr>
          <w:rFonts w:ascii="Times New Roman" w:hAnsi="Times New Roman" w:hint="eastAsia"/>
          <w:b/>
          <w:kern w:val="0"/>
          <w:szCs w:val="24"/>
          <w:lang w:val="en-US" w:eastAsia="zh-CN"/>
        </w:rPr>
        <w:t>4.2</w:t>
      </w:r>
      <w:r>
        <w:rPr>
          <w:rFonts w:ascii="Times New Roman" w:hAnsi="Times New Roman"/>
          <w:b/>
          <w:kern w:val="0"/>
          <w:szCs w:val="24"/>
          <w:lang w:val="en-US" w:eastAsia="zh-CN"/>
        </w:rPr>
        <w:t>-</w:t>
      </w:r>
      <w:r>
        <w:rPr>
          <w:rFonts w:ascii="Times New Roman" w:hAnsi="Times New Roman" w:hint="eastAsia"/>
          <w:b/>
          <w:kern w:val="0"/>
          <w:szCs w:val="24"/>
          <w:lang w:val="en-US" w:eastAsia="zh-CN"/>
        </w:rPr>
        <w:t>2</w:t>
      </w:r>
      <w:r>
        <w:rPr>
          <w:rFonts w:ascii="Times New Roman" w:hAnsi="Times New Roman"/>
          <w:b/>
          <w:kern w:val="0"/>
          <w:szCs w:val="24"/>
          <w:lang w:val="en-US" w:eastAsia="zh-CN"/>
        </w:rPr>
        <w:t xml:space="preserve">    </w:t>
      </w:r>
      <w:r>
        <w:rPr>
          <w:rFonts w:ascii="Times New Roman" w:hAnsi="Times New Roman" w:hint="eastAsia"/>
          <w:b/>
          <w:kern w:val="0"/>
          <w:szCs w:val="24"/>
          <w:lang w:val="en-US" w:eastAsia="zh-CN"/>
        </w:rPr>
        <w:t>设备噪声统计表</w:t>
      </w:r>
      <w:r>
        <w:rPr>
          <w:rFonts w:ascii="Times New Roman" w:hAnsi="Times New Roman" w:hint="eastAsia"/>
          <w:b/>
          <w:kern w:val="0"/>
          <w:szCs w:val="24"/>
          <w:lang w:val="en-US" w:eastAsia="zh-CN"/>
        </w:rPr>
        <w:t xml:space="preserve"> </w:t>
      </w:r>
      <w:r>
        <w:rPr>
          <w:rFonts w:ascii="Times New Roman" w:hAnsi="Times New Roman" w:hint="eastAsia"/>
          <w:b/>
          <w:kern w:val="0"/>
          <w:szCs w:val="24"/>
          <w:lang w:val="en-US" w:eastAsia="zh-CN"/>
        </w:rPr>
        <w:t>单位：</w:t>
      </w:r>
      <w:r>
        <w:rPr>
          <w:rFonts w:ascii="Times New Roman" w:hAnsi="Times New Roman" w:hint="eastAsia"/>
          <w:b/>
          <w:kern w:val="0"/>
          <w:szCs w:val="24"/>
          <w:lang w:val="en-US" w:eastAsia="zh-CN"/>
        </w:rPr>
        <w:t>dB</w:t>
      </w:r>
      <w:r>
        <w:rPr>
          <w:rFonts w:ascii="Times New Roman" w:hAnsi="Times New Roman" w:hint="eastAsia"/>
          <w:b/>
          <w:kern w:val="0"/>
          <w:szCs w:val="24"/>
          <w:lang w:val="en-US" w:eastAsia="zh-CN"/>
        </w:rPr>
        <w:t>（</w:t>
      </w:r>
      <w:r>
        <w:rPr>
          <w:rFonts w:ascii="Times New Roman" w:hAnsi="Times New Roman" w:hint="eastAsia"/>
          <w:b/>
          <w:kern w:val="0"/>
          <w:szCs w:val="24"/>
          <w:lang w:val="en-US" w:eastAsia="zh-CN"/>
        </w:rPr>
        <w:t>A</w:t>
      </w:r>
      <w:r>
        <w:rPr>
          <w:rFonts w:ascii="Times New Roman" w:hAnsi="Times New Roman" w:hint="eastAsia"/>
          <w:b/>
          <w:kern w:val="0"/>
          <w:szCs w:val="24"/>
          <w:lang w:val="en-US" w:eastAsia="zh-CN"/>
        </w:rPr>
        <w: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1"/>
        <w:gridCol w:w="2409"/>
        <w:gridCol w:w="1134"/>
        <w:gridCol w:w="3311"/>
      </w:tblGrid>
      <w:tr w:rsidR="004B4777">
        <w:tc>
          <w:tcPr>
            <w:tcW w:w="8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序号</w:t>
            </w:r>
          </w:p>
        </w:tc>
        <w:tc>
          <w:tcPr>
            <w:tcW w:w="85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名称</w:t>
            </w:r>
          </w:p>
        </w:tc>
        <w:tc>
          <w:tcPr>
            <w:tcW w:w="240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数量</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源强</w:t>
            </w:r>
          </w:p>
        </w:tc>
        <w:tc>
          <w:tcPr>
            <w:tcW w:w="331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拟采取的隔音降噪措施</w:t>
            </w:r>
          </w:p>
        </w:tc>
      </w:tr>
      <w:tr w:rsidR="004B4777">
        <w:tc>
          <w:tcPr>
            <w:tcW w:w="8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w:t>
            </w:r>
          </w:p>
        </w:tc>
        <w:tc>
          <w:tcPr>
            <w:tcW w:w="85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采砂船</w:t>
            </w:r>
          </w:p>
        </w:tc>
        <w:tc>
          <w:tcPr>
            <w:tcW w:w="240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同时作业不超过</w:t>
            </w:r>
            <w:r>
              <w:rPr>
                <w:rFonts w:ascii="Times New Roman" w:hAnsi="Times New Roman" w:hint="eastAsia"/>
                <w:kern w:val="0"/>
                <w:sz w:val="21"/>
                <w:szCs w:val="21"/>
                <w:lang w:val="en-US" w:eastAsia="zh-CN"/>
              </w:rPr>
              <w:t>7</w:t>
            </w:r>
            <w:r>
              <w:rPr>
                <w:rFonts w:ascii="Times New Roman" w:hAnsi="Times New Roman" w:hint="eastAsia"/>
                <w:kern w:val="0"/>
                <w:sz w:val="21"/>
                <w:szCs w:val="21"/>
                <w:lang w:val="en-US" w:eastAsia="zh-CN"/>
              </w:rPr>
              <w:t>艘</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75-90</w:t>
            </w:r>
          </w:p>
        </w:tc>
        <w:tc>
          <w:tcPr>
            <w:tcW w:w="3311" w:type="dxa"/>
            <w:vMerge w:val="restart"/>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部分设备自带隔声罩、消音器等措施，机械类噪声采用基础减震措施、各类管道采用吸声材料包裹。</w:t>
            </w:r>
          </w:p>
        </w:tc>
      </w:tr>
      <w:tr w:rsidR="004B4777">
        <w:tc>
          <w:tcPr>
            <w:tcW w:w="8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2</w:t>
            </w:r>
          </w:p>
        </w:tc>
        <w:tc>
          <w:tcPr>
            <w:tcW w:w="85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筛分机</w:t>
            </w:r>
          </w:p>
        </w:tc>
        <w:tc>
          <w:tcPr>
            <w:tcW w:w="2409"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14</w:t>
            </w:r>
            <w:r>
              <w:rPr>
                <w:rFonts w:ascii="Times New Roman" w:hAnsi="Times New Roman" w:hint="eastAsia"/>
                <w:kern w:val="0"/>
                <w:sz w:val="21"/>
                <w:szCs w:val="21"/>
                <w:lang w:val="en-US" w:eastAsia="zh-CN"/>
              </w:rPr>
              <w:t>台</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75-95</w:t>
            </w:r>
          </w:p>
        </w:tc>
        <w:tc>
          <w:tcPr>
            <w:tcW w:w="3311" w:type="dxa"/>
            <w:vMerge/>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p>
        </w:tc>
      </w:tr>
    </w:tbl>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4</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5</w:t>
      </w:r>
      <w:r>
        <w:rPr>
          <w:rFonts w:ascii="Times New Roman" w:eastAsia="宋体" w:hAnsi="Times New Roman"/>
          <w:b/>
        </w:rPr>
        <w:t xml:space="preserve"> </w:t>
      </w:r>
      <w:r>
        <w:rPr>
          <w:rFonts w:ascii="Times New Roman" w:eastAsia="宋体" w:hAnsi="Times New Roman" w:hint="eastAsia"/>
          <w:b/>
        </w:rPr>
        <w:t>固废</w:t>
      </w:r>
    </w:p>
    <w:p w:rsidR="004B4777" w:rsidRDefault="004B4777">
      <w:pPr>
        <w:ind w:firstLine="480"/>
        <w:rPr>
          <w:rFonts w:ascii="Times New Roman" w:hAnsi="Times New Roman" w:hint="eastAsia"/>
        </w:rPr>
      </w:pPr>
      <w:r>
        <w:rPr>
          <w:rFonts w:ascii="Times New Roman" w:hAnsi="Times New Roman" w:hint="eastAsia"/>
        </w:rPr>
        <w:t>项目运营后，主要固体废物为生产过程中产生</w:t>
      </w:r>
      <w:r>
        <w:rPr>
          <w:rFonts w:ascii="Times New Roman" w:hAnsi="Times New Roman" w:hint="eastAsia"/>
          <w:u w:val="single"/>
        </w:rPr>
        <w:t>清表固废、</w:t>
      </w:r>
      <w:r>
        <w:rPr>
          <w:rFonts w:ascii="Times New Roman" w:hAnsi="Times New Roman" w:hint="eastAsia"/>
        </w:rPr>
        <w:t>筛分较大的石块和生活垃圾、废柴油、废润滑油</w:t>
      </w:r>
      <w:r>
        <w:rPr>
          <w:rFonts w:ascii="Times New Roman" w:hAnsi="Times New Roman" w:hint="eastAsia"/>
          <w:u w:val="single"/>
        </w:rPr>
        <w:t>以及油水分离器分离的废油等。</w:t>
      </w:r>
    </w:p>
    <w:p w:rsidR="004B4777" w:rsidRDefault="004B4777">
      <w:pPr>
        <w:ind w:firstLine="480"/>
        <w:rPr>
          <w:rFonts w:ascii="Times New Roman" w:hAnsi="Times New Roman" w:hint="eastAsia"/>
        </w:rPr>
      </w:pPr>
      <w:r>
        <w:rPr>
          <w:rFonts w:ascii="Times New Roman" w:hAnsi="Times New Roman" w:hint="eastAsia"/>
        </w:rPr>
        <w:t>1</w:t>
      </w:r>
      <w:r>
        <w:rPr>
          <w:rFonts w:ascii="Times New Roman" w:hAnsi="Times New Roman" w:hint="eastAsia"/>
        </w:rPr>
        <w:t>）</w:t>
      </w:r>
      <w:r>
        <w:rPr>
          <w:rFonts w:ascii="Times New Roman" w:hAnsi="Times New Roman" w:hint="eastAsia"/>
          <w:u w:val="single"/>
        </w:rPr>
        <w:t>清表固废</w:t>
      </w:r>
    </w:p>
    <w:p w:rsidR="004B4777" w:rsidRDefault="004B4777">
      <w:pPr>
        <w:ind w:firstLine="480"/>
        <w:rPr>
          <w:rFonts w:ascii="Times New Roman" w:hAnsi="Times New Roman" w:hint="eastAsia"/>
          <w:u w:val="single"/>
        </w:rPr>
      </w:pPr>
      <w:r>
        <w:rPr>
          <w:rFonts w:ascii="Times New Roman" w:hAnsi="Times New Roman" w:hint="eastAsia"/>
          <w:u w:val="single"/>
        </w:rPr>
        <w:t>采矿前地表应进行清理，采区范围内种植的经济林经砍伐后将树干送至造纸厂，树根运至生物质厂；剥离表土采用机械剥离，表层土运至附近砖厂制砖。</w:t>
      </w:r>
    </w:p>
    <w:p w:rsidR="004B4777" w:rsidRDefault="004B4777">
      <w:pPr>
        <w:ind w:firstLine="480"/>
        <w:rPr>
          <w:rFonts w:ascii="Times New Roman" w:hAnsi="Times New Roman" w:hint="eastAsia"/>
        </w:rPr>
      </w:pPr>
      <w:r>
        <w:rPr>
          <w:rFonts w:ascii="Times New Roman" w:hAnsi="Times New Roman" w:hint="eastAsia"/>
        </w:rPr>
        <w:t>2</w:t>
      </w:r>
      <w:r>
        <w:rPr>
          <w:rFonts w:ascii="Times New Roman" w:hAnsi="Times New Roman" w:hint="eastAsia"/>
        </w:rPr>
        <w:t>）筛分大块石</w:t>
      </w:r>
    </w:p>
    <w:p w:rsidR="004B4777" w:rsidRDefault="004B4777">
      <w:pPr>
        <w:ind w:firstLine="480"/>
        <w:rPr>
          <w:rFonts w:ascii="Times New Roman" w:hAnsi="Times New Roman" w:hint="eastAsia"/>
        </w:rPr>
      </w:pPr>
      <w:r>
        <w:rPr>
          <w:rFonts w:ascii="Times New Roman" w:hAnsi="Times New Roman" w:hint="eastAsia"/>
        </w:rPr>
        <w:t>生产过程中会从河中捞出较大的石块，直接排弃、回填到采砂区。</w:t>
      </w:r>
    </w:p>
    <w:p w:rsidR="004B4777" w:rsidRDefault="004B4777">
      <w:pPr>
        <w:ind w:firstLine="480"/>
        <w:rPr>
          <w:rFonts w:ascii="Times New Roman" w:hAnsi="Times New Roman" w:hint="eastAsia"/>
        </w:rPr>
      </w:pPr>
      <w:r>
        <w:rPr>
          <w:rFonts w:ascii="Times New Roman" w:hAnsi="Times New Roman" w:hint="eastAsia"/>
        </w:rPr>
        <w:t>3</w:t>
      </w:r>
      <w:r>
        <w:rPr>
          <w:rFonts w:ascii="Times New Roman" w:hAnsi="Times New Roman" w:hint="eastAsia"/>
        </w:rPr>
        <w:t>）生活垃圾</w:t>
      </w:r>
    </w:p>
    <w:p w:rsidR="004B4777" w:rsidRDefault="004B4777">
      <w:pPr>
        <w:ind w:firstLine="480"/>
        <w:rPr>
          <w:rFonts w:ascii="Times New Roman" w:hAnsi="Times New Roman" w:hint="eastAsia"/>
        </w:rPr>
      </w:pPr>
      <w:r>
        <w:rPr>
          <w:rFonts w:ascii="Times New Roman" w:hAnsi="Times New Roman" w:hint="eastAsia"/>
        </w:rPr>
        <w:t>本项目定员为</w:t>
      </w:r>
      <w:r>
        <w:rPr>
          <w:rFonts w:ascii="Times New Roman" w:hAnsi="Times New Roman" w:hint="eastAsia"/>
        </w:rPr>
        <w:t>210</w:t>
      </w:r>
      <w:r>
        <w:rPr>
          <w:rFonts w:ascii="Times New Roman" w:hAnsi="Times New Roman" w:hint="eastAsia"/>
        </w:rPr>
        <w:t>人，生产期按</w:t>
      </w:r>
      <w:r>
        <w:rPr>
          <w:rFonts w:ascii="Times New Roman" w:hAnsi="Times New Roman" w:hint="eastAsia"/>
        </w:rPr>
        <w:t>300d</w:t>
      </w:r>
      <w:r>
        <w:rPr>
          <w:rFonts w:ascii="Times New Roman" w:hAnsi="Times New Roman" w:hint="eastAsia"/>
        </w:rPr>
        <w:t>计。垃圾产生量</w:t>
      </w:r>
      <w:r>
        <w:rPr>
          <w:rFonts w:ascii="Times New Roman" w:hAnsi="Times New Roman" w:hint="eastAsia"/>
        </w:rPr>
        <w:t>1kg/</w:t>
      </w:r>
      <w:r>
        <w:rPr>
          <w:rFonts w:ascii="Times New Roman" w:hAnsi="Times New Roman" w:hint="eastAsia"/>
        </w:rPr>
        <w:t>人·</w:t>
      </w:r>
      <w:r>
        <w:rPr>
          <w:rFonts w:ascii="Times New Roman" w:hAnsi="Times New Roman" w:hint="eastAsia"/>
        </w:rPr>
        <w:t>d</w:t>
      </w:r>
      <w:r>
        <w:rPr>
          <w:rFonts w:ascii="Times New Roman" w:hAnsi="Times New Roman" w:hint="eastAsia"/>
        </w:rPr>
        <w:t>；项目排放的生活垃圾总量为</w:t>
      </w:r>
      <w:r>
        <w:rPr>
          <w:rFonts w:ascii="Times New Roman" w:hAnsi="Times New Roman" w:hint="eastAsia"/>
        </w:rPr>
        <w:t>63t/a</w:t>
      </w:r>
      <w:r>
        <w:rPr>
          <w:rFonts w:ascii="Times New Roman" w:hAnsi="Times New Roman" w:hint="eastAsia"/>
        </w:rPr>
        <w:t>。由各采砂船分别收集后，再委托当地环卫部门进行处理。</w:t>
      </w:r>
    </w:p>
    <w:p w:rsidR="004B4777" w:rsidRDefault="004B4777">
      <w:pPr>
        <w:ind w:firstLine="480"/>
        <w:rPr>
          <w:rFonts w:ascii="Times New Roman" w:hAnsi="Times New Roman" w:hint="eastAsia"/>
          <w:u w:val="single"/>
        </w:rPr>
      </w:pPr>
      <w:r>
        <w:rPr>
          <w:rFonts w:ascii="Times New Roman" w:hAnsi="Times New Roman" w:hint="eastAsia"/>
          <w:u w:val="single"/>
        </w:rPr>
        <w:t>4</w:t>
      </w:r>
      <w:r>
        <w:rPr>
          <w:rFonts w:ascii="Times New Roman" w:hAnsi="Times New Roman" w:hint="eastAsia"/>
          <w:u w:val="single"/>
        </w:rPr>
        <w:t>）废机油、废柴油以及油水分离器分离的废油</w:t>
      </w:r>
    </w:p>
    <w:p w:rsidR="004B4777" w:rsidRDefault="004B4777">
      <w:pPr>
        <w:ind w:firstLine="480"/>
        <w:rPr>
          <w:rFonts w:ascii="Times New Roman" w:hAnsi="Times New Roman" w:hint="eastAsia"/>
          <w:u w:val="single"/>
        </w:rPr>
      </w:pPr>
      <w:r>
        <w:rPr>
          <w:rFonts w:ascii="Times New Roman" w:hAnsi="Times New Roman" w:hint="eastAsia"/>
          <w:u w:val="single"/>
        </w:rPr>
        <w:t>润滑油及液压油需定期更换，产生废润滑油及废液压油，润滑油更换量约为</w:t>
      </w:r>
      <w:r>
        <w:rPr>
          <w:rFonts w:ascii="Times New Roman" w:hAnsi="Times New Roman" w:hint="eastAsia"/>
          <w:u w:val="single"/>
        </w:rPr>
        <w:t>4.0t/a</w:t>
      </w:r>
      <w:r>
        <w:rPr>
          <w:rFonts w:ascii="Times New Roman" w:hAnsi="Times New Roman" w:hint="eastAsia"/>
          <w:u w:val="single"/>
        </w:rPr>
        <w:t>，液压油更换量约为</w:t>
      </w:r>
      <w:r>
        <w:rPr>
          <w:rFonts w:ascii="Times New Roman" w:hAnsi="Times New Roman" w:hint="eastAsia"/>
          <w:u w:val="single"/>
        </w:rPr>
        <w:t>0.8t/a</w:t>
      </w:r>
      <w:r>
        <w:rPr>
          <w:rFonts w:ascii="Times New Roman" w:hAnsi="Times New Roman" w:hint="eastAsia"/>
          <w:u w:val="single"/>
        </w:rPr>
        <w:t>，废柴油</w:t>
      </w:r>
      <w:r>
        <w:rPr>
          <w:rFonts w:ascii="Times New Roman" w:hAnsi="Times New Roman" w:hint="eastAsia"/>
          <w:u w:val="single"/>
        </w:rPr>
        <w:t>3t/a</w:t>
      </w:r>
      <w:r>
        <w:rPr>
          <w:rFonts w:ascii="Times New Roman" w:hAnsi="Times New Roman" w:hint="eastAsia"/>
          <w:u w:val="single"/>
        </w:rPr>
        <w:t>。采砂船自带油水分离器，会产生少量油水分离器废油，产生量约</w:t>
      </w:r>
      <w:r>
        <w:rPr>
          <w:rFonts w:ascii="Times New Roman" w:hAnsi="Times New Roman" w:hint="eastAsia"/>
          <w:u w:val="single"/>
        </w:rPr>
        <w:t>3t/a</w:t>
      </w:r>
      <w:r>
        <w:rPr>
          <w:rFonts w:ascii="Times New Roman" w:hAnsi="Times New Roman" w:hint="eastAsia"/>
          <w:u w:val="single"/>
        </w:rPr>
        <w:t>。废机油、废柴油以及油水分离器分离的废油属于危险废物，废物代码为</w:t>
      </w:r>
      <w:r>
        <w:rPr>
          <w:rFonts w:ascii="Times New Roman" w:hAnsi="Times New Roman" w:hint="eastAsia"/>
          <w:u w:val="single"/>
        </w:rPr>
        <w:t>HW08 900-210-08</w:t>
      </w:r>
      <w:r>
        <w:rPr>
          <w:rFonts w:ascii="Times New Roman" w:hAnsi="Times New Roman" w:hint="eastAsia"/>
          <w:u w:val="single"/>
        </w:rPr>
        <w:t>，由专用桶收集，在采砂船设置</w:t>
      </w:r>
      <w:r>
        <w:rPr>
          <w:rFonts w:ascii="Times New Roman" w:hAnsi="Times New Roman" w:hint="eastAsia"/>
          <w:u w:val="single"/>
        </w:rPr>
        <w:lastRenderedPageBreak/>
        <w:t>专门储藏室储藏，再统一交由建设单位交由有资质单位处置。</w:t>
      </w:r>
    </w:p>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4</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6</w:t>
      </w:r>
      <w:r>
        <w:rPr>
          <w:rFonts w:ascii="Times New Roman" w:eastAsia="宋体" w:hAnsi="Times New Roman"/>
          <w:b/>
        </w:rPr>
        <w:t xml:space="preserve"> </w:t>
      </w:r>
      <w:r>
        <w:rPr>
          <w:rFonts w:ascii="Times New Roman" w:eastAsia="宋体" w:hAnsi="Times New Roman" w:hint="eastAsia"/>
          <w:b/>
        </w:rPr>
        <w:t>生态影响</w:t>
      </w:r>
    </w:p>
    <w:p w:rsidR="004B4777" w:rsidRDefault="004B4777">
      <w:pPr>
        <w:ind w:firstLine="480"/>
        <w:rPr>
          <w:rFonts w:ascii="Times New Roman" w:hAnsi="Times New Roman" w:hint="eastAsia"/>
        </w:rPr>
      </w:pPr>
      <w:r>
        <w:rPr>
          <w:rFonts w:ascii="Times New Roman" w:hAnsi="Times New Roman" w:hint="eastAsia"/>
        </w:rPr>
        <w:t>采砂作业水域临近自然保护区、湿地和水产种质资源保护区有</w:t>
      </w:r>
      <w:r>
        <w:rPr>
          <w:rFonts w:ascii="Times New Roman" w:hAnsi="Times New Roman" w:hint="eastAsia"/>
        </w:rPr>
        <w:t xml:space="preserve">5 </w:t>
      </w:r>
      <w:r>
        <w:rPr>
          <w:rFonts w:ascii="Times New Roman" w:hAnsi="Times New Roman" w:hint="eastAsia"/>
        </w:rPr>
        <w:t>个，分别为横岭湖省级自然保护区、南洞庭湖省级自然保护区、横岭湖湖泊湿地、南洞庭湖大口鲶青虾中华鳖国家级水产种质资源保护区、南洞庭湖银鱼三角帆蚌国家级水产种质资源保护区等保护区。</w:t>
      </w:r>
    </w:p>
    <w:p w:rsidR="004B4777" w:rsidRDefault="004B4777">
      <w:pPr>
        <w:ind w:firstLine="480"/>
        <w:rPr>
          <w:rFonts w:ascii="Times New Roman" w:hAnsi="Times New Roman" w:hint="eastAsia"/>
        </w:rPr>
      </w:pPr>
      <w:r>
        <w:rPr>
          <w:rFonts w:ascii="Times New Roman" w:hAnsi="Times New Roman" w:hint="eastAsia"/>
        </w:rPr>
        <w:t>1</w:t>
      </w:r>
      <w:r>
        <w:rPr>
          <w:rFonts w:ascii="Times New Roman" w:hAnsi="Times New Roman" w:hint="eastAsia"/>
        </w:rPr>
        <w:t>）对水生生物及鱼类“三场”的影响</w:t>
      </w:r>
    </w:p>
    <w:p w:rsidR="004B4777" w:rsidRDefault="004B4777">
      <w:pPr>
        <w:ind w:firstLine="480"/>
        <w:rPr>
          <w:rFonts w:ascii="Times New Roman" w:hAnsi="Times New Roman" w:hint="eastAsia"/>
        </w:rPr>
      </w:pPr>
      <w:r>
        <w:rPr>
          <w:rFonts w:ascii="Times New Roman" w:hAnsi="Times New Roman" w:hint="eastAsia"/>
        </w:rPr>
        <w:t>采砂区开采将会造成局部范围水域浊度和悬浮物增加，对鱼类、浮游动植物的生境将会产生短期的局部影响。</w:t>
      </w:r>
    </w:p>
    <w:p w:rsidR="004B4777" w:rsidRDefault="004B4777">
      <w:pPr>
        <w:ind w:firstLine="480"/>
        <w:rPr>
          <w:rFonts w:ascii="Times New Roman" w:hAnsi="Times New Roman" w:hint="eastAsia"/>
        </w:rPr>
      </w:pPr>
      <w:r>
        <w:rPr>
          <w:rFonts w:ascii="Times New Roman" w:hAnsi="Times New Roman" w:hint="eastAsia"/>
        </w:rPr>
        <w:t>采砂作业外围水域涉及鱼类产卵场，工程建设过程中将会对周围水域内分布的鱼类“三场”造成不同程度的影响。</w:t>
      </w:r>
    </w:p>
    <w:p w:rsidR="004B4777" w:rsidRDefault="004B4777">
      <w:pPr>
        <w:ind w:firstLine="480"/>
        <w:rPr>
          <w:rFonts w:ascii="Times New Roman" w:hAnsi="Times New Roman" w:hint="eastAsia"/>
        </w:rPr>
      </w:pPr>
      <w:r>
        <w:rPr>
          <w:rFonts w:ascii="Times New Roman" w:hAnsi="Times New Roman" w:hint="eastAsia"/>
        </w:rPr>
        <w:t>2</w:t>
      </w:r>
      <w:r>
        <w:rPr>
          <w:rFonts w:ascii="Times New Roman" w:hAnsi="Times New Roman" w:hint="eastAsia"/>
        </w:rPr>
        <w:t>）对江豚和鱼类洄游的影响</w:t>
      </w:r>
    </w:p>
    <w:p w:rsidR="004B4777" w:rsidRDefault="004B4777">
      <w:pPr>
        <w:ind w:firstLine="480"/>
        <w:rPr>
          <w:rFonts w:ascii="Times New Roman" w:hAnsi="Times New Roman" w:hint="eastAsia"/>
        </w:rPr>
      </w:pPr>
      <w:r>
        <w:rPr>
          <w:rFonts w:ascii="Times New Roman" w:hAnsi="Times New Roman" w:hint="eastAsia"/>
        </w:rPr>
        <w:t>采砂区开采船只停留在资江、湘江水面将占用一部分过水断面，使过水断面面积减少，开采船舶对水流形态有一定的干扰，使局部流场发生改变，对四大家鱼、江豚等水生动物洄游和迁移将会产生短期的局部影响。</w:t>
      </w:r>
    </w:p>
    <w:p w:rsidR="004B4777" w:rsidRDefault="004B4777">
      <w:pPr>
        <w:ind w:firstLine="480"/>
        <w:rPr>
          <w:rFonts w:ascii="Times New Roman" w:hAnsi="Times New Roman" w:hint="eastAsia"/>
        </w:rPr>
      </w:pPr>
      <w:r>
        <w:rPr>
          <w:rFonts w:ascii="Times New Roman" w:hAnsi="Times New Roman" w:hint="eastAsia"/>
        </w:rPr>
        <w:t>3</w:t>
      </w:r>
      <w:r>
        <w:rPr>
          <w:rFonts w:ascii="Times New Roman" w:hAnsi="Times New Roman" w:hint="eastAsia"/>
        </w:rPr>
        <w:t>）对候鸟栖息、觅食和越冬的影响</w:t>
      </w:r>
    </w:p>
    <w:p w:rsidR="004B4777" w:rsidRDefault="004B4777">
      <w:pPr>
        <w:ind w:firstLine="480"/>
        <w:rPr>
          <w:rFonts w:ascii="Times New Roman" w:hAnsi="Times New Roman" w:hint="eastAsia"/>
        </w:rPr>
      </w:pPr>
      <w:r>
        <w:rPr>
          <w:rFonts w:ascii="Times New Roman" w:hAnsi="Times New Roman" w:hint="eastAsia"/>
        </w:rPr>
        <w:t>采砂作业水域严重破坏了河流底层生态环境，底栖动物遭到严重破坏，摄食底栖动物的候鸟失去赖以生存的物条件，加上机械噪声，对鸟类产生驱赶，将会产生短期的局部影响。</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4.2.</w:t>
      </w:r>
      <w:r>
        <w:rPr>
          <w:rFonts w:ascii="Times New Roman" w:eastAsia="宋体" w:hAnsi="Times New Roman" w:hint="eastAsia"/>
          <w:b/>
        </w:rPr>
        <w:t xml:space="preserve">3 </w:t>
      </w:r>
      <w:r>
        <w:rPr>
          <w:rFonts w:ascii="Times New Roman" w:eastAsia="宋体" w:hAnsi="Times New Roman" w:hint="eastAsia"/>
          <w:b/>
        </w:rPr>
        <w:t>本项目污染源汇总</w:t>
      </w:r>
    </w:p>
    <w:p w:rsidR="004B4777" w:rsidRDefault="004B4777">
      <w:pPr>
        <w:ind w:firstLine="480"/>
        <w:rPr>
          <w:rFonts w:ascii="Times New Roman" w:hAnsi="Times New Roman" w:hint="eastAsia"/>
        </w:rPr>
      </w:pPr>
      <w:r>
        <w:rPr>
          <w:rFonts w:ascii="Times New Roman" w:hAnsi="Times New Roman" w:hint="eastAsia"/>
        </w:rPr>
        <w:t>根据上节分析可得本项目各类污染源产品情况，具体见表</w:t>
      </w:r>
      <w:r>
        <w:rPr>
          <w:rFonts w:ascii="Times New Roman" w:hAnsi="Times New Roman" w:hint="eastAsia"/>
        </w:rPr>
        <w:t>4.2-3</w:t>
      </w:r>
      <w:r>
        <w:rPr>
          <w:rFonts w:ascii="Times New Roman" w:hAnsi="Times New Roman" w:hint="eastAsia"/>
        </w:rPr>
        <w:t>。</w:t>
      </w:r>
    </w:p>
    <w:p w:rsidR="004B4777" w:rsidRDefault="004B4777">
      <w:pPr>
        <w:ind w:firstLineChars="0" w:firstLine="0"/>
        <w:jc w:val="center"/>
        <w:rPr>
          <w:rFonts w:ascii="Times New Roman" w:hAnsi="Times New Roman" w:hint="eastAsia"/>
          <w:b/>
          <w:kern w:val="0"/>
          <w:szCs w:val="24"/>
          <w:lang w:val="en-US" w:eastAsia="zh-CN"/>
        </w:rPr>
      </w:pPr>
      <w:r>
        <w:rPr>
          <w:rFonts w:ascii="Times New Roman" w:hAnsi="Times New Roman" w:hint="eastAsia"/>
          <w:b/>
          <w:kern w:val="0"/>
          <w:szCs w:val="24"/>
          <w:lang w:val="en-US" w:eastAsia="zh-CN"/>
        </w:rPr>
        <w:t>表</w:t>
      </w:r>
      <w:r>
        <w:rPr>
          <w:rFonts w:ascii="Times New Roman" w:hAnsi="Times New Roman" w:hint="eastAsia"/>
          <w:b/>
          <w:kern w:val="0"/>
          <w:szCs w:val="24"/>
          <w:lang w:val="en-US" w:eastAsia="zh-CN"/>
        </w:rPr>
        <w:t xml:space="preserve">4.2-3 </w:t>
      </w:r>
      <w:r>
        <w:rPr>
          <w:rFonts w:ascii="Times New Roman" w:hAnsi="Times New Roman" w:hint="eastAsia"/>
          <w:b/>
          <w:kern w:val="0"/>
          <w:szCs w:val="24"/>
          <w:lang w:val="en-US" w:eastAsia="zh-CN"/>
        </w:rPr>
        <w:t>本项目污染源汇总一览表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34"/>
        <w:gridCol w:w="1415"/>
        <w:gridCol w:w="1217"/>
        <w:gridCol w:w="1217"/>
        <w:gridCol w:w="2438"/>
      </w:tblGrid>
      <w:tr w:rsidR="004B4777">
        <w:tc>
          <w:tcPr>
            <w:tcW w:w="1101"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污染源类型</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排放源</w:t>
            </w:r>
          </w:p>
        </w:tc>
        <w:tc>
          <w:tcPr>
            <w:tcW w:w="1415"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污染物名称</w:t>
            </w:r>
          </w:p>
        </w:tc>
        <w:tc>
          <w:tcPr>
            <w:tcW w:w="2434" w:type="dxa"/>
            <w:gridSpan w:val="2"/>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处理前产生浓度及产生量</w:t>
            </w:r>
          </w:p>
        </w:tc>
        <w:tc>
          <w:tcPr>
            <w:tcW w:w="243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排放浓度及排放量</w:t>
            </w:r>
          </w:p>
        </w:tc>
      </w:tr>
      <w:tr w:rsidR="004B4777">
        <w:tc>
          <w:tcPr>
            <w:tcW w:w="1101"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废水</w:t>
            </w:r>
          </w:p>
        </w:tc>
        <w:tc>
          <w:tcPr>
            <w:tcW w:w="1134"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生活污水</w:t>
            </w:r>
          </w:p>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5040t/a</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kern w:val="0"/>
                <w:sz w:val="21"/>
                <w:szCs w:val="21"/>
                <w:lang w:val="en-US" w:eastAsia="zh-CN"/>
              </w:rPr>
              <w:t>COD</w:t>
            </w:r>
            <w:r>
              <w:rPr>
                <w:rFonts w:ascii="Times New Roman" w:hAnsi="Times New Roman" w:hint="eastAsia"/>
                <w:kern w:val="0"/>
                <w:sz w:val="21"/>
                <w:szCs w:val="21"/>
                <w:vertAlign w:val="subscript"/>
                <w:lang w:val="en-US" w:eastAsia="zh-CN"/>
              </w:rPr>
              <w:t>C</w:t>
            </w:r>
            <w:r>
              <w:rPr>
                <w:rFonts w:ascii="Times New Roman" w:hAnsi="Times New Roman"/>
                <w:kern w:val="0"/>
                <w:sz w:val="21"/>
                <w:szCs w:val="21"/>
                <w:vertAlign w:val="subscript"/>
                <w:lang w:val="en-US" w:eastAsia="zh-CN"/>
              </w:rPr>
              <w:t>r</w:t>
            </w:r>
          </w:p>
        </w:tc>
        <w:tc>
          <w:tcPr>
            <w:tcW w:w="12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400mg/L</w:t>
            </w:r>
          </w:p>
        </w:tc>
        <w:tc>
          <w:tcPr>
            <w:tcW w:w="1217"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2.02t/a</w:t>
            </w:r>
          </w:p>
        </w:tc>
        <w:tc>
          <w:tcPr>
            <w:tcW w:w="2438"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委托有资质单位接收处置</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kern w:val="0"/>
                <w:sz w:val="21"/>
                <w:szCs w:val="21"/>
                <w:lang w:val="en-US" w:eastAsia="zh-CN"/>
              </w:rPr>
              <w:t>BOD</w:t>
            </w:r>
            <w:r>
              <w:rPr>
                <w:rFonts w:ascii="Times New Roman" w:hAnsi="Times New Roman"/>
                <w:kern w:val="0"/>
                <w:sz w:val="21"/>
                <w:szCs w:val="21"/>
                <w:vertAlign w:val="subscript"/>
                <w:lang w:val="en-US" w:eastAsia="zh-CN"/>
              </w:rPr>
              <w:t>5</w:t>
            </w:r>
          </w:p>
        </w:tc>
        <w:tc>
          <w:tcPr>
            <w:tcW w:w="12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150mg/L</w:t>
            </w:r>
          </w:p>
        </w:tc>
        <w:tc>
          <w:tcPr>
            <w:tcW w:w="1217"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0.76t/a</w:t>
            </w:r>
          </w:p>
        </w:tc>
        <w:tc>
          <w:tcPr>
            <w:tcW w:w="2438" w:type="dxa"/>
            <w:vMerge/>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kern w:val="0"/>
                <w:sz w:val="21"/>
                <w:szCs w:val="21"/>
                <w:lang w:val="en-US" w:eastAsia="zh-CN"/>
              </w:rPr>
              <w:t>SS</w:t>
            </w:r>
          </w:p>
        </w:tc>
        <w:tc>
          <w:tcPr>
            <w:tcW w:w="12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300mg/L</w:t>
            </w:r>
          </w:p>
        </w:tc>
        <w:tc>
          <w:tcPr>
            <w:tcW w:w="1217"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1.51t/a</w:t>
            </w:r>
          </w:p>
        </w:tc>
        <w:tc>
          <w:tcPr>
            <w:tcW w:w="2438" w:type="dxa"/>
            <w:vMerge/>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kern w:val="0"/>
                <w:sz w:val="21"/>
                <w:szCs w:val="21"/>
                <w:lang w:val="en-US" w:eastAsia="zh-CN"/>
              </w:rPr>
              <w:t>NH</w:t>
            </w:r>
            <w:r>
              <w:rPr>
                <w:rFonts w:ascii="Times New Roman" w:hAnsi="Times New Roman"/>
                <w:kern w:val="0"/>
                <w:sz w:val="21"/>
                <w:szCs w:val="21"/>
                <w:vertAlign w:val="subscript"/>
                <w:lang w:val="en-US" w:eastAsia="zh-CN"/>
              </w:rPr>
              <w:t>3</w:t>
            </w:r>
            <w:r>
              <w:rPr>
                <w:rFonts w:ascii="Times New Roman" w:hAnsi="Times New Roman"/>
                <w:kern w:val="0"/>
                <w:sz w:val="21"/>
                <w:szCs w:val="21"/>
                <w:lang w:val="en-US" w:eastAsia="zh-CN"/>
              </w:rPr>
              <w:t>-N</w:t>
            </w:r>
          </w:p>
        </w:tc>
        <w:tc>
          <w:tcPr>
            <w:tcW w:w="12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40mg/L</w:t>
            </w:r>
          </w:p>
        </w:tc>
        <w:tc>
          <w:tcPr>
            <w:tcW w:w="1217" w:type="dxa"/>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0.20t/a</w:t>
            </w:r>
          </w:p>
        </w:tc>
        <w:tc>
          <w:tcPr>
            <w:tcW w:w="2438" w:type="dxa"/>
            <w:vMerge/>
            <w:vAlign w:val="center"/>
          </w:tcPr>
          <w:p w:rsidR="004B4777" w:rsidRDefault="004B4777">
            <w:pPr>
              <w:spacing w:line="240" w:lineRule="auto"/>
              <w:ind w:firstLineChars="0" w:firstLine="0"/>
              <w:jc w:val="center"/>
              <w:rPr>
                <w:rFonts w:ascii="Times New Roman" w:hAnsi="Times New Roman"/>
                <w:kern w:val="0"/>
                <w:sz w:val="21"/>
                <w:szCs w:val="21"/>
                <w:lang w:val="en-US" w:eastAsia="zh-CN"/>
              </w:rPr>
            </w:pP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含油废水</w:t>
            </w:r>
          </w:p>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sz w:val="21"/>
                <w:szCs w:val="21"/>
              </w:rPr>
              <w:t>7200</w:t>
            </w: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w:t>
            </w:r>
            <w:r>
              <w:rPr>
                <w:rFonts w:ascii="Times New Roman" w:hAnsi="Times New Roman" w:hint="eastAsia"/>
                <w:sz w:val="21"/>
                <w:szCs w:val="21"/>
              </w:rPr>
              <w:t>a</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石油类</w:t>
            </w:r>
          </w:p>
        </w:tc>
        <w:tc>
          <w:tcPr>
            <w:tcW w:w="12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10000mg/L</w:t>
            </w:r>
          </w:p>
        </w:tc>
        <w:tc>
          <w:tcPr>
            <w:tcW w:w="1217"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72t/a</w:t>
            </w:r>
          </w:p>
        </w:tc>
        <w:tc>
          <w:tcPr>
            <w:tcW w:w="243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restart"/>
            <w:vAlign w:val="center"/>
          </w:tcPr>
          <w:p w:rsidR="004B4777" w:rsidRDefault="004B4777">
            <w:pPr>
              <w:spacing w:line="240" w:lineRule="auto"/>
              <w:ind w:firstLineChars="0" w:firstLine="0"/>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采砂作业</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斗米咀</w:t>
            </w:r>
            <w:r>
              <w:rPr>
                <w:rFonts w:ascii="Times New Roman" w:hAnsi="Times New Roman"/>
                <w:kern w:val="0"/>
                <w:sz w:val="21"/>
                <w:szCs w:val="21"/>
                <w:lang w:val="en-US" w:eastAsia="zh-CN"/>
              </w:rPr>
              <w:t>SS</w:t>
            </w:r>
          </w:p>
        </w:tc>
        <w:tc>
          <w:tcPr>
            <w:tcW w:w="4872" w:type="dxa"/>
            <w:gridSpan w:val="3"/>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8.09kg/s</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易婆塘</w:t>
            </w:r>
            <w:r>
              <w:rPr>
                <w:rFonts w:ascii="Times New Roman" w:hAnsi="Times New Roman"/>
                <w:kern w:val="0"/>
                <w:sz w:val="21"/>
                <w:szCs w:val="21"/>
                <w:lang w:val="en-US" w:eastAsia="zh-CN"/>
              </w:rPr>
              <w:t>SS</w:t>
            </w:r>
          </w:p>
        </w:tc>
        <w:tc>
          <w:tcPr>
            <w:tcW w:w="4872" w:type="dxa"/>
            <w:gridSpan w:val="3"/>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48.54kg/s</w:t>
            </w:r>
          </w:p>
        </w:tc>
      </w:tr>
      <w:tr w:rsidR="004B4777">
        <w:tc>
          <w:tcPr>
            <w:tcW w:w="1101"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lastRenderedPageBreak/>
              <w:t>废气</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u w:val="single"/>
                <w:lang w:val="en-US" w:eastAsia="zh-CN"/>
              </w:rPr>
            </w:pPr>
            <w:r>
              <w:rPr>
                <w:rFonts w:ascii="Times New Roman" w:hAnsi="Times New Roman" w:hint="eastAsia"/>
                <w:kern w:val="0"/>
                <w:sz w:val="21"/>
                <w:szCs w:val="21"/>
                <w:u w:val="single"/>
                <w:lang w:val="en-US" w:eastAsia="zh-CN"/>
              </w:rPr>
              <w:t>内燃机</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u w:val="single"/>
                <w:lang w:val="en-US" w:eastAsia="zh-CN"/>
              </w:rPr>
            </w:pPr>
            <w:r>
              <w:rPr>
                <w:rFonts w:ascii="Times New Roman" w:hAnsi="Times New Roman" w:hint="eastAsia"/>
                <w:kern w:val="0"/>
                <w:sz w:val="21"/>
                <w:szCs w:val="21"/>
                <w:u w:val="single"/>
                <w:lang w:val="en-US" w:eastAsia="zh-CN"/>
              </w:rPr>
              <w:t>尾气</w:t>
            </w:r>
          </w:p>
        </w:tc>
        <w:tc>
          <w:tcPr>
            <w:tcW w:w="4872" w:type="dxa"/>
            <w:gridSpan w:val="3"/>
            <w:vAlign w:val="center"/>
          </w:tcPr>
          <w:p w:rsidR="004B4777" w:rsidRDefault="004B4777">
            <w:pPr>
              <w:spacing w:line="240" w:lineRule="auto"/>
              <w:ind w:firstLineChars="0" w:firstLine="0"/>
              <w:jc w:val="center"/>
              <w:rPr>
                <w:rFonts w:ascii="Times New Roman" w:hAnsi="Times New Roman" w:cs="TimesNewRomanPSMT" w:hint="eastAsia"/>
                <w:kern w:val="0"/>
                <w:sz w:val="20"/>
                <w:szCs w:val="20"/>
                <w:u w:val="single"/>
              </w:rPr>
            </w:pPr>
            <w:r>
              <w:rPr>
                <w:rFonts w:ascii="Times New Roman" w:hAnsi="Times New Roman"/>
                <w:kern w:val="0"/>
                <w:sz w:val="21"/>
                <w:szCs w:val="21"/>
                <w:u w:val="single"/>
                <w:lang w:val="en-US" w:eastAsia="zh-CN"/>
              </w:rPr>
              <w:t xml:space="preserve">CO </w:t>
            </w:r>
            <w:r>
              <w:rPr>
                <w:rFonts w:ascii="Times New Roman" w:hAnsi="Times New Roman" w:hint="eastAsia"/>
                <w:kern w:val="0"/>
                <w:sz w:val="21"/>
                <w:szCs w:val="21"/>
                <w:u w:val="single"/>
                <w:lang w:val="en-US" w:eastAsia="zh-CN"/>
              </w:rPr>
              <w:t>587.2</w:t>
            </w:r>
            <w:r>
              <w:rPr>
                <w:rFonts w:ascii="Times New Roman" w:hAnsi="Times New Roman"/>
                <w:kern w:val="0"/>
                <w:sz w:val="21"/>
                <w:szCs w:val="21"/>
                <w:u w:val="single"/>
                <w:lang w:val="en-US" w:eastAsia="zh-CN"/>
              </w:rPr>
              <w:t>t/a</w:t>
            </w:r>
            <w:r>
              <w:rPr>
                <w:rFonts w:ascii="Times New Roman" w:hAnsi="Times New Roman" w:hint="eastAsia"/>
                <w:kern w:val="0"/>
                <w:sz w:val="21"/>
                <w:szCs w:val="21"/>
                <w:u w:val="single"/>
                <w:lang w:val="en-US" w:eastAsia="zh-CN"/>
              </w:rPr>
              <w:t>、</w:t>
            </w:r>
            <w:r>
              <w:rPr>
                <w:rFonts w:ascii="Times New Roman" w:hAnsi="Times New Roman"/>
                <w:kern w:val="0"/>
                <w:sz w:val="21"/>
                <w:szCs w:val="21"/>
                <w:u w:val="single"/>
                <w:lang w:val="en-US" w:eastAsia="zh-CN"/>
              </w:rPr>
              <w:t xml:space="preserve">CmHn </w:t>
            </w:r>
            <w:r>
              <w:rPr>
                <w:rFonts w:ascii="Times New Roman" w:hAnsi="Times New Roman" w:hint="eastAsia"/>
                <w:kern w:val="0"/>
                <w:sz w:val="21"/>
                <w:szCs w:val="21"/>
                <w:u w:val="single"/>
                <w:lang w:val="en-US" w:eastAsia="zh-CN"/>
              </w:rPr>
              <w:t>63.8</w:t>
            </w:r>
            <w:r>
              <w:rPr>
                <w:rFonts w:ascii="Times New Roman" w:hAnsi="Times New Roman"/>
                <w:kern w:val="0"/>
                <w:sz w:val="21"/>
                <w:szCs w:val="21"/>
                <w:u w:val="single"/>
                <w:lang w:val="en-US" w:eastAsia="zh-CN"/>
              </w:rPr>
              <w:t>t/a</w:t>
            </w:r>
            <w:r>
              <w:rPr>
                <w:rFonts w:ascii="Times New Roman" w:hAnsi="Times New Roman" w:hint="eastAsia"/>
                <w:kern w:val="0"/>
                <w:sz w:val="21"/>
                <w:szCs w:val="21"/>
                <w:u w:val="single"/>
                <w:lang w:val="en-US" w:eastAsia="zh-CN"/>
              </w:rPr>
              <w:t>、</w:t>
            </w:r>
            <w:r>
              <w:rPr>
                <w:rFonts w:ascii="Times New Roman" w:hAnsi="Times New Roman"/>
                <w:kern w:val="0"/>
                <w:sz w:val="21"/>
                <w:szCs w:val="21"/>
                <w:u w:val="single"/>
                <w:lang w:val="en-US" w:eastAsia="zh-CN"/>
              </w:rPr>
              <w:t xml:space="preserve">NOx </w:t>
            </w:r>
            <w:r>
              <w:rPr>
                <w:rFonts w:ascii="Times New Roman" w:hAnsi="Times New Roman" w:hint="eastAsia"/>
                <w:kern w:val="0"/>
                <w:sz w:val="21"/>
                <w:szCs w:val="21"/>
                <w:u w:val="single"/>
                <w:lang w:val="en-US" w:eastAsia="zh-CN"/>
              </w:rPr>
              <w:t>380.5</w:t>
            </w:r>
            <w:r>
              <w:rPr>
                <w:rFonts w:ascii="Times New Roman" w:hAnsi="Times New Roman"/>
                <w:kern w:val="0"/>
                <w:sz w:val="21"/>
                <w:szCs w:val="21"/>
                <w:u w:val="single"/>
                <w:lang w:val="en-US" w:eastAsia="zh-CN"/>
              </w:rPr>
              <w:t>t/</w:t>
            </w:r>
            <w:r>
              <w:rPr>
                <w:rFonts w:ascii="Times New Roman" w:hAnsi="Times New Roman" w:hint="eastAsia"/>
                <w:kern w:val="0"/>
                <w:sz w:val="21"/>
                <w:szCs w:val="21"/>
                <w:u w:val="single"/>
                <w:lang w:val="en-US" w:eastAsia="zh-CN"/>
              </w:rPr>
              <w:t>a</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采砂作业</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粉尘</w:t>
            </w:r>
          </w:p>
        </w:tc>
        <w:tc>
          <w:tcPr>
            <w:tcW w:w="4872" w:type="dxa"/>
            <w:gridSpan w:val="3"/>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少量</w:t>
            </w:r>
          </w:p>
        </w:tc>
      </w:tr>
      <w:tr w:rsidR="004B4777">
        <w:tc>
          <w:tcPr>
            <w:tcW w:w="1101"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噪声</w:t>
            </w: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采砂船</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机械噪声</w:t>
            </w:r>
          </w:p>
        </w:tc>
        <w:tc>
          <w:tcPr>
            <w:tcW w:w="2434" w:type="dxa"/>
            <w:gridSpan w:val="2"/>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75</w:t>
            </w:r>
            <w:r>
              <w:rPr>
                <w:rFonts w:ascii="Times New Roman" w:hAnsi="Times New Roman" w:hint="eastAsia"/>
                <w:kern w:val="0"/>
                <w:sz w:val="21"/>
                <w:szCs w:val="21"/>
                <w:lang w:val="en-US" w:eastAsia="zh-CN"/>
              </w:rPr>
              <w:t>～</w:t>
            </w:r>
            <w:r>
              <w:rPr>
                <w:rFonts w:ascii="Times New Roman" w:hAnsi="Times New Roman" w:hint="eastAsia"/>
                <w:kern w:val="0"/>
                <w:sz w:val="21"/>
                <w:szCs w:val="21"/>
                <w:lang w:val="en-US" w:eastAsia="zh-CN"/>
              </w:rPr>
              <w:t>95dB(A)</w:t>
            </w:r>
            <w:r>
              <w:rPr>
                <w:rFonts w:ascii="Times New Roman" w:hAnsi="Times New Roman" w:hint="eastAsia"/>
                <w:kern w:val="0"/>
                <w:sz w:val="21"/>
                <w:szCs w:val="21"/>
                <w:lang w:val="en-US" w:eastAsia="zh-CN"/>
              </w:rPr>
              <w:t>左右</w:t>
            </w:r>
          </w:p>
        </w:tc>
        <w:tc>
          <w:tcPr>
            <w:tcW w:w="2438"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kern w:val="0"/>
                <w:sz w:val="21"/>
                <w:szCs w:val="21"/>
                <w:lang w:val="en-US" w:eastAsia="zh-CN"/>
              </w:rPr>
              <w:t>/</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筛分机</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机械噪声</w:t>
            </w:r>
          </w:p>
        </w:tc>
        <w:tc>
          <w:tcPr>
            <w:tcW w:w="2434" w:type="dxa"/>
            <w:gridSpan w:val="2"/>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2438"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r>
      <w:tr w:rsidR="004B4777">
        <w:tc>
          <w:tcPr>
            <w:tcW w:w="1101"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固体废物</w:t>
            </w:r>
          </w:p>
        </w:tc>
        <w:tc>
          <w:tcPr>
            <w:tcW w:w="1134" w:type="dxa"/>
            <w:vMerge w:val="restart"/>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一般固体废物</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清表固废</w:t>
            </w:r>
          </w:p>
        </w:tc>
        <w:tc>
          <w:tcPr>
            <w:tcW w:w="2434" w:type="dxa"/>
            <w:gridSpan w:val="2"/>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大量</w:t>
            </w:r>
          </w:p>
        </w:tc>
        <w:tc>
          <w:tcPr>
            <w:tcW w:w="243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大量，综合利用</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生活垃圾</w:t>
            </w:r>
          </w:p>
        </w:tc>
        <w:tc>
          <w:tcPr>
            <w:tcW w:w="2434" w:type="dxa"/>
            <w:gridSpan w:val="2"/>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产生量：</w:t>
            </w:r>
            <w:r>
              <w:rPr>
                <w:rFonts w:ascii="Times New Roman" w:hAnsi="Times New Roman" w:hint="eastAsia"/>
                <w:kern w:val="0"/>
                <w:sz w:val="21"/>
                <w:szCs w:val="21"/>
                <w:lang w:val="en-US" w:eastAsia="zh-CN"/>
              </w:rPr>
              <w:t>63t/a</w:t>
            </w:r>
          </w:p>
        </w:tc>
        <w:tc>
          <w:tcPr>
            <w:tcW w:w="243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处置量：</w:t>
            </w:r>
            <w:r>
              <w:rPr>
                <w:rFonts w:ascii="Times New Roman" w:hAnsi="Times New Roman" w:hint="eastAsia"/>
                <w:kern w:val="0"/>
                <w:sz w:val="21"/>
                <w:szCs w:val="21"/>
                <w:lang w:val="en-US" w:eastAsia="zh-CN"/>
              </w:rPr>
              <w:t>63t/a</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kern w:val="0"/>
                <w:sz w:val="21"/>
                <w:szCs w:val="21"/>
                <w:lang w:val="en-US" w:eastAsia="zh-CN"/>
              </w:rPr>
              <w:t>采砂弃料</w:t>
            </w:r>
          </w:p>
        </w:tc>
        <w:tc>
          <w:tcPr>
            <w:tcW w:w="2434" w:type="dxa"/>
            <w:gridSpan w:val="2"/>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大量</w:t>
            </w:r>
          </w:p>
        </w:tc>
        <w:tc>
          <w:tcPr>
            <w:tcW w:w="243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大量，回填于采区</w:t>
            </w:r>
          </w:p>
        </w:tc>
      </w:tr>
      <w:tr w:rsidR="004B4777">
        <w:tc>
          <w:tcPr>
            <w:tcW w:w="1101" w:type="dxa"/>
            <w:vMerge/>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p>
        </w:tc>
        <w:tc>
          <w:tcPr>
            <w:tcW w:w="1134"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危险废物</w:t>
            </w:r>
          </w:p>
        </w:tc>
        <w:tc>
          <w:tcPr>
            <w:tcW w:w="1415" w:type="dxa"/>
            <w:vAlign w:val="center"/>
          </w:tcPr>
          <w:p w:rsidR="004B4777" w:rsidRDefault="004B4777">
            <w:pPr>
              <w:autoSpaceDE w:val="0"/>
              <w:autoSpaceDN w:val="0"/>
              <w:adjustRightInd w:val="0"/>
              <w:spacing w:line="240" w:lineRule="auto"/>
              <w:ind w:firstLineChars="0" w:firstLine="0"/>
              <w:jc w:val="center"/>
              <w:rPr>
                <w:rFonts w:ascii="Times New Roman" w:hAnsi="Times New Roman"/>
                <w:kern w:val="0"/>
                <w:sz w:val="21"/>
                <w:szCs w:val="21"/>
                <w:lang w:val="en-US" w:eastAsia="zh-CN"/>
              </w:rPr>
            </w:pPr>
            <w:r>
              <w:rPr>
                <w:rFonts w:ascii="Times New Roman" w:hAnsi="Times New Roman" w:hint="eastAsia"/>
                <w:sz w:val="21"/>
                <w:szCs w:val="21"/>
              </w:rPr>
              <w:t>废机油、废柴油</w:t>
            </w:r>
            <w:r>
              <w:rPr>
                <w:rFonts w:ascii="Times New Roman" w:hAnsi="Times New Roman" w:hint="eastAsia"/>
                <w:sz w:val="21"/>
                <w:szCs w:val="21"/>
                <w:u w:val="single"/>
              </w:rPr>
              <w:t>以及油水分离器分离的废油</w:t>
            </w:r>
          </w:p>
        </w:tc>
        <w:tc>
          <w:tcPr>
            <w:tcW w:w="2434" w:type="dxa"/>
            <w:gridSpan w:val="2"/>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废滑油更换量约为</w:t>
            </w:r>
            <w:r>
              <w:rPr>
                <w:rFonts w:ascii="Times New Roman" w:hAnsi="Times New Roman" w:hint="eastAsia"/>
                <w:kern w:val="0"/>
                <w:sz w:val="21"/>
                <w:szCs w:val="21"/>
                <w:lang w:val="en-US" w:eastAsia="zh-CN"/>
              </w:rPr>
              <w:t>4t/a</w:t>
            </w:r>
            <w:r>
              <w:rPr>
                <w:rFonts w:ascii="Times New Roman" w:hAnsi="Times New Roman" w:hint="eastAsia"/>
                <w:kern w:val="0"/>
                <w:sz w:val="21"/>
                <w:szCs w:val="21"/>
                <w:lang w:val="en-US" w:eastAsia="zh-CN"/>
              </w:rPr>
              <w:t>，废液压油约为</w:t>
            </w:r>
            <w:r>
              <w:rPr>
                <w:rFonts w:ascii="Times New Roman" w:hAnsi="Times New Roman" w:hint="eastAsia"/>
                <w:kern w:val="0"/>
                <w:sz w:val="21"/>
                <w:szCs w:val="21"/>
                <w:lang w:val="en-US" w:eastAsia="zh-CN"/>
              </w:rPr>
              <w:t>0.8t/a</w:t>
            </w:r>
            <w:r>
              <w:rPr>
                <w:rFonts w:ascii="Times New Roman" w:hAnsi="Times New Roman" w:hint="eastAsia"/>
                <w:kern w:val="0"/>
                <w:sz w:val="21"/>
                <w:szCs w:val="21"/>
                <w:lang w:val="en-US" w:eastAsia="zh-CN"/>
              </w:rPr>
              <w:t>，废柴油</w:t>
            </w:r>
            <w:r>
              <w:rPr>
                <w:rFonts w:ascii="Times New Roman" w:hAnsi="Times New Roman" w:hint="eastAsia"/>
                <w:kern w:val="0"/>
                <w:sz w:val="21"/>
                <w:szCs w:val="21"/>
                <w:lang w:val="en-US" w:eastAsia="zh-CN"/>
              </w:rPr>
              <w:t>3t/a</w:t>
            </w:r>
            <w:r>
              <w:rPr>
                <w:rFonts w:ascii="Times New Roman" w:hAnsi="Times New Roman" w:hint="eastAsia"/>
                <w:kern w:val="0"/>
                <w:sz w:val="21"/>
                <w:szCs w:val="21"/>
                <w:lang w:val="en-US" w:eastAsia="zh-CN"/>
              </w:rPr>
              <w:t>，</w:t>
            </w:r>
            <w:r>
              <w:rPr>
                <w:rFonts w:ascii="Times New Roman" w:hAnsi="Times New Roman" w:hint="eastAsia"/>
                <w:sz w:val="21"/>
                <w:szCs w:val="21"/>
                <w:u w:val="single"/>
              </w:rPr>
              <w:t>油水分离器分离的废油</w:t>
            </w:r>
            <w:r>
              <w:rPr>
                <w:rFonts w:ascii="Times New Roman" w:hAnsi="Times New Roman" w:hint="eastAsia"/>
                <w:kern w:val="0"/>
                <w:sz w:val="21"/>
                <w:szCs w:val="21"/>
                <w:u w:val="single"/>
                <w:lang w:val="en-US" w:eastAsia="zh-CN"/>
              </w:rPr>
              <w:t>3t/a</w:t>
            </w:r>
          </w:p>
        </w:tc>
        <w:tc>
          <w:tcPr>
            <w:tcW w:w="2438" w:type="dxa"/>
            <w:vAlign w:val="center"/>
          </w:tcPr>
          <w:p w:rsidR="004B4777" w:rsidRDefault="004B4777">
            <w:pPr>
              <w:spacing w:line="240" w:lineRule="auto"/>
              <w:ind w:firstLineChars="0" w:firstLine="0"/>
              <w:jc w:val="center"/>
              <w:rPr>
                <w:rFonts w:ascii="Times New Roman" w:hAnsi="Times New Roman" w:hint="eastAsia"/>
                <w:kern w:val="0"/>
                <w:sz w:val="21"/>
                <w:szCs w:val="21"/>
                <w:lang w:val="en-US" w:eastAsia="zh-CN"/>
              </w:rPr>
            </w:pPr>
            <w:r>
              <w:rPr>
                <w:rFonts w:ascii="Times New Roman" w:hAnsi="Times New Roman" w:hint="eastAsia"/>
                <w:kern w:val="0"/>
                <w:sz w:val="21"/>
                <w:szCs w:val="21"/>
                <w:lang w:val="en-US" w:eastAsia="zh-CN"/>
              </w:rPr>
              <w:t>统一收集，由有资质单位处置</w:t>
            </w:r>
          </w:p>
        </w:tc>
      </w:tr>
    </w:tbl>
    <w:p w:rsidR="004B4777" w:rsidRDefault="004B4777">
      <w:pPr>
        <w:pStyle w:val="3"/>
        <w:spacing w:before="0" w:after="0"/>
        <w:rPr>
          <w:rFonts w:ascii="Times New Roman" w:eastAsia="宋体" w:hAnsi="Times New Roman" w:hint="eastAsia"/>
          <w:b/>
        </w:rPr>
      </w:pPr>
      <w:r>
        <w:rPr>
          <w:rFonts w:ascii="Times New Roman" w:eastAsia="宋体" w:hAnsi="Times New Roman"/>
          <w:b/>
        </w:rPr>
        <w:t>4.2.</w:t>
      </w:r>
      <w:r>
        <w:rPr>
          <w:rFonts w:ascii="Times New Roman" w:eastAsia="宋体" w:hAnsi="Times New Roman" w:hint="eastAsia"/>
          <w:b/>
        </w:rPr>
        <w:t xml:space="preserve">4 </w:t>
      </w:r>
      <w:r>
        <w:rPr>
          <w:rFonts w:ascii="Times New Roman" w:eastAsia="宋体" w:hAnsi="Times New Roman" w:hint="eastAsia"/>
          <w:b/>
        </w:rPr>
        <w:t>总量控制</w:t>
      </w:r>
    </w:p>
    <w:p w:rsidR="004B4777" w:rsidRDefault="004B4777">
      <w:pPr>
        <w:ind w:firstLineChars="0" w:firstLine="480"/>
        <w:jc w:val="left"/>
        <w:rPr>
          <w:rFonts w:ascii="Times New Roman" w:hAnsi="Times New Roman" w:hint="eastAsia"/>
        </w:rPr>
      </w:pPr>
      <w:r>
        <w:rPr>
          <w:rFonts w:ascii="Times New Roman" w:hAnsi="Times New Roman" w:hint="eastAsia"/>
        </w:rPr>
        <w:t>在《国务院关于印发“十三五”节能减排综合工作方案的通知》（国发</w:t>
      </w:r>
      <w:r>
        <w:rPr>
          <w:rFonts w:ascii="Times New Roman" w:hAnsi="Times New Roman" w:hint="eastAsia"/>
        </w:rPr>
        <w:t xml:space="preserve">[2016]74 </w:t>
      </w:r>
      <w:r>
        <w:rPr>
          <w:rFonts w:ascii="Times New Roman" w:hAnsi="Times New Roman" w:hint="eastAsia"/>
        </w:rPr>
        <w:t>号）中明确规定了“十三五”期间污染物减排目标，对</w:t>
      </w:r>
      <w:r>
        <w:rPr>
          <w:rFonts w:ascii="Times New Roman" w:hAnsi="Times New Roman" w:hint="eastAsia"/>
        </w:rPr>
        <w:t>COD</w:t>
      </w:r>
      <w:r>
        <w:rPr>
          <w:rFonts w:ascii="Times New Roman" w:hAnsi="Times New Roman" w:hint="eastAsia"/>
        </w:rPr>
        <w:t>、</w:t>
      </w:r>
      <w:r>
        <w:rPr>
          <w:rFonts w:ascii="Times New Roman" w:hAnsi="Times New Roman" w:hint="eastAsia"/>
        </w:rPr>
        <w:t>NH</w:t>
      </w:r>
      <w:r>
        <w:rPr>
          <w:rFonts w:ascii="Times New Roman" w:hAnsi="Times New Roman" w:hint="eastAsia"/>
          <w:vertAlign w:val="subscript"/>
        </w:rPr>
        <w:t>3</w:t>
      </w:r>
      <w:r>
        <w:rPr>
          <w:rFonts w:ascii="Times New Roman" w:hAnsi="Times New Roman" w:hint="eastAsia"/>
        </w:rPr>
        <w:t>-N</w:t>
      </w:r>
      <w:r>
        <w:rPr>
          <w:rFonts w:ascii="Times New Roman" w:hAnsi="Times New Roman" w:hint="eastAsia"/>
        </w:rPr>
        <w:t>、</w:t>
      </w:r>
      <w:r>
        <w:rPr>
          <w:rFonts w:ascii="Times New Roman" w:hAnsi="Times New Roman" w:hint="eastAsia"/>
        </w:rPr>
        <w:t>SO</w:t>
      </w:r>
      <w:r>
        <w:rPr>
          <w:rFonts w:ascii="Times New Roman" w:hAnsi="Times New Roman" w:hint="eastAsia"/>
          <w:vertAlign w:val="subscript"/>
        </w:rPr>
        <w:t>2</w:t>
      </w:r>
      <w:r>
        <w:rPr>
          <w:rFonts w:ascii="Times New Roman" w:hAnsi="Times New Roman" w:hint="eastAsia"/>
        </w:rPr>
        <w:t>、</w:t>
      </w:r>
      <w:r>
        <w:rPr>
          <w:rFonts w:ascii="Times New Roman" w:hAnsi="Times New Roman" w:hint="eastAsia"/>
        </w:rPr>
        <w:t>NO</w:t>
      </w:r>
      <w:r>
        <w:rPr>
          <w:rFonts w:ascii="Times New Roman" w:hAnsi="Times New Roman" w:hint="eastAsia"/>
          <w:vertAlign w:val="subscript"/>
        </w:rPr>
        <w:t>x</w:t>
      </w:r>
      <w:r>
        <w:rPr>
          <w:rFonts w:ascii="Times New Roman" w:hAnsi="Times New Roman" w:hint="eastAsia"/>
        </w:rPr>
        <w:t>、挥发性有机物等主要污染物实行总量控制。同时，根据《国务院关于印发大气污染防治行动计划的通知》（国发</w:t>
      </w:r>
      <w:r>
        <w:rPr>
          <w:rFonts w:ascii="Times New Roman" w:hAnsi="Times New Roman" w:hint="eastAsia"/>
        </w:rPr>
        <w:t>[2013]37</w:t>
      </w:r>
      <w:r>
        <w:rPr>
          <w:rFonts w:ascii="Times New Roman" w:hAnsi="Times New Roman" w:hint="eastAsia"/>
        </w:rPr>
        <w:t>号）要求，工业烟粉尘也实行污染物总量控制要求。</w:t>
      </w:r>
    </w:p>
    <w:p w:rsidR="004B4777" w:rsidRDefault="004B4777">
      <w:pPr>
        <w:ind w:firstLineChars="0" w:firstLine="480"/>
        <w:jc w:val="left"/>
        <w:rPr>
          <w:rFonts w:ascii="Times New Roman" w:hAnsi="Times New Roman" w:hint="eastAsia"/>
          <w:u w:val="single"/>
        </w:rPr>
      </w:pPr>
      <w:r>
        <w:rPr>
          <w:rFonts w:ascii="Times New Roman" w:hAnsi="Times New Roman" w:hint="eastAsia"/>
          <w:u w:val="single"/>
        </w:rPr>
        <w:t>本项目废水处理达标后委托有资质单位接收处置，不直接外排入地表水体；大气污染物主要为无组织排放的船舶燃油废气，建议可不设总量控制指标。</w:t>
      </w:r>
    </w:p>
    <w:p w:rsidR="004B4777" w:rsidRDefault="004B4777">
      <w:pPr>
        <w:pStyle w:val="2"/>
        <w:spacing w:before="0" w:after="0"/>
        <w:rPr>
          <w:rFonts w:ascii="Times New Roman" w:eastAsia="宋体" w:hAnsi="Times New Roman"/>
          <w:b/>
          <w:sz w:val="30"/>
          <w:szCs w:val="30"/>
        </w:rPr>
      </w:pPr>
      <w:bookmarkStart w:id="118" w:name="_Toc523854026"/>
      <w:r>
        <w:rPr>
          <w:rFonts w:ascii="Times New Roman" w:eastAsia="宋体" w:hAnsi="Times New Roman"/>
          <w:b/>
          <w:sz w:val="30"/>
          <w:szCs w:val="30"/>
        </w:rPr>
        <w:t>4.</w:t>
      </w:r>
      <w:r>
        <w:rPr>
          <w:rFonts w:ascii="Times New Roman" w:eastAsia="宋体" w:hAnsi="Times New Roman" w:hint="eastAsia"/>
          <w:b/>
          <w:sz w:val="30"/>
          <w:szCs w:val="30"/>
        </w:rPr>
        <w:t>3</w:t>
      </w:r>
      <w:r>
        <w:rPr>
          <w:rFonts w:ascii="Times New Roman" w:eastAsia="宋体" w:hAnsi="Times New Roman"/>
          <w:b/>
          <w:sz w:val="30"/>
          <w:szCs w:val="30"/>
        </w:rPr>
        <w:t xml:space="preserve"> </w:t>
      </w:r>
      <w:r>
        <w:rPr>
          <w:rFonts w:ascii="Times New Roman" w:eastAsia="宋体" w:hAnsi="Times New Roman"/>
          <w:b/>
          <w:sz w:val="30"/>
          <w:szCs w:val="30"/>
        </w:rPr>
        <w:t>环境影响因子识别的判断与筛选</w:t>
      </w:r>
      <w:bookmarkEnd w:id="118"/>
    </w:p>
    <w:p w:rsidR="004B4777" w:rsidRDefault="004B4777">
      <w:pPr>
        <w:ind w:firstLine="480"/>
        <w:rPr>
          <w:rFonts w:ascii="Times New Roman" w:hAnsi="Times New Roman"/>
          <w:color w:val="000000"/>
        </w:rPr>
      </w:pPr>
      <w:r>
        <w:rPr>
          <w:rFonts w:ascii="Times New Roman" w:hAnsi="Times New Roman"/>
          <w:color w:val="000000"/>
        </w:rPr>
        <w:t>按照工程分析识别项目施工期和营运期对环境的影响的污染要素和非污染要素，并结合环境敏感目标和重点保护对象筛选评价因子。</w:t>
      </w:r>
    </w:p>
    <w:p w:rsidR="004B4777" w:rsidRDefault="004B4777">
      <w:pPr>
        <w:pStyle w:val="3"/>
        <w:spacing w:before="0" w:after="0"/>
        <w:rPr>
          <w:rFonts w:ascii="Times New Roman" w:eastAsia="宋体" w:hAnsi="Times New Roman"/>
          <w:b/>
        </w:rPr>
      </w:pPr>
      <w:r>
        <w:rPr>
          <w:rFonts w:ascii="Times New Roman" w:eastAsia="宋体" w:hAnsi="Times New Roman"/>
          <w:b/>
        </w:rPr>
        <w:t>4.</w:t>
      </w:r>
      <w:r>
        <w:rPr>
          <w:rFonts w:ascii="Times New Roman" w:eastAsia="宋体" w:hAnsi="Times New Roman" w:hint="eastAsia"/>
          <w:b/>
        </w:rPr>
        <w:t>3</w:t>
      </w:r>
      <w:r>
        <w:rPr>
          <w:rFonts w:ascii="Times New Roman" w:eastAsia="宋体" w:hAnsi="Times New Roman"/>
          <w:b/>
        </w:rPr>
        <w:t xml:space="preserve">.1 </w:t>
      </w:r>
      <w:r>
        <w:rPr>
          <w:rFonts w:ascii="Times New Roman" w:eastAsia="宋体" w:hAnsi="Times New Roman"/>
          <w:b/>
        </w:rPr>
        <w:t>环境影响要素的识别</w:t>
      </w:r>
    </w:p>
    <w:p w:rsidR="004B4777" w:rsidRDefault="004B4777">
      <w:pPr>
        <w:ind w:firstLine="480"/>
        <w:rPr>
          <w:rFonts w:ascii="Times New Roman" w:hAnsi="Times New Roman"/>
          <w:color w:val="000000"/>
        </w:rPr>
      </w:pPr>
      <w:r>
        <w:rPr>
          <w:rFonts w:ascii="Times New Roman" w:hAnsi="Times New Roman"/>
          <w:color w:val="000000"/>
        </w:rPr>
        <w:t>工程建设对环境的影响涉及到河流水质、河流沉积物环境、河流生态环境、水文动力环境等多方面。按照《</w:t>
      </w:r>
      <w:r>
        <w:rPr>
          <w:rFonts w:ascii="Times New Roman" w:hAnsi="Times New Roman" w:hint="eastAsia"/>
          <w:color w:val="000000"/>
        </w:rPr>
        <w:t>湖南省</w:t>
      </w:r>
      <w:r>
        <w:rPr>
          <w:rFonts w:ascii="Times New Roman" w:hAnsi="Times New Roman"/>
          <w:color w:val="000000"/>
        </w:rPr>
        <w:t>地表水环境功能区划）》，并结合本工程特点，筛选出本工程主要环境影响因子详见表</w:t>
      </w:r>
      <w:r>
        <w:rPr>
          <w:rFonts w:ascii="Times New Roman" w:hAnsi="Times New Roman"/>
          <w:color w:val="000000"/>
        </w:rPr>
        <w:t>4.</w:t>
      </w:r>
      <w:r>
        <w:rPr>
          <w:rFonts w:ascii="Times New Roman" w:hAnsi="Times New Roman" w:hint="eastAsia"/>
          <w:color w:val="000000"/>
        </w:rPr>
        <w:t>3</w:t>
      </w:r>
      <w:r>
        <w:rPr>
          <w:rFonts w:ascii="Times New Roman" w:hAnsi="Times New Roman"/>
          <w:color w:val="000000"/>
        </w:rPr>
        <w:t>-1</w:t>
      </w:r>
      <w:r>
        <w:rPr>
          <w:rFonts w:ascii="Times New Roman" w:hAnsi="Times New Roman"/>
          <w:color w:val="000000"/>
        </w:rPr>
        <w:t>。</w:t>
      </w:r>
    </w:p>
    <w:p w:rsidR="004B4777" w:rsidRDefault="004B4777">
      <w:pPr>
        <w:ind w:firstLineChars="0" w:firstLine="0"/>
        <w:jc w:val="center"/>
        <w:rPr>
          <w:rFonts w:ascii="Times New Roman" w:hAnsi="Times New Roman"/>
          <w:b/>
          <w:color w:val="000000"/>
        </w:rPr>
      </w:pPr>
      <w:r>
        <w:rPr>
          <w:rFonts w:ascii="Times New Roman" w:hAnsi="Times New Roman"/>
          <w:b/>
          <w:color w:val="000000"/>
        </w:rPr>
        <w:t>表</w:t>
      </w:r>
      <w:r>
        <w:rPr>
          <w:rFonts w:ascii="Times New Roman" w:hAnsi="Times New Roman"/>
          <w:b/>
          <w:color w:val="000000"/>
        </w:rPr>
        <w:t>4.</w:t>
      </w:r>
      <w:r>
        <w:rPr>
          <w:rFonts w:ascii="Times New Roman" w:hAnsi="Times New Roman" w:hint="eastAsia"/>
          <w:b/>
          <w:color w:val="000000"/>
        </w:rPr>
        <w:t>3</w:t>
      </w:r>
      <w:r>
        <w:rPr>
          <w:rFonts w:ascii="Times New Roman" w:hAnsi="Times New Roman"/>
          <w:b/>
          <w:color w:val="000000"/>
        </w:rPr>
        <w:t xml:space="preserve">-1    </w:t>
      </w:r>
      <w:r>
        <w:rPr>
          <w:rFonts w:ascii="Times New Roman" w:hAnsi="Times New Roman"/>
          <w:b/>
          <w:color w:val="000000"/>
        </w:rPr>
        <w:t>项目主要环境影响因子</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969"/>
        <w:gridCol w:w="1893"/>
      </w:tblGrid>
      <w:tr w:rsidR="004B4777">
        <w:trPr>
          <w:trHeight w:val="397"/>
          <w:tblHeader/>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b/>
                <w:color w:val="000000"/>
                <w:sz w:val="21"/>
                <w:szCs w:val="21"/>
              </w:rPr>
            </w:pPr>
            <w:r>
              <w:rPr>
                <w:rFonts w:ascii="Times New Roman" w:hAnsi="Times New Roman"/>
                <w:b/>
                <w:color w:val="000000"/>
                <w:sz w:val="21"/>
                <w:szCs w:val="21"/>
              </w:rPr>
              <w:t>影响因子类型</w:t>
            </w:r>
          </w:p>
        </w:tc>
        <w:tc>
          <w:tcPr>
            <w:tcW w:w="3969" w:type="dxa"/>
            <w:vAlign w:val="center"/>
          </w:tcPr>
          <w:p w:rsidR="004B4777" w:rsidRDefault="004B4777">
            <w:pPr>
              <w:spacing w:line="240" w:lineRule="auto"/>
              <w:ind w:firstLineChars="0" w:firstLine="0"/>
              <w:contextualSpacing/>
              <w:jc w:val="center"/>
              <w:rPr>
                <w:rFonts w:ascii="Times New Roman" w:hAnsi="Times New Roman"/>
                <w:b/>
                <w:color w:val="000000"/>
                <w:sz w:val="21"/>
                <w:szCs w:val="21"/>
              </w:rPr>
            </w:pPr>
            <w:r>
              <w:rPr>
                <w:rFonts w:ascii="Times New Roman" w:hAnsi="Times New Roman"/>
                <w:b/>
                <w:color w:val="000000"/>
                <w:sz w:val="21"/>
                <w:szCs w:val="21"/>
              </w:rPr>
              <w:t>可能产生的环境影响</w:t>
            </w:r>
          </w:p>
        </w:tc>
        <w:tc>
          <w:tcPr>
            <w:tcW w:w="1893" w:type="dxa"/>
            <w:vAlign w:val="center"/>
          </w:tcPr>
          <w:p w:rsidR="004B4777" w:rsidRDefault="004B4777">
            <w:pPr>
              <w:spacing w:line="240" w:lineRule="auto"/>
              <w:ind w:firstLineChars="0" w:firstLine="0"/>
              <w:contextualSpacing/>
              <w:jc w:val="center"/>
              <w:rPr>
                <w:rFonts w:ascii="Times New Roman" w:hAnsi="Times New Roman"/>
                <w:b/>
                <w:color w:val="000000"/>
                <w:sz w:val="21"/>
                <w:szCs w:val="21"/>
              </w:rPr>
            </w:pPr>
            <w:r>
              <w:rPr>
                <w:rFonts w:ascii="Times New Roman" w:hAnsi="Times New Roman"/>
                <w:b/>
                <w:color w:val="000000"/>
                <w:sz w:val="21"/>
                <w:szCs w:val="21"/>
              </w:rPr>
              <w:t>产生</w:t>
            </w:r>
            <w:r>
              <w:rPr>
                <w:rFonts w:ascii="Times New Roman" w:hAnsi="Times New Roman" w:hint="eastAsia"/>
                <w:b/>
                <w:color w:val="000000"/>
                <w:sz w:val="21"/>
                <w:szCs w:val="21"/>
              </w:rPr>
              <w:t>影响</w:t>
            </w:r>
            <w:r>
              <w:rPr>
                <w:rFonts w:ascii="Times New Roman" w:hAnsi="Times New Roman"/>
                <w:b/>
                <w:color w:val="000000"/>
                <w:sz w:val="21"/>
                <w:szCs w:val="21"/>
              </w:rPr>
              <w:t>的时期</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河流环境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采砂作业引起的</w:t>
            </w:r>
            <w:r>
              <w:rPr>
                <w:rFonts w:ascii="Times New Roman" w:hAnsi="Times New Roman"/>
                <w:color w:val="000000"/>
                <w:sz w:val="21"/>
                <w:szCs w:val="21"/>
              </w:rPr>
              <w:t>SS</w:t>
            </w:r>
            <w:r>
              <w:rPr>
                <w:rFonts w:ascii="Times New Roman" w:hAnsi="Times New Roman"/>
                <w:color w:val="000000"/>
                <w:sz w:val="21"/>
                <w:szCs w:val="21"/>
              </w:rPr>
              <w:t>增加引起水体污染</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河流沉积物环境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扰动河床，使底泥沉积物发生再悬浮；造成一定量的河底沉积物迁移和河床冲淤</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河流生态和生物资源环境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可能对项目周围水域的河流生态、渔业资源造成影响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lastRenderedPageBreak/>
              <w:t>水文动力环境和水文情势</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对水文情势的可能造成影响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地形地貌</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对地形地貌与冲淤环境的影响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岸滩稳定性</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对岸滩稳定性的影响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通航环境</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对通航环境的影响</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r w:rsidR="004B4777">
        <w:trPr>
          <w:trHeight w:val="397"/>
          <w:jc w:val="center"/>
        </w:trPr>
        <w:tc>
          <w:tcPr>
            <w:tcW w:w="2660"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环境风险</w:t>
            </w:r>
          </w:p>
        </w:tc>
        <w:tc>
          <w:tcPr>
            <w:tcW w:w="3969"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kern w:val="0"/>
                <w:sz w:val="21"/>
                <w:szCs w:val="21"/>
              </w:rPr>
              <w:t>溢油事故</w:t>
            </w:r>
          </w:p>
        </w:tc>
        <w:tc>
          <w:tcPr>
            <w:tcW w:w="1893" w:type="dxa"/>
            <w:vAlign w:val="center"/>
          </w:tcPr>
          <w:p w:rsidR="004B4777" w:rsidRDefault="004B4777">
            <w:pPr>
              <w:spacing w:line="240" w:lineRule="auto"/>
              <w:ind w:firstLineChars="0" w:firstLine="0"/>
              <w:contextualSpacing/>
              <w:jc w:val="center"/>
              <w:rPr>
                <w:rFonts w:ascii="Times New Roman" w:hAnsi="Times New Roman"/>
                <w:color w:val="000000"/>
                <w:sz w:val="21"/>
                <w:szCs w:val="21"/>
              </w:rPr>
            </w:pPr>
            <w:r>
              <w:rPr>
                <w:rFonts w:ascii="Times New Roman" w:hAnsi="Times New Roman"/>
                <w:color w:val="000000"/>
                <w:sz w:val="21"/>
                <w:szCs w:val="21"/>
              </w:rPr>
              <w:t>采砂作业</w:t>
            </w:r>
          </w:p>
        </w:tc>
      </w:tr>
    </w:tbl>
    <w:p w:rsidR="004B4777" w:rsidRDefault="004B4777">
      <w:pPr>
        <w:pStyle w:val="3"/>
        <w:spacing w:before="0" w:after="0"/>
        <w:rPr>
          <w:rFonts w:ascii="Times New Roman" w:eastAsia="宋体" w:hAnsi="Times New Roman"/>
          <w:b/>
        </w:rPr>
      </w:pPr>
      <w:r>
        <w:rPr>
          <w:rFonts w:ascii="Times New Roman" w:eastAsia="宋体" w:hAnsi="Times New Roman"/>
          <w:b/>
        </w:rPr>
        <w:t>4.</w:t>
      </w:r>
      <w:r>
        <w:rPr>
          <w:rFonts w:ascii="Times New Roman" w:eastAsia="宋体" w:hAnsi="Times New Roman" w:hint="eastAsia"/>
          <w:b/>
        </w:rPr>
        <w:t>3</w:t>
      </w:r>
      <w:r>
        <w:rPr>
          <w:rFonts w:ascii="Times New Roman" w:eastAsia="宋体" w:hAnsi="Times New Roman"/>
          <w:b/>
        </w:rPr>
        <w:t xml:space="preserve">.2 </w:t>
      </w:r>
      <w:r>
        <w:rPr>
          <w:rFonts w:ascii="Times New Roman" w:eastAsia="宋体" w:hAnsi="Times New Roman"/>
          <w:b/>
        </w:rPr>
        <w:t>评价因子筛选</w:t>
      </w:r>
    </w:p>
    <w:p w:rsidR="004B4777" w:rsidRDefault="004B4777">
      <w:pPr>
        <w:ind w:firstLine="480"/>
        <w:rPr>
          <w:rFonts w:ascii="Times New Roman" w:hAnsi="Times New Roman"/>
          <w:color w:val="000000"/>
        </w:rPr>
      </w:pPr>
      <w:r>
        <w:rPr>
          <w:rFonts w:ascii="Times New Roman" w:hAnsi="Times New Roman"/>
          <w:color w:val="000000"/>
        </w:rPr>
        <w:t>根据本工程主要环境影响要素，确定本工程主要污染要素评价因子如下：</w:t>
      </w:r>
    </w:p>
    <w:p w:rsidR="004B4777" w:rsidRDefault="004B4777">
      <w:pPr>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1</w:t>
      </w:r>
      <w:r>
        <w:rPr>
          <w:rFonts w:ascii="Times New Roman" w:hAnsi="Times New Roman"/>
          <w:color w:val="000000"/>
        </w:rPr>
        <w:t>）污染性环境影响要素识别和评价因子筛选</w:t>
      </w:r>
    </w:p>
    <w:p w:rsidR="004B4777" w:rsidRDefault="004B4777">
      <w:pPr>
        <w:ind w:firstLine="480"/>
        <w:rPr>
          <w:rFonts w:ascii="Times New Roman" w:hAnsi="Times New Roman"/>
          <w:color w:val="000000"/>
        </w:rPr>
      </w:pPr>
      <w:r>
        <w:rPr>
          <w:rFonts w:ascii="Times New Roman" w:hAnsi="Times New Roman"/>
          <w:color w:val="000000"/>
        </w:rPr>
        <w:t>河流水质评价因子：</w:t>
      </w:r>
      <w:r>
        <w:rPr>
          <w:rFonts w:ascii="Times New Roman" w:hAnsi="Times New Roman"/>
          <w:color w:val="000000"/>
        </w:rPr>
        <w:t>pH</w:t>
      </w:r>
      <w:r>
        <w:rPr>
          <w:rFonts w:ascii="Times New Roman" w:hAnsi="Times New Roman"/>
          <w:color w:val="000000"/>
        </w:rPr>
        <w:t>、</w:t>
      </w:r>
      <w:r>
        <w:rPr>
          <w:rFonts w:ascii="Times New Roman" w:hAnsi="Times New Roman"/>
          <w:color w:val="000000"/>
        </w:rPr>
        <w:t>COD</w:t>
      </w:r>
      <w:r>
        <w:rPr>
          <w:rFonts w:ascii="Times New Roman" w:hAnsi="Times New Roman"/>
          <w:color w:val="000000"/>
          <w:vertAlign w:val="subscript"/>
        </w:rPr>
        <w:t>Cr</w:t>
      </w:r>
      <w:r>
        <w:rPr>
          <w:rFonts w:ascii="Times New Roman" w:hAnsi="Times New Roman"/>
          <w:color w:val="000000"/>
        </w:rPr>
        <w:t>、</w:t>
      </w:r>
      <w:r>
        <w:rPr>
          <w:rFonts w:ascii="Times New Roman" w:hAnsi="Times New Roman"/>
          <w:color w:val="000000"/>
        </w:rPr>
        <w:t>BOD</w:t>
      </w:r>
      <w:r>
        <w:rPr>
          <w:rFonts w:ascii="Times New Roman" w:hAnsi="Times New Roman"/>
          <w:color w:val="000000"/>
          <w:vertAlign w:val="subscript"/>
        </w:rPr>
        <w:t>5</w:t>
      </w:r>
      <w:r>
        <w:rPr>
          <w:rFonts w:ascii="Times New Roman" w:hAnsi="Times New Roman"/>
          <w:color w:val="000000"/>
        </w:rPr>
        <w:t>、</w:t>
      </w:r>
      <w:r>
        <w:rPr>
          <w:rFonts w:ascii="Times New Roman" w:hAnsi="Times New Roman"/>
          <w:color w:val="000000"/>
        </w:rPr>
        <w:t>SS</w:t>
      </w:r>
      <w:r>
        <w:rPr>
          <w:rFonts w:ascii="Times New Roman" w:hAnsi="Times New Roman"/>
          <w:color w:val="000000"/>
        </w:rPr>
        <w:t>、氨氮、总磷、石油类、</w:t>
      </w:r>
      <w:r>
        <w:rPr>
          <w:rFonts w:ascii="Times New Roman" w:hAnsi="Times New Roman"/>
          <w:color w:val="000000"/>
        </w:rPr>
        <w:t>Cr</w:t>
      </w:r>
      <w:r>
        <w:rPr>
          <w:rFonts w:ascii="Times New Roman" w:hAnsi="Times New Roman"/>
          <w:color w:val="000000"/>
          <w:vertAlign w:val="superscript"/>
        </w:rPr>
        <w:t>6+</w:t>
      </w:r>
      <w:r>
        <w:rPr>
          <w:rFonts w:ascii="Times New Roman" w:hAnsi="Times New Roman"/>
          <w:color w:val="000000"/>
        </w:rPr>
        <w:t>、总锌、总铅、总镍、总镉、砷、总汞、总铜等。</w:t>
      </w:r>
    </w:p>
    <w:p w:rsidR="004B4777" w:rsidRDefault="004B4777">
      <w:pPr>
        <w:ind w:firstLine="480"/>
        <w:rPr>
          <w:rFonts w:ascii="Times New Roman" w:hAnsi="Times New Roman"/>
          <w:color w:val="000000"/>
        </w:rPr>
      </w:pPr>
      <w:r>
        <w:rPr>
          <w:rFonts w:ascii="Times New Roman" w:hAnsi="Times New Roman"/>
          <w:color w:val="000000"/>
        </w:rPr>
        <w:t>河床沉积物评价因子：</w:t>
      </w:r>
      <w:r>
        <w:rPr>
          <w:rFonts w:ascii="Times New Roman" w:hAnsi="Times New Roman"/>
          <w:color w:val="000000"/>
        </w:rPr>
        <w:t>pH</w:t>
      </w:r>
      <w:r>
        <w:rPr>
          <w:rFonts w:ascii="Times New Roman" w:hAnsi="Times New Roman"/>
          <w:color w:val="000000"/>
        </w:rPr>
        <w:t>、汞、铅、镉、锌、铜、砷、镍、铬等。</w:t>
      </w:r>
    </w:p>
    <w:p w:rsidR="004B4777" w:rsidRDefault="004B4777">
      <w:pPr>
        <w:ind w:firstLine="480"/>
        <w:rPr>
          <w:rFonts w:ascii="Times New Roman" w:hAnsi="Times New Roman"/>
          <w:color w:val="000000"/>
        </w:rPr>
      </w:pPr>
      <w:r>
        <w:rPr>
          <w:rFonts w:ascii="Times New Roman" w:hAnsi="Times New Roman"/>
          <w:color w:val="000000"/>
        </w:rPr>
        <w:t>河流生物体：铜、铅、锌、镉、铬、汞、砷等。</w:t>
      </w:r>
    </w:p>
    <w:p w:rsidR="004B4777" w:rsidRDefault="004B4777">
      <w:pPr>
        <w:ind w:firstLine="480"/>
        <w:rPr>
          <w:rFonts w:ascii="Times New Roman" w:hAnsi="Times New Roman"/>
          <w:color w:val="000000"/>
        </w:rPr>
      </w:pPr>
      <w:r>
        <w:rPr>
          <w:rFonts w:ascii="Times New Roman" w:hAnsi="Times New Roman"/>
          <w:color w:val="000000"/>
        </w:rPr>
        <w:t>河流生态：叶绿素</w:t>
      </w:r>
      <w:r>
        <w:rPr>
          <w:rFonts w:ascii="Times New Roman" w:hAnsi="Times New Roman"/>
          <w:color w:val="000000"/>
        </w:rPr>
        <w:t>a</w:t>
      </w:r>
      <w:r>
        <w:rPr>
          <w:rFonts w:ascii="Times New Roman" w:hAnsi="Times New Roman"/>
          <w:color w:val="000000"/>
        </w:rPr>
        <w:t>、浮游植物、浮游动物、底栖生物、鱼卵、仔鱼和渔业资源。</w:t>
      </w:r>
    </w:p>
    <w:p w:rsidR="004B4777" w:rsidRDefault="004B4777">
      <w:pPr>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2</w:t>
      </w:r>
      <w:r>
        <w:rPr>
          <w:rFonts w:ascii="Times New Roman" w:hAnsi="Times New Roman"/>
          <w:color w:val="000000"/>
        </w:rPr>
        <w:t>）非污染性环境影响要素识别和评价因子筛选</w:t>
      </w:r>
    </w:p>
    <w:p w:rsidR="004B4777" w:rsidRDefault="004B4777">
      <w:pPr>
        <w:ind w:firstLine="480"/>
        <w:rPr>
          <w:rFonts w:ascii="Times New Roman" w:hAnsi="Times New Roman"/>
          <w:color w:val="000000"/>
        </w:rPr>
      </w:pPr>
      <w:r>
        <w:rPr>
          <w:rFonts w:ascii="Times New Roman" w:hAnsi="Times New Roman"/>
          <w:color w:val="000000"/>
        </w:rPr>
        <w:t>砂矿开采后，将形成一个大矿坑，使矿区的水深和地形地貌发生变化，从而引起矿区及周边流场（流向和流速）的变化。流场的改变又会引起泥沙冲淤场的变化，进而对河底地形地貌和岸滩稳定性产生影响，因此，必须对砂矿开采的上述非污染性环境影响进行评价，其评价因子为：水文动力（流场）、地形地貌冲淤（河底泥沙冲淤场）。另外，开采将对矿区水域的底栖生物造成严重甚至毁灭性破坏，必须对砂矿开采的该方面影响进行评价，评价因子为底栖生物。</w:t>
      </w:r>
    </w:p>
    <w:p w:rsidR="004B4777" w:rsidRDefault="004B4777">
      <w:pPr>
        <w:ind w:firstLine="480"/>
        <w:rPr>
          <w:rFonts w:ascii="Times New Roman" w:hAnsi="Times New Roman"/>
          <w:color w:val="FF0000"/>
        </w:rPr>
      </w:pPr>
    </w:p>
    <w:p w:rsidR="004B4777" w:rsidRDefault="004B4777">
      <w:pPr>
        <w:ind w:firstLineChars="0" w:firstLine="0"/>
        <w:rPr>
          <w:rFonts w:ascii="Times New Roman" w:hAnsi="Times New Roman"/>
        </w:rPr>
        <w:sectPr w:rsidR="004B4777">
          <w:headerReference w:type="even" r:id="rId30"/>
          <w:headerReference w:type="default" r:id="rId31"/>
          <w:footerReference w:type="default" r:id="rId32"/>
          <w:headerReference w:type="first" r:id="rId33"/>
          <w:pgSz w:w="11906" w:h="16838"/>
          <w:pgMar w:top="1440" w:right="1800" w:bottom="1440" w:left="1800" w:header="851" w:footer="992" w:gutter="0"/>
          <w:cols w:space="720"/>
          <w:docGrid w:type="lines" w:linePitch="312"/>
        </w:sectPr>
      </w:pPr>
    </w:p>
    <w:p w:rsidR="004B4777" w:rsidRDefault="004B4777">
      <w:pPr>
        <w:pStyle w:val="1"/>
        <w:spacing w:before="0" w:after="0" w:line="360" w:lineRule="auto"/>
        <w:rPr>
          <w:rFonts w:ascii="Times New Roman" w:eastAsia="宋体" w:hAnsi="Times New Roman"/>
          <w:b/>
          <w:sz w:val="32"/>
          <w:szCs w:val="32"/>
        </w:rPr>
      </w:pPr>
      <w:bookmarkStart w:id="119" w:name="_Toc523854027"/>
      <w:r>
        <w:rPr>
          <w:rFonts w:ascii="Times New Roman" w:eastAsia="宋体" w:hAnsi="Times New Roman"/>
          <w:b/>
          <w:sz w:val="32"/>
          <w:szCs w:val="32"/>
        </w:rPr>
        <w:lastRenderedPageBreak/>
        <w:t>第</w:t>
      </w:r>
      <w:r>
        <w:rPr>
          <w:rFonts w:ascii="Times New Roman" w:eastAsia="宋体" w:hAnsi="Times New Roman"/>
          <w:b/>
          <w:sz w:val="32"/>
          <w:szCs w:val="32"/>
        </w:rPr>
        <w:t>5</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环境现状调查与评价</w:t>
      </w:r>
      <w:bookmarkEnd w:id="119"/>
    </w:p>
    <w:p w:rsidR="004B4777" w:rsidRDefault="004B4777">
      <w:pPr>
        <w:pStyle w:val="2"/>
        <w:spacing w:before="0" w:after="0"/>
        <w:rPr>
          <w:rFonts w:ascii="Times New Roman" w:eastAsia="宋体" w:hAnsi="Times New Roman"/>
          <w:b/>
          <w:sz w:val="30"/>
          <w:szCs w:val="30"/>
        </w:rPr>
      </w:pPr>
      <w:bookmarkStart w:id="120" w:name="_Toc107934977"/>
      <w:bookmarkStart w:id="121" w:name="_Toc244680281"/>
      <w:bookmarkStart w:id="122" w:name="_Toc107993862"/>
      <w:bookmarkStart w:id="123" w:name="_Toc30986490"/>
      <w:bookmarkStart w:id="124" w:name="_Toc173337642"/>
      <w:bookmarkStart w:id="125" w:name="_Toc312002820"/>
      <w:bookmarkStart w:id="126" w:name="_Toc312002852"/>
      <w:bookmarkStart w:id="127" w:name="_Toc244680123"/>
      <w:bookmarkStart w:id="128" w:name="_Toc80671735"/>
      <w:bookmarkStart w:id="129" w:name="_Toc76203371"/>
      <w:bookmarkStart w:id="130" w:name="_Toc82944675"/>
      <w:bookmarkStart w:id="131" w:name="_Toc84214459"/>
      <w:bookmarkStart w:id="132" w:name="_Toc91326676"/>
      <w:bookmarkStart w:id="133" w:name="_Toc93978912"/>
      <w:bookmarkStart w:id="134" w:name="_Toc523854028"/>
      <w:r>
        <w:rPr>
          <w:rFonts w:ascii="Times New Roman" w:eastAsia="宋体" w:hAnsi="Times New Roman"/>
          <w:b/>
          <w:sz w:val="30"/>
          <w:szCs w:val="30"/>
        </w:rPr>
        <w:t xml:space="preserve">5.1 </w:t>
      </w:r>
      <w:r>
        <w:rPr>
          <w:rFonts w:ascii="Times New Roman" w:eastAsia="宋体" w:hAnsi="Times New Roman"/>
          <w:b/>
          <w:sz w:val="30"/>
          <w:szCs w:val="30"/>
        </w:rPr>
        <w:t>区域环境概况</w:t>
      </w:r>
      <w:bookmarkEnd w:id="134"/>
    </w:p>
    <w:p w:rsidR="004B4777" w:rsidRDefault="004B4777">
      <w:pPr>
        <w:pStyle w:val="3"/>
        <w:spacing w:before="0" w:after="0"/>
        <w:rPr>
          <w:rFonts w:ascii="Times New Roman" w:eastAsia="宋体" w:hAnsi="Times New Roman"/>
          <w:b/>
        </w:rPr>
      </w:pPr>
      <w:r>
        <w:rPr>
          <w:rFonts w:ascii="Times New Roman" w:eastAsia="宋体" w:hAnsi="Times New Roman"/>
          <w:b/>
        </w:rPr>
        <w:t xml:space="preserve">5.1.1 </w:t>
      </w:r>
      <w:r>
        <w:rPr>
          <w:rFonts w:ascii="Times New Roman" w:eastAsia="宋体" w:hAnsi="Times New Roman"/>
          <w:b/>
        </w:rPr>
        <w:t>项目地理位置</w:t>
      </w:r>
    </w:p>
    <w:p w:rsidR="004B4777" w:rsidRDefault="004B4777">
      <w:pPr>
        <w:ind w:firstLine="480"/>
        <w:rPr>
          <w:rFonts w:ascii="Times New Roman" w:hAnsi="Times New Roman" w:hint="eastAsia"/>
        </w:rPr>
      </w:pPr>
      <w:r>
        <w:rPr>
          <w:rFonts w:ascii="Times New Roman" w:hAnsi="Times New Roman"/>
        </w:rPr>
        <w:t>岳阳市位于湖南省东北部，素称</w:t>
      </w:r>
      <w:r>
        <w:rPr>
          <w:rFonts w:ascii="Times New Roman" w:hAnsi="Times New Roman"/>
        </w:rPr>
        <w:t>“</w:t>
      </w:r>
      <w:r>
        <w:rPr>
          <w:rFonts w:ascii="Times New Roman" w:hAnsi="Times New Roman"/>
        </w:rPr>
        <w:t>湘北门户</w:t>
      </w:r>
      <w:r>
        <w:rPr>
          <w:rFonts w:ascii="Times New Roman" w:hAnsi="Times New Roman"/>
        </w:rPr>
        <w:t>”</w:t>
      </w:r>
      <w:r>
        <w:rPr>
          <w:rFonts w:ascii="Times New Roman" w:hAnsi="Times New Roman"/>
        </w:rPr>
        <w:t>之称。地处北纬</w:t>
      </w:r>
      <w:r>
        <w:rPr>
          <w:rFonts w:ascii="Times New Roman" w:hAnsi="Times New Roman"/>
        </w:rPr>
        <w:t>28°25′33″</w:t>
      </w:r>
      <w:r>
        <w:rPr>
          <w:rFonts w:ascii="Times New Roman" w:hAnsi="Times New Roman"/>
        </w:rPr>
        <w:t>～</w:t>
      </w:r>
      <w:r>
        <w:rPr>
          <w:rFonts w:ascii="Times New Roman" w:hAnsi="Times New Roman"/>
        </w:rPr>
        <w:t>29°51′00″</w:t>
      </w:r>
      <w:r>
        <w:rPr>
          <w:rFonts w:ascii="Times New Roman" w:hAnsi="Times New Roman"/>
        </w:rPr>
        <w:t>，东经</w:t>
      </w:r>
      <w:r>
        <w:rPr>
          <w:rFonts w:ascii="Times New Roman" w:hAnsi="Times New Roman"/>
        </w:rPr>
        <w:t>112°18′31″</w:t>
      </w:r>
      <w:r>
        <w:rPr>
          <w:rFonts w:ascii="Times New Roman" w:hAnsi="Times New Roman"/>
        </w:rPr>
        <w:t>～</w:t>
      </w:r>
      <w:r>
        <w:rPr>
          <w:rFonts w:ascii="Times New Roman" w:hAnsi="Times New Roman"/>
        </w:rPr>
        <w:t>114°09′06″</w:t>
      </w:r>
      <w:r>
        <w:rPr>
          <w:rFonts w:ascii="Times New Roman" w:hAnsi="Times New Roman"/>
        </w:rPr>
        <w:t>之间。东邻江西省铜鼓、修水县和湖北省通城县，南抵湖南省浏阳市、长沙县、望城区，西接湖南省南县、安乡县、沅江县，北界湖北省赤壁市、洪湖市、监利县、石首县。市东西横跨</w:t>
      </w:r>
      <w:r>
        <w:rPr>
          <w:rFonts w:ascii="Times New Roman" w:hAnsi="Times New Roman"/>
        </w:rPr>
        <w:t>177.84km</w:t>
      </w:r>
      <w:r>
        <w:rPr>
          <w:rFonts w:ascii="Times New Roman" w:hAnsi="Times New Roman"/>
        </w:rPr>
        <w:t>，南北纵长</w:t>
      </w:r>
      <w:r>
        <w:rPr>
          <w:rFonts w:ascii="Times New Roman" w:hAnsi="Times New Roman"/>
        </w:rPr>
        <w:t>157.87km</w:t>
      </w:r>
      <w:r>
        <w:rPr>
          <w:rFonts w:ascii="Times New Roman" w:hAnsi="Times New Roman"/>
        </w:rPr>
        <w:t>。全市总国土面积</w:t>
      </w:r>
      <w:r>
        <w:rPr>
          <w:rFonts w:ascii="Times New Roman" w:hAnsi="Times New Roman"/>
        </w:rPr>
        <w:t>14858km</w:t>
      </w:r>
      <w:r>
        <w:rPr>
          <w:rFonts w:ascii="Times New Roman" w:hAnsi="Times New Roman"/>
          <w:vertAlign w:val="superscript"/>
        </w:rPr>
        <w:t>2</w:t>
      </w:r>
      <w:r>
        <w:rPr>
          <w:rFonts w:ascii="Times New Roman" w:hAnsi="Times New Roman"/>
        </w:rPr>
        <w:t>，占全省总面积的</w:t>
      </w:r>
      <w:r>
        <w:rPr>
          <w:rFonts w:ascii="Times New Roman" w:hAnsi="Times New Roman"/>
        </w:rPr>
        <w:t>7.05%</w:t>
      </w:r>
      <w:r>
        <w:rPr>
          <w:rFonts w:ascii="Times New Roman" w:hAnsi="Times New Roman"/>
        </w:rPr>
        <w:t>。岳阳市现辖汨罗市、临湘市</w:t>
      </w:r>
      <w:r>
        <w:rPr>
          <w:rFonts w:ascii="Times New Roman" w:hAnsi="Times New Roman"/>
        </w:rPr>
        <w:t>2</w:t>
      </w:r>
      <w:r>
        <w:rPr>
          <w:rFonts w:ascii="Times New Roman" w:hAnsi="Times New Roman"/>
        </w:rPr>
        <w:t>个县级市，岳阳县、华容县、平江县、湘阴县</w:t>
      </w:r>
      <w:r>
        <w:rPr>
          <w:rFonts w:ascii="Times New Roman" w:hAnsi="Times New Roman"/>
        </w:rPr>
        <w:t>4</w:t>
      </w:r>
      <w:r>
        <w:rPr>
          <w:rFonts w:ascii="Times New Roman" w:hAnsi="Times New Roman"/>
        </w:rPr>
        <w:t>个县，岳阳楼区、云溪区、君山区</w:t>
      </w:r>
      <w:r>
        <w:rPr>
          <w:rFonts w:ascii="Times New Roman" w:hAnsi="Times New Roman"/>
        </w:rPr>
        <w:t>3</w:t>
      </w:r>
      <w:r>
        <w:rPr>
          <w:rFonts w:ascii="Times New Roman" w:hAnsi="Times New Roman"/>
        </w:rPr>
        <w:t>个区，设有屈原管理区、经济技术开发区、南湖风景区和城陵矶临港产业新区。</w:t>
      </w:r>
    </w:p>
    <w:p w:rsidR="004B4777" w:rsidRDefault="004B4777">
      <w:pPr>
        <w:ind w:firstLine="480"/>
        <w:rPr>
          <w:rFonts w:ascii="Times New Roman" w:hAnsi="Times New Roman" w:hint="eastAsia"/>
        </w:rPr>
      </w:pPr>
      <w:r>
        <w:rPr>
          <w:rFonts w:ascii="Times New Roman" w:hAnsi="Times New Roman"/>
        </w:rPr>
        <w:t>湘阴县位于湖南省东北部</w:t>
      </w:r>
      <w:r>
        <w:rPr>
          <w:rFonts w:ascii="Times New Roman" w:hAnsi="Times New Roman" w:hint="eastAsia"/>
        </w:rPr>
        <w:t>，</w:t>
      </w:r>
      <w:r>
        <w:rPr>
          <w:rFonts w:ascii="Times New Roman" w:hAnsi="Times New Roman"/>
        </w:rPr>
        <w:t>居</w:t>
      </w:r>
      <w:hyperlink r:id="rId34" w:tgtFrame="_blank" w:history="1">
        <w:r>
          <w:rPr>
            <w:rFonts w:ascii="Times New Roman" w:hAnsi="Times New Roman"/>
          </w:rPr>
          <w:t>湘江</w:t>
        </w:r>
      </w:hyperlink>
      <w:r>
        <w:rPr>
          <w:rFonts w:ascii="Times New Roman" w:hAnsi="Times New Roman"/>
        </w:rPr>
        <w:t>、</w:t>
      </w:r>
      <w:hyperlink r:id="rId35" w:tgtFrame="_blank" w:history="1">
        <w:r>
          <w:rPr>
            <w:rFonts w:ascii="Times New Roman" w:hAnsi="Times New Roman"/>
          </w:rPr>
          <w:t>资江</w:t>
        </w:r>
      </w:hyperlink>
      <w:r>
        <w:rPr>
          <w:rFonts w:ascii="Times New Roman" w:hAnsi="Times New Roman"/>
        </w:rPr>
        <w:t>两水尾间，</w:t>
      </w:r>
      <w:hyperlink r:id="rId36" w:tgtFrame="_blank" w:history="1">
        <w:r>
          <w:rPr>
            <w:rFonts w:ascii="Times New Roman" w:hAnsi="Times New Roman"/>
          </w:rPr>
          <w:t>洞庭湖</w:t>
        </w:r>
      </w:hyperlink>
      <w:r>
        <w:rPr>
          <w:rFonts w:ascii="Times New Roman" w:hAnsi="Times New Roman"/>
        </w:rPr>
        <w:t>南岸，东经</w:t>
      </w:r>
      <w:r>
        <w:rPr>
          <w:rFonts w:ascii="Times New Roman" w:hAnsi="Times New Roman"/>
        </w:rPr>
        <w:t>112°30′20″</w:t>
      </w:r>
      <w:r>
        <w:rPr>
          <w:rFonts w:ascii="Times New Roman" w:hAnsi="Times New Roman"/>
        </w:rPr>
        <w:t>～</w:t>
      </w:r>
      <w:r>
        <w:rPr>
          <w:rFonts w:ascii="Times New Roman" w:hAnsi="Times New Roman"/>
        </w:rPr>
        <w:t>113°01′50″</w:t>
      </w:r>
      <w:r>
        <w:rPr>
          <w:rFonts w:ascii="Times New Roman" w:hAnsi="Times New Roman"/>
        </w:rPr>
        <w:t>、北纬</w:t>
      </w:r>
      <w:r>
        <w:rPr>
          <w:rFonts w:ascii="Times New Roman" w:hAnsi="Times New Roman"/>
        </w:rPr>
        <w:t>28°30′13″</w:t>
      </w:r>
      <w:r>
        <w:rPr>
          <w:rFonts w:ascii="Times New Roman" w:hAnsi="Times New Roman"/>
        </w:rPr>
        <w:t>～</w:t>
      </w:r>
      <w:r>
        <w:rPr>
          <w:rFonts w:ascii="Times New Roman" w:hAnsi="Times New Roman"/>
        </w:rPr>
        <w:t>29°03′02″ </w:t>
      </w:r>
      <w:r>
        <w:rPr>
          <w:rFonts w:ascii="Times New Roman" w:hAnsi="Times New Roman"/>
        </w:rPr>
        <w:t>，东邻</w:t>
      </w:r>
      <w:hyperlink r:id="rId37" w:tgtFrame="_blank" w:history="1">
        <w:r>
          <w:rPr>
            <w:rFonts w:ascii="Times New Roman" w:hAnsi="Times New Roman"/>
          </w:rPr>
          <w:t>汨罗市</w:t>
        </w:r>
      </w:hyperlink>
      <w:r>
        <w:rPr>
          <w:rFonts w:ascii="Times New Roman" w:hAnsi="Times New Roman"/>
        </w:rPr>
        <w:t>、西接</w:t>
      </w:r>
      <w:hyperlink r:id="rId38" w:tgtFrame="_blank" w:history="1">
        <w:r>
          <w:rPr>
            <w:rFonts w:ascii="Times New Roman" w:hAnsi="Times New Roman"/>
          </w:rPr>
          <w:t>益阳市</w:t>
        </w:r>
      </w:hyperlink>
      <w:r>
        <w:rPr>
          <w:rFonts w:ascii="Times New Roman" w:hAnsi="Times New Roman"/>
        </w:rPr>
        <w:t>，南界长沙市</w:t>
      </w:r>
      <w:hyperlink r:id="rId39" w:tgtFrame="_blank" w:history="1">
        <w:r>
          <w:rPr>
            <w:rFonts w:ascii="Times New Roman" w:hAnsi="Times New Roman"/>
          </w:rPr>
          <w:t>望城区</w:t>
        </w:r>
      </w:hyperlink>
      <w:r>
        <w:rPr>
          <w:rFonts w:ascii="Times New Roman" w:hAnsi="Times New Roman"/>
        </w:rPr>
        <w:t>，北抵</w:t>
      </w:r>
      <w:hyperlink r:id="rId40" w:tgtFrame="_blank" w:history="1">
        <w:r>
          <w:rPr>
            <w:rFonts w:ascii="Times New Roman" w:hAnsi="Times New Roman"/>
          </w:rPr>
          <w:t>沅江市</w:t>
        </w:r>
      </w:hyperlink>
      <w:r>
        <w:rPr>
          <w:rFonts w:ascii="Times New Roman" w:hAnsi="Times New Roman"/>
        </w:rPr>
        <w:t>、</w:t>
      </w:r>
      <w:hyperlink r:id="rId41" w:tgtFrame="_blank" w:history="1">
        <w:r>
          <w:rPr>
            <w:rFonts w:ascii="Times New Roman" w:hAnsi="Times New Roman"/>
          </w:rPr>
          <w:t>屈原管理区</w:t>
        </w:r>
      </w:hyperlink>
      <w:r>
        <w:rPr>
          <w:rFonts w:ascii="Times New Roman" w:hAnsi="Times New Roman"/>
        </w:rPr>
        <w:t>，南北长</w:t>
      </w:r>
      <w:r>
        <w:rPr>
          <w:rFonts w:ascii="Times New Roman" w:hAnsi="Times New Roman"/>
        </w:rPr>
        <w:t>61</w:t>
      </w:r>
      <w:r>
        <w:rPr>
          <w:rFonts w:ascii="Times New Roman" w:hAnsi="Times New Roman"/>
        </w:rPr>
        <w:t>公里，东西宽</w:t>
      </w:r>
      <w:r>
        <w:rPr>
          <w:rFonts w:ascii="Times New Roman" w:hAnsi="Times New Roman"/>
        </w:rPr>
        <w:t>51.3</w:t>
      </w:r>
      <w:r>
        <w:rPr>
          <w:rFonts w:ascii="Times New Roman" w:hAnsi="Times New Roman"/>
        </w:rPr>
        <w:t>公里，面积</w:t>
      </w:r>
      <w:r>
        <w:rPr>
          <w:rFonts w:ascii="Times New Roman" w:hAnsi="Times New Roman"/>
        </w:rPr>
        <w:t>1581.5</w:t>
      </w:r>
      <w:r>
        <w:rPr>
          <w:rFonts w:ascii="Times New Roman" w:hAnsi="Times New Roman"/>
        </w:rPr>
        <w:t>平方公里，约占岳阳市总面积的</w:t>
      </w:r>
      <w:r>
        <w:rPr>
          <w:rFonts w:ascii="Times New Roman" w:hAnsi="Times New Roman"/>
        </w:rPr>
        <w:t>10.5%</w:t>
      </w:r>
      <w:r>
        <w:rPr>
          <w:rFonts w:ascii="Times New Roman" w:hAnsi="Times New Roman"/>
        </w:rPr>
        <w:t>、湖南省总面积的</w:t>
      </w:r>
      <w:r>
        <w:rPr>
          <w:rFonts w:ascii="Times New Roman" w:hAnsi="Times New Roman"/>
        </w:rPr>
        <w:t>0.75%</w:t>
      </w:r>
      <w:r>
        <w:rPr>
          <w:rFonts w:ascii="Times New Roman" w:hAnsi="Times New Roman"/>
        </w:rPr>
        <w:t>。</w:t>
      </w:r>
    </w:p>
    <w:p w:rsidR="004B4777" w:rsidRDefault="004B4777">
      <w:pPr>
        <w:ind w:firstLine="480"/>
        <w:rPr>
          <w:rFonts w:ascii="Times New Roman" w:hAnsi="Times New Roman"/>
        </w:rPr>
      </w:pPr>
      <w:r>
        <w:rPr>
          <w:rFonts w:ascii="Times New Roman" w:hAnsi="Times New Roman"/>
        </w:rPr>
        <w:t>洞庭湖位于东经</w:t>
      </w:r>
      <w:r>
        <w:rPr>
          <w:rFonts w:ascii="Times New Roman" w:hAnsi="Times New Roman"/>
        </w:rPr>
        <w:t>111°14′</w:t>
      </w:r>
      <w:r>
        <w:rPr>
          <w:rFonts w:ascii="Times New Roman" w:hAnsi="Times New Roman"/>
        </w:rPr>
        <w:t>～</w:t>
      </w:r>
      <w:r>
        <w:rPr>
          <w:rFonts w:ascii="Times New Roman" w:hAnsi="Times New Roman"/>
        </w:rPr>
        <w:t>113°10′</w:t>
      </w:r>
      <w:r>
        <w:rPr>
          <w:rFonts w:ascii="Times New Roman" w:hAnsi="Times New Roman"/>
        </w:rPr>
        <w:t>，北纬</w:t>
      </w:r>
      <w:r>
        <w:rPr>
          <w:rFonts w:ascii="Times New Roman" w:hAnsi="Times New Roman"/>
        </w:rPr>
        <w:t>28°30′</w:t>
      </w:r>
      <w:r>
        <w:rPr>
          <w:rFonts w:ascii="Times New Roman" w:hAnsi="Times New Roman"/>
        </w:rPr>
        <w:t>～</w:t>
      </w:r>
      <w:r>
        <w:rPr>
          <w:rFonts w:ascii="Times New Roman" w:hAnsi="Times New Roman"/>
        </w:rPr>
        <w:t>30°23′</w:t>
      </w:r>
      <w:r>
        <w:rPr>
          <w:rFonts w:ascii="Times New Roman" w:hAnsi="Times New Roman"/>
        </w:rPr>
        <w:t>，处于长江中游荆江南岸，跨岳阳、汩罗、湘阴、望城、益阳、沅江、汉寿、常德、津市、安乡和南县等县市。洞庭湖北纳长江的松滋、太平、藕池、调弦四口来水，南和西接湘、资、沅、澧四水及汨罗江等小支流，由岳阳市城陵矶注入长江。</w:t>
      </w:r>
    </w:p>
    <w:p w:rsidR="004B4777" w:rsidRDefault="004B4777">
      <w:pPr>
        <w:ind w:firstLine="480"/>
        <w:rPr>
          <w:rFonts w:ascii="Times New Roman" w:hAnsi="Times New Roman"/>
        </w:rPr>
      </w:pPr>
      <w:r>
        <w:rPr>
          <w:rFonts w:ascii="Times New Roman" w:hAnsi="Times New Roman" w:hint="eastAsia"/>
        </w:rPr>
        <w:t>斗米咀采区位于湘阴县湘水西支出口，易婆塘采区位于湘阴县资水北支易婆塘外洲。</w:t>
      </w:r>
      <w:r>
        <w:rPr>
          <w:rFonts w:ascii="Times New Roman" w:hAnsi="Times New Roman"/>
        </w:rPr>
        <w:t>项目地理位置详见附图一。</w:t>
      </w:r>
    </w:p>
    <w:p w:rsidR="004B4777" w:rsidRDefault="004B4777">
      <w:pPr>
        <w:pStyle w:val="3"/>
        <w:spacing w:before="0" w:after="0"/>
        <w:rPr>
          <w:rFonts w:ascii="Times New Roman" w:eastAsia="宋体" w:hAnsi="Times New Roman"/>
          <w:b/>
        </w:rPr>
      </w:pPr>
      <w:r>
        <w:rPr>
          <w:rFonts w:ascii="Times New Roman" w:eastAsia="宋体" w:hAnsi="Times New Roman"/>
          <w:b/>
        </w:rPr>
        <w:t xml:space="preserve">5.1.2 </w:t>
      </w:r>
      <w:r>
        <w:rPr>
          <w:rFonts w:ascii="Times New Roman" w:eastAsia="宋体" w:hAnsi="Times New Roman"/>
          <w:b/>
        </w:rPr>
        <w:t>自然环境概况</w:t>
      </w:r>
    </w:p>
    <w:p w:rsidR="004B4777" w:rsidRDefault="004B4777">
      <w:pPr>
        <w:pStyle w:val="4"/>
        <w:spacing w:before="0" w:after="0"/>
        <w:rPr>
          <w:rFonts w:ascii="Times New Roman" w:eastAsia="宋体" w:hAnsi="Times New Roman"/>
          <w:b/>
        </w:rPr>
      </w:pPr>
      <w:r>
        <w:rPr>
          <w:rFonts w:ascii="Times New Roman" w:eastAsia="宋体" w:hAnsi="Times New Roman"/>
          <w:b/>
        </w:rPr>
        <w:t xml:space="preserve">5.1.2.1 </w:t>
      </w:r>
      <w:r>
        <w:rPr>
          <w:rFonts w:ascii="Times New Roman" w:eastAsia="宋体" w:hAnsi="Times New Roman"/>
          <w:b/>
        </w:rPr>
        <w:t>地形地貌</w:t>
      </w:r>
    </w:p>
    <w:p w:rsidR="004B4777" w:rsidRDefault="004B4777">
      <w:pPr>
        <w:pStyle w:val="aff5"/>
        <w:ind w:firstLine="480"/>
        <w:rPr>
          <w:rFonts w:hint="eastAsia"/>
          <w:color w:val="auto"/>
          <w:szCs w:val="22"/>
        </w:rPr>
      </w:pPr>
      <w:r>
        <w:rPr>
          <w:rFonts w:hint="eastAsia"/>
        </w:rPr>
        <w:t>岳阳市境内地貌多种多样，丘岗与盆地相间、平原与湖泊交错。境内地势东高西低，呈阶梯状向洞庭湖盆地倾斜。全市两面环山，自东南向西北倾斜，东南为山丘区，西北为洞庭</w:t>
      </w:r>
      <w:r>
        <w:rPr>
          <w:rFonts w:hint="eastAsia"/>
          <w:color w:val="auto"/>
          <w:szCs w:val="22"/>
        </w:rPr>
        <w:t>湖平原，中部为过渡性环湖浅丘地带。</w:t>
      </w:r>
    </w:p>
    <w:p w:rsidR="004B4777" w:rsidRDefault="004B4777">
      <w:pPr>
        <w:ind w:firstLine="480"/>
        <w:rPr>
          <w:rFonts w:ascii="Times New Roman" w:hAnsi="Times New Roman" w:hint="eastAsia"/>
        </w:rPr>
      </w:pPr>
      <w:r>
        <w:rPr>
          <w:rFonts w:ascii="Times New Roman" w:hAnsi="Times New Roman"/>
        </w:rPr>
        <w:t>湘阴县地块属新华夏构造体系的第二隆地带，地貌呈低山、岗地、平原三种形态，</w:t>
      </w:r>
      <w:r>
        <w:rPr>
          <w:rFonts w:ascii="Times New Roman" w:hAnsi="Times New Roman"/>
        </w:rPr>
        <w:lastRenderedPageBreak/>
        <w:t>具有三大特征：</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地势东南高，西北低</w:t>
      </w:r>
    </w:p>
    <w:p w:rsidR="004B4777" w:rsidRDefault="004B4777">
      <w:pPr>
        <w:ind w:firstLine="480"/>
        <w:rPr>
          <w:rFonts w:ascii="Times New Roman" w:hAnsi="Times New Roman"/>
        </w:rPr>
      </w:pPr>
      <w:r>
        <w:rPr>
          <w:rFonts w:ascii="Times New Roman" w:hAnsi="Times New Roman"/>
        </w:rPr>
        <w:t>湘阴县位居</w:t>
      </w:r>
      <w:hyperlink r:id="rId42" w:tgtFrame="_blank" w:history="1">
        <w:r>
          <w:rPr>
            <w:rFonts w:ascii="Times New Roman" w:hAnsi="Times New Roman"/>
          </w:rPr>
          <w:t>幕阜山</w:t>
        </w:r>
      </w:hyperlink>
      <w:r>
        <w:rPr>
          <w:rFonts w:ascii="Times New Roman" w:hAnsi="Times New Roman"/>
        </w:rPr>
        <w:t>余脉走向洞庭湖凹陷处的过渡带上，地势自东南向西北递降，形成一个微向洞庭湖盆中心的倾斜面。最高处青山庵，海拔</w:t>
      </w:r>
      <w:r>
        <w:rPr>
          <w:rFonts w:ascii="Times New Roman" w:hAnsi="Times New Roman"/>
        </w:rPr>
        <w:t>552.4</w:t>
      </w:r>
      <w:r>
        <w:rPr>
          <w:rFonts w:ascii="Times New Roman" w:hAnsi="Times New Roman"/>
        </w:rPr>
        <w:t>米，最低处濠河口河底，低于黄海水平面</w:t>
      </w:r>
      <w:r>
        <w:rPr>
          <w:rFonts w:ascii="Times New Roman" w:hAnsi="Times New Roman"/>
        </w:rPr>
        <w:t>4.3</w:t>
      </w:r>
      <w:r>
        <w:rPr>
          <w:rFonts w:ascii="Times New Roman" w:hAnsi="Times New Roman"/>
        </w:rPr>
        <w:t>米。</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以滨湖平原为主体，呈块状分布</w:t>
      </w:r>
    </w:p>
    <w:p w:rsidR="004B4777" w:rsidRDefault="004B4777">
      <w:pPr>
        <w:ind w:firstLine="480"/>
        <w:rPr>
          <w:rFonts w:ascii="Times New Roman" w:hAnsi="Times New Roman" w:hint="eastAsia"/>
        </w:rPr>
      </w:pPr>
      <w:r>
        <w:rPr>
          <w:rFonts w:ascii="Times New Roman" w:hAnsi="Times New Roman"/>
        </w:rPr>
        <w:t>湘阴县地处湘江大断裂带，构成低山、岗地；西盘下切，形成滨湖平原。除去江河湖泊及其它水面，滨湖、江河、溪谷</w:t>
      </w:r>
      <w:r>
        <w:rPr>
          <w:rFonts w:ascii="Times New Roman" w:hAnsi="Times New Roman"/>
        </w:rPr>
        <w:t>3</w:t>
      </w:r>
      <w:r>
        <w:rPr>
          <w:rFonts w:ascii="Times New Roman" w:hAnsi="Times New Roman"/>
        </w:rPr>
        <w:t>种平原共</w:t>
      </w:r>
      <w:r>
        <w:rPr>
          <w:rFonts w:ascii="Times New Roman" w:hAnsi="Times New Roman"/>
        </w:rPr>
        <w:t>702.11</w:t>
      </w:r>
      <w:r>
        <w:rPr>
          <w:rFonts w:ascii="Times New Roman" w:hAnsi="Times New Roman"/>
        </w:rPr>
        <w:t>平方公里，占湘阴县总面积的</w:t>
      </w:r>
      <w:r>
        <w:rPr>
          <w:rFonts w:ascii="Times New Roman" w:hAnsi="Times New Roman"/>
        </w:rPr>
        <w:t>44.4%</w:t>
      </w:r>
      <w:r>
        <w:rPr>
          <w:rFonts w:ascii="Times New Roman" w:hAnsi="Times New Roman"/>
        </w:rPr>
        <w:t>，岗地占</w:t>
      </w:r>
      <w:r>
        <w:rPr>
          <w:rFonts w:ascii="Times New Roman" w:hAnsi="Times New Roman"/>
        </w:rPr>
        <w:t>13.59%</w:t>
      </w:r>
      <w:r>
        <w:rPr>
          <w:rFonts w:ascii="Times New Roman" w:hAnsi="Times New Roman"/>
        </w:rPr>
        <w:t>，低山占</w:t>
      </w:r>
      <w:r>
        <w:rPr>
          <w:rFonts w:ascii="Times New Roman" w:hAnsi="Times New Roman"/>
        </w:rPr>
        <w:t>1.51%</w:t>
      </w:r>
      <w:r>
        <w:rPr>
          <w:rFonts w:ascii="Times New Roman" w:hAnsi="Times New Roman"/>
        </w:rPr>
        <w:t>。</w:t>
      </w:r>
    </w:p>
    <w:p w:rsidR="004B4777" w:rsidRDefault="004B4777">
      <w:pPr>
        <w:ind w:firstLine="480"/>
        <w:rPr>
          <w:rFonts w:ascii="Times New Roman" w:hAnsi="Times New Roman" w:hint="eastAsia"/>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rPr>
        <w:t>河湖交汇，水域广阔</w:t>
      </w:r>
    </w:p>
    <w:p w:rsidR="004B4777" w:rsidRDefault="004B4777">
      <w:pPr>
        <w:ind w:firstLine="480"/>
        <w:rPr>
          <w:rFonts w:ascii="Times New Roman" w:hAnsi="Times New Roman" w:hint="eastAsia"/>
        </w:rPr>
      </w:pPr>
      <w:r>
        <w:rPr>
          <w:rFonts w:ascii="Times New Roman" w:hAnsi="Times New Roman"/>
        </w:rPr>
        <w:t>湘阴县的山岗地区水系发育不良，北部平原、湖洲地区河湖交汇。</w:t>
      </w:r>
    </w:p>
    <w:p w:rsidR="004B4777" w:rsidRDefault="004B4777">
      <w:pPr>
        <w:pStyle w:val="4"/>
        <w:spacing w:before="0" w:after="0"/>
        <w:rPr>
          <w:rFonts w:ascii="Times New Roman" w:eastAsia="宋体" w:hAnsi="Times New Roman"/>
          <w:b/>
        </w:rPr>
      </w:pPr>
      <w:r>
        <w:rPr>
          <w:rFonts w:ascii="Times New Roman" w:eastAsia="宋体" w:hAnsi="Times New Roman"/>
          <w:b/>
        </w:rPr>
        <w:t xml:space="preserve">5.1.2.2 </w:t>
      </w:r>
      <w:r>
        <w:rPr>
          <w:rFonts w:ascii="Times New Roman" w:eastAsia="宋体" w:hAnsi="Times New Roman"/>
          <w:b/>
        </w:rPr>
        <w:t>地质概况</w:t>
      </w:r>
    </w:p>
    <w:p w:rsidR="004B4777" w:rsidRDefault="004B4777">
      <w:pPr>
        <w:ind w:firstLine="480"/>
        <w:rPr>
          <w:rFonts w:ascii="Times New Roman" w:hAnsi="Times New Roman" w:hint="eastAsia"/>
        </w:rPr>
      </w:pPr>
      <w:r>
        <w:rPr>
          <w:rFonts w:ascii="Times New Roman" w:hAnsi="Times New Roman" w:hint="eastAsia"/>
        </w:rPr>
        <w:t>岳阳市境内地质构造处于湘东北新华系构造带上。地壳相对比较稳定。土壤组成有水稻土、紫色土、潮土、红壤、山地黄壤、山地黄棕壤、山地草甸土七个类型。</w:t>
      </w:r>
    </w:p>
    <w:p w:rsidR="004B4777" w:rsidRDefault="004B4777">
      <w:pPr>
        <w:ind w:firstLine="480"/>
        <w:rPr>
          <w:rFonts w:ascii="Times New Roman" w:hAnsi="Times New Roman" w:hint="eastAsia"/>
        </w:rPr>
      </w:pPr>
      <w:r>
        <w:rPr>
          <w:rFonts w:ascii="Times New Roman" w:hAnsi="Times New Roman" w:hint="eastAsia"/>
        </w:rPr>
        <w:t>由板页岩风化形成的红壤，主要分布于连云山脉、复兴山脉、药姑山脉和智丰山脉一带。由花岗岩所形成的红壤，主要分布于幕山脉大云山脉玉池山脉一带。由紫色砂页岩风化形成的紫色土分布于长（寿）平（江）盆地和湘阴至桃林盆地一带，在沿湖浅丘地带均有出露。由第四纪形成的红壤集中分布于中部丘岗地区和汨罗江、新强河的各级阶地。由各类岩石风化的堆积物和坡积物所形成的水稻土，主要分布于洞庭湖区和长江的滨湖平原及各级河流的河谷滩地。由河流冲积物所形成的潮土主要分布于洞庭湖平原、长江、汨罗江河槽滩地及湘、资两水汇合处。全市土壤划分为三个改良区：①洞庭湖平原水稻土～潮土排渍治涝区。②环湖丘岗水稻土～红壤改土培肥区。③东南部中低山区封山育林、水土保持区。</w:t>
      </w:r>
    </w:p>
    <w:p w:rsidR="004B4777" w:rsidRDefault="004B4777">
      <w:pPr>
        <w:pStyle w:val="4"/>
        <w:spacing w:before="0" w:after="0"/>
        <w:rPr>
          <w:rFonts w:ascii="Times New Roman" w:eastAsia="宋体" w:hAnsi="Times New Roman" w:hint="eastAsia"/>
          <w:b/>
        </w:rPr>
      </w:pPr>
      <w:r>
        <w:rPr>
          <w:rFonts w:ascii="Times New Roman" w:eastAsia="宋体" w:hAnsi="Times New Roman"/>
          <w:b/>
        </w:rPr>
        <w:t>5.1.2.</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b/>
        </w:rPr>
        <w:t>水</w:t>
      </w:r>
      <w:r>
        <w:rPr>
          <w:rFonts w:ascii="Times New Roman" w:eastAsia="宋体" w:hAnsi="Times New Roman" w:hint="eastAsia"/>
          <w:b/>
        </w:rPr>
        <w:t>文特征</w:t>
      </w:r>
    </w:p>
    <w:p w:rsidR="004B4777" w:rsidRDefault="004B4777">
      <w:pPr>
        <w:ind w:firstLine="480"/>
        <w:rPr>
          <w:rFonts w:ascii="Times New Roman" w:hAnsi="Times New Roman" w:hint="eastAsia"/>
          <w:b/>
          <w:szCs w:val="24"/>
        </w:rPr>
      </w:pPr>
      <w:r>
        <w:rPr>
          <w:rFonts w:ascii="Times New Roman" w:hAnsi="Times New Roman" w:hint="eastAsia"/>
        </w:rPr>
        <w:t>岳阳市河流主要属长江流域洞庭湖水系，主要河流多源于我省东、南、西边境的山地；湘、资两大水系由南向北流入洞庭湖；沅水自西南向东北，澧水自西向东、新墙河和汨罗江自东向西分别注入洞庭湖。长江向洞庭湖分流的三口，自北向南泄入洞庭湖。</w:t>
      </w:r>
      <w:r>
        <w:rPr>
          <w:rFonts w:ascii="Times New Roman" w:hAnsi="Times New Roman" w:hint="eastAsia"/>
        </w:rPr>
        <w:lastRenderedPageBreak/>
        <w:t>洞庭湖接纳“三口”、“四水”及汨罗江、新墙河来水</w:t>
      </w:r>
      <w:r>
        <w:rPr>
          <w:rFonts w:ascii="Times New Roman" w:hAnsi="Times New Roman"/>
        </w:rPr>
        <w:t>(</w:t>
      </w:r>
      <w:r>
        <w:rPr>
          <w:rFonts w:ascii="Times New Roman" w:hAnsi="Times New Roman" w:hint="eastAsia"/>
        </w:rPr>
        <w:t>俗称九龙闹洞庭</w:t>
      </w:r>
      <w:r>
        <w:rPr>
          <w:rFonts w:ascii="Times New Roman" w:hAnsi="Times New Roman"/>
        </w:rPr>
        <w:t>)</w:t>
      </w:r>
      <w:r>
        <w:rPr>
          <w:rFonts w:ascii="Times New Roman" w:hAnsi="Times New Roman" w:hint="eastAsia"/>
        </w:rPr>
        <w:t>，于城陵矶汇入长江，形成以洞庭湖为中心的辐射状水系。</w:t>
      </w:r>
      <w:r>
        <w:rPr>
          <w:rFonts w:ascii="Times New Roman" w:hAnsi="Times New Roman" w:cs="Arial"/>
          <w:szCs w:val="24"/>
          <w:shd w:val="clear" w:color="auto" w:fill="FFFFFF"/>
        </w:rPr>
        <w:t>湘阴县居</w:t>
      </w:r>
      <w:hyperlink r:id="rId43" w:tgtFrame="_blank" w:history="1">
        <w:r>
          <w:rPr>
            <w:rStyle w:val="a9"/>
            <w:rFonts w:ascii="Times New Roman" w:hAnsi="Times New Roman" w:cs="Arial"/>
            <w:color w:val="auto"/>
            <w:szCs w:val="24"/>
            <w:u w:val="none"/>
            <w:shd w:val="clear" w:color="auto" w:fill="FFFFFF"/>
          </w:rPr>
          <w:t>湘江</w:t>
        </w:r>
      </w:hyperlink>
      <w:r>
        <w:rPr>
          <w:rFonts w:ascii="Times New Roman" w:hAnsi="Times New Roman" w:cs="Arial"/>
          <w:szCs w:val="24"/>
          <w:shd w:val="clear" w:color="auto" w:fill="FFFFFF"/>
        </w:rPr>
        <w:t>、</w:t>
      </w:r>
      <w:hyperlink r:id="rId44" w:tgtFrame="_blank" w:history="1">
        <w:r>
          <w:rPr>
            <w:rStyle w:val="a9"/>
            <w:rFonts w:ascii="Times New Roman" w:hAnsi="Times New Roman" w:cs="Arial"/>
            <w:color w:val="auto"/>
            <w:szCs w:val="24"/>
            <w:u w:val="none"/>
            <w:shd w:val="clear" w:color="auto" w:fill="FFFFFF"/>
          </w:rPr>
          <w:t>资江</w:t>
        </w:r>
      </w:hyperlink>
      <w:r>
        <w:rPr>
          <w:rFonts w:ascii="Times New Roman" w:hAnsi="Times New Roman" w:cs="Arial"/>
          <w:szCs w:val="24"/>
          <w:shd w:val="clear" w:color="auto" w:fill="FFFFFF"/>
        </w:rPr>
        <w:t>两水尾间，</w:t>
      </w:r>
      <w:hyperlink r:id="rId45" w:tgtFrame="_blank" w:history="1">
        <w:r>
          <w:rPr>
            <w:rStyle w:val="a9"/>
            <w:rFonts w:ascii="Times New Roman" w:hAnsi="Times New Roman" w:cs="Arial"/>
            <w:color w:val="auto"/>
            <w:szCs w:val="24"/>
            <w:u w:val="none"/>
            <w:shd w:val="clear" w:color="auto" w:fill="FFFFFF"/>
          </w:rPr>
          <w:t>洞庭湖</w:t>
        </w:r>
      </w:hyperlink>
      <w:r>
        <w:rPr>
          <w:rFonts w:ascii="Times New Roman" w:hAnsi="Times New Roman" w:cs="Arial"/>
          <w:szCs w:val="24"/>
          <w:shd w:val="clear" w:color="auto" w:fill="FFFFFF"/>
        </w:rPr>
        <w:t>南岸</w:t>
      </w:r>
      <w:r>
        <w:rPr>
          <w:rFonts w:ascii="Times New Roman" w:hAnsi="Times New Roman" w:cs="Arial" w:hint="eastAsia"/>
          <w:szCs w:val="24"/>
          <w:shd w:val="clear" w:color="auto" w:fill="FFFFFF"/>
        </w:rPr>
        <w:t>。</w:t>
      </w:r>
    </w:p>
    <w:p w:rsidR="004B4777" w:rsidRDefault="004B4777">
      <w:pPr>
        <w:ind w:firstLine="480"/>
        <w:rPr>
          <w:rFonts w:ascii="Times New Roman" w:hAnsi="Times New Roman" w:hint="eastAsia"/>
        </w:rPr>
      </w:pPr>
      <w:r>
        <w:rPr>
          <w:rFonts w:ascii="Times New Roman" w:hAnsi="Times New Roman" w:hint="eastAsia"/>
        </w:rPr>
        <w:t>南洞庭湖接纳西洞庭湖与湘、资二水及长江从藕池口分流的大部分来水。一部分水量经草尾河注入东洞庭湖，大部分水量在磊石山注入东洞庭湖。当湖内水位很高时，则有部分水量经藕池河（西、中支）流入藕池河（北支）注入东洞庭湖。湖泊自西向东横贯区域中部，由东南湖、万子湖、横岭湖、黑泥湖、荷叶湖等大小不等的湖群组成。</w:t>
      </w:r>
    </w:p>
    <w:p w:rsidR="004B4777" w:rsidRDefault="004B4777">
      <w:pPr>
        <w:ind w:firstLine="480"/>
        <w:rPr>
          <w:rFonts w:ascii="Times New Roman" w:hAnsi="Times New Roman"/>
        </w:rPr>
      </w:pPr>
      <w:r>
        <w:rPr>
          <w:rFonts w:ascii="Times New Roman" w:hAnsi="Times New Roman" w:hint="eastAsia"/>
        </w:rPr>
        <w:t>洞庭湖水系由面积</w:t>
      </w:r>
      <w:r>
        <w:rPr>
          <w:rFonts w:ascii="Times New Roman" w:hAnsi="Times New Roman" w:hint="eastAsia"/>
        </w:rPr>
        <w:t>2625</w:t>
      </w:r>
      <w:r>
        <w:rPr>
          <w:rFonts w:ascii="Times New Roman" w:hAnsi="Times New Roman" w:hint="eastAsia"/>
        </w:rPr>
        <w:t>平方公里的洞庭湖和入湖的湘江、资水、沅江、澧水</w:t>
      </w:r>
      <w:r>
        <w:rPr>
          <w:rFonts w:ascii="Times New Roman" w:hAnsi="Times New Roman" w:hint="eastAsia"/>
        </w:rPr>
        <w:t>4</w:t>
      </w:r>
      <w:r>
        <w:rPr>
          <w:rFonts w:ascii="Times New Roman" w:hAnsi="Times New Roman" w:hint="eastAsia"/>
        </w:rPr>
        <w:t>条河流和直接入湖的汨罗江、新墙河等中小河流组成。水系来水经湖南省城陵矶注入长江。流域面积</w:t>
      </w:r>
      <w:r>
        <w:rPr>
          <w:rFonts w:ascii="Times New Roman" w:hAnsi="Times New Roman" w:hint="eastAsia"/>
        </w:rPr>
        <w:t>26.3</w:t>
      </w:r>
      <w:r>
        <w:rPr>
          <w:rFonts w:ascii="Times New Roman" w:hAnsi="Times New Roman" w:hint="eastAsia"/>
        </w:rPr>
        <w:t>万平方公里，占长江流域总面积的</w:t>
      </w:r>
      <w:r>
        <w:rPr>
          <w:rFonts w:ascii="Times New Roman" w:hAnsi="Times New Roman" w:hint="eastAsia"/>
        </w:rPr>
        <w:t>14.6%</w:t>
      </w:r>
      <w:r>
        <w:rPr>
          <w:rFonts w:ascii="Times New Roman" w:hAnsi="Times New Roman" w:hint="eastAsia"/>
        </w:rPr>
        <w:t>。其中：湖南省境</w:t>
      </w:r>
      <w:r>
        <w:rPr>
          <w:rFonts w:ascii="Times New Roman" w:hAnsi="Times New Roman" w:hint="eastAsia"/>
        </w:rPr>
        <w:t>20.48</w:t>
      </w:r>
      <w:r>
        <w:rPr>
          <w:rFonts w:ascii="Times New Roman" w:hAnsi="Times New Roman" w:hint="eastAsia"/>
        </w:rPr>
        <w:t>万平方公里，占</w:t>
      </w:r>
      <w:r>
        <w:rPr>
          <w:rFonts w:ascii="Times New Roman" w:hAnsi="Times New Roman" w:hint="eastAsia"/>
        </w:rPr>
        <w:t>78%</w:t>
      </w:r>
      <w:r>
        <w:rPr>
          <w:rFonts w:ascii="Times New Roman" w:hAnsi="Times New Roman" w:hint="eastAsia"/>
        </w:rPr>
        <w:t>；贵州省境</w:t>
      </w:r>
      <w:r>
        <w:rPr>
          <w:rFonts w:ascii="Times New Roman" w:hAnsi="Times New Roman" w:hint="eastAsia"/>
        </w:rPr>
        <w:t>3.04</w:t>
      </w:r>
      <w:r>
        <w:rPr>
          <w:rFonts w:ascii="Times New Roman" w:hAnsi="Times New Roman" w:hint="eastAsia"/>
        </w:rPr>
        <w:t>万平方公里，占</w:t>
      </w:r>
      <w:r>
        <w:rPr>
          <w:rFonts w:ascii="Times New Roman" w:hAnsi="Times New Roman" w:hint="eastAsia"/>
        </w:rPr>
        <w:t>11.6%</w:t>
      </w:r>
      <w:r>
        <w:rPr>
          <w:rFonts w:ascii="Times New Roman" w:hAnsi="Times New Roman" w:hint="eastAsia"/>
        </w:rPr>
        <w:t>；其余</w:t>
      </w:r>
      <w:r>
        <w:rPr>
          <w:rFonts w:ascii="Times New Roman" w:hAnsi="Times New Roman" w:hint="eastAsia"/>
        </w:rPr>
        <w:t>10.4%</w:t>
      </w:r>
      <w:r>
        <w:rPr>
          <w:rFonts w:ascii="Times New Roman" w:hAnsi="Times New Roman" w:hint="eastAsia"/>
        </w:rPr>
        <w:t>属桂、川、鄂、赣、粤诸省（区）。洞庭湖水系指最终汇入洞庭湖的各水网系统，包括洞庭湖平原各河网水道和湘江、资江、澧水和沅江等长江一级支流。</w:t>
      </w:r>
    </w:p>
    <w:p w:rsidR="004B4777" w:rsidRDefault="004B4777">
      <w:pPr>
        <w:ind w:firstLine="480"/>
        <w:rPr>
          <w:rFonts w:ascii="Times New Roman" w:hAnsi="Times New Roman" w:hint="eastAsia"/>
        </w:rPr>
      </w:pPr>
      <w:r>
        <w:rPr>
          <w:rFonts w:ascii="Times New Roman" w:hAnsi="Times New Roman" w:hint="eastAsia"/>
        </w:rPr>
        <w:t>湘江，为湖南省流入洞庭湖的“四水”之一，发源于</w:t>
      </w:r>
      <w:r>
        <w:rPr>
          <w:rFonts w:ascii="Times New Roman" w:hAnsi="Times New Roman"/>
        </w:rPr>
        <w:t>永州市蓝山县紫良瑶族乡野狗岭</w:t>
      </w:r>
      <w:r>
        <w:rPr>
          <w:rFonts w:ascii="Times New Roman" w:hAnsi="Times New Roman" w:hint="eastAsia"/>
        </w:rPr>
        <w:t>。由长沙市望城区乔口入境内湘阴县沙田乡观音阁，经铁角嘴、窑头山、躲风亭、樟树港、弯河至濠河口，在濠河口分东、西两支。东支绕城西垸东面，经老闸口、三汉河、城关镇、黄猫滩、老鼠夹至芦林潭；西支绕城西垸西面，经东港、刘家坝、新泉寺、魏家湾至临资口与资水汇合，再经沅潭、杨雀潭、万家台、蛇口子至芦林潭，与东支汇合，至增挡进入岳阳县境，入洞庭湖。流经境内长</w:t>
      </w:r>
      <w:r>
        <w:rPr>
          <w:rFonts w:ascii="Times New Roman" w:hAnsi="Times New Roman" w:hint="eastAsia"/>
        </w:rPr>
        <w:t>106.8</w:t>
      </w:r>
      <w:r>
        <w:rPr>
          <w:rFonts w:ascii="Times New Roman" w:hAnsi="Times New Roman" w:hint="eastAsia"/>
        </w:rPr>
        <w:t>公里，其中濠河口以上干流</w:t>
      </w:r>
      <w:r>
        <w:rPr>
          <w:rFonts w:ascii="Times New Roman" w:hAnsi="Times New Roman" w:hint="eastAsia"/>
        </w:rPr>
        <w:t>16.6</w:t>
      </w:r>
      <w:r>
        <w:rPr>
          <w:rFonts w:ascii="Times New Roman" w:hAnsi="Times New Roman" w:hint="eastAsia"/>
        </w:rPr>
        <w:t>公里，东支</w:t>
      </w:r>
      <w:r>
        <w:rPr>
          <w:rFonts w:ascii="Times New Roman" w:hAnsi="Times New Roman" w:hint="eastAsia"/>
        </w:rPr>
        <w:t>22</w:t>
      </w:r>
      <w:r>
        <w:rPr>
          <w:rFonts w:ascii="Times New Roman" w:hAnsi="Times New Roman" w:hint="eastAsia"/>
        </w:rPr>
        <w:t>公里，西支</w:t>
      </w:r>
      <w:r>
        <w:rPr>
          <w:rFonts w:ascii="Times New Roman" w:hAnsi="Times New Roman" w:hint="eastAsia"/>
        </w:rPr>
        <w:t>33.7</w:t>
      </w:r>
      <w:r>
        <w:rPr>
          <w:rFonts w:ascii="Times New Roman" w:hAnsi="Times New Roman" w:hint="eastAsia"/>
        </w:rPr>
        <w:t>公里，芦林潭以下干流</w:t>
      </w:r>
      <w:r>
        <w:rPr>
          <w:rFonts w:ascii="Times New Roman" w:hAnsi="Times New Roman" w:hint="eastAsia"/>
        </w:rPr>
        <w:t>34.5</w:t>
      </w:r>
      <w:r>
        <w:rPr>
          <w:rFonts w:ascii="Times New Roman" w:hAnsi="Times New Roman" w:hint="eastAsia"/>
        </w:rPr>
        <w:t>公里。</w:t>
      </w:r>
    </w:p>
    <w:p w:rsidR="004B4777" w:rsidRDefault="004B4777">
      <w:pPr>
        <w:ind w:firstLine="480"/>
        <w:rPr>
          <w:rFonts w:ascii="Times New Roman" w:hAnsi="Times New Roman"/>
        </w:rPr>
      </w:pPr>
      <w:r>
        <w:rPr>
          <w:rFonts w:ascii="Times New Roman" w:hAnsi="Times New Roman" w:hint="eastAsia"/>
        </w:rPr>
        <w:t>湘江在湘阴县境内劈县境为东、西两部。干流自沙田乡观音阁入境，沿铁角嘴、窑头山、躲风亭、樟树港、湾河至濠河口后分东、西</w:t>
      </w:r>
      <w:r>
        <w:rPr>
          <w:rFonts w:ascii="Times New Roman" w:hAnsi="Times New Roman" w:hint="eastAsia"/>
        </w:rPr>
        <w:t>2</w:t>
      </w:r>
      <w:r>
        <w:rPr>
          <w:rFonts w:ascii="Times New Roman" w:hAnsi="Times New Roman" w:hint="eastAsia"/>
        </w:rPr>
        <w:t>条支流。东支绕城西垸东面，经老闸口、三汊河、城关镇、黄猫滩、老鼠夹至芦林潭；西支绕城西垸西面，经东港、刘家坝、新泉寺、魏家湾到临资口（旧名临泚口）与资水东支汇合，再经沅潭、杨雀潭、万家台、蛇口子至芦林潭、琴棋望至增挡进入岳阳县境，注入洞庭湖。流经湘阴县境</w:t>
      </w:r>
      <w:r>
        <w:rPr>
          <w:rFonts w:ascii="Times New Roman" w:hAnsi="Times New Roman" w:hint="eastAsia"/>
        </w:rPr>
        <w:t>7</w:t>
      </w:r>
      <w:r>
        <w:rPr>
          <w:rFonts w:ascii="Times New Roman" w:hAnsi="Times New Roman" w:hint="eastAsia"/>
        </w:rPr>
        <w:t>个区（镇）的</w:t>
      </w:r>
      <w:r>
        <w:rPr>
          <w:rFonts w:ascii="Times New Roman" w:hAnsi="Times New Roman" w:hint="eastAsia"/>
        </w:rPr>
        <w:t>1</w:t>
      </w:r>
      <w:r>
        <w:rPr>
          <w:rFonts w:ascii="Times New Roman" w:hAnsi="Times New Roman" w:hint="eastAsia"/>
        </w:rPr>
        <w:t>个乡（镇），全程</w:t>
      </w:r>
      <w:r>
        <w:rPr>
          <w:rFonts w:ascii="Times New Roman" w:hAnsi="Times New Roman" w:hint="eastAsia"/>
        </w:rPr>
        <w:t>106.8</w:t>
      </w:r>
      <w:r>
        <w:rPr>
          <w:rFonts w:ascii="Times New Roman" w:hAnsi="Times New Roman" w:hint="eastAsia"/>
        </w:rPr>
        <w:t>公里（濠河口以上干流</w:t>
      </w:r>
      <w:r>
        <w:rPr>
          <w:rFonts w:ascii="Times New Roman" w:hAnsi="Times New Roman" w:hint="eastAsia"/>
        </w:rPr>
        <w:t>16.6</w:t>
      </w:r>
      <w:r>
        <w:rPr>
          <w:rFonts w:ascii="Times New Roman" w:hAnsi="Times New Roman" w:hint="eastAsia"/>
        </w:rPr>
        <w:t>公里，东支</w:t>
      </w:r>
      <w:r>
        <w:rPr>
          <w:rFonts w:ascii="Times New Roman" w:hAnsi="Times New Roman" w:hint="eastAsia"/>
        </w:rPr>
        <w:t>22</w:t>
      </w:r>
      <w:r>
        <w:rPr>
          <w:rFonts w:ascii="Times New Roman" w:hAnsi="Times New Roman" w:hint="eastAsia"/>
        </w:rPr>
        <w:t>公里，西支</w:t>
      </w:r>
      <w:r>
        <w:rPr>
          <w:rFonts w:ascii="Times New Roman" w:hAnsi="Times New Roman" w:hint="eastAsia"/>
        </w:rPr>
        <w:t>33.7</w:t>
      </w:r>
      <w:r>
        <w:rPr>
          <w:rFonts w:ascii="Times New Roman" w:hAnsi="Times New Roman" w:hint="eastAsia"/>
        </w:rPr>
        <w:t>公里，芦林潭以下干流</w:t>
      </w:r>
      <w:r>
        <w:rPr>
          <w:rFonts w:ascii="Times New Roman" w:hAnsi="Times New Roman" w:hint="eastAsia"/>
        </w:rPr>
        <w:t>34.5</w:t>
      </w:r>
      <w:r>
        <w:rPr>
          <w:rFonts w:ascii="Times New Roman" w:hAnsi="Times New Roman" w:hint="eastAsia"/>
        </w:rPr>
        <w:t>公里）。常水（下同）河面最宽</w:t>
      </w:r>
      <w:r>
        <w:rPr>
          <w:rFonts w:ascii="Times New Roman" w:hAnsi="Times New Roman" w:hint="eastAsia"/>
        </w:rPr>
        <w:t>1460</w:t>
      </w:r>
      <w:r>
        <w:rPr>
          <w:rFonts w:ascii="Times New Roman" w:hAnsi="Times New Roman" w:hint="eastAsia"/>
        </w:rPr>
        <w:t>米在躲风亭；河面最窄处</w:t>
      </w:r>
      <w:r>
        <w:rPr>
          <w:rFonts w:ascii="Times New Roman" w:hAnsi="Times New Roman" w:hint="eastAsia"/>
        </w:rPr>
        <w:t>500</w:t>
      </w:r>
      <w:r>
        <w:rPr>
          <w:rFonts w:ascii="Times New Roman" w:hAnsi="Times New Roman" w:hint="eastAsia"/>
        </w:rPr>
        <w:t>米在濠河口西支入口地；城关水文站适中处河宽</w:t>
      </w:r>
      <w:r>
        <w:rPr>
          <w:rFonts w:ascii="Times New Roman" w:hAnsi="Times New Roman" w:hint="eastAsia"/>
        </w:rPr>
        <w:t>678</w:t>
      </w:r>
      <w:r>
        <w:rPr>
          <w:rFonts w:ascii="Times New Roman" w:hAnsi="Times New Roman" w:hint="eastAsia"/>
        </w:rPr>
        <w:t>米。河床高程，无</w:t>
      </w:r>
      <w:r>
        <w:rPr>
          <w:rFonts w:ascii="Times New Roman" w:hAnsi="Times New Roman" w:hint="eastAsia"/>
        </w:rPr>
        <w:lastRenderedPageBreak/>
        <w:t>一定坡降，随各处地理状况和水流冲刷程度而异，有的下高上低，也有中低两头高</w:t>
      </w:r>
      <w:r>
        <w:rPr>
          <w:rFonts w:ascii="Times New Roman" w:hAnsi="Times New Roman" w:hint="eastAsia"/>
        </w:rPr>
        <w:t>.</w:t>
      </w:r>
      <w:r>
        <w:rPr>
          <w:rFonts w:ascii="Times New Roman" w:hAnsi="Times New Roman" w:hint="eastAsia"/>
        </w:rPr>
        <w:t>如濠河口东支入口处，自</w:t>
      </w:r>
      <w:r>
        <w:rPr>
          <w:rFonts w:ascii="Times New Roman" w:hAnsi="Times New Roman" w:hint="eastAsia"/>
        </w:rPr>
        <w:t>1957</w:t>
      </w:r>
      <w:r>
        <w:rPr>
          <w:rFonts w:ascii="Times New Roman" w:hAnsi="Times New Roman" w:hint="eastAsia"/>
        </w:rPr>
        <w:t>－</w:t>
      </w:r>
      <w:r>
        <w:rPr>
          <w:rFonts w:ascii="Times New Roman" w:hAnsi="Times New Roman" w:hint="eastAsia"/>
        </w:rPr>
        <w:t>1982</w:t>
      </w:r>
      <w:r>
        <w:rPr>
          <w:rFonts w:ascii="Times New Roman" w:hAnsi="Times New Roman" w:hint="eastAsia"/>
        </w:rPr>
        <w:t>年，加深</w:t>
      </w:r>
      <w:r>
        <w:rPr>
          <w:rFonts w:ascii="Times New Roman" w:hAnsi="Times New Roman" w:hint="eastAsia"/>
        </w:rPr>
        <w:t>5.89</w:t>
      </w:r>
      <w:r>
        <w:rPr>
          <w:rFonts w:ascii="Times New Roman" w:hAnsi="Times New Roman" w:hint="eastAsia"/>
        </w:rPr>
        <w:t>米，高程负达</w:t>
      </w:r>
      <w:r>
        <w:rPr>
          <w:rFonts w:ascii="Times New Roman" w:hAnsi="Times New Roman" w:hint="eastAsia"/>
        </w:rPr>
        <w:t>2.5</w:t>
      </w:r>
      <w:r>
        <w:rPr>
          <w:rFonts w:ascii="Times New Roman" w:hAnsi="Times New Roman" w:hint="eastAsia"/>
        </w:rPr>
        <w:t>米；而其下游</w:t>
      </w:r>
      <w:r>
        <w:rPr>
          <w:rFonts w:ascii="Times New Roman" w:hAnsi="Times New Roman" w:hint="eastAsia"/>
        </w:rPr>
        <w:t>3.7</w:t>
      </w:r>
      <w:r>
        <w:rPr>
          <w:rFonts w:ascii="Times New Roman" w:hAnsi="Times New Roman" w:hint="eastAsia"/>
        </w:rPr>
        <w:t>公里处的熊家棚河床、</w:t>
      </w:r>
      <w:r>
        <w:rPr>
          <w:rFonts w:ascii="Times New Roman" w:hAnsi="Times New Roman" w:hint="eastAsia"/>
        </w:rPr>
        <w:t>12</w:t>
      </w:r>
      <w:r>
        <w:rPr>
          <w:rFonts w:ascii="Times New Roman" w:hAnsi="Times New Roman" w:hint="eastAsia"/>
        </w:rPr>
        <w:t>公里处的城关水文站河床，却分别高达</w:t>
      </w:r>
      <w:r>
        <w:rPr>
          <w:rFonts w:ascii="Times New Roman" w:hAnsi="Times New Roman" w:hint="eastAsia"/>
        </w:rPr>
        <w:t>4.41</w:t>
      </w:r>
      <w:r>
        <w:rPr>
          <w:rFonts w:ascii="Times New Roman" w:hAnsi="Times New Roman" w:hint="eastAsia"/>
        </w:rPr>
        <w:t>米和</w:t>
      </w:r>
      <w:r>
        <w:rPr>
          <w:rFonts w:ascii="Times New Roman" w:hAnsi="Times New Roman" w:hint="eastAsia"/>
        </w:rPr>
        <w:t>16.79</w:t>
      </w:r>
      <w:r>
        <w:rPr>
          <w:rFonts w:ascii="Times New Roman" w:hAnsi="Times New Roman" w:hint="eastAsia"/>
        </w:rPr>
        <w:t>米。</w:t>
      </w:r>
    </w:p>
    <w:p w:rsidR="004B4777" w:rsidRDefault="004B4777">
      <w:pPr>
        <w:ind w:firstLine="480"/>
        <w:rPr>
          <w:rFonts w:ascii="Times New Roman" w:hAnsi="Times New Roman" w:hint="eastAsia"/>
        </w:rPr>
      </w:pPr>
      <w:r>
        <w:rPr>
          <w:rFonts w:ascii="Times New Roman" w:hAnsi="Times New Roman" w:hint="eastAsia"/>
        </w:rPr>
        <w:t>资水，湖南“四水”之一。湘阴县境有干流和东支。于流自益阳市入湘阴县毛角口，沿南湖、洞庭区西面，经泉水村、黄口潭、赛头口、易婆塘至杨柳潭注入南洞庭湖；东支自毛角口向东，沿新泉区西面，经焦潭湾、西林港、南湖洲、关公潭、白马寺、和平闸至临资口注入湘江。湘阴段长</w:t>
      </w:r>
      <w:r>
        <w:rPr>
          <w:rFonts w:ascii="Times New Roman" w:hAnsi="Times New Roman" w:hint="eastAsia"/>
        </w:rPr>
        <w:t>57.0</w:t>
      </w:r>
      <w:r>
        <w:rPr>
          <w:rFonts w:ascii="Times New Roman" w:hAnsi="Times New Roman" w:hint="eastAsia"/>
        </w:rPr>
        <w:t>公里，其中干流</w:t>
      </w:r>
      <w:r>
        <w:rPr>
          <w:rFonts w:ascii="Times New Roman" w:hAnsi="Times New Roman" w:hint="eastAsia"/>
        </w:rPr>
        <w:t>21.4</w:t>
      </w:r>
      <w:r>
        <w:rPr>
          <w:rFonts w:ascii="Times New Roman" w:hAnsi="Times New Roman" w:hint="eastAsia"/>
        </w:rPr>
        <w:t>公里，东支</w:t>
      </w:r>
      <w:r>
        <w:rPr>
          <w:rFonts w:ascii="Times New Roman" w:hAnsi="Times New Roman" w:hint="eastAsia"/>
        </w:rPr>
        <w:t>35.6</w:t>
      </w:r>
      <w:r>
        <w:rPr>
          <w:rFonts w:ascii="Times New Roman" w:hAnsi="Times New Roman" w:hint="eastAsia"/>
        </w:rPr>
        <w:t>公里。</w:t>
      </w:r>
    </w:p>
    <w:p w:rsidR="004B4777" w:rsidRDefault="004B4777">
      <w:pPr>
        <w:ind w:firstLine="480"/>
        <w:rPr>
          <w:rFonts w:ascii="Times New Roman" w:hAnsi="Times New Roman"/>
        </w:rPr>
      </w:pPr>
      <w:r>
        <w:rPr>
          <w:rFonts w:ascii="Times New Roman" w:hAnsi="Times New Roman" w:hint="eastAsia"/>
        </w:rPr>
        <w:t>资水在邵阳县双江口以上分左右两支。右支夫夷水发源于广西资源县越城岭；左支赧水发源于本省城步县青界山黄马界。两河在双江口汇合，流经邵阳市和新邵、新化、安化、桃江等县，于益阳甘溪港注入洞庭湖。全长</w:t>
      </w:r>
      <w:r>
        <w:rPr>
          <w:rFonts w:ascii="Times New Roman" w:hAnsi="Times New Roman" w:hint="eastAsia"/>
        </w:rPr>
        <w:t>653</w:t>
      </w:r>
      <w:r>
        <w:rPr>
          <w:rFonts w:ascii="Times New Roman" w:hAnsi="Times New Roman" w:hint="eastAsia"/>
        </w:rPr>
        <w:t>公里，流域面积</w:t>
      </w:r>
      <w:r>
        <w:rPr>
          <w:rFonts w:ascii="Times New Roman" w:hAnsi="Times New Roman" w:hint="eastAsia"/>
        </w:rPr>
        <w:t>28142</w:t>
      </w:r>
      <w:r>
        <w:rPr>
          <w:rFonts w:ascii="Times New Roman" w:hAnsi="Times New Roman" w:hint="eastAsia"/>
        </w:rPr>
        <w:t>平方公里。武岗至小庙头间为上游，小庙头到马迹塘间为中游，马迹塘以下为下游，益阳以下称尾闾。资水桃江站历年实测最大流量为</w:t>
      </w:r>
      <w:r>
        <w:rPr>
          <w:rFonts w:ascii="Times New Roman" w:hAnsi="Times New Roman" w:hint="eastAsia"/>
        </w:rPr>
        <w:t>1955</w:t>
      </w:r>
      <w:r>
        <w:rPr>
          <w:rFonts w:ascii="Times New Roman" w:hAnsi="Times New Roman" w:hint="eastAsia"/>
        </w:rPr>
        <w:t>年</w:t>
      </w:r>
      <w:r>
        <w:rPr>
          <w:rFonts w:ascii="Times New Roman" w:hAnsi="Times New Roman" w:hint="eastAsia"/>
        </w:rPr>
        <w:t>8</w:t>
      </w:r>
      <w:r>
        <w:rPr>
          <w:rFonts w:ascii="Times New Roman" w:hAnsi="Times New Roman" w:hint="eastAsia"/>
        </w:rPr>
        <w:t>月</w:t>
      </w:r>
      <w:r>
        <w:rPr>
          <w:rFonts w:ascii="Times New Roman" w:hAnsi="Times New Roman" w:hint="eastAsia"/>
        </w:rPr>
        <w:t>27</w:t>
      </w:r>
      <w:r>
        <w:rPr>
          <w:rFonts w:ascii="Times New Roman" w:hAnsi="Times New Roman" w:hint="eastAsia"/>
        </w:rPr>
        <w:t>日的</w:t>
      </w:r>
      <w:r>
        <w:rPr>
          <w:rFonts w:ascii="Times New Roman" w:hAnsi="Times New Roman" w:hint="eastAsia"/>
        </w:rPr>
        <w:t>15300</w:t>
      </w:r>
      <w:r>
        <w:rPr>
          <w:rFonts w:ascii="Times New Roman" w:hAnsi="Times New Roman" w:hint="eastAsia"/>
        </w:rPr>
        <w:t>立方米／秒。资水主道从毛角口进入湘阴，分为东、北两支。东支左岸经</w:t>
      </w:r>
      <w:r>
        <w:rPr>
          <w:rFonts w:ascii="Times New Roman" w:hAnsi="Times New Roman" w:hint="eastAsia"/>
        </w:rPr>
        <w:t>37.6</w:t>
      </w:r>
      <w:r>
        <w:rPr>
          <w:rFonts w:ascii="Times New Roman" w:hAnsi="Times New Roman" w:hint="eastAsia"/>
        </w:rPr>
        <w:t>公里到临资口，右岸经</w:t>
      </w:r>
      <w:r>
        <w:rPr>
          <w:rFonts w:ascii="Times New Roman" w:hAnsi="Times New Roman" w:hint="eastAsia"/>
        </w:rPr>
        <w:t>38.5</w:t>
      </w:r>
      <w:r>
        <w:rPr>
          <w:rFonts w:ascii="Times New Roman" w:hAnsi="Times New Roman" w:hint="eastAsia"/>
        </w:rPr>
        <w:t>公里到南岸嘴；北支左岸经</w:t>
      </w:r>
      <w:r>
        <w:rPr>
          <w:rFonts w:ascii="Times New Roman" w:hAnsi="Times New Roman" w:hint="eastAsia"/>
        </w:rPr>
        <w:t>20.4</w:t>
      </w:r>
      <w:r>
        <w:rPr>
          <w:rFonts w:ascii="Times New Roman" w:hAnsi="Times New Roman" w:hint="eastAsia"/>
        </w:rPr>
        <w:t>公里到竹垸里，右岸经</w:t>
      </w:r>
      <w:r>
        <w:rPr>
          <w:rFonts w:ascii="Times New Roman" w:hAnsi="Times New Roman" w:hint="eastAsia"/>
        </w:rPr>
        <w:t>28.90</w:t>
      </w:r>
      <w:r>
        <w:rPr>
          <w:rFonts w:ascii="Times New Roman" w:hAnsi="Times New Roman" w:hint="eastAsia"/>
        </w:rPr>
        <w:t>公里到官司潭。资水岸线在湘阴境内全长</w:t>
      </w:r>
      <w:r>
        <w:rPr>
          <w:rFonts w:ascii="Times New Roman" w:hAnsi="Times New Roman" w:hint="eastAsia"/>
        </w:rPr>
        <w:t>125.4</w:t>
      </w:r>
      <w:r>
        <w:rPr>
          <w:rFonts w:ascii="Times New Roman" w:hAnsi="Times New Roman" w:hint="eastAsia"/>
        </w:rPr>
        <w:t>公里，历史最高洪水位为</w:t>
      </w:r>
      <w:r>
        <w:rPr>
          <w:rFonts w:ascii="Times New Roman" w:hAnsi="Times New Roman" w:hint="eastAsia"/>
        </w:rPr>
        <w:t>38.38</w:t>
      </w:r>
      <w:r>
        <w:rPr>
          <w:rFonts w:ascii="Times New Roman" w:hAnsi="Times New Roman" w:hint="eastAsia"/>
        </w:rPr>
        <w:t>米，于</w:t>
      </w:r>
      <w:r>
        <w:rPr>
          <w:rFonts w:ascii="Times New Roman" w:hAnsi="Times New Roman" w:hint="eastAsia"/>
        </w:rPr>
        <w:t>1996</w:t>
      </w:r>
      <w:r>
        <w:rPr>
          <w:rFonts w:ascii="Times New Roman" w:hAnsi="Times New Roman" w:hint="eastAsia"/>
        </w:rPr>
        <w:t>年</w:t>
      </w:r>
      <w:r>
        <w:rPr>
          <w:rFonts w:ascii="Times New Roman" w:hAnsi="Times New Roman" w:hint="eastAsia"/>
        </w:rPr>
        <w:t>7</w:t>
      </w:r>
      <w:r>
        <w:rPr>
          <w:rFonts w:ascii="Times New Roman" w:hAnsi="Times New Roman" w:hint="eastAsia"/>
        </w:rPr>
        <w:t>月</w:t>
      </w:r>
      <w:r>
        <w:rPr>
          <w:rFonts w:ascii="Times New Roman" w:hAnsi="Times New Roman" w:hint="eastAsia"/>
        </w:rPr>
        <w:t>21</w:t>
      </w:r>
      <w:r>
        <w:rPr>
          <w:rFonts w:ascii="Times New Roman" w:hAnsi="Times New Roman" w:hint="eastAsia"/>
        </w:rPr>
        <w:t>日出现在毛角口站。</w:t>
      </w:r>
    </w:p>
    <w:p w:rsidR="004B4777" w:rsidRDefault="004B4777">
      <w:pPr>
        <w:pStyle w:val="4"/>
        <w:spacing w:before="0" w:after="0"/>
        <w:rPr>
          <w:rFonts w:ascii="Times New Roman" w:eastAsia="宋体" w:hAnsi="Times New Roman"/>
          <w:b/>
        </w:rPr>
      </w:pPr>
      <w:r>
        <w:rPr>
          <w:rFonts w:ascii="Times New Roman" w:eastAsia="宋体" w:hAnsi="Times New Roman"/>
          <w:b/>
        </w:rPr>
        <w:t>5.1.2.</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b/>
        </w:rPr>
        <w:t>气候气象</w:t>
      </w:r>
    </w:p>
    <w:p w:rsidR="004B4777" w:rsidRDefault="004B4777">
      <w:pPr>
        <w:ind w:firstLine="480"/>
        <w:rPr>
          <w:rFonts w:ascii="Times New Roman" w:hAnsi="Times New Roman" w:hint="eastAsia"/>
        </w:rPr>
      </w:pPr>
      <w:r>
        <w:rPr>
          <w:rFonts w:ascii="Times New Roman" w:hAnsi="Times New Roman"/>
        </w:rPr>
        <w:t>岳阳市地处亚热带湿润性季风气候区，气候温暖、湿润，雨量充沛，四季分明，严寒期短，无霜期长。岳阳市内设有岳阳市气象站，岳阳市气象站属于国家基本站点。根据岳阳气象站</w:t>
      </w:r>
      <w:r>
        <w:rPr>
          <w:rFonts w:ascii="Times New Roman" w:hAnsi="Times New Roman"/>
        </w:rPr>
        <w:t>1952-2012</w:t>
      </w:r>
      <w:r>
        <w:rPr>
          <w:rFonts w:ascii="Times New Roman" w:hAnsi="Times New Roman"/>
        </w:rPr>
        <w:t>年实测气象资料，洞庭湖区多年平均气温</w:t>
      </w:r>
      <w:r>
        <w:rPr>
          <w:rFonts w:ascii="Times New Roman" w:hAnsi="Times New Roman"/>
        </w:rPr>
        <w:t>17.2</w:t>
      </w:r>
      <w:r>
        <w:rPr>
          <w:rFonts w:ascii="Times New Roman" w:hAnsi="Times New Roman" w:hint="eastAsia"/>
        </w:rPr>
        <w:t>℃</w:t>
      </w:r>
      <w:r>
        <w:rPr>
          <w:rFonts w:ascii="Times New Roman" w:hAnsi="Times New Roman"/>
        </w:rPr>
        <w:t>，历年极端最高气温</w:t>
      </w:r>
      <w:r>
        <w:rPr>
          <w:rFonts w:ascii="Times New Roman" w:hAnsi="Times New Roman"/>
        </w:rPr>
        <w:t>39.3</w:t>
      </w:r>
      <w:r>
        <w:rPr>
          <w:rFonts w:ascii="Times New Roman" w:hAnsi="Times New Roman" w:hint="eastAsia"/>
        </w:rPr>
        <w:t>℃</w:t>
      </w:r>
      <w:r>
        <w:rPr>
          <w:rFonts w:ascii="Times New Roman" w:hAnsi="Times New Roman"/>
        </w:rPr>
        <w:t>（</w:t>
      </w:r>
      <w:r>
        <w:rPr>
          <w:rFonts w:ascii="Times New Roman" w:hAnsi="Times New Roman"/>
        </w:rPr>
        <w:t>1971.7.21</w:t>
      </w:r>
      <w:r>
        <w:rPr>
          <w:rFonts w:ascii="Times New Roman" w:hAnsi="Times New Roman"/>
        </w:rPr>
        <w:t>），极端最低气温</w:t>
      </w:r>
      <w:r>
        <w:rPr>
          <w:rFonts w:ascii="Times New Roman" w:hAnsi="Times New Roman"/>
        </w:rPr>
        <w:t>-11.8</w:t>
      </w:r>
      <w:r>
        <w:rPr>
          <w:rFonts w:ascii="Times New Roman" w:hAnsi="Times New Roman" w:hint="eastAsia"/>
        </w:rPr>
        <w:t>℃</w:t>
      </w:r>
      <w:r>
        <w:rPr>
          <w:rFonts w:ascii="Times New Roman" w:hAnsi="Times New Roman"/>
        </w:rPr>
        <w:t>（</w:t>
      </w:r>
      <w:r>
        <w:rPr>
          <w:rFonts w:ascii="Times New Roman" w:hAnsi="Times New Roman"/>
        </w:rPr>
        <w:t>1956.1.23</w:t>
      </w:r>
      <w:r>
        <w:rPr>
          <w:rFonts w:ascii="Times New Roman" w:hAnsi="Times New Roman"/>
        </w:rPr>
        <w:t>），多年平均降雨量</w:t>
      </w:r>
      <w:r>
        <w:rPr>
          <w:rFonts w:ascii="Times New Roman" w:hAnsi="Times New Roman"/>
        </w:rPr>
        <w:t>1352mm</w:t>
      </w:r>
      <w:r>
        <w:rPr>
          <w:rFonts w:ascii="Times New Roman" w:hAnsi="Times New Roman"/>
        </w:rPr>
        <w:t>，历年最大降雨量</w:t>
      </w:r>
      <w:r>
        <w:rPr>
          <w:rFonts w:ascii="Times New Roman" w:hAnsi="Times New Roman"/>
        </w:rPr>
        <w:t>2337mm</w:t>
      </w:r>
      <w:r>
        <w:rPr>
          <w:rFonts w:ascii="Times New Roman" w:hAnsi="Times New Roman"/>
        </w:rPr>
        <w:t>（</w:t>
      </w:r>
      <w:r>
        <w:rPr>
          <w:rFonts w:ascii="Times New Roman" w:hAnsi="Times New Roman"/>
        </w:rPr>
        <w:t>1954</w:t>
      </w:r>
      <w:r>
        <w:rPr>
          <w:rFonts w:ascii="Times New Roman" w:hAnsi="Times New Roman"/>
        </w:rPr>
        <w:t>年），多年平均蒸发量</w:t>
      </w:r>
      <w:r>
        <w:rPr>
          <w:rFonts w:ascii="Times New Roman" w:hAnsi="Times New Roman"/>
        </w:rPr>
        <w:t>1446.6mm</w:t>
      </w:r>
      <w:r>
        <w:rPr>
          <w:rFonts w:ascii="Times New Roman" w:hAnsi="Times New Roman"/>
        </w:rPr>
        <w:t>，多年平均风速</w:t>
      </w:r>
      <w:r>
        <w:rPr>
          <w:rFonts w:ascii="Times New Roman" w:hAnsi="Times New Roman"/>
        </w:rPr>
        <w:t>2.8m/s</w:t>
      </w:r>
      <w:r>
        <w:rPr>
          <w:rFonts w:ascii="Times New Roman" w:hAnsi="Times New Roman"/>
        </w:rPr>
        <w:t>，多年平均最大风速</w:t>
      </w:r>
      <w:r>
        <w:rPr>
          <w:rFonts w:ascii="Times New Roman" w:hAnsi="Times New Roman"/>
        </w:rPr>
        <w:t>15.0m/s</w:t>
      </w:r>
      <w:r>
        <w:rPr>
          <w:rFonts w:ascii="Times New Roman" w:hAnsi="Times New Roman"/>
        </w:rPr>
        <w:t>，历年极端最大风速</w:t>
      </w:r>
      <w:r>
        <w:rPr>
          <w:rFonts w:ascii="Times New Roman" w:hAnsi="Times New Roman"/>
        </w:rPr>
        <w:t>28.0m/s</w:t>
      </w:r>
      <w:r>
        <w:rPr>
          <w:rFonts w:ascii="Times New Roman" w:hAnsi="Times New Roman"/>
        </w:rPr>
        <w:t>（</w:t>
      </w:r>
      <w:r>
        <w:rPr>
          <w:rFonts w:ascii="Times New Roman" w:hAnsi="Times New Roman"/>
        </w:rPr>
        <w:t>1965.7.21</w:t>
      </w:r>
      <w:r>
        <w:rPr>
          <w:rFonts w:ascii="Times New Roman" w:hAnsi="Times New Roman"/>
        </w:rPr>
        <w:t>），年无霜期</w:t>
      </w:r>
      <w:r>
        <w:rPr>
          <w:rFonts w:ascii="Times New Roman" w:hAnsi="Times New Roman"/>
        </w:rPr>
        <w:t>281</w:t>
      </w:r>
      <w:r>
        <w:rPr>
          <w:rFonts w:ascii="Times New Roman" w:hAnsi="Times New Roman"/>
        </w:rPr>
        <w:t>天，多年平均日照时数</w:t>
      </w:r>
      <w:r>
        <w:rPr>
          <w:rFonts w:ascii="Times New Roman" w:hAnsi="Times New Roman"/>
        </w:rPr>
        <w:t>1730</w:t>
      </w:r>
      <w:r>
        <w:rPr>
          <w:rFonts w:ascii="Times New Roman" w:hAnsi="Times New Roman"/>
        </w:rPr>
        <w:t>小时。</w:t>
      </w:r>
    </w:p>
    <w:p w:rsidR="004B4777" w:rsidRDefault="004B4777">
      <w:pPr>
        <w:ind w:firstLine="480"/>
        <w:rPr>
          <w:rFonts w:ascii="Times New Roman" w:hAnsi="Times New Roman" w:hint="eastAsia"/>
        </w:rPr>
      </w:pPr>
      <w:r>
        <w:rPr>
          <w:rFonts w:ascii="Times New Roman" w:hAnsi="Times New Roman"/>
        </w:rPr>
        <w:t>湘阴县属</w:t>
      </w:r>
      <w:hyperlink r:id="rId46" w:tgtFrame="_blank" w:history="1">
        <w:r>
          <w:rPr>
            <w:rFonts w:ascii="Times New Roman" w:hAnsi="Times New Roman"/>
          </w:rPr>
          <w:t>亚热带季风湿润气候</w:t>
        </w:r>
      </w:hyperlink>
      <w:r>
        <w:rPr>
          <w:rFonts w:ascii="Times New Roman" w:hAnsi="Times New Roman"/>
        </w:rPr>
        <w:t>区，四季分明，光照长，降水集中在春夏暖热季节，年平均气温为</w:t>
      </w:r>
      <w:r>
        <w:rPr>
          <w:rFonts w:ascii="Times New Roman" w:hAnsi="Times New Roman"/>
        </w:rPr>
        <w:t>17</w:t>
      </w:r>
      <w:r>
        <w:rPr>
          <w:rFonts w:ascii="Times New Roman" w:hAnsi="Times New Roman" w:hint="eastAsia"/>
        </w:rPr>
        <w:t>℃</w:t>
      </w:r>
      <w:r>
        <w:rPr>
          <w:rFonts w:ascii="Times New Roman" w:hAnsi="Times New Roman"/>
        </w:rPr>
        <w:t>，全年无霜期为</w:t>
      </w:r>
      <w:r>
        <w:rPr>
          <w:rFonts w:ascii="Times New Roman" w:hAnsi="Times New Roman"/>
        </w:rPr>
        <w:t>223-304</w:t>
      </w:r>
      <w:r>
        <w:rPr>
          <w:rFonts w:ascii="Times New Roman" w:hAnsi="Times New Roman"/>
        </w:rPr>
        <w:t>天，年日照</w:t>
      </w:r>
      <w:r>
        <w:rPr>
          <w:rFonts w:ascii="Times New Roman" w:hAnsi="Times New Roman"/>
        </w:rPr>
        <w:t>1399.9-2058.9</w:t>
      </w:r>
      <w:r>
        <w:rPr>
          <w:rFonts w:ascii="Times New Roman" w:hAnsi="Times New Roman"/>
        </w:rPr>
        <w:t>小时，年均降雨量</w:t>
      </w:r>
      <w:r>
        <w:rPr>
          <w:rFonts w:ascii="Times New Roman" w:hAnsi="Times New Roman"/>
        </w:rPr>
        <w:t>1392.62</w:t>
      </w:r>
      <w:r>
        <w:rPr>
          <w:rFonts w:ascii="Times New Roman" w:hAnsi="Times New Roman"/>
        </w:rPr>
        <w:t>毫米，主导风向为北风、南风、西北风，年平均风速</w:t>
      </w:r>
      <w:r>
        <w:rPr>
          <w:rFonts w:ascii="Times New Roman" w:hAnsi="Times New Roman"/>
        </w:rPr>
        <w:t>3</w:t>
      </w:r>
      <w:r>
        <w:rPr>
          <w:rFonts w:ascii="Times New Roman" w:hAnsi="Times New Roman"/>
        </w:rPr>
        <w:t>米</w:t>
      </w:r>
      <w:r>
        <w:rPr>
          <w:rFonts w:ascii="Times New Roman" w:hAnsi="Times New Roman"/>
        </w:rPr>
        <w:t>/</w:t>
      </w:r>
      <w:r>
        <w:rPr>
          <w:rFonts w:ascii="Times New Roman" w:hAnsi="Times New Roman"/>
        </w:rPr>
        <w:t>秒</w:t>
      </w:r>
      <w:r>
        <w:rPr>
          <w:rFonts w:ascii="Times New Roman" w:hAnsi="Times New Roman" w:hint="eastAsia"/>
        </w:rPr>
        <w:t>。</w:t>
      </w:r>
    </w:p>
    <w:p w:rsidR="004B4777" w:rsidRDefault="004B4777">
      <w:pPr>
        <w:pStyle w:val="4"/>
        <w:spacing w:before="0" w:after="0"/>
        <w:rPr>
          <w:rFonts w:ascii="Times New Roman" w:eastAsia="宋体" w:hAnsi="Times New Roman"/>
          <w:b/>
        </w:rPr>
      </w:pPr>
      <w:r>
        <w:rPr>
          <w:rFonts w:ascii="Times New Roman" w:eastAsia="宋体" w:hAnsi="Times New Roman"/>
          <w:b/>
        </w:rPr>
        <w:lastRenderedPageBreak/>
        <w:t xml:space="preserve">5.1.2.7 </w:t>
      </w:r>
      <w:r>
        <w:rPr>
          <w:rFonts w:ascii="Times New Roman" w:eastAsia="宋体" w:hAnsi="Times New Roman"/>
          <w:b/>
        </w:rPr>
        <w:t>自然资源</w:t>
      </w:r>
    </w:p>
    <w:p w:rsidR="004B4777" w:rsidRDefault="004B4777">
      <w:pPr>
        <w:ind w:firstLine="480"/>
        <w:rPr>
          <w:rFonts w:ascii="Times New Roman" w:hAnsi="Times New Roman"/>
        </w:rPr>
      </w:pPr>
      <w:r>
        <w:rPr>
          <w:rFonts w:ascii="Times New Roman" w:hAnsi="Times New Roman"/>
        </w:rPr>
        <w:t>土地资源：湘阴县土地资源构成可概括为</w:t>
      </w:r>
      <w:r>
        <w:rPr>
          <w:rFonts w:ascii="Times New Roman" w:hAnsi="Times New Roman"/>
        </w:rPr>
        <w:t>“</w:t>
      </w:r>
      <w:r>
        <w:rPr>
          <w:rFonts w:ascii="Times New Roman" w:hAnsi="Times New Roman"/>
        </w:rPr>
        <w:t>一山四水三分田，二分道路和庄园</w:t>
      </w:r>
      <w:r>
        <w:rPr>
          <w:rFonts w:ascii="Times New Roman" w:hAnsi="Times New Roman"/>
        </w:rPr>
        <w:t>”</w:t>
      </w:r>
      <w:r>
        <w:rPr>
          <w:rFonts w:ascii="Times New Roman" w:hAnsi="Times New Roman"/>
        </w:rPr>
        <w:t>。地貌类型以冲积平原和岗地为主。湘阴县平原面积</w:t>
      </w:r>
      <w:r>
        <w:rPr>
          <w:rFonts w:ascii="Times New Roman" w:hAnsi="Times New Roman"/>
        </w:rPr>
        <w:t>702.11</w:t>
      </w:r>
      <w:r>
        <w:rPr>
          <w:rFonts w:ascii="Times New Roman" w:hAnsi="Times New Roman"/>
        </w:rPr>
        <w:t>平方公里，低山</w:t>
      </w:r>
      <w:r>
        <w:rPr>
          <w:rFonts w:ascii="Times New Roman" w:hAnsi="Times New Roman"/>
        </w:rPr>
        <w:t>21.4</w:t>
      </w:r>
      <w:r>
        <w:rPr>
          <w:rFonts w:ascii="Times New Roman" w:hAnsi="Times New Roman"/>
        </w:rPr>
        <w:t>平方公里，岗地</w:t>
      </w:r>
      <w:r>
        <w:rPr>
          <w:rFonts w:ascii="Times New Roman" w:hAnsi="Times New Roman"/>
        </w:rPr>
        <w:t>200.92</w:t>
      </w:r>
      <w:r>
        <w:rPr>
          <w:rFonts w:ascii="Times New Roman" w:hAnsi="Times New Roman"/>
        </w:rPr>
        <w:t>平方公里，水域面积</w:t>
      </w:r>
      <w:r>
        <w:rPr>
          <w:rFonts w:ascii="Times New Roman" w:hAnsi="Times New Roman"/>
        </w:rPr>
        <w:t>657.06</w:t>
      </w:r>
      <w:r>
        <w:rPr>
          <w:rFonts w:ascii="Times New Roman" w:hAnsi="Times New Roman"/>
        </w:rPr>
        <w:t>平方公里。土壤以水稻土、红壤、潮土为主，土地适种性广。</w:t>
      </w:r>
    </w:p>
    <w:p w:rsidR="004B4777" w:rsidRDefault="004B4777">
      <w:pPr>
        <w:ind w:firstLine="480"/>
        <w:rPr>
          <w:rFonts w:ascii="Times New Roman" w:hAnsi="Times New Roman"/>
        </w:rPr>
      </w:pPr>
      <w:r>
        <w:rPr>
          <w:rFonts w:ascii="Times New Roman" w:hAnsi="Times New Roman"/>
        </w:rPr>
        <w:t>水资源：湘阴县境内</w:t>
      </w:r>
      <w:hyperlink r:id="rId47" w:tgtFrame="_blank" w:history="1">
        <w:r>
          <w:rPr>
            <w:rFonts w:ascii="Times New Roman" w:hAnsi="Times New Roman"/>
          </w:rPr>
          <w:t>河渠</w:t>
        </w:r>
      </w:hyperlink>
      <w:r>
        <w:rPr>
          <w:rFonts w:ascii="Times New Roman" w:hAnsi="Times New Roman"/>
        </w:rPr>
        <w:t>纵横交错，湖沼塘堰星罗棋布。湘资两水在县内流经长度达</w:t>
      </w:r>
      <w:r>
        <w:rPr>
          <w:rFonts w:ascii="Times New Roman" w:hAnsi="Times New Roman"/>
        </w:rPr>
        <w:t>260</w:t>
      </w:r>
      <w:r>
        <w:rPr>
          <w:rFonts w:ascii="Times New Roman" w:hAnsi="Times New Roman"/>
        </w:rPr>
        <w:t>余公里，内江流经长度</w:t>
      </w:r>
      <w:r>
        <w:rPr>
          <w:rFonts w:ascii="Times New Roman" w:hAnsi="Times New Roman"/>
        </w:rPr>
        <w:t>70</w:t>
      </w:r>
      <w:r>
        <w:rPr>
          <w:rFonts w:ascii="Times New Roman" w:hAnsi="Times New Roman"/>
        </w:rPr>
        <w:t>余公里，有外湖</w:t>
      </w:r>
      <w:r>
        <w:rPr>
          <w:rFonts w:ascii="Times New Roman" w:hAnsi="Times New Roman"/>
        </w:rPr>
        <w:t>81</w:t>
      </w:r>
      <w:r>
        <w:rPr>
          <w:rFonts w:ascii="Times New Roman" w:hAnsi="Times New Roman"/>
        </w:rPr>
        <w:t>个，内湖</w:t>
      </w:r>
      <w:r>
        <w:rPr>
          <w:rFonts w:ascii="Times New Roman" w:hAnsi="Times New Roman"/>
        </w:rPr>
        <w:t>78</w:t>
      </w:r>
      <w:r>
        <w:rPr>
          <w:rFonts w:ascii="Times New Roman" w:hAnsi="Times New Roman"/>
        </w:rPr>
        <w:t>个，塘堰</w:t>
      </w:r>
      <w:r>
        <w:rPr>
          <w:rFonts w:ascii="Times New Roman" w:hAnsi="Times New Roman"/>
        </w:rPr>
        <w:t>3372</w:t>
      </w:r>
      <w:r>
        <w:rPr>
          <w:rFonts w:ascii="Times New Roman" w:hAnsi="Times New Roman"/>
        </w:rPr>
        <w:t>个，水坝</w:t>
      </w:r>
      <w:r>
        <w:rPr>
          <w:rFonts w:ascii="Times New Roman" w:hAnsi="Times New Roman"/>
        </w:rPr>
        <w:t>2249</w:t>
      </w:r>
      <w:r>
        <w:rPr>
          <w:rFonts w:ascii="Times New Roman" w:hAnsi="Times New Roman"/>
        </w:rPr>
        <w:t>座，水域面积</w:t>
      </w:r>
      <w:r>
        <w:rPr>
          <w:rFonts w:ascii="Times New Roman" w:hAnsi="Times New Roman"/>
        </w:rPr>
        <w:t>98.6</w:t>
      </w:r>
      <w:r>
        <w:rPr>
          <w:rFonts w:ascii="Times New Roman" w:hAnsi="Times New Roman"/>
        </w:rPr>
        <w:t>万多亩，可利用率在</w:t>
      </w:r>
      <w:r>
        <w:rPr>
          <w:rFonts w:ascii="Times New Roman" w:hAnsi="Times New Roman"/>
        </w:rPr>
        <w:t>55%</w:t>
      </w:r>
      <w:r>
        <w:rPr>
          <w:rFonts w:ascii="Times New Roman" w:hAnsi="Times New Roman"/>
        </w:rPr>
        <w:t>以上，为养殖、捕捞、灌溉、航运、工业用水提供了十分充裕的水源。</w:t>
      </w:r>
    </w:p>
    <w:p w:rsidR="004B4777" w:rsidRDefault="004B4777">
      <w:pPr>
        <w:ind w:firstLine="480"/>
        <w:rPr>
          <w:rFonts w:ascii="Times New Roman" w:hAnsi="Times New Roman" w:hint="eastAsia"/>
        </w:rPr>
      </w:pPr>
      <w:r>
        <w:rPr>
          <w:rFonts w:ascii="Times New Roman" w:hAnsi="Times New Roman" w:hint="eastAsia"/>
        </w:rPr>
        <w:t>生</w:t>
      </w:r>
      <w:r>
        <w:rPr>
          <w:rFonts w:ascii="Times New Roman" w:hAnsi="Times New Roman"/>
        </w:rPr>
        <w:t>物资源：湘阴有以</w:t>
      </w:r>
      <w:hyperlink r:id="rId48" w:tgtFrame="_blank" w:history="1">
        <w:r>
          <w:rPr>
            <w:rFonts w:ascii="Times New Roman" w:hAnsi="Times New Roman"/>
          </w:rPr>
          <w:t>水稻</w:t>
        </w:r>
      </w:hyperlink>
      <w:r>
        <w:rPr>
          <w:rFonts w:ascii="Times New Roman" w:hAnsi="Times New Roman"/>
        </w:rPr>
        <w:t>、</w:t>
      </w:r>
      <w:hyperlink r:id="rId49" w:tgtFrame="_blank" w:history="1">
        <w:r>
          <w:rPr>
            <w:rFonts w:ascii="Times New Roman" w:hAnsi="Times New Roman"/>
          </w:rPr>
          <w:t>红薯</w:t>
        </w:r>
      </w:hyperlink>
      <w:r>
        <w:rPr>
          <w:rFonts w:ascii="Times New Roman" w:hAnsi="Times New Roman"/>
        </w:rPr>
        <w:t>为主的</w:t>
      </w:r>
      <w:r>
        <w:rPr>
          <w:rFonts w:ascii="Times New Roman" w:hAnsi="Times New Roman"/>
        </w:rPr>
        <w:t>11</w:t>
      </w:r>
      <w:r>
        <w:rPr>
          <w:rFonts w:ascii="Times New Roman" w:hAnsi="Times New Roman"/>
        </w:rPr>
        <w:t>种粮食作物，有以</w:t>
      </w:r>
      <w:hyperlink r:id="rId50" w:tgtFrame="_blank" w:history="1">
        <w:r>
          <w:rPr>
            <w:rFonts w:ascii="Times New Roman" w:hAnsi="Times New Roman"/>
          </w:rPr>
          <w:t>茶叶</w:t>
        </w:r>
      </w:hyperlink>
      <w:r>
        <w:rPr>
          <w:rFonts w:ascii="Times New Roman" w:hAnsi="Times New Roman"/>
        </w:rPr>
        <w:t>、</w:t>
      </w:r>
      <w:hyperlink r:id="rId51" w:tgtFrame="_blank" w:history="1">
        <w:r>
          <w:rPr>
            <w:rFonts w:ascii="Times New Roman" w:hAnsi="Times New Roman"/>
          </w:rPr>
          <w:t>棉花</w:t>
        </w:r>
      </w:hyperlink>
      <w:r>
        <w:rPr>
          <w:rFonts w:ascii="Times New Roman" w:hAnsi="Times New Roman"/>
        </w:rPr>
        <w:t>、</w:t>
      </w:r>
      <w:hyperlink r:id="rId52" w:tgtFrame="_blank" w:history="1">
        <w:r>
          <w:rPr>
            <w:rFonts w:ascii="Times New Roman" w:hAnsi="Times New Roman"/>
          </w:rPr>
          <w:t>荞头</w:t>
        </w:r>
      </w:hyperlink>
      <w:r>
        <w:rPr>
          <w:rFonts w:ascii="Times New Roman" w:hAnsi="Times New Roman"/>
        </w:rPr>
        <w:t>为主的</w:t>
      </w:r>
      <w:r>
        <w:rPr>
          <w:rFonts w:ascii="Times New Roman" w:hAnsi="Times New Roman"/>
        </w:rPr>
        <w:t>15</w:t>
      </w:r>
      <w:r>
        <w:rPr>
          <w:rFonts w:ascii="Times New Roman" w:hAnsi="Times New Roman"/>
        </w:rPr>
        <w:t>种经济作物，有以</w:t>
      </w:r>
      <w:hyperlink r:id="rId53" w:tgtFrame="_blank" w:history="1">
        <w:r>
          <w:rPr>
            <w:rFonts w:ascii="Times New Roman" w:hAnsi="Times New Roman"/>
          </w:rPr>
          <w:t>芦苇</w:t>
        </w:r>
      </w:hyperlink>
      <w:r>
        <w:rPr>
          <w:rFonts w:ascii="Times New Roman" w:hAnsi="Times New Roman"/>
        </w:rPr>
        <w:t>、</w:t>
      </w:r>
      <w:hyperlink r:id="rId54" w:tgtFrame="_blank" w:history="1">
        <w:r>
          <w:rPr>
            <w:rFonts w:ascii="Times New Roman" w:hAnsi="Times New Roman"/>
          </w:rPr>
          <w:t>湘莲</w:t>
        </w:r>
      </w:hyperlink>
      <w:r>
        <w:rPr>
          <w:rFonts w:ascii="Times New Roman" w:hAnsi="Times New Roman" w:hint="eastAsia"/>
        </w:rPr>
        <w:t>为主的</w:t>
      </w:r>
      <w:r>
        <w:rPr>
          <w:rFonts w:ascii="Times New Roman" w:hAnsi="Times New Roman" w:hint="eastAsia"/>
        </w:rPr>
        <w:t>10</w:t>
      </w:r>
      <w:r>
        <w:rPr>
          <w:rFonts w:ascii="Times New Roman" w:hAnsi="Times New Roman" w:hint="eastAsia"/>
        </w:rPr>
        <w:t>多余种</w:t>
      </w:r>
      <w:r>
        <w:rPr>
          <w:rFonts w:ascii="Times New Roman" w:hAnsi="Times New Roman"/>
        </w:rPr>
        <w:t>水生经济作物，有以</w:t>
      </w:r>
      <w:hyperlink r:id="rId55" w:tgtFrame="_blank" w:history="1">
        <w:r>
          <w:rPr>
            <w:rFonts w:ascii="Times New Roman" w:hAnsi="Times New Roman"/>
          </w:rPr>
          <w:t>松</w:t>
        </w:r>
      </w:hyperlink>
      <w:r>
        <w:rPr>
          <w:rFonts w:ascii="Times New Roman" w:hAnsi="Times New Roman"/>
        </w:rPr>
        <w:t>、</w:t>
      </w:r>
      <w:hyperlink r:id="rId56" w:tgtFrame="_blank" w:history="1">
        <w:r>
          <w:rPr>
            <w:rFonts w:ascii="Times New Roman" w:hAnsi="Times New Roman"/>
          </w:rPr>
          <w:t>杉</w:t>
        </w:r>
      </w:hyperlink>
      <w:r>
        <w:rPr>
          <w:rFonts w:ascii="Times New Roman" w:hAnsi="Times New Roman"/>
        </w:rPr>
        <w:t>、</w:t>
      </w:r>
      <w:hyperlink r:id="rId57" w:tgtFrame="_blank" w:history="1">
        <w:r>
          <w:rPr>
            <w:rFonts w:ascii="Times New Roman" w:hAnsi="Times New Roman"/>
          </w:rPr>
          <w:t>樟</w:t>
        </w:r>
      </w:hyperlink>
      <w:r>
        <w:rPr>
          <w:rFonts w:ascii="Times New Roman" w:hAnsi="Times New Roman"/>
        </w:rPr>
        <w:t>、柳为主的</w:t>
      </w:r>
      <w:r>
        <w:rPr>
          <w:rFonts w:ascii="Times New Roman" w:hAnsi="Times New Roman"/>
        </w:rPr>
        <w:t>228</w:t>
      </w:r>
      <w:r>
        <w:rPr>
          <w:rFonts w:ascii="Times New Roman" w:hAnsi="Times New Roman"/>
        </w:rPr>
        <w:t>个树种，有以青、草、鲢、鳙、鲤和湘云鲫（鲤）为主的</w:t>
      </w:r>
      <w:r>
        <w:rPr>
          <w:rFonts w:ascii="Times New Roman" w:hAnsi="Times New Roman"/>
        </w:rPr>
        <w:t>114</w:t>
      </w:r>
      <w:r>
        <w:rPr>
          <w:rFonts w:ascii="Times New Roman" w:hAnsi="Times New Roman"/>
        </w:rPr>
        <w:t>个鱼类品种，有以猪、牛、山羊、鸡、鸭、鹅为主的</w:t>
      </w:r>
      <w:r>
        <w:rPr>
          <w:rFonts w:ascii="Times New Roman" w:hAnsi="Times New Roman"/>
        </w:rPr>
        <w:t>9</w:t>
      </w:r>
      <w:r>
        <w:rPr>
          <w:rFonts w:ascii="Times New Roman" w:hAnsi="Times New Roman"/>
        </w:rPr>
        <w:t>个畜禽种类。</w:t>
      </w:r>
    </w:p>
    <w:p w:rsidR="004B4777" w:rsidRDefault="004B4777">
      <w:pPr>
        <w:ind w:firstLine="480"/>
        <w:rPr>
          <w:rFonts w:ascii="Times New Roman" w:hAnsi="Times New Roman"/>
        </w:rPr>
      </w:pPr>
      <w:r>
        <w:rPr>
          <w:rFonts w:ascii="Times New Roman" w:hAnsi="Times New Roman"/>
        </w:rPr>
        <w:t>湘阴县山林</w:t>
      </w:r>
      <w:r>
        <w:rPr>
          <w:rFonts w:ascii="Times New Roman" w:hAnsi="Times New Roman"/>
        </w:rPr>
        <w:t>24</w:t>
      </w:r>
      <w:r>
        <w:rPr>
          <w:rFonts w:ascii="Times New Roman" w:hAnsi="Times New Roman"/>
        </w:rPr>
        <w:t>万多亩，林业用地占陆地面积的</w:t>
      </w:r>
      <w:r>
        <w:rPr>
          <w:rFonts w:ascii="Times New Roman" w:hAnsi="Times New Roman"/>
        </w:rPr>
        <w:t>16%</w:t>
      </w:r>
      <w:r>
        <w:rPr>
          <w:rFonts w:ascii="Times New Roman" w:hAnsi="Times New Roman"/>
        </w:rPr>
        <w:t>，森林覆盖率为</w:t>
      </w:r>
      <w:r>
        <w:rPr>
          <w:rFonts w:ascii="Times New Roman" w:hAnsi="Times New Roman"/>
        </w:rPr>
        <w:t>12.5%</w:t>
      </w:r>
      <w:r>
        <w:rPr>
          <w:rFonts w:ascii="Times New Roman" w:hAnsi="Times New Roman"/>
        </w:rPr>
        <w:t>，主要分布在东部低山岗地。</w:t>
      </w:r>
    </w:p>
    <w:p w:rsidR="004B4777" w:rsidRDefault="004B4777">
      <w:pPr>
        <w:ind w:firstLine="480"/>
        <w:rPr>
          <w:rFonts w:ascii="Times New Roman" w:hAnsi="Times New Roman"/>
        </w:rPr>
      </w:pPr>
      <w:r>
        <w:rPr>
          <w:rFonts w:ascii="Times New Roman" w:hAnsi="Times New Roman"/>
        </w:rPr>
        <w:t>湘阴县境内多珍奇生物，珍稀树种有</w:t>
      </w:r>
      <w:hyperlink r:id="rId58" w:tgtFrame="_blank" w:history="1">
        <w:r>
          <w:rPr>
            <w:rFonts w:ascii="Times New Roman" w:hAnsi="Times New Roman"/>
          </w:rPr>
          <w:t>银杏</w:t>
        </w:r>
      </w:hyperlink>
      <w:r>
        <w:rPr>
          <w:rFonts w:ascii="Times New Roman" w:hAnsi="Times New Roman"/>
        </w:rPr>
        <w:t>、</w:t>
      </w:r>
      <w:hyperlink r:id="rId59" w:tgtFrame="_blank" w:history="1">
        <w:r>
          <w:rPr>
            <w:rFonts w:ascii="Times New Roman" w:hAnsi="Times New Roman"/>
          </w:rPr>
          <w:t>枫香</w:t>
        </w:r>
      </w:hyperlink>
      <w:r>
        <w:rPr>
          <w:rFonts w:ascii="Times New Roman" w:hAnsi="Times New Roman"/>
        </w:rPr>
        <w:t>、</w:t>
      </w:r>
      <w:hyperlink r:id="rId60" w:tgtFrame="_blank" w:history="1">
        <w:r>
          <w:rPr>
            <w:rFonts w:ascii="Times New Roman" w:hAnsi="Times New Roman"/>
          </w:rPr>
          <w:t>杜仲</w:t>
        </w:r>
      </w:hyperlink>
      <w:r>
        <w:rPr>
          <w:rFonts w:ascii="Times New Roman" w:hAnsi="Times New Roman"/>
        </w:rPr>
        <w:t>等</w:t>
      </w:r>
      <w:r>
        <w:rPr>
          <w:rFonts w:ascii="Times New Roman" w:hAnsi="Times New Roman"/>
        </w:rPr>
        <w:t>30</w:t>
      </w:r>
      <w:r>
        <w:rPr>
          <w:rFonts w:ascii="Times New Roman" w:hAnsi="Times New Roman"/>
        </w:rPr>
        <w:t>余种，珍禽异兽有</w:t>
      </w:r>
      <w:hyperlink r:id="rId61" w:tgtFrame="_blank" w:history="1">
        <w:r>
          <w:rPr>
            <w:rFonts w:ascii="Times New Roman" w:hAnsi="Times New Roman"/>
          </w:rPr>
          <w:t>麂</w:t>
        </w:r>
      </w:hyperlink>
      <w:r>
        <w:rPr>
          <w:rFonts w:ascii="Times New Roman" w:hAnsi="Times New Roman"/>
        </w:rPr>
        <w:t>、獐、獾、锦鸡、鸳鸯等，珍贵鱼类有中华鲟、白鲟、银鱼、胭脂鱼、非洲鲫等，还有特种水产甲鱼、乌龟、泥蛙、龙虾、河蟹、贝类以及世界珍稀的白鳍豚。</w:t>
      </w:r>
    </w:p>
    <w:p w:rsidR="004B4777" w:rsidRDefault="004B4777">
      <w:pPr>
        <w:ind w:firstLine="480"/>
        <w:rPr>
          <w:rFonts w:ascii="Times New Roman" w:hAnsi="Times New Roman" w:hint="eastAsia"/>
        </w:rPr>
      </w:pPr>
      <w:r>
        <w:rPr>
          <w:rFonts w:ascii="Times New Roman" w:hAnsi="Times New Roman" w:hint="eastAsia"/>
        </w:rPr>
        <w:t>矿产资源：</w:t>
      </w:r>
      <w:r>
        <w:rPr>
          <w:rFonts w:ascii="Times New Roman" w:hAnsi="Times New Roman"/>
        </w:rPr>
        <w:t>湘阴非金属矿比较丰富。主要有重砂矿、细芝麻石、陶土、砂石等。县内砂石开采量每年均在</w:t>
      </w:r>
      <w:r>
        <w:rPr>
          <w:rFonts w:ascii="Times New Roman" w:hAnsi="Times New Roman"/>
        </w:rPr>
        <w:t>100</w:t>
      </w:r>
      <w:r>
        <w:rPr>
          <w:rFonts w:ascii="Times New Roman" w:hAnsi="Times New Roman"/>
        </w:rPr>
        <w:t>万吨以上。细芝麻石天然颗粒细，硬度理想，质地优良。陶土藏量极为丰富，为优质陶、瓷工业原料。</w:t>
      </w:r>
    </w:p>
    <w:p w:rsidR="004B4777" w:rsidRDefault="004B4777">
      <w:pPr>
        <w:pStyle w:val="4"/>
        <w:spacing w:before="0" w:after="0"/>
        <w:rPr>
          <w:rFonts w:ascii="Times New Roman" w:eastAsia="宋体" w:hAnsi="Times New Roman" w:hint="eastAsia"/>
          <w:b/>
        </w:rPr>
      </w:pPr>
      <w:r>
        <w:rPr>
          <w:rFonts w:ascii="Times New Roman" w:eastAsia="宋体" w:hAnsi="Times New Roman"/>
          <w:b/>
        </w:rPr>
        <w:t xml:space="preserve">5.1.2.8 </w:t>
      </w:r>
      <w:r>
        <w:rPr>
          <w:rFonts w:ascii="Times New Roman" w:eastAsia="宋体" w:hAnsi="Times New Roman" w:hint="eastAsia"/>
          <w:b/>
        </w:rPr>
        <w:t>湖南湘阴横岭湖省级自然保护区</w:t>
      </w:r>
    </w:p>
    <w:p w:rsidR="004B4777" w:rsidRDefault="004B4777">
      <w:pPr>
        <w:ind w:firstLine="480"/>
        <w:rPr>
          <w:rFonts w:ascii="Times New Roman" w:hAnsi="Times New Roman"/>
          <w:szCs w:val="24"/>
        </w:rPr>
      </w:pPr>
      <w:r>
        <w:rPr>
          <w:rFonts w:ascii="Times New Roman" w:hAnsi="Times New Roman" w:hint="eastAsia"/>
          <w:szCs w:val="24"/>
        </w:rPr>
        <w:t>湖南湘阴横岭湖省级自然保护区在地理上处于湖南东北部的南洞庭湖与东洞庭湖交汇处，在行政区域上位于岳阳市湘阴县境内，保护区</w:t>
      </w:r>
      <w:r>
        <w:rPr>
          <w:rFonts w:ascii="Times New Roman" w:hAnsi="Times New Roman"/>
          <w:szCs w:val="24"/>
        </w:rPr>
        <w:t>于</w:t>
      </w:r>
      <w:r>
        <w:rPr>
          <w:rFonts w:ascii="Times New Roman" w:hAnsi="Times New Roman" w:hint="eastAsia"/>
          <w:szCs w:val="24"/>
        </w:rPr>
        <w:t>2000</w:t>
      </w:r>
      <w:r>
        <w:rPr>
          <w:rFonts w:ascii="Times New Roman" w:hAnsi="Times New Roman"/>
          <w:szCs w:val="24"/>
        </w:rPr>
        <w:t>年经</w:t>
      </w:r>
      <w:r>
        <w:rPr>
          <w:rFonts w:ascii="Times New Roman" w:hAnsi="Times New Roman" w:hint="eastAsia"/>
          <w:szCs w:val="24"/>
        </w:rPr>
        <w:t>湘阴县</w:t>
      </w:r>
      <w:r>
        <w:rPr>
          <w:rFonts w:ascii="Times New Roman" w:hAnsi="Times New Roman"/>
          <w:szCs w:val="24"/>
        </w:rPr>
        <w:t>人民政府批准建立，</w:t>
      </w:r>
      <w:r>
        <w:rPr>
          <w:rFonts w:ascii="Times New Roman" w:hAnsi="Times New Roman"/>
          <w:szCs w:val="24"/>
        </w:rPr>
        <w:t>200</w:t>
      </w:r>
      <w:r>
        <w:rPr>
          <w:rFonts w:ascii="Times New Roman" w:hAnsi="Times New Roman" w:hint="eastAsia"/>
          <w:szCs w:val="24"/>
        </w:rPr>
        <w:t>3</w:t>
      </w:r>
      <w:r>
        <w:rPr>
          <w:rFonts w:ascii="Times New Roman" w:hAnsi="Times New Roman"/>
          <w:szCs w:val="24"/>
        </w:rPr>
        <w:t>年</w:t>
      </w:r>
      <w:r>
        <w:rPr>
          <w:rFonts w:ascii="Times New Roman" w:hAnsi="Times New Roman" w:hint="eastAsia"/>
          <w:szCs w:val="24"/>
        </w:rPr>
        <w:t>湖南省人民政府（湘政办函【</w:t>
      </w:r>
      <w:r>
        <w:rPr>
          <w:rFonts w:ascii="Times New Roman" w:hAnsi="Times New Roman" w:hint="eastAsia"/>
          <w:szCs w:val="24"/>
        </w:rPr>
        <w:t>2003</w:t>
      </w:r>
      <w:r>
        <w:rPr>
          <w:rFonts w:ascii="Times New Roman" w:hAnsi="Times New Roman" w:hint="eastAsia"/>
          <w:szCs w:val="24"/>
        </w:rPr>
        <w:t>】</w:t>
      </w:r>
      <w:r>
        <w:rPr>
          <w:rFonts w:ascii="Times New Roman" w:hAnsi="Times New Roman" w:hint="eastAsia"/>
          <w:szCs w:val="24"/>
        </w:rPr>
        <w:t>58</w:t>
      </w:r>
      <w:r>
        <w:rPr>
          <w:rFonts w:ascii="Times New Roman" w:hAnsi="Times New Roman" w:hint="eastAsia"/>
          <w:szCs w:val="24"/>
        </w:rPr>
        <w:t>号）正式批准湖南横岭湖省级自然保护区成立</w:t>
      </w:r>
      <w:r>
        <w:rPr>
          <w:rFonts w:ascii="Times New Roman" w:hAnsi="Times New Roman"/>
          <w:szCs w:val="24"/>
        </w:rPr>
        <w:t>，</w:t>
      </w:r>
      <w:r>
        <w:rPr>
          <w:rFonts w:ascii="Times New Roman" w:hAnsi="Times New Roman" w:hint="eastAsia"/>
          <w:szCs w:val="24"/>
        </w:rPr>
        <w:t>2006</w:t>
      </w:r>
      <w:r>
        <w:rPr>
          <w:rFonts w:ascii="Times New Roman" w:hAnsi="Times New Roman" w:hint="eastAsia"/>
          <w:szCs w:val="24"/>
        </w:rPr>
        <w:t>年湘阴县人民政府（湘编发【</w:t>
      </w:r>
      <w:r>
        <w:rPr>
          <w:rFonts w:ascii="Times New Roman" w:hAnsi="Times New Roman" w:hint="eastAsia"/>
          <w:szCs w:val="24"/>
        </w:rPr>
        <w:t>2006</w:t>
      </w:r>
      <w:r>
        <w:rPr>
          <w:rFonts w:ascii="Times New Roman" w:hAnsi="Times New Roman" w:hint="eastAsia"/>
          <w:szCs w:val="24"/>
        </w:rPr>
        <w:t>】</w:t>
      </w:r>
      <w:r>
        <w:rPr>
          <w:rFonts w:ascii="Times New Roman" w:hAnsi="Times New Roman" w:hint="eastAsia"/>
          <w:szCs w:val="24"/>
        </w:rPr>
        <w:t>14</w:t>
      </w:r>
      <w:r>
        <w:rPr>
          <w:rFonts w:ascii="Times New Roman" w:hAnsi="Times New Roman" w:hint="eastAsia"/>
          <w:szCs w:val="24"/>
        </w:rPr>
        <w:t>号）批准建立保护区管理分局，为社会公益性副科级事业单位。</w:t>
      </w:r>
      <w:r>
        <w:rPr>
          <w:rFonts w:ascii="Times New Roman" w:hAnsi="Times New Roman" w:hint="eastAsia"/>
          <w:szCs w:val="24"/>
        </w:rPr>
        <w:t>2012</w:t>
      </w:r>
      <w:r>
        <w:rPr>
          <w:rFonts w:ascii="Times New Roman" w:hAnsi="Times New Roman" w:hint="eastAsia"/>
          <w:szCs w:val="24"/>
        </w:rPr>
        <w:t>年湖南省环保厅（湘环函【</w:t>
      </w:r>
      <w:r>
        <w:rPr>
          <w:rFonts w:ascii="Times New Roman" w:hAnsi="Times New Roman" w:hint="eastAsia"/>
          <w:szCs w:val="24"/>
        </w:rPr>
        <w:t>2012</w:t>
      </w:r>
      <w:r>
        <w:rPr>
          <w:rFonts w:ascii="Times New Roman" w:hAnsi="Times New Roman" w:hint="eastAsia"/>
          <w:szCs w:val="24"/>
        </w:rPr>
        <w:t>】</w:t>
      </w:r>
      <w:r>
        <w:rPr>
          <w:rFonts w:ascii="Times New Roman" w:hAnsi="Times New Roman" w:hint="eastAsia"/>
          <w:szCs w:val="24"/>
        </w:rPr>
        <w:t>83</w:t>
      </w:r>
      <w:r>
        <w:rPr>
          <w:rFonts w:ascii="Times New Roman" w:hAnsi="Times New Roman" w:hint="eastAsia"/>
          <w:szCs w:val="24"/>
        </w:rPr>
        <w:t>号）</w:t>
      </w:r>
      <w:r>
        <w:rPr>
          <w:rFonts w:ascii="Times New Roman" w:hAnsi="Times New Roman" w:hint="eastAsia"/>
          <w:szCs w:val="24"/>
        </w:rPr>
        <w:lastRenderedPageBreak/>
        <w:t>同意了湖南横岭湖省级自然保护区功能区划调整的意见。</w:t>
      </w:r>
    </w:p>
    <w:p w:rsidR="004B4777" w:rsidRDefault="004B4777">
      <w:pPr>
        <w:ind w:firstLine="480"/>
        <w:rPr>
          <w:rFonts w:ascii="Times New Roman" w:hAnsi="Times New Roman"/>
          <w:szCs w:val="24"/>
        </w:rPr>
      </w:pPr>
      <w:r>
        <w:rPr>
          <w:rFonts w:ascii="Times New Roman" w:hAnsi="Times New Roman"/>
          <w:szCs w:val="24"/>
        </w:rPr>
        <w:t>（</w:t>
      </w:r>
      <w:r>
        <w:rPr>
          <w:rFonts w:ascii="Times New Roman" w:hAnsi="Times New Roman"/>
          <w:szCs w:val="24"/>
        </w:rPr>
        <w:t>1</w:t>
      </w:r>
      <w:r>
        <w:rPr>
          <w:rFonts w:ascii="Times New Roman" w:hAnsi="Times New Roman"/>
          <w:szCs w:val="24"/>
        </w:rPr>
        <w:t>）保护区功能区划</w:t>
      </w:r>
    </w:p>
    <w:p w:rsidR="004B4777" w:rsidRDefault="004B4777">
      <w:pPr>
        <w:ind w:firstLine="480"/>
        <w:rPr>
          <w:rFonts w:ascii="Times New Roman" w:hAnsi="Times New Roman"/>
          <w:szCs w:val="24"/>
        </w:rPr>
      </w:pPr>
      <w:r>
        <w:rPr>
          <w:rFonts w:ascii="Times New Roman" w:hAnsi="Times New Roman"/>
          <w:szCs w:val="24"/>
        </w:rPr>
        <w:t>按照最新批复的《总体规划》，保护区划分为核心区、缓冲区、实验区三大功能区，总面积</w:t>
      </w:r>
      <w:r>
        <w:rPr>
          <w:rFonts w:ascii="Times New Roman" w:hAnsi="Times New Roman" w:hint="eastAsia"/>
          <w:szCs w:val="24"/>
        </w:rPr>
        <w:t>4.3</w:t>
      </w:r>
      <w:r>
        <w:rPr>
          <w:rFonts w:ascii="Times New Roman" w:hAnsi="Times New Roman"/>
          <w:szCs w:val="24"/>
        </w:rPr>
        <w:t>万</w:t>
      </w:r>
      <w:r>
        <w:rPr>
          <w:rFonts w:ascii="Times New Roman" w:hAnsi="Times New Roman"/>
          <w:szCs w:val="24"/>
        </w:rPr>
        <w:t>hm</w:t>
      </w:r>
      <w:r>
        <w:rPr>
          <w:rFonts w:ascii="Times New Roman" w:hAnsi="Times New Roman"/>
          <w:szCs w:val="24"/>
          <w:vertAlign w:val="superscript"/>
        </w:rPr>
        <w:t>2</w:t>
      </w:r>
      <w:r>
        <w:rPr>
          <w:rFonts w:ascii="Times New Roman" w:hAnsi="Times New Roman"/>
          <w:szCs w:val="24"/>
        </w:rPr>
        <w:t>。</w:t>
      </w:r>
      <w:r>
        <w:rPr>
          <w:rFonts w:ascii="Times New Roman" w:hAnsi="Times New Roman" w:hint="eastAsia"/>
          <w:szCs w:val="24"/>
        </w:rPr>
        <w:t>其中核心区</w:t>
      </w:r>
      <w:r>
        <w:rPr>
          <w:rFonts w:ascii="Times New Roman" w:hAnsi="Times New Roman" w:hint="eastAsia"/>
          <w:szCs w:val="24"/>
        </w:rPr>
        <w:t>1</w:t>
      </w:r>
      <w:r>
        <w:rPr>
          <w:rFonts w:ascii="Times New Roman" w:hAnsi="Times New Roman"/>
          <w:szCs w:val="24"/>
        </w:rPr>
        <w:t>.</w:t>
      </w:r>
      <w:r>
        <w:rPr>
          <w:rFonts w:ascii="Times New Roman" w:hAnsi="Times New Roman" w:hint="eastAsia"/>
          <w:szCs w:val="24"/>
        </w:rPr>
        <w:t>5</w:t>
      </w:r>
      <w:r>
        <w:rPr>
          <w:rFonts w:ascii="Times New Roman" w:hAnsi="Times New Roman" w:hint="eastAsia"/>
          <w:szCs w:val="24"/>
        </w:rPr>
        <w:t>万</w:t>
      </w:r>
      <w:r>
        <w:rPr>
          <w:rFonts w:ascii="Times New Roman" w:hAnsi="Times New Roman" w:hint="eastAsia"/>
          <w:szCs w:val="24"/>
        </w:rPr>
        <w:t>hm</w:t>
      </w:r>
      <w:r>
        <w:rPr>
          <w:rFonts w:ascii="Times New Roman" w:hAnsi="Times New Roman" w:hint="eastAsia"/>
          <w:szCs w:val="24"/>
          <w:vertAlign w:val="superscript"/>
        </w:rPr>
        <w:t>2</w:t>
      </w:r>
      <w:r>
        <w:rPr>
          <w:rFonts w:ascii="Times New Roman" w:hAnsi="Times New Roman" w:hint="eastAsia"/>
          <w:szCs w:val="24"/>
        </w:rPr>
        <w:t>、缓冲区</w:t>
      </w:r>
      <w:r>
        <w:rPr>
          <w:rFonts w:ascii="Times New Roman" w:hAnsi="Times New Roman" w:hint="eastAsia"/>
          <w:szCs w:val="24"/>
        </w:rPr>
        <w:t>1</w:t>
      </w:r>
      <w:r>
        <w:rPr>
          <w:rFonts w:ascii="Times New Roman" w:hAnsi="Times New Roman"/>
          <w:szCs w:val="24"/>
        </w:rPr>
        <w:t>.</w:t>
      </w:r>
      <w:r>
        <w:rPr>
          <w:rFonts w:ascii="Times New Roman" w:hAnsi="Times New Roman" w:hint="eastAsia"/>
          <w:szCs w:val="24"/>
        </w:rPr>
        <w:t>2</w:t>
      </w:r>
      <w:r>
        <w:rPr>
          <w:rFonts w:ascii="Times New Roman" w:hAnsi="Times New Roman" w:hint="eastAsia"/>
          <w:szCs w:val="24"/>
        </w:rPr>
        <w:t>万</w:t>
      </w:r>
      <w:r>
        <w:rPr>
          <w:rFonts w:ascii="Times New Roman" w:hAnsi="Times New Roman" w:hint="eastAsia"/>
          <w:szCs w:val="24"/>
        </w:rPr>
        <w:t>hm</w:t>
      </w:r>
      <w:r>
        <w:rPr>
          <w:rFonts w:ascii="Times New Roman" w:hAnsi="Times New Roman" w:hint="eastAsia"/>
          <w:szCs w:val="24"/>
          <w:vertAlign w:val="superscript"/>
        </w:rPr>
        <w:t>2</w:t>
      </w:r>
      <w:r>
        <w:rPr>
          <w:rFonts w:ascii="Times New Roman" w:hAnsi="Times New Roman" w:hint="eastAsia"/>
          <w:szCs w:val="24"/>
        </w:rPr>
        <w:t>、实验区</w:t>
      </w:r>
      <w:r>
        <w:rPr>
          <w:rFonts w:ascii="Times New Roman" w:hAnsi="Times New Roman" w:hint="eastAsia"/>
          <w:szCs w:val="24"/>
        </w:rPr>
        <w:t>1</w:t>
      </w:r>
      <w:r>
        <w:rPr>
          <w:rFonts w:ascii="Times New Roman" w:hAnsi="Times New Roman"/>
          <w:szCs w:val="24"/>
        </w:rPr>
        <w:t>.</w:t>
      </w:r>
      <w:r>
        <w:rPr>
          <w:rFonts w:ascii="Times New Roman" w:hAnsi="Times New Roman" w:hint="eastAsia"/>
          <w:szCs w:val="24"/>
        </w:rPr>
        <w:t>6</w:t>
      </w:r>
      <w:r>
        <w:rPr>
          <w:rFonts w:ascii="Times New Roman" w:hAnsi="Times New Roman" w:hint="eastAsia"/>
          <w:szCs w:val="24"/>
        </w:rPr>
        <w:t>万</w:t>
      </w:r>
      <w:r>
        <w:rPr>
          <w:rFonts w:ascii="Times New Roman" w:hAnsi="Times New Roman" w:hint="eastAsia"/>
          <w:szCs w:val="24"/>
        </w:rPr>
        <w:t>hm</w:t>
      </w:r>
      <w:r>
        <w:rPr>
          <w:rFonts w:ascii="Times New Roman" w:hAnsi="Times New Roman" w:hint="eastAsia"/>
          <w:szCs w:val="24"/>
          <w:vertAlign w:val="superscript"/>
        </w:rPr>
        <w:t>2</w:t>
      </w:r>
      <w:r>
        <w:rPr>
          <w:rFonts w:ascii="Times New Roman" w:hAnsi="Times New Roman" w:hint="eastAsia"/>
          <w:szCs w:val="24"/>
        </w:rPr>
        <w:t>。</w:t>
      </w:r>
    </w:p>
    <w:p w:rsidR="004B4777" w:rsidRDefault="004B4777">
      <w:pPr>
        <w:ind w:firstLine="480"/>
        <w:rPr>
          <w:rFonts w:ascii="Times New Roman" w:hAnsi="Times New Roman"/>
          <w:szCs w:val="24"/>
        </w:rPr>
      </w:pPr>
      <w:r>
        <w:rPr>
          <w:rFonts w:ascii="Times New Roman" w:hAnsi="Times New Roman" w:hint="eastAsia"/>
          <w:szCs w:val="24"/>
        </w:rPr>
        <w:t>①核心区：</w:t>
      </w:r>
      <w:r>
        <w:rPr>
          <w:rFonts w:ascii="Times New Roman" w:hAnsi="Times New Roman"/>
          <w:szCs w:val="24"/>
        </w:rPr>
        <w:t>横岭湖省级自然保护区的核心区包括横岭湖、严家山和青山之间所包绕的水域及沙洲，核心区总面积</w:t>
      </w:r>
      <w:r>
        <w:rPr>
          <w:rFonts w:ascii="Times New Roman" w:hAnsi="Times New Roman"/>
          <w:szCs w:val="24"/>
        </w:rPr>
        <w:t>1.5</w:t>
      </w:r>
      <w:r>
        <w:rPr>
          <w:rFonts w:ascii="Times New Roman" w:hAnsi="Times New Roman"/>
          <w:szCs w:val="24"/>
        </w:rPr>
        <w:t>万</w:t>
      </w:r>
      <w:r>
        <w:rPr>
          <w:rFonts w:ascii="Times New Roman" w:hAnsi="Times New Roman"/>
          <w:szCs w:val="24"/>
        </w:rPr>
        <w:t>hm</w:t>
      </w:r>
      <w:r>
        <w:rPr>
          <w:rFonts w:ascii="Times New Roman" w:hAnsi="Times New Roman"/>
          <w:szCs w:val="24"/>
          <w:vertAlign w:val="superscript"/>
        </w:rPr>
        <w:t>2</w:t>
      </w:r>
      <w:r>
        <w:rPr>
          <w:rFonts w:ascii="Times New Roman" w:hAnsi="Times New Roman"/>
          <w:szCs w:val="24"/>
        </w:rPr>
        <w:t>，其边界东起严家山，沿青山向北至杨么头，西至老龙潭与下神湖，向南达慈场湖，向东经南湖边缘到达严家山。核心区含沈家坪、聚贤围和李家台等永久性陆地</w:t>
      </w:r>
      <w:r>
        <w:rPr>
          <w:rFonts w:ascii="Times New Roman" w:hAnsi="Times New Roman"/>
          <w:szCs w:val="24"/>
        </w:rPr>
        <w:t>0.20</w:t>
      </w:r>
      <w:r>
        <w:rPr>
          <w:rFonts w:ascii="Times New Roman" w:hAnsi="Times New Roman"/>
          <w:szCs w:val="24"/>
        </w:rPr>
        <w:t>万</w:t>
      </w:r>
      <w:r>
        <w:rPr>
          <w:rFonts w:ascii="Times New Roman" w:hAnsi="Times New Roman"/>
          <w:szCs w:val="24"/>
        </w:rPr>
        <w:t>hm</w:t>
      </w:r>
      <w:r>
        <w:rPr>
          <w:rFonts w:ascii="Times New Roman" w:hAnsi="Times New Roman"/>
          <w:szCs w:val="24"/>
          <w:vertAlign w:val="superscript"/>
        </w:rPr>
        <w:t>2</w:t>
      </w:r>
      <w:r>
        <w:rPr>
          <w:rFonts w:ascii="Times New Roman" w:hAnsi="Times New Roman"/>
          <w:szCs w:val="24"/>
        </w:rPr>
        <w:t>及洲滩</w:t>
      </w:r>
      <w:r>
        <w:rPr>
          <w:rFonts w:ascii="Times New Roman" w:hAnsi="Times New Roman"/>
          <w:szCs w:val="24"/>
        </w:rPr>
        <w:t>1.3</w:t>
      </w:r>
      <w:r>
        <w:rPr>
          <w:rFonts w:ascii="Times New Roman" w:hAnsi="Times New Roman"/>
          <w:szCs w:val="24"/>
        </w:rPr>
        <w:t>万</w:t>
      </w:r>
      <w:r>
        <w:rPr>
          <w:rFonts w:ascii="Times New Roman" w:hAnsi="Times New Roman"/>
          <w:szCs w:val="24"/>
        </w:rPr>
        <w:t>hm</w:t>
      </w:r>
      <w:r>
        <w:rPr>
          <w:rFonts w:ascii="Times New Roman" w:hAnsi="Times New Roman"/>
          <w:szCs w:val="24"/>
          <w:vertAlign w:val="superscript"/>
        </w:rPr>
        <w:t>2</w:t>
      </w:r>
      <w:r>
        <w:rPr>
          <w:rFonts w:ascii="Times New Roman" w:hAnsi="Times New Roman"/>
          <w:szCs w:val="24"/>
        </w:rPr>
        <w:t>。核心区为保存完好的自然状态的湿地生态系统以及珍稀、濒危动植物的集中分布地，主要供珍稀鱼类和珍稀鸟类繁殖、栖息。</w:t>
      </w:r>
    </w:p>
    <w:p w:rsidR="004B4777" w:rsidRDefault="004B4777">
      <w:pPr>
        <w:ind w:firstLine="480"/>
        <w:rPr>
          <w:rFonts w:ascii="Times New Roman" w:hAnsi="Times New Roman"/>
          <w:szCs w:val="24"/>
        </w:rPr>
      </w:pPr>
      <w:r>
        <w:rPr>
          <w:rFonts w:ascii="Times New Roman" w:hAnsi="Times New Roman" w:hint="eastAsia"/>
          <w:szCs w:val="24"/>
        </w:rPr>
        <w:t>②缓冲区：</w:t>
      </w:r>
      <w:r>
        <w:rPr>
          <w:rFonts w:ascii="Times New Roman" w:hAnsi="Times New Roman"/>
          <w:szCs w:val="24"/>
        </w:rPr>
        <w:t>横岭湖省级自然保护区缓冲区包括沱莲湖、荷叶湖和慈场湖之间所包络的除核心区外的水域及洲滩，总面积</w:t>
      </w:r>
      <w:r>
        <w:rPr>
          <w:rFonts w:ascii="Times New Roman" w:hAnsi="Times New Roman"/>
          <w:szCs w:val="24"/>
        </w:rPr>
        <w:t>1.2</w:t>
      </w:r>
      <w:r>
        <w:rPr>
          <w:rFonts w:ascii="Times New Roman" w:hAnsi="Times New Roman"/>
          <w:szCs w:val="24"/>
        </w:rPr>
        <w:t>万</w:t>
      </w:r>
      <w:r>
        <w:rPr>
          <w:rFonts w:ascii="Times New Roman" w:hAnsi="Times New Roman"/>
          <w:szCs w:val="24"/>
        </w:rPr>
        <w:t>hm</w:t>
      </w:r>
      <w:r>
        <w:rPr>
          <w:rFonts w:ascii="Times New Roman" w:hAnsi="Times New Roman"/>
          <w:szCs w:val="24"/>
          <w:vertAlign w:val="superscript"/>
        </w:rPr>
        <w:t>2</w:t>
      </w:r>
      <w:r>
        <w:rPr>
          <w:rFonts w:ascii="Times New Roman" w:hAnsi="Times New Roman"/>
          <w:szCs w:val="24"/>
        </w:rPr>
        <w:t>。其边界西起老爷山，向东南经大顺围南端，淳湖下界至慈场湖，向东北经芦林潭至严家山东，向北沿青山至虾湖，向西南经黄土缎至沱莲湖。</w:t>
      </w:r>
    </w:p>
    <w:p w:rsidR="004B4777" w:rsidRDefault="004B4777">
      <w:pPr>
        <w:autoSpaceDE w:val="0"/>
        <w:autoSpaceDN w:val="0"/>
        <w:ind w:firstLine="480"/>
        <w:contextualSpacing/>
        <w:rPr>
          <w:rFonts w:ascii="Times New Roman" w:hAnsi="Times New Roman" w:hint="eastAsia"/>
        </w:rPr>
      </w:pPr>
      <w:r>
        <w:rPr>
          <w:rFonts w:ascii="Times New Roman" w:hAnsi="Times New Roman" w:hint="eastAsia"/>
          <w:szCs w:val="24"/>
        </w:rPr>
        <w:t>③实验区：</w:t>
      </w:r>
      <w:r>
        <w:rPr>
          <w:rFonts w:ascii="Times New Roman" w:hAnsi="Times New Roman"/>
          <w:szCs w:val="24"/>
        </w:rPr>
        <w:t>实验区为除核心区和缓冲区以外的其余水域、洲滩及单退垸，包括湘江河、芦苇场及浩河、弯河等退田还湖的</w:t>
      </w:r>
      <w:r>
        <w:rPr>
          <w:rFonts w:ascii="Times New Roman" w:hAnsi="Times New Roman"/>
          <w:szCs w:val="24"/>
        </w:rPr>
        <w:t>“</w:t>
      </w:r>
      <w:r>
        <w:rPr>
          <w:rFonts w:ascii="Times New Roman" w:hAnsi="Times New Roman"/>
          <w:szCs w:val="24"/>
        </w:rPr>
        <w:t>单退垸</w:t>
      </w:r>
      <w:r>
        <w:rPr>
          <w:rFonts w:ascii="Times New Roman" w:hAnsi="Times New Roman"/>
          <w:szCs w:val="24"/>
        </w:rPr>
        <w:t>”</w:t>
      </w:r>
      <w:r>
        <w:rPr>
          <w:rFonts w:ascii="Times New Roman" w:hAnsi="Times New Roman"/>
          <w:szCs w:val="24"/>
        </w:rPr>
        <w:t>，实验区总面积</w:t>
      </w:r>
      <w:r>
        <w:rPr>
          <w:rFonts w:ascii="Times New Roman" w:hAnsi="Times New Roman"/>
          <w:szCs w:val="24"/>
        </w:rPr>
        <w:t>1.6</w:t>
      </w:r>
      <w:r>
        <w:rPr>
          <w:rFonts w:ascii="Times New Roman" w:hAnsi="Times New Roman"/>
          <w:szCs w:val="24"/>
        </w:rPr>
        <w:t>万</w:t>
      </w:r>
      <w:r>
        <w:rPr>
          <w:rFonts w:ascii="Times New Roman" w:hAnsi="Times New Roman"/>
          <w:szCs w:val="24"/>
        </w:rPr>
        <w:t>hm</w:t>
      </w:r>
      <w:r>
        <w:rPr>
          <w:rFonts w:ascii="Times New Roman" w:hAnsi="Times New Roman"/>
          <w:szCs w:val="24"/>
          <w:vertAlign w:val="superscript"/>
        </w:rPr>
        <w:t>2</w:t>
      </w:r>
      <w:r>
        <w:rPr>
          <w:rFonts w:ascii="Times New Roman" w:hAnsi="Times New Roman"/>
          <w:szCs w:val="24"/>
        </w:rPr>
        <w:t>。</w:t>
      </w:r>
    </w:p>
    <w:p w:rsidR="004B4777" w:rsidRDefault="004B4777">
      <w:pPr>
        <w:ind w:firstLine="480"/>
        <w:rPr>
          <w:rFonts w:ascii="Times New Roman" w:hAnsi="Times New Roman"/>
          <w:szCs w:val="24"/>
        </w:rPr>
      </w:pPr>
      <w:r>
        <w:rPr>
          <w:rFonts w:ascii="Times New Roman" w:hAnsi="Times New Roman"/>
          <w:szCs w:val="24"/>
        </w:rPr>
        <w:t>横岭湖是亚热带内陆湿地的典型代表，区内的湖沼洲滩是最为典型的湿地生态系统，湖洲、草甸、沼泽、水域等构成了复杂的生境，孕育着丰富的生物资源。横岭湖省级自然保护区是生物多样性十分丰富的国际重要湿地，是数以万计鸟类的理想越冬地和停歇地。保护对象为湿地生态系统和生物多样性、珍稀濒危水禽及其栖息地、自然生态环境和自然资源，以及自然、人文景观。</w:t>
      </w:r>
    </w:p>
    <w:p w:rsidR="004B4777" w:rsidRDefault="004B4777">
      <w:pPr>
        <w:ind w:firstLine="480"/>
        <w:rPr>
          <w:rFonts w:ascii="Times New Roman" w:hAnsi="Times New Roman" w:hint="eastAsia"/>
          <w:szCs w:val="24"/>
        </w:rPr>
      </w:pPr>
      <w:r>
        <w:rPr>
          <w:rFonts w:ascii="Times New Roman" w:hAnsi="Times New Roman" w:hint="eastAsia"/>
          <w:szCs w:val="24"/>
        </w:rPr>
        <w:t>项目采区范围不涉及湖南湘阴横岭湖省级自然保护区，易婆塘采砂区与湖南湘阴横岭湖省级自然保护区实验区最近距离为</w:t>
      </w:r>
      <w:r>
        <w:rPr>
          <w:rFonts w:ascii="Times New Roman" w:hAnsi="Times New Roman" w:hint="eastAsia"/>
          <w:szCs w:val="24"/>
        </w:rPr>
        <w:t>103</w:t>
      </w:r>
      <w:r>
        <w:rPr>
          <w:rFonts w:ascii="Times New Roman" w:hAnsi="Times New Roman" w:hint="eastAsia"/>
          <w:szCs w:val="24"/>
        </w:rPr>
        <w:t>米，斗米咀采砂区与湖南湘阴横岭湖省级自然保护区实验区最近距离为</w:t>
      </w:r>
      <w:r>
        <w:rPr>
          <w:rFonts w:ascii="Times New Roman" w:hAnsi="Times New Roman"/>
          <w:szCs w:val="24"/>
        </w:rPr>
        <w:t>31</w:t>
      </w:r>
      <w:r>
        <w:rPr>
          <w:rFonts w:ascii="Times New Roman" w:hAnsi="Times New Roman" w:hint="eastAsia"/>
          <w:szCs w:val="24"/>
        </w:rPr>
        <w:t>米。</w:t>
      </w:r>
    </w:p>
    <w:p w:rsidR="004B4777" w:rsidRDefault="004B4777">
      <w:pPr>
        <w:pStyle w:val="4"/>
        <w:spacing w:before="0" w:after="0"/>
        <w:rPr>
          <w:rFonts w:ascii="Times New Roman" w:eastAsia="宋体" w:hAnsi="Times New Roman"/>
          <w:b/>
        </w:rPr>
      </w:pPr>
      <w:r>
        <w:rPr>
          <w:rFonts w:ascii="Times New Roman" w:eastAsia="宋体" w:hAnsi="Times New Roman"/>
          <w:b/>
        </w:rPr>
        <w:t xml:space="preserve">5.1.2.9 </w:t>
      </w:r>
      <w:r>
        <w:rPr>
          <w:rFonts w:ascii="Times New Roman" w:eastAsia="宋体" w:hAnsi="Times New Roman" w:hint="eastAsia"/>
          <w:b/>
        </w:rPr>
        <w:t>湖南南洞庭湖省级</w:t>
      </w:r>
      <w:r>
        <w:rPr>
          <w:rFonts w:ascii="Times New Roman" w:eastAsia="宋体" w:hAnsi="Times New Roman"/>
          <w:b/>
        </w:rPr>
        <w:t>自然保护区</w:t>
      </w:r>
    </w:p>
    <w:p w:rsidR="004B4777" w:rsidRDefault="004B4777">
      <w:pPr>
        <w:ind w:firstLine="480"/>
        <w:rPr>
          <w:rFonts w:ascii="Times New Roman" w:hAnsi="Times New Roman"/>
          <w:szCs w:val="24"/>
        </w:rPr>
      </w:pPr>
      <w:r>
        <w:rPr>
          <w:rFonts w:ascii="Times New Roman" w:hAnsi="Times New Roman" w:hint="eastAsia"/>
          <w:szCs w:val="24"/>
        </w:rPr>
        <w:t>湖南南洞庭湖省级自然保护区位于洞庭湖西南，由澧水、沅江、资江等汇流注入。保护区是整个洞庭湖湿地的重要组成部份，是连通东洞庭湖、西洞庭湖、横岭湖的重要</w:t>
      </w:r>
      <w:r>
        <w:rPr>
          <w:rFonts w:ascii="Times New Roman" w:hAnsi="Times New Roman" w:hint="eastAsia"/>
          <w:szCs w:val="24"/>
        </w:rPr>
        <w:lastRenderedPageBreak/>
        <w:t>水域，具有特殊的地理位置，对长江的洪水调蓄作用极其重要。保护区于</w:t>
      </w:r>
      <w:r>
        <w:rPr>
          <w:rFonts w:ascii="Times New Roman" w:hAnsi="Times New Roman"/>
          <w:szCs w:val="24"/>
        </w:rPr>
        <w:t xml:space="preserve">1991 </w:t>
      </w:r>
      <w:r>
        <w:rPr>
          <w:rFonts w:ascii="Times New Roman" w:hAnsi="Times New Roman"/>
          <w:szCs w:val="24"/>
        </w:rPr>
        <w:t>年建立，</w:t>
      </w:r>
      <w:r>
        <w:rPr>
          <w:rFonts w:ascii="Times New Roman" w:hAnsi="Times New Roman"/>
          <w:szCs w:val="24"/>
        </w:rPr>
        <w:t xml:space="preserve">1997 </w:t>
      </w:r>
      <w:r>
        <w:rPr>
          <w:rFonts w:ascii="Times New Roman" w:hAnsi="Times New Roman"/>
          <w:szCs w:val="24"/>
        </w:rPr>
        <w:t>年晋升为省级自然保护区，</w:t>
      </w:r>
      <w:r>
        <w:rPr>
          <w:rFonts w:ascii="Times New Roman" w:hAnsi="Times New Roman"/>
          <w:szCs w:val="24"/>
        </w:rPr>
        <w:t>2002</w:t>
      </w:r>
      <w:r>
        <w:rPr>
          <w:rFonts w:ascii="Times New Roman" w:hAnsi="Times New Roman"/>
          <w:szCs w:val="24"/>
        </w:rPr>
        <w:t>年被列入第二批《湿地公约》的《国际重要湿地名录》。</w:t>
      </w:r>
      <w:r>
        <w:rPr>
          <w:rFonts w:ascii="Times New Roman" w:hAnsi="Times New Roman"/>
          <w:szCs w:val="24"/>
        </w:rPr>
        <w:t>2007</w:t>
      </w:r>
      <w:r>
        <w:rPr>
          <w:rFonts w:ascii="Times New Roman" w:hAnsi="Times New Roman"/>
          <w:szCs w:val="24"/>
        </w:rPr>
        <w:t>年根据湖南省人民政府《关于调整南洞庭湖省级自然保护区规划的批复》（湘政函</w:t>
      </w:r>
      <w:r>
        <w:rPr>
          <w:rFonts w:ascii="Times New Roman" w:hAnsi="Times New Roman"/>
          <w:szCs w:val="24"/>
        </w:rPr>
        <w:t>[2007]45</w:t>
      </w:r>
      <w:r>
        <w:rPr>
          <w:rFonts w:ascii="Times New Roman" w:hAnsi="Times New Roman"/>
          <w:szCs w:val="24"/>
        </w:rPr>
        <w:t>号）将保护区范围进行调整</w:t>
      </w:r>
      <w:r>
        <w:rPr>
          <w:rFonts w:ascii="Times New Roman" w:hAnsi="Times New Roman" w:hint="eastAsia"/>
          <w:szCs w:val="24"/>
        </w:rPr>
        <w:t>，</w:t>
      </w:r>
      <w:r>
        <w:rPr>
          <w:rFonts w:ascii="Times New Roman" w:hAnsi="Times New Roman" w:hint="eastAsia"/>
          <w:szCs w:val="24"/>
        </w:rPr>
        <w:t>2017</w:t>
      </w:r>
      <w:r>
        <w:rPr>
          <w:rFonts w:ascii="Times New Roman" w:hAnsi="Times New Roman" w:hint="eastAsia"/>
          <w:szCs w:val="24"/>
        </w:rPr>
        <w:t>年</w:t>
      </w:r>
      <w:r>
        <w:rPr>
          <w:rFonts w:ascii="Times New Roman" w:hAnsi="Times New Roman" w:hint="eastAsia"/>
          <w:szCs w:val="24"/>
        </w:rPr>
        <w:t>7</w:t>
      </w:r>
      <w:r>
        <w:rPr>
          <w:rFonts w:ascii="Times New Roman" w:hAnsi="Times New Roman" w:hint="eastAsia"/>
          <w:szCs w:val="24"/>
        </w:rPr>
        <w:t>月益阳市人民政府决定启动湖南南洞庭湖省级自然保护区范围第二次范围调整工作。调整后</w:t>
      </w:r>
      <w:r>
        <w:rPr>
          <w:rFonts w:ascii="Times New Roman" w:hAnsi="Times New Roman"/>
          <w:szCs w:val="24"/>
        </w:rPr>
        <w:t>南洞庭湖自然保护区总面积</w:t>
      </w:r>
      <w:r>
        <w:rPr>
          <w:rFonts w:ascii="Times New Roman" w:hAnsi="Times New Roman"/>
          <w:szCs w:val="24"/>
        </w:rPr>
        <w:t>80125.28hm</w:t>
      </w:r>
      <w:r>
        <w:rPr>
          <w:rFonts w:ascii="Times New Roman" w:hAnsi="Times New Roman"/>
          <w:szCs w:val="24"/>
          <w:vertAlign w:val="superscript"/>
        </w:rPr>
        <w:t>2</w:t>
      </w:r>
      <w:r>
        <w:rPr>
          <w:rFonts w:ascii="Times New Roman" w:hAnsi="Times New Roman" w:hint="eastAsia"/>
          <w:szCs w:val="24"/>
        </w:rPr>
        <w:t>。</w:t>
      </w:r>
      <w:r>
        <w:rPr>
          <w:rFonts w:ascii="Times New Roman" w:hAnsi="Times New Roman"/>
          <w:szCs w:val="24"/>
        </w:rPr>
        <w:t>位于北纬</w:t>
      </w:r>
      <w:r>
        <w:rPr>
          <w:rFonts w:ascii="Times New Roman" w:hAnsi="Times New Roman"/>
          <w:szCs w:val="24"/>
        </w:rPr>
        <w:t>28°45′47.5"</w:t>
      </w:r>
      <w:r>
        <w:rPr>
          <w:rFonts w:ascii="Times New Roman" w:hAnsi="Times New Roman"/>
          <w:szCs w:val="24"/>
        </w:rPr>
        <w:t>～</w:t>
      </w:r>
      <w:r>
        <w:rPr>
          <w:rFonts w:ascii="Times New Roman" w:hAnsi="Times New Roman"/>
          <w:szCs w:val="24"/>
        </w:rPr>
        <w:t>29°11′08.1"</w:t>
      </w:r>
      <w:r>
        <w:rPr>
          <w:rFonts w:ascii="Times New Roman" w:hAnsi="Times New Roman"/>
          <w:szCs w:val="24"/>
        </w:rPr>
        <w:t>，东经</w:t>
      </w:r>
      <w:r>
        <w:rPr>
          <w:rFonts w:ascii="Times New Roman" w:hAnsi="Times New Roman"/>
          <w:szCs w:val="24"/>
        </w:rPr>
        <w:t>112°14′32.1"</w:t>
      </w:r>
      <w:r>
        <w:rPr>
          <w:rFonts w:ascii="Times New Roman" w:hAnsi="Times New Roman"/>
          <w:szCs w:val="24"/>
        </w:rPr>
        <w:t>～</w:t>
      </w:r>
      <w:r>
        <w:rPr>
          <w:rFonts w:ascii="Times New Roman" w:hAnsi="Times New Roman"/>
          <w:szCs w:val="24"/>
        </w:rPr>
        <w:t>112°56′18.3"</w:t>
      </w:r>
      <w:r>
        <w:rPr>
          <w:rFonts w:ascii="Times New Roman" w:hAnsi="Times New Roman"/>
          <w:szCs w:val="24"/>
        </w:rPr>
        <w:t>。</w:t>
      </w:r>
    </w:p>
    <w:p w:rsidR="004B4777" w:rsidRDefault="004B4777">
      <w:pPr>
        <w:ind w:firstLine="480"/>
        <w:rPr>
          <w:rFonts w:ascii="Times New Roman" w:hAnsi="Times New Roman"/>
          <w:szCs w:val="24"/>
        </w:rPr>
      </w:pPr>
      <w:r>
        <w:rPr>
          <w:rFonts w:ascii="Times New Roman" w:hAnsi="Times New Roman" w:hint="eastAsia"/>
          <w:szCs w:val="24"/>
        </w:rPr>
        <w:t>（</w:t>
      </w:r>
      <w:r>
        <w:rPr>
          <w:rFonts w:ascii="Times New Roman" w:hAnsi="Times New Roman" w:hint="eastAsia"/>
          <w:szCs w:val="24"/>
        </w:rPr>
        <w:t>1</w:t>
      </w:r>
      <w:r>
        <w:rPr>
          <w:rFonts w:ascii="Times New Roman" w:hAnsi="Times New Roman" w:hint="eastAsia"/>
          <w:szCs w:val="24"/>
        </w:rPr>
        <w:t>）保护区功能区划</w:t>
      </w:r>
    </w:p>
    <w:p w:rsidR="004B4777" w:rsidRDefault="004B4777">
      <w:pPr>
        <w:ind w:firstLine="480"/>
        <w:rPr>
          <w:rFonts w:ascii="Times New Roman" w:hAnsi="Times New Roman"/>
          <w:szCs w:val="24"/>
        </w:rPr>
      </w:pPr>
      <w:r>
        <w:rPr>
          <w:rFonts w:ascii="Times New Roman" w:hAnsi="Times New Roman"/>
          <w:szCs w:val="24"/>
        </w:rPr>
        <w:t>根据《中华人民共和国自然保护区条例》、《湖南南洞庭湖自然保护区总体规划》（</w:t>
      </w:r>
      <w:r>
        <w:rPr>
          <w:rFonts w:ascii="Times New Roman" w:hAnsi="Times New Roman"/>
          <w:szCs w:val="24"/>
        </w:rPr>
        <w:t>2018-2027</w:t>
      </w:r>
      <w:r>
        <w:rPr>
          <w:rFonts w:ascii="Times New Roman" w:hAnsi="Times New Roman"/>
          <w:szCs w:val="24"/>
        </w:rPr>
        <w:t>）</w:t>
      </w:r>
      <w:r>
        <w:rPr>
          <w:rFonts w:ascii="Times New Roman" w:hAnsi="Times New Roman" w:hint="eastAsia"/>
          <w:szCs w:val="24"/>
        </w:rPr>
        <w:t>，</w:t>
      </w:r>
      <w:r>
        <w:rPr>
          <w:rFonts w:ascii="Times New Roman" w:hAnsi="Times New Roman"/>
          <w:szCs w:val="24"/>
        </w:rPr>
        <w:t>将保护区划分为核心区、缓冲区、实验区三大功能区，总面积</w:t>
      </w:r>
      <w:r>
        <w:rPr>
          <w:rFonts w:ascii="Times New Roman" w:hAnsi="Times New Roman"/>
          <w:szCs w:val="24"/>
        </w:rPr>
        <w:t>80125.28hm</w:t>
      </w:r>
      <w:r>
        <w:rPr>
          <w:rFonts w:ascii="Times New Roman" w:hAnsi="Times New Roman"/>
          <w:szCs w:val="24"/>
          <w:vertAlign w:val="superscript"/>
        </w:rPr>
        <w:t>2</w:t>
      </w:r>
      <w:r>
        <w:rPr>
          <w:rFonts w:ascii="Times New Roman" w:hAnsi="Times New Roman"/>
          <w:szCs w:val="24"/>
        </w:rPr>
        <w:t>。</w:t>
      </w:r>
    </w:p>
    <w:p w:rsidR="004B4777" w:rsidRDefault="004B4777">
      <w:pPr>
        <w:ind w:firstLine="480"/>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w:instrText>
      </w:r>
      <w:r>
        <w:rPr>
          <w:rFonts w:ascii="Times New Roman" w:hAnsi="Times New Roman" w:hint="eastAsia"/>
          <w:szCs w:val="24"/>
        </w:rPr>
        <w:instrText>= 1 \* GB3</w:instrText>
      </w:r>
      <w:r>
        <w:rPr>
          <w:rFonts w:ascii="Times New Roman" w:hAnsi="Times New Roman"/>
          <w:szCs w:val="24"/>
        </w:rPr>
        <w:instrText xml:space="preserve"> </w:instrText>
      </w:r>
      <w:r>
        <w:rPr>
          <w:rFonts w:ascii="Times New Roman" w:hAnsi="Times New Roman"/>
          <w:szCs w:val="24"/>
        </w:rPr>
        <w:fldChar w:fldCharType="separate"/>
      </w:r>
      <w:r>
        <w:rPr>
          <w:rFonts w:ascii="Times New Roman" w:hAnsi="Times New Roman" w:hint="eastAsia"/>
          <w:szCs w:val="24"/>
        </w:rPr>
        <w:t>①</w:t>
      </w:r>
      <w:r>
        <w:rPr>
          <w:rFonts w:ascii="Times New Roman" w:hAnsi="Times New Roman"/>
          <w:szCs w:val="24"/>
        </w:rPr>
        <w:fldChar w:fldCharType="end"/>
      </w:r>
      <w:r>
        <w:rPr>
          <w:rFonts w:ascii="Times New Roman" w:hAnsi="Times New Roman"/>
          <w:szCs w:val="24"/>
        </w:rPr>
        <w:t>核心区：按照生态系统的自然状态、保护对象的集中程度、面积的适宜性以及尽可能的避开人为活动频繁区域，将南洞庭湖划分为两个核心区，一个是湿地生态系统核心区，一个是森林生态系统核心区。其中湿地生态系统核心区涉及万子湖和漉湖两个湖泊为核心区，面积</w:t>
      </w:r>
      <w:r>
        <w:rPr>
          <w:rFonts w:ascii="Times New Roman" w:hAnsi="Times New Roman"/>
          <w:szCs w:val="24"/>
        </w:rPr>
        <w:t>19714.68hm</w:t>
      </w:r>
      <w:r>
        <w:rPr>
          <w:rFonts w:ascii="Times New Roman" w:hAnsi="Times New Roman"/>
          <w:szCs w:val="24"/>
          <w:vertAlign w:val="superscript"/>
        </w:rPr>
        <w:t>2</w:t>
      </w:r>
      <w:r>
        <w:rPr>
          <w:rFonts w:ascii="Times New Roman" w:hAnsi="Times New Roman"/>
          <w:szCs w:val="24"/>
        </w:rPr>
        <w:t>，占保护区面积的</w:t>
      </w:r>
      <w:r>
        <w:rPr>
          <w:rFonts w:ascii="Times New Roman" w:hAnsi="Times New Roman"/>
          <w:szCs w:val="24"/>
        </w:rPr>
        <w:t>24.60</w:t>
      </w:r>
      <w:r>
        <w:rPr>
          <w:rFonts w:ascii="Times New Roman" w:hAnsi="Times New Roman" w:hint="eastAsia"/>
          <w:szCs w:val="24"/>
        </w:rPr>
        <w:t>%</w:t>
      </w:r>
      <w:r>
        <w:rPr>
          <w:rFonts w:ascii="Times New Roman" w:hAnsi="Times New Roman"/>
          <w:szCs w:val="24"/>
        </w:rPr>
        <w:t>,</w:t>
      </w:r>
      <w:r>
        <w:rPr>
          <w:rFonts w:ascii="Times New Roman" w:hAnsi="Times New Roman"/>
          <w:szCs w:val="24"/>
        </w:rPr>
        <w:t>区内湿地类型多样、湿地生态系统典型，栖息着白鹤、东方白鹳等多种珍</w:t>
      </w:r>
      <w:r>
        <w:rPr>
          <w:rFonts w:ascii="Times New Roman" w:hAnsi="Times New Roman" w:hint="eastAsia"/>
          <w:szCs w:val="24"/>
        </w:rPr>
        <w:t>稀</w:t>
      </w:r>
      <w:r>
        <w:rPr>
          <w:rFonts w:ascii="Times New Roman" w:hAnsi="Times New Roman"/>
          <w:szCs w:val="24"/>
        </w:rPr>
        <w:t>水禽。</w:t>
      </w:r>
    </w:p>
    <w:p w:rsidR="004B4777" w:rsidRDefault="004B4777">
      <w:pPr>
        <w:ind w:firstLine="480"/>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w:instrText>
      </w:r>
      <w:r>
        <w:rPr>
          <w:rFonts w:ascii="Times New Roman" w:hAnsi="Times New Roman" w:hint="eastAsia"/>
          <w:szCs w:val="24"/>
        </w:rPr>
        <w:instrText>= 2 \* GB3</w:instrText>
      </w:r>
      <w:r>
        <w:rPr>
          <w:rFonts w:ascii="Times New Roman" w:hAnsi="Times New Roman"/>
          <w:szCs w:val="24"/>
        </w:rPr>
        <w:instrText xml:space="preserve"> </w:instrText>
      </w:r>
      <w:r>
        <w:rPr>
          <w:rFonts w:ascii="Times New Roman" w:hAnsi="Times New Roman"/>
          <w:szCs w:val="24"/>
        </w:rPr>
        <w:fldChar w:fldCharType="separate"/>
      </w:r>
      <w:r>
        <w:rPr>
          <w:rFonts w:ascii="Times New Roman" w:hAnsi="Times New Roman" w:hint="eastAsia"/>
          <w:szCs w:val="24"/>
        </w:rPr>
        <w:t>②</w:t>
      </w:r>
      <w:r>
        <w:rPr>
          <w:rFonts w:ascii="Times New Roman" w:hAnsi="Times New Roman"/>
          <w:szCs w:val="24"/>
        </w:rPr>
        <w:fldChar w:fldCharType="end"/>
      </w:r>
      <w:r>
        <w:rPr>
          <w:rFonts w:ascii="Times New Roman" w:hAnsi="Times New Roman"/>
          <w:szCs w:val="24"/>
        </w:rPr>
        <w:t>缓冲区：为防止核心区受到外界的影响和干扰，有效地保护珍稀濒危动植物及生态环境，同时方便开展正常的生产经营和生态旅游等活动，根据生物资源、地形条件、居民等实际情况，将核心区外</w:t>
      </w:r>
      <w:r>
        <w:rPr>
          <w:rFonts w:ascii="Times New Roman" w:hAnsi="Times New Roman"/>
          <w:szCs w:val="24"/>
        </w:rPr>
        <w:t>500-2000</w:t>
      </w:r>
      <w:r>
        <w:rPr>
          <w:rFonts w:ascii="Times New Roman" w:hAnsi="Times New Roman"/>
          <w:szCs w:val="24"/>
        </w:rPr>
        <w:t>米划出缓冲区，共</w:t>
      </w:r>
      <w:r>
        <w:rPr>
          <w:rFonts w:ascii="Times New Roman" w:hAnsi="Times New Roman" w:hint="eastAsia"/>
          <w:szCs w:val="24"/>
        </w:rPr>
        <w:t>分为</w:t>
      </w:r>
      <w:r>
        <w:rPr>
          <w:rFonts w:ascii="Times New Roman" w:hAnsi="Times New Roman"/>
          <w:szCs w:val="24"/>
        </w:rPr>
        <w:t>万子湖和漉湖缓冲区，缓冲区</w:t>
      </w:r>
      <w:r>
        <w:rPr>
          <w:rFonts w:ascii="Times New Roman" w:hAnsi="Times New Roman" w:hint="eastAsia"/>
          <w:szCs w:val="24"/>
        </w:rPr>
        <w:t>总</w:t>
      </w:r>
      <w:r>
        <w:rPr>
          <w:rFonts w:ascii="Times New Roman" w:hAnsi="Times New Roman"/>
          <w:szCs w:val="24"/>
        </w:rPr>
        <w:t>面积为</w:t>
      </w:r>
      <w:r>
        <w:rPr>
          <w:rFonts w:ascii="Times New Roman" w:hAnsi="Times New Roman"/>
          <w:szCs w:val="24"/>
        </w:rPr>
        <w:t>23058.11hm</w:t>
      </w:r>
      <w:r>
        <w:rPr>
          <w:rFonts w:ascii="Times New Roman" w:hAnsi="Times New Roman"/>
          <w:szCs w:val="24"/>
          <w:vertAlign w:val="superscript"/>
        </w:rPr>
        <w:t>2</w:t>
      </w:r>
      <w:r>
        <w:rPr>
          <w:rFonts w:ascii="Times New Roman" w:hAnsi="Times New Roman" w:hint="eastAsia"/>
          <w:szCs w:val="24"/>
        </w:rPr>
        <w:t>，</w:t>
      </w:r>
      <w:r>
        <w:rPr>
          <w:rFonts w:ascii="Times New Roman" w:hAnsi="Times New Roman"/>
          <w:szCs w:val="24"/>
        </w:rPr>
        <w:t>占保护区总面积的</w:t>
      </w:r>
      <w:r>
        <w:rPr>
          <w:rFonts w:ascii="Times New Roman" w:hAnsi="Times New Roman" w:hint="eastAsia"/>
          <w:szCs w:val="24"/>
        </w:rPr>
        <w:t>28.78%</w:t>
      </w:r>
      <w:r>
        <w:rPr>
          <w:rFonts w:ascii="Times New Roman" w:hAnsi="Times New Roman" w:hint="eastAsia"/>
          <w:szCs w:val="24"/>
        </w:rPr>
        <w:t>。</w:t>
      </w:r>
    </w:p>
    <w:p w:rsidR="004B4777" w:rsidRDefault="004B4777">
      <w:pPr>
        <w:ind w:firstLine="480"/>
        <w:rPr>
          <w:rFonts w:ascii="Times New Roman" w:hAnsi="Times New Roman"/>
          <w:szCs w:val="24"/>
        </w:rPr>
      </w:pPr>
      <w:r>
        <w:rPr>
          <w:rFonts w:ascii="Times New Roman" w:hAnsi="Times New Roman"/>
          <w:szCs w:val="24"/>
        </w:rPr>
        <w:fldChar w:fldCharType="begin"/>
      </w:r>
      <w:r>
        <w:rPr>
          <w:rFonts w:ascii="Times New Roman" w:hAnsi="Times New Roman"/>
          <w:szCs w:val="24"/>
        </w:rPr>
        <w:instrText xml:space="preserve"> </w:instrText>
      </w:r>
      <w:r>
        <w:rPr>
          <w:rFonts w:ascii="Times New Roman" w:hAnsi="Times New Roman" w:hint="eastAsia"/>
          <w:szCs w:val="24"/>
        </w:rPr>
        <w:instrText>= 3 \* GB3</w:instrText>
      </w:r>
      <w:r>
        <w:rPr>
          <w:rFonts w:ascii="Times New Roman" w:hAnsi="Times New Roman"/>
          <w:szCs w:val="24"/>
        </w:rPr>
        <w:instrText xml:space="preserve"> </w:instrText>
      </w:r>
      <w:r>
        <w:rPr>
          <w:rFonts w:ascii="Times New Roman" w:hAnsi="Times New Roman"/>
          <w:szCs w:val="24"/>
        </w:rPr>
        <w:fldChar w:fldCharType="separate"/>
      </w:r>
      <w:r>
        <w:rPr>
          <w:rFonts w:ascii="Times New Roman" w:hAnsi="Times New Roman" w:hint="eastAsia"/>
          <w:szCs w:val="24"/>
        </w:rPr>
        <w:t>③</w:t>
      </w:r>
      <w:r>
        <w:rPr>
          <w:rFonts w:ascii="Times New Roman" w:hAnsi="Times New Roman"/>
          <w:szCs w:val="24"/>
        </w:rPr>
        <w:fldChar w:fldCharType="end"/>
      </w:r>
      <w:r>
        <w:rPr>
          <w:rFonts w:ascii="Times New Roman" w:hAnsi="Times New Roman"/>
          <w:szCs w:val="24"/>
        </w:rPr>
        <w:t>实验区：</w:t>
      </w:r>
      <w:r>
        <w:rPr>
          <w:rFonts w:ascii="Times New Roman" w:hAnsi="Times New Roman" w:hint="eastAsia"/>
          <w:szCs w:val="24"/>
        </w:rPr>
        <w:t>实验区的区划应根据资源特点，科学价值和地区条件，有目的地区划科学试验、教学实习、参观考察、驯养繁殖、多种经营、生态旅游等活动分区。本次区划保护区实验区总面积</w:t>
      </w:r>
      <w:r>
        <w:rPr>
          <w:rFonts w:ascii="Times New Roman" w:hAnsi="Times New Roman"/>
          <w:szCs w:val="24"/>
        </w:rPr>
        <w:t>37352.49hm</w:t>
      </w:r>
      <w:r>
        <w:rPr>
          <w:rFonts w:ascii="Times New Roman" w:hAnsi="Times New Roman"/>
          <w:szCs w:val="24"/>
          <w:vertAlign w:val="superscript"/>
        </w:rPr>
        <w:t>2</w:t>
      </w:r>
      <w:r>
        <w:rPr>
          <w:rFonts w:ascii="Times New Roman" w:hAnsi="Times New Roman" w:hint="eastAsia"/>
          <w:szCs w:val="24"/>
        </w:rPr>
        <w:t>，占自然保护区总面积的</w:t>
      </w:r>
      <w:r>
        <w:rPr>
          <w:rFonts w:ascii="Times New Roman" w:hAnsi="Times New Roman"/>
          <w:szCs w:val="24"/>
        </w:rPr>
        <w:t>46.62%</w:t>
      </w:r>
      <w:r>
        <w:rPr>
          <w:rFonts w:ascii="Times New Roman" w:hAnsi="Times New Roman" w:hint="eastAsia"/>
          <w:szCs w:val="24"/>
        </w:rPr>
        <w:t>。</w:t>
      </w:r>
    </w:p>
    <w:p w:rsidR="004B4777" w:rsidRDefault="004B4777">
      <w:pPr>
        <w:ind w:firstLine="480"/>
        <w:rPr>
          <w:rFonts w:ascii="Times New Roman" w:hAnsi="Times New Roman" w:hint="eastAsia"/>
          <w:szCs w:val="24"/>
        </w:rPr>
      </w:pPr>
      <w:r>
        <w:rPr>
          <w:rFonts w:ascii="Times New Roman" w:hAnsi="Times New Roman" w:hint="eastAsia"/>
          <w:szCs w:val="24"/>
        </w:rPr>
        <w:t>保护对象主要有：①南洞庭湖湖泊、河流、沼泽等复合湿地生态系统；②以白鹤、小天鹅、中华秋沙鸭、青头潜鸭、麋鹿、中华鲟、莼菜等为代表的珍稀濒危野生动植物及其栖息地；③南洞庭湖自然、人文景观及湖乡传统文化。</w:t>
      </w:r>
    </w:p>
    <w:p w:rsidR="004B4777" w:rsidRDefault="004B4777">
      <w:pPr>
        <w:ind w:firstLine="480"/>
        <w:rPr>
          <w:rFonts w:ascii="Times New Roman" w:hAnsi="Times New Roman" w:hint="eastAsia"/>
          <w:szCs w:val="24"/>
        </w:rPr>
      </w:pPr>
      <w:r>
        <w:rPr>
          <w:rFonts w:ascii="Times New Roman" w:hAnsi="Times New Roman" w:hint="eastAsia"/>
          <w:szCs w:val="24"/>
        </w:rPr>
        <w:t>项目采区范围不涉及湖南南洞庭湖省级自然保护区，易婆塘采砂区与湖南南洞庭湖省级自然保护区实验区最近距离为</w:t>
      </w:r>
      <w:r>
        <w:rPr>
          <w:rFonts w:ascii="Times New Roman" w:hAnsi="Times New Roman" w:hint="eastAsia"/>
          <w:szCs w:val="24"/>
        </w:rPr>
        <w:t>749</w:t>
      </w:r>
      <w:r>
        <w:rPr>
          <w:rFonts w:ascii="Times New Roman" w:hAnsi="Times New Roman" w:hint="eastAsia"/>
          <w:szCs w:val="24"/>
        </w:rPr>
        <w:t>米。</w:t>
      </w:r>
    </w:p>
    <w:p w:rsidR="004B4777" w:rsidRDefault="004B4777">
      <w:pPr>
        <w:pStyle w:val="4"/>
        <w:spacing w:before="0" w:after="0"/>
        <w:jc w:val="both"/>
        <w:rPr>
          <w:rFonts w:ascii="Times New Roman" w:eastAsia="宋体" w:hAnsi="Times New Roman"/>
          <w:b/>
        </w:rPr>
      </w:pPr>
      <w:r>
        <w:rPr>
          <w:rFonts w:ascii="Times New Roman" w:eastAsia="宋体" w:hAnsi="Times New Roman"/>
          <w:b/>
        </w:rPr>
        <w:lastRenderedPageBreak/>
        <w:t xml:space="preserve">5.1.2.10 </w:t>
      </w:r>
      <w:r>
        <w:rPr>
          <w:rFonts w:ascii="Times New Roman" w:eastAsia="宋体" w:hAnsi="Times New Roman" w:hint="eastAsia"/>
          <w:b/>
        </w:rPr>
        <w:t>南洞庭湖大口鲶青虾</w:t>
      </w:r>
      <w:r>
        <w:rPr>
          <w:rFonts w:ascii="Times New Roman" w:eastAsia="宋体" w:hAnsi="Times New Roman"/>
          <w:b/>
        </w:rPr>
        <w:t>国家级水产种质资源保护区</w:t>
      </w:r>
    </w:p>
    <w:p w:rsidR="004B4777" w:rsidRDefault="004B4777">
      <w:pPr>
        <w:ind w:firstLine="480"/>
        <w:rPr>
          <w:rFonts w:ascii="Times New Roman" w:hAnsi="Times New Roman"/>
          <w:szCs w:val="24"/>
        </w:rPr>
      </w:pPr>
      <w:r>
        <w:rPr>
          <w:rFonts w:ascii="Times New Roman" w:hAnsi="Times New Roman"/>
          <w:szCs w:val="24"/>
        </w:rPr>
        <w:t>南洞庭湖</w:t>
      </w:r>
      <w:r>
        <w:rPr>
          <w:rFonts w:ascii="Times New Roman" w:hAnsi="Times New Roman" w:hint="eastAsia"/>
          <w:szCs w:val="24"/>
        </w:rPr>
        <w:t>大口鲶</w:t>
      </w:r>
      <w:r>
        <w:rPr>
          <w:rFonts w:ascii="Times New Roman" w:hAnsi="Times New Roman"/>
          <w:szCs w:val="24"/>
        </w:rPr>
        <w:t>青虾中华鳖国家级水产种质资源保护区为农业部</w:t>
      </w:r>
      <w:r>
        <w:rPr>
          <w:rFonts w:ascii="Times New Roman" w:hAnsi="Times New Roman"/>
          <w:szCs w:val="24"/>
        </w:rPr>
        <w:t>2008</w:t>
      </w:r>
      <w:r>
        <w:rPr>
          <w:rFonts w:ascii="Times New Roman" w:hAnsi="Times New Roman"/>
          <w:szCs w:val="24"/>
        </w:rPr>
        <w:t>年</w:t>
      </w:r>
      <w:r>
        <w:rPr>
          <w:rFonts w:ascii="Times New Roman" w:hAnsi="Times New Roman" w:hint="eastAsia"/>
          <w:szCs w:val="24"/>
        </w:rPr>
        <w:t>（农业部公告第</w:t>
      </w:r>
      <w:r>
        <w:rPr>
          <w:rFonts w:ascii="Times New Roman" w:hAnsi="Times New Roman" w:hint="eastAsia"/>
          <w:szCs w:val="24"/>
        </w:rPr>
        <w:t>1130</w:t>
      </w:r>
      <w:r>
        <w:rPr>
          <w:rFonts w:ascii="Times New Roman" w:hAnsi="Times New Roman" w:hint="eastAsia"/>
          <w:szCs w:val="24"/>
        </w:rPr>
        <w:t>号</w:t>
      </w:r>
      <w:r>
        <w:rPr>
          <w:rFonts w:ascii="Times New Roman" w:hAnsi="Times New Roman" w:hint="eastAsia"/>
          <w:szCs w:val="24"/>
        </w:rPr>
        <w:t>2008</w:t>
      </w:r>
      <w:r>
        <w:rPr>
          <w:rFonts w:ascii="Times New Roman" w:hAnsi="Times New Roman" w:hint="eastAsia"/>
          <w:szCs w:val="24"/>
        </w:rPr>
        <w:t>年</w:t>
      </w:r>
      <w:r>
        <w:rPr>
          <w:rFonts w:ascii="Times New Roman" w:hAnsi="Times New Roman" w:hint="eastAsia"/>
          <w:szCs w:val="24"/>
        </w:rPr>
        <w:t>12</w:t>
      </w:r>
      <w:r>
        <w:rPr>
          <w:rFonts w:ascii="Times New Roman" w:hAnsi="Times New Roman" w:hint="eastAsia"/>
          <w:szCs w:val="24"/>
        </w:rPr>
        <w:t>月</w:t>
      </w:r>
      <w:r>
        <w:rPr>
          <w:rFonts w:ascii="Times New Roman" w:hAnsi="Times New Roman" w:hint="eastAsia"/>
          <w:szCs w:val="24"/>
        </w:rPr>
        <w:t>22</w:t>
      </w:r>
      <w:r>
        <w:rPr>
          <w:rFonts w:ascii="Times New Roman" w:hAnsi="Times New Roman" w:hint="eastAsia"/>
          <w:szCs w:val="24"/>
        </w:rPr>
        <w:t>日）</w:t>
      </w:r>
      <w:r>
        <w:rPr>
          <w:rFonts w:ascii="Times New Roman" w:hAnsi="Times New Roman"/>
          <w:szCs w:val="24"/>
        </w:rPr>
        <w:t>颁布的第二批国家级水产种质资源保护区。保护区总面积</w:t>
      </w:r>
      <w:r>
        <w:rPr>
          <w:rFonts w:ascii="Times New Roman" w:hAnsi="Times New Roman"/>
          <w:szCs w:val="24"/>
        </w:rPr>
        <w:t>4.3</w:t>
      </w:r>
      <w:r>
        <w:rPr>
          <w:rFonts w:ascii="Times New Roman" w:hAnsi="Times New Roman"/>
          <w:szCs w:val="24"/>
        </w:rPr>
        <w:t>万公顷，其中实验区</w:t>
      </w:r>
      <w:r>
        <w:rPr>
          <w:rFonts w:ascii="Times New Roman" w:hAnsi="Times New Roman"/>
          <w:szCs w:val="24"/>
        </w:rPr>
        <w:t>3.1</w:t>
      </w:r>
      <w:r>
        <w:rPr>
          <w:rFonts w:ascii="Times New Roman" w:hAnsi="Times New Roman"/>
          <w:szCs w:val="24"/>
        </w:rPr>
        <w:t>万公顷、核心区</w:t>
      </w:r>
      <w:r>
        <w:rPr>
          <w:rFonts w:ascii="Times New Roman" w:hAnsi="Times New Roman"/>
          <w:szCs w:val="24"/>
        </w:rPr>
        <w:t>1.2</w:t>
      </w:r>
      <w:r>
        <w:rPr>
          <w:rFonts w:ascii="Times New Roman" w:hAnsi="Times New Roman"/>
          <w:szCs w:val="24"/>
        </w:rPr>
        <w:t>万公顷。核心区特别保护期为全年。保护区位于南洞庭湖水域，范围在东经</w:t>
      </w:r>
      <w:r>
        <w:rPr>
          <w:rFonts w:ascii="Times New Roman" w:hAnsi="Times New Roman"/>
          <w:szCs w:val="24"/>
        </w:rPr>
        <w:t>112°38′~112°57′</w:t>
      </w:r>
      <w:r>
        <w:rPr>
          <w:rFonts w:ascii="Times New Roman" w:hAnsi="Times New Roman"/>
          <w:szCs w:val="24"/>
        </w:rPr>
        <w:t>，北纬</w:t>
      </w:r>
      <w:r>
        <w:rPr>
          <w:rFonts w:ascii="Times New Roman" w:hAnsi="Times New Roman"/>
          <w:szCs w:val="24"/>
        </w:rPr>
        <w:t xml:space="preserve"> 28°36′~29°03′</w:t>
      </w:r>
      <w:r>
        <w:rPr>
          <w:rFonts w:ascii="Times New Roman" w:hAnsi="Times New Roman"/>
          <w:szCs w:val="24"/>
        </w:rPr>
        <w:t>，北到营田闸，西至沅江宝塔湖、漉湖，南连湘阴县洞庭垸、城西镇，东邻湘江。核心区分为三部分：西口核心区，范围从西口东侧起，南至杨林寨堤边，东接横岭湖，北至杨四湖废堤</w:t>
      </w:r>
      <w:r>
        <w:rPr>
          <w:rFonts w:ascii="Times New Roman" w:hAnsi="Times New Roman"/>
          <w:szCs w:val="24"/>
        </w:rPr>
        <w:t>,</w:t>
      </w:r>
      <w:r>
        <w:rPr>
          <w:rFonts w:ascii="Times New Roman" w:hAnsi="Times New Roman"/>
          <w:szCs w:val="24"/>
        </w:rPr>
        <w:t>面积</w:t>
      </w:r>
      <w:r>
        <w:rPr>
          <w:rFonts w:ascii="Times New Roman" w:hAnsi="Times New Roman"/>
          <w:szCs w:val="24"/>
        </w:rPr>
        <w:t>7200</w:t>
      </w:r>
      <w:r>
        <w:rPr>
          <w:rFonts w:ascii="Times New Roman" w:hAnsi="Times New Roman"/>
          <w:szCs w:val="24"/>
        </w:rPr>
        <w:t>公顷</w:t>
      </w:r>
      <w:r>
        <w:rPr>
          <w:rFonts w:ascii="Times New Roman" w:hAnsi="Times New Roman"/>
          <w:szCs w:val="24"/>
        </w:rPr>
        <w:t>,</w:t>
      </w:r>
      <w:r>
        <w:rPr>
          <w:rFonts w:ascii="Times New Roman" w:hAnsi="Times New Roman"/>
          <w:szCs w:val="24"/>
        </w:rPr>
        <w:t>位于</w:t>
      </w:r>
      <w:r>
        <w:rPr>
          <w:rFonts w:ascii="Times New Roman" w:hAnsi="Times New Roman"/>
          <w:szCs w:val="24"/>
        </w:rPr>
        <w:t>E112°43′~112°52′</w:t>
      </w:r>
      <w:r>
        <w:rPr>
          <w:rFonts w:ascii="Times New Roman" w:hAnsi="Times New Roman" w:hint="eastAsia"/>
          <w:szCs w:val="24"/>
        </w:rPr>
        <w:t xml:space="preserve"> </w:t>
      </w:r>
      <w:r>
        <w:rPr>
          <w:rFonts w:ascii="Times New Roman" w:hAnsi="Times New Roman"/>
          <w:szCs w:val="24"/>
        </w:rPr>
        <w:t>N28°39′~28°45′</w:t>
      </w:r>
      <w:r>
        <w:rPr>
          <w:rFonts w:ascii="Times New Roman" w:hAnsi="Times New Roman"/>
          <w:szCs w:val="24"/>
        </w:rPr>
        <w:t>之间；畎口核心区包括官司潭、竹山头、狗四坳一带的水域面积</w:t>
      </w:r>
      <w:r>
        <w:rPr>
          <w:rFonts w:ascii="Times New Roman" w:hAnsi="Times New Roman"/>
          <w:szCs w:val="24"/>
        </w:rPr>
        <w:t>3000</w:t>
      </w:r>
      <w:r>
        <w:rPr>
          <w:rFonts w:ascii="Times New Roman" w:hAnsi="Times New Roman"/>
          <w:szCs w:val="24"/>
        </w:rPr>
        <w:t>公顷</w:t>
      </w:r>
      <w:r>
        <w:rPr>
          <w:rFonts w:ascii="Times New Roman" w:hAnsi="Times New Roman"/>
          <w:szCs w:val="24"/>
        </w:rPr>
        <w:t>,</w:t>
      </w:r>
      <w:r>
        <w:rPr>
          <w:rFonts w:ascii="Times New Roman" w:hAnsi="Times New Roman"/>
          <w:szCs w:val="24"/>
        </w:rPr>
        <w:t>位于</w:t>
      </w:r>
      <w:r>
        <w:rPr>
          <w:rFonts w:ascii="Times New Roman" w:hAnsi="Times New Roman"/>
          <w:szCs w:val="24"/>
        </w:rPr>
        <w:t>E112°39′~112°43′</w:t>
      </w:r>
      <w:r>
        <w:rPr>
          <w:rFonts w:ascii="Times New Roman" w:hAnsi="Times New Roman" w:hint="eastAsia"/>
          <w:szCs w:val="24"/>
        </w:rPr>
        <w:t xml:space="preserve"> </w:t>
      </w:r>
      <w:r>
        <w:rPr>
          <w:rFonts w:ascii="Times New Roman" w:hAnsi="Times New Roman"/>
          <w:szCs w:val="24"/>
        </w:rPr>
        <w:t>N28°44′~28°48′</w:t>
      </w:r>
      <w:r>
        <w:rPr>
          <w:rFonts w:ascii="Times New Roman" w:hAnsi="Times New Roman"/>
          <w:szCs w:val="24"/>
        </w:rPr>
        <w:t>之间；荷叶湖核心区为整个荷叶湖水域面积</w:t>
      </w:r>
      <w:r>
        <w:rPr>
          <w:rFonts w:ascii="Times New Roman" w:hAnsi="Times New Roman"/>
          <w:szCs w:val="24"/>
        </w:rPr>
        <w:t>1800</w:t>
      </w:r>
      <w:r>
        <w:rPr>
          <w:rFonts w:ascii="Times New Roman" w:hAnsi="Times New Roman"/>
          <w:szCs w:val="24"/>
        </w:rPr>
        <w:t>公顷</w:t>
      </w:r>
      <w:r>
        <w:rPr>
          <w:rFonts w:ascii="Times New Roman" w:hAnsi="Times New Roman"/>
          <w:szCs w:val="24"/>
        </w:rPr>
        <w:t>,</w:t>
      </w:r>
      <w:r>
        <w:rPr>
          <w:rFonts w:ascii="Times New Roman" w:hAnsi="Times New Roman"/>
          <w:szCs w:val="24"/>
        </w:rPr>
        <w:t>位于</w:t>
      </w:r>
      <w:r>
        <w:rPr>
          <w:rFonts w:ascii="Times New Roman" w:hAnsi="Times New Roman"/>
          <w:szCs w:val="24"/>
        </w:rPr>
        <w:t>E112°49′~112°53′</w:t>
      </w:r>
      <w:r>
        <w:rPr>
          <w:rFonts w:ascii="Times New Roman" w:hAnsi="Times New Roman" w:hint="eastAsia"/>
          <w:szCs w:val="24"/>
        </w:rPr>
        <w:t xml:space="preserve"> </w:t>
      </w:r>
      <w:r>
        <w:rPr>
          <w:rFonts w:ascii="Times New Roman" w:hAnsi="Times New Roman"/>
          <w:szCs w:val="24"/>
        </w:rPr>
        <w:t>N28°52′~28°55′</w:t>
      </w:r>
      <w:r>
        <w:rPr>
          <w:rFonts w:ascii="Times New Roman" w:hAnsi="Times New Roman"/>
          <w:szCs w:val="24"/>
        </w:rPr>
        <w:t>之间。</w:t>
      </w:r>
    </w:p>
    <w:p w:rsidR="004B4777" w:rsidRDefault="004B4777">
      <w:pPr>
        <w:ind w:firstLine="480"/>
        <w:rPr>
          <w:rFonts w:ascii="Times New Roman" w:hAnsi="Times New Roman"/>
          <w:szCs w:val="24"/>
        </w:rPr>
      </w:pPr>
      <w:r>
        <w:rPr>
          <w:rFonts w:ascii="Times New Roman" w:hAnsi="Times New Roman"/>
          <w:szCs w:val="24"/>
        </w:rPr>
        <w:t>南洞庭湖</w:t>
      </w:r>
      <w:r>
        <w:rPr>
          <w:rFonts w:ascii="Times New Roman" w:hAnsi="Times New Roman" w:hint="eastAsia"/>
          <w:szCs w:val="24"/>
        </w:rPr>
        <w:t>大口鲶</w:t>
      </w:r>
      <w:r>
        <w:rPr>
          <w:rFonts w:ascii="Times New Roman" w:hAnsi="Times New Roman"/>
          <w:szCs w:val="24"/>
        </w:rPr>
        <w:t>青虾中华鳖国家级水产种质资源保护区</w:t>
      </w:r>
      <w:r>
        <w:rPr>
          <w:rFonts w:ascii="Times New Roman" w:hAnsi="Times New Roman" w:hint="eastAsia"/>
          <w:szCs w:val="24"/>
        </w:rPr>
        <w:t>主要保护对象有大口鲶、青虾、中华鳖。西口核心区主要保护鱼类及其它水生动物的产卵和索饵场；畎口核心区主要保护鱼类及其它水生动物的越冬和产卵场；荷叶湖主要保护鱼类及其它水生动物的越冬和索饵场。</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湘阴县斗米咀、易婆塘</w:t>
      </w:r>
      <w:r>
        <w:rPr>
          <w:rFonts w:ascii="Times New Roman" w:hAnsi="Times New Roman" w:hint="eastAsia"/>
          <w:color w:val="000000"/>
          <w:szCs w:val="24"/>
        </w:rPr>
        <w:t>2</w:t>
      </w:r>
      <w:r>
        <w:rPr>
          <w:rFonts w:ascii="Times New Roman" w:hAnsi="Times New Roman" w:hint="eastAsia"/>
          <w:color w:val="000000"/>
          <w:szCs w:val="24"/>
        </w:rPr>
        <w:t>个采砂区不涉及南洞庭湖大口鲶青虾中华鳖国家级水产种质资源保护区。其中，斗米咀采区距离保护区</w:t>
      </w:r>
      <w:r>
        <w:rPr>
          <w:rFonts w:ascii="Times New Roman" w:hAnsi="Times New Roman" w:hint="eastAsia"/>
          <w:color w:val="000000"/>
          <w:szCs w:val="24"/>
        </w:rPr>
        <w:t>385m</w:t>
      </w:r>
      <w:r>
        <w:rPr>
          <w:rFonts w:ascii="Times New Roman" w:hAnsi="Times New Roman" w:hint="eastAsia"/>
          <w:color w:val="000000"/>
          <w:szCs w:val="24"/>
        </w:rPr>
        <w:t>，并相距离一段防洪大堤；易婆塘采砂区位于保护区西侧，距离保护区</w:t>
      </w:r>
      <w:r>
        <w:rPr>
          <w:rFonts w:ascii="Times New Roman" w:hAnsi="Times New Roman" w:hint="eastAsia"/>
          <w:color w:val="000000"/>
          <w:szCs w:val="24"/>
        </w:rPr>
        <w:t>2.3km</w:t>
      </w:r>
      <w:r>
        <w:rPr>
          <w:rFonts w:ascii="Times New Roman" w:hAnsi="Times New Roman" w:hint="eastAsia"/>
          <w:color w:val="000000"/>
          <w:szCs w:val="24"/>
        </w:rPr>
        <w:t>。</w:t>
      </w:r>
    </w:p>
    <w:p w:rsidR="004B4777" w:rsidRDefault="004B4777">
      <w:pPr>
        <w:pStyle w:val="4"/>
        <w:spacing w:before="0" w:after="0"/>
        <w:jc w:val="both"/>
        <w:rPr>
          <w:rFonts w:ascii="Times New Roman" w:eastAsia="宋体" w:hAnsi="Times New Roman" w:hint="eastAsia"/>
          <w:b/>
        </w:rPr>
      </w:pPr>
      <w:r>
        <w:rPr>
          <w:rFonts w:ascii="Times New Roman" w:eastAsia="宋体" w:hAnsi="Times New Roman" w:hint="eastAsia"/>
          <w:b/>
        </w:rPr>
        <w:t xml:space="preserve">5.1.2.11 </w:t>
      </w:r>
      <w:r>
        <w:rPr>
          <w:rFonts w:ascii="Times New Roman" w:eastAsia="宋体" w:hAnsi="Times New Roman" w:hint="eastAsia"/>
          <w:b/>
        </w:rPr>
        <w:t>南洞庭湖银鱼三角帆蚌国家级水产种质资源保护区</w:t>
      </w:r>
    </w:p>
    <w:p w:rsidR="004B4777" w:rsidRDefault="004B4777">
      <w:pPr>
        <w:ind w:firstLine="480"/>
        <w:rPr>
          <w:rFonts w:ascii="Times New Roman" w:hAnsi="Times New Roman" w:hint="eastAsia"/>
          <w:szCs w:val="24"/>
        </w:rPr>
      </w:pPr>
      <w:r>
        <w:rPr>
          <w:rFonts w:ascii="Times New Roman" w:hAnsi="Times New Roman" w:hint="eastAsia"/>
          <w:color w:val="000000"/>
          <w:szCs w:val="24"/>
        </w:rPr>
        <w:t>南洞庭湖银鱼三角帆蚌国家级水产种质资源保护区</w:t>
      </w:r>
      <w:r>
        <w:rPr>
          <w:rFonts w:ascii="Times New Roman" w:hAnsi="Times New Roman"/>
          <w:szCs w:val="24"/>
        </w:rPr>
        <w:t>为农业部</w:t>
      </w:r>
      <w:r>
        <w:rPr>
          <w:rFonts w:ascii="Times New Roman" w:hAnsi="Times New Roman"/>
          <w:szCs w:val="24"/>
        </w:rPr>
        <w:t>200</w:t>
      </w:r>
      <w:r>
        <w:rPr>
          <w:rFonts w:ascii="Times New Roman" w:hAnsi="Times New Roman" w:hint="eastAsia"/>
          <w:szCs w:val="24"/>
        </w:rPr>
        <w:t>7</w:t>
      </w:r>
      <w:r>
        <w:rPr>
          <w:rFonts w:ascii="Times New Roman" w:hAnsi="Times New Roman"/>
          <w:szCs w:val="24"/>
        </w:rPr>
        <w:t>年</w:t>
      </w:r>
      <w:r>
        <w:rPr>
          <w:rFonts w:ascii="Times New Roman" w:hAnsi="Times New Roman" w:hint="eastAsia"/>
          <w:szCs w:val="24"/>
        </w:rPr>
        <w:t>（农业部公告第</w:t>
      </w:r>
      <w:r>
        <w:rPr>
          <w:rFonts w:ascii="Times New Roman" w:hAnsi="Times New Roman" w:hint="eastAsia"/>
          <w:szCs w:val="24"/>
        </w:rPr>
        <w:t>947</w:t>
      </w:r>
      <w:r>
        <w:rPr>
          <w:rFonts w:ascii="Times New Roman" w:hAnsi="Times New Roman" w:hint="eastAsia"/>
          <w:szCs w:val="24"/>
        </w:rPr>
        <w:t>号</w:t>
      </w:r>
      <w:r>
        <w:rPr>
          <w:rFonts w:ascii="Times New Roman" w:hAnsi="Times New Roman" w:hint="eastAsia"/>
          <w:szCs w:val="24"/>
        </w:rPr>
        <w:t>2007</w:t>
      </w:r>
      <w:r>
        <w:rPr>
          <w:rFonts w:ascii="Times New Roman" w:hAnsi="Times New Roman" w:hint="eastAsia"/>
          <w:szCs w:val="24"/>
        </w:rPr>
        <w:t>年</w:t>
      </w:r>
      <w:r>
        <w:rPr>
          <w:rFonts w:ascii="Times New Roman" w:hAnsi="Times New Roman" w:hint="eastAsia"/>
          <w:szCs w:val="24"/>
        </w:rPr>
        <w:t>12</w:t>
      </w:r>
      <w:r>
        <w:rPr>
          <w:rFonts w:ascii="Times New Roman" w:hAnsi="Times New Roman" w:hint="eastAsia"/>
          <w:szCs w:val="24"/>
        </w:rPr>
        <w:t>月</w:t>
      </w:r>
      <w:r>
        <w:rPr>
          <w:rFonts w:ascii="Times New Roman" w:hAnsi="Times New Roman" w:hint="eastAsia"/>
          <w:szCs w:val="24"/>
        </w:rPr>
        <w:t>12</w:t>
      </w:r>
      <w:r>
        <w:rPr>
          <w:rFonts w:ascii="Times New Roman" w:hAnsi="Times New Roman" w:hint="eastAsia"/>
          <w:szCs w:val="24"/>
        </w:rPr>
        <w:t>日）</w:t>
      </w:r>
      <w:r>
        <w:rPr>
          <w:rFonts w:ascii="Times New Roman" w:hAnsi="Times New Roman"/>
          <w:szCs w:val="24"/>
        </w:rPr>
        <w:t>颁布的第</w:t>
      </w:r>
      <w:r>
        <w:rPr>
          <w:rFonts w:ascii="Times New Roman" w:hAnsi="Times New Roman" w:hint="eastAsia"/>
          <w:szCs w:val="24"/>
        </w:rPr>
        <w:t>一</w:t>
      </w:r>
      <w:r>
        <w:rPr>
          <w:rFonts w:ascii="Times New Roman" w:hAnsi="Times New Roman"/>
          <w:szCs w:val="24"/>
        </w:rPr>
        <w:t>批国家级水产种质资源保护区。</w:t>
      </w:r>
      <w:r>
        <w:rPr>
          <w:rFonts w:ascii="Times New Roman" w:hAnsi="Times New Roman" w:hint="eastAsia"/>
          <w:szCs w:val="24"/>
        </w:rPr>
        <w:t>保护区位于湖南省益阳市境内，范围为</w:t>
      </w:r>
      <w:r>
        <w:rPr>
          <w:rFonts w:ascii="Times New Roman" w:hAnsi="Times New Roman"/>
          <w:szCs w:val="24"/>
        </w:rPr>
        <w:t>东经</w:t>
      </w:r>
      <w:r>
        <w:rPr>
          <w:rFonts w:ascii="Times New Roman" w:hAnsi="Times New Roman"/>
          <w:szCs w:val="24"/>
        </w:rPr>
        <w:t>11</w:t>
      </w:r>
      <w:r>
        <w:rPr>
          <w:rFonts w:ascii="Times New Roman" w:hAnsi="Times New Roman" w:hint="eastAsia"/>
          <w:szCs w:val="24"/>
        </w:rPr>
        <w:t>0</w:t>
      </w:r>
      <w:r>
        <w:rPr>
          <w:rFonts w:ascii="Times New Roman" w:hAnsi="Times New Roman"/>
          <w:szCs w:val="24"/>
        </w:rPr>
        <w:t>°</w:t>
      </w:r>
      <w:r>
        <w:rPr>
          <w:rFonts w:ascii="Times New Roman" w:hAnsi="Times New Roman" w:hint="eastAsia"/>
          <w:szCs w:val="24"/>
        </w:rPr>
        <w:t>43</w:t>
      </w:r>
      <w:r>
        <w:rPr>
          <w:rFonts w:ascii="Times New Roman" w:hAnsi="Times New Roman"/>
          <w:szCs w:val="24"/>
        </w:rPr>
        <w:t>′~112°5</w:t>
      </w:r>
      <w:r>
        <w:rPr>
          <w:rFonts w:ascii="Times New Roman" w:hAnsi="Times New Roman" w:hint="eastAsia"/>
          <w:szCs w:val="24"/>
        </w:rPr>
        <w:t>5</w:t>
      </w:r>
      <w:r>
        <w:rPr>
          <w:rFonts w:ascii="Times New Roman" w:hAnsi="Times New Roman"/>
          <w:szCs w:val="24"/>
        </w:rPr>
        <w:t>′</w:t>
      </w:r>
      <w:r>
        <w:rPr>
          <w:rFonts w:ascii="Times New Roman" w:hAnsi="Times New Roman"/>
          <w:szCs w:val="24"/>
        </w:rPr>
        <w:t>，北纬</w:t>
      </w:r>
      <w:r>
        <w:rPr>
          <w:rFonts w:ascii="Times New Roman" w:hAnsi="Times New Roman"/>
          <w:szCs w:val="24"/>
        </w:rPr>
        <w:t>2</w:t>
      </w:r>
      <w:r>
        <w:rPr>
          <w:rFonts w:ascii="Times New Roman" w:hAnsi="Times New Roman" w:hint="eastAsia"/>
          <w:szCs w:val="24"/>
        </w:rPr>
        <w:t>7</w:t>
      </w:r>
      <w:r>
        <w:rPr>
          <w:rFonts w:ascii="Times New Roman" w:hAnsi="Times New Roman"/>
          <w:szCs w:val="24"/>
        </w:rPr>
        <w:t>°</w:t>
      </w:r>
      <w:r>
        <w:rPr>
          <w:rFonts w:ascii="Times New Roman" w:hAnsi="Times New Roman" w:hint="eastAsia"/>
          <w:szCs w:val="24"/>
        </w:rPr>
        <w:t>58</w:t>
      </w:r>
      <w:r>
        <w:rPr>
          <w:rFonts w:ascii="Times New Roman" w:hAnsi="Times New Roman"/>
          <w:szCs w:val="24"/>
        </w:rPr>
        <w:t>′~2</w:t>
      </w:r>
      <w:r>
        <w:rPr>
          <w:rFonts w:ascii="Times New Roman" w:hAnsi="Times New Roman" w:hint="eastAsia"/>
          <w:szCs w:val="24"/>
        </w:rPr>
        <w:t>8</w:t>
      </w:r>
      <w:r>
        <w:rPr>
          <w:rFonts w:ascii="Times New Roman" w:hAnsi="Times New Roman"/>
          <w:szCs w:val="24"/>
        </w:rPr>
        <w:t>°</w:t>
      </w:r>
      <w:r>
        <w:rPr>
          <w:rFonts w:ascii="Times New Roman" w:hAnsi="Times New Roman" w:hint="eastAsia"/>
          <w:szCs w:val="24"/>
        </w:rPr>
        <w:t>31</w:t>
      </w:r>
      <w:r>
        <w:rPr>
          <w:rFonts w:ascii="Times New Roman" w:hAnsi="Times New Roman"/>
          <w:szCs w:val="24"/>
        </w:rPr>
        <w:t>′</w:t>
      </w:r>
      <w:r>
        <w:rPr>
          <w:rFonts w:ascii="Times New Roman" w:hAnsi="Times New Roman"/>
          <w:szCs w:val="24"/>
        </w:rPr>
        <w:t>，</w:t>
      </w:r>
      <w:r>
        <w:rPr>
          <w:rFonts w:ascii="Times New Roman" w:hAnsi="Times New Roman" w:hint="eastAsia"/>
          <w:szCs w:val="24"/>
        </w:rPr>
        <w:t>包括西洞庭湖部分水域和湘、资、沅、澧四水入湖水域。</w:t>
      </w:r>
      <w:r>
        <w:rPr>
          <w:rFonts w:ascii="Times New Roman" w:hAnsi="Times New Roman" w:hint="eastAsia"/>
          <w:color w:val="000000"/>
          <w:szCs w:val="24"/>
        </w:rPr>
        <w:t>总面积</w:t>
      </w:r>
      <w:r>
        <w:rPr>
          <w:rFonts w:ascii="Times New Roman" w:hAnsi="Times New Roman" w:hint="eastAsia"/>
          <w:color w:val="000000"/>
          <w:szCs w:val="24"/>
        </w:rPr>
        <w:t>38653.3hm</w:t>
      </w:r>
      <w:r>
        <w:rPr>
          <w:rFonts w:ascii="Times New Roman" w:hAnsi="Times New Roman" w:hint="eastAsia"/>
          <w:color w:val="000000"/>
          <w:szCs w:val="24"/>
          <w:vertAlign w:val="superscript"/>
        </w:rPr>
        <w:t>2</w:t>
      </w:r>
      <w:r>
        <w:rPr>
          <w:rFonts w:ascii="Times New Roman" w:hAnsi="Times New Roman" w:hint="eastAsia"/>
          <w:color w:val="000000"/>
          <w:szCs w:val="24"/>
        </w:rPr>
        <w:t>，其中核心区面积</w:t>
      </w:r>
      <w:r>
        <w:rPr>
          <w:rFonts w:ascii="Times New Roman" w:hAnsi="Times New Roman" w:hint="eastAsia"/>
          <w:color w:val="000000"/>
          <w:szCs w:val="24"/>
        </w:rPr>
        <w:t>13487.5hm</w:t>
      </w:r>
      <w:r>
        <w:rPr>
          <w:rFonts w:ascii="Times New Roman" w:hAnsi="Times New Roman" w:hint="eastAsia"/>
          <w:color w:val="000000"/>
          <w:szCs w:val="24"/>
          <w:vertAlign w:val="superscript"/>
        </w:rPr>
        <w:t>2</w:t>
      </w:r>
      <w:r>
        <w:rPr>
          <w:rFonts w:ascii="Times New Roman" w:hAnsi="Times New Roman" w:hint="eastAsia"/>
          <w:color w:val="000000"/>
          <w:szCs w:val="24"/>
        </w:rPr>
        <w:t>，实验区面积</w:t>
      </w:r>
      <w:r>
        <w:rPr>
          <w:rFonts w:ascii="Times New Roman" w:hAnsi="Times New Roman" w:hint="eastAsia"/>
          <w:color w:val="000000"/>
          <w:szCs w:val="24"/>
        </w:rPr>
        <w:t>25165hm</w:t>
      </w:r>
      <w:r>
        <w:rPr>
          <w:rFonts w:ascii="Times New Roman" w:hAnsi="Times New Roman" w:hint="eastAsia"/>
          <w:color w:val="000000"/>
          <w:szCs w:val="24"/>
          <w:vertAlign w:val="superscript"/>
        </w:rPr>
        <w:t>2</w:t>
      </w:r>
      <w:r>
        <w:rPr>
          <w:rFonts w:ascii="Times New Roman" w:hAnsi="Times New Roman" w:hint="eastAsia"/>
          <w:color w:val="000000"/>
          <w:szCs w:val="24"/>
        </w:rPr>
        <w:t>。</w:t>
      </w:r>
      <w:r>
        <w:rPr>
          <w:rFonts w:ascii="Times New Roman" w:hAnsi="Times New Roman" w:hint="eastAsia"/>
          <w:szCs w:val="24"/>
        </w:rPr>
        <w:t>东以明朗山向北经猪栏湾、张家岔、下塞湖，至漉湖五花滩，向西经泗湖山、黄茅洲、草尾、茅草街，至天心湖；西以天心湖向南经八风窖、目平湖、巴兰湖、联盟七队至联盟二队；南以联盟二队向东经白沙大桥南端、七星洲、车便湖、伴湖洲、刘家湖、香炉洲至明朗山，环保护区周边总长度</w:t>
      </w:r>
      <w:r>
        <w:rPr>
          <w:rFonts w:ascii="Times New Roman" w:hAnsi="Times New Roman" w:hint="eastAsia"/>
          <w:szCs w:val="24"/>
        </w:rPr>
        <w:t>221.5km</w:t>
      </w:r>
      <w:r>
        <w:rPr>
          <w:rFonts w:ascii="Times New Roman" w:hAnsi="Times New Roman" w:hint="eastAsia"/>
          <w:szCs w:val="24"/>
        </w:rPr>
        <w:t>。保护区永久性标牌</w:t>
      </w:r>
      <w:r>
        <w:rPr>
          <w:rFonts w:ascii="Times New Roman" w:hAnsi="Times New Roman" w:hint="eastAsia"/>
          <w:szCs w:val="24"/>
        </w:rPr>
        <w:lastRenderedPageBreak/>
        <w:t>位置在水上新村北面、白沙大桥南端和凌云塔对面防洪大堤北侧，核心区位于保护区中心靠西南端，范围为</w:t>
      </w:r>
      <w:r>
        <w:rPr>
          <w:rFonts w:ascii="Times New Roman" w:hAnsi="Times New Roman"/>
          <w:szCs w:val="24"/>
        </w:rPr>
        <w:t>11</w:t>
      </w:r>
      <w:r>
        <w:rPr>
          <w:rFonts w:ascii="Times New Roman" w:hAnsi="Times New Roman" w:hint="eastAsia"/>
          <w:szCs w:val="24"/>
        </w:rPr>
        <w:t>0</w:t>
      </w:r>
      <w:r>
        <w:rPr>
          <w:rFonts w:ascii="Times New Roman" w:hAnsi="Times New Roman"/>
          <w:szCs w:val="24"/>
        </w:rPr>
        <w:t>°</w:t>
      </w:r>
      <w:r>
        <w:rPr>
          <w:rFonts w:ascii="Times New Roman" w:hAnsi="Times New Roman" w:hint="eastAsia"/>
          <w:szCs w:val="24"/>
        </w:rPr>
        <w:t>43</w:t>
      </w:r>
      <w:r>
        <w:rPr>
          <w:rFonts w:ascii="Times New Roman" w:hAnsi="Times New Roman"/>
          <w:szCs w:val="24"/>
        </w:rPr>
        <w:t>′</w:t>
      </w:r>
      <w:r>
        <w:rPr>
          <w:rFonts w:ascii="Times New Roman" w:hAnsi="Times New Roman" w:hint="eastAsia"/>
          <w:szCs w:val="24"/>
        </w:rPr>
        <w:t>23</w:t>
      </w:r>
      <w:r>
        <w:rPr>
          <w:rFonts w:ascii="Times New Roman" w:hAnsi="Times New Roman" w:hint="eastAsia"/>
          <w:szCs w:val="24"/>
        </w:rPr>
        <w:t>″</w:t>
      </w:r>
      <w:r>
        <w:rPr>
          <w:rFonts w:ascii="Times New Roman" w:hAnsi="Times New Roman"/>
          <w:szCs w:val="24"/>
        </w:rPr>
        <w:t>~11</w:t>
      </w:r>
      <w:r>
        <w:rPr>
          <w:rFonts w:ascii="Times New Roman" w:hAnsi="Times New Roman" w:hint="eastAsia"/>
          <w:szCs w:val="24"/>
        </w:rPr>
        <w:t>1</w:t>
      </w:r>
      <w:r>
        <w:rPr>
          <w:rFonts w:ascii="Times New Roman" w:hAnsi="Times New Roman"/>
          <w:szCs w:val="24"/>
        </w:rPr>
        <w:t>°</w:t>
      </w:r>
      <w:r>
        <w:rPr>
          <w:rFonts w:ascii="Times New Roman" w:hAnsi="Times New Roman" w:hint="eastAsia"/>
          <w:szCs w:val="24"/>
        </w:rPr>
        <w:t>48</w:t>
      </w:r>
      <w:r>
        <w:rPr>
          <w:rFonts w:ascii="Times New Roman" w:hAnsi="Times New Roman"/>
          <w:szCs w:val="24"/>
        </w:rPr>
        <w:t>′</w:t>
      </w:r>
      <w:r>
        <w:rPr>
          <w:rFonts w:ascii="Times New Roman" w:hAnsi="Times New Roman" w:hint="eastAsia"/>
          <w:szCs w:val="24"/>
        </w:rPr>
        <w:t>32</w:t>
      </w:r>
      <w:r>
        <w:rPr>
          <w:rFonts w:ascii="Times New Roman" w:hAnsi="Times New Roman" w:hint="eastAsia"/>
          <w:szCs w:val="24"/>
        </w:rPr>
        <w:t>″</w:t>
      </w:r>
      <w:r>
        <w:rPr>
          <w:rFonts w:ascii="Times New Roman" w:hAnsi="Times New Roman" w:hint="eastAsia"/>
          <w:szCs w:val="24"/>
        </w:rPr>
        <w:t>E</w:t>
      </w:r>
      <w:r>
        <w:rPr>
          <w:rFonts w:ascii="Times New Roman" w:hAnsi="Times New Roman"/>
          <w:szCs w:val="24"/>
        </w:rPr>
        <w:t>，</w:t>
      </w:r>
      <w:r>
        <w:rPr>
          <w:rFonts w:ascii="Times New Roman" w:hAnsi="Times New Roman"/>
          <w:szCs w:val="24"/>
        </w:rPr>
        <w:t>2</w:t>
      </w:r>
      <w:r>
        <w:rPr>
          <w:rFonts w:ascii="Times New Roman" w:hAnsi="Times New Roman" w:hint="eastAsia"/>
          <w:szCs w:val="24"/>
        </w:rPr>
        <w:t>7</w:t>
      </w:r>
      <w:r>
        <w:rPr>
          <w:rFonts w:ascii="Times New Roman" w:hAnsi="Times New Roman"/>
          <w:szCs w:val="24"/>
        </w:rPr>
        <w:t>°</w:t>
      </w:r>
      <w:r>
        <w:rPr>
          <w:rFonts w:ascii="Times New Roman" w:hAnsi="Times New Roman" w:hint="eastAsia"/>
          <w:szCs w:val="24"/>
        </w:rPr>
        <w:t>59</w:t>
      </w:r>
      <w:r>
        <w:rPr>
          <w:rFonts w:ascii="Times New Roman" w:hAnsi="Times New Roman"/>
          <w:szCs w:val="24"/>
        </w:rPr>
        <w:t>′</w:t>
      </w:r>
      <w:r>
        <w:rPr>
          <w:rFonts w:ascii="Times New Roman" w:hAnsi="Times New Roman" w:hint="eastAsia"/>
          <w:szCs w:val="24"/>
        </w:rPr>
        <w:t>12</w:t>
      </w:r>
      <w:r>
        <w:rPr>
          <w:rFonts w:ascii="Times New Roman" w:hAnsi="Times New Roman" w:hint="eastAsia"/>
          <w:szCs w:val="24"/>
        </w:rPr>
        <w:t>″</w:t>
      </w:r>
      <w:r>
        <w:rPr>
          <w:rFonts w:ascii="Times New Roman" w:hAnsi="Times New Roman"/>
          <w:szCs w:val="24"/>
        </w:rPr>
        <w:t>~2</w:t>
      </w:r>
      <w:r>
        <w:rPr>
          <w:rFonts w:ascii="Times New Roman" w:hAnsi="Times New Roman" w:hint="eastAsia"/>
          <w:szCs w:val="24"/>
        </w:rPr>
        <w:t>8</w:t>
      </w:r>
      <w:r>
        <w:rPr>
          <w:rFonts w:ascii="Times New Roman" w:hAnsi="Times New Roman"/>
          <w:szCs w:val="24"/>
        </w:rPr>
        <w:t>°</w:t>
      </w:r>
      <w:r>
        <w:rPr>
          <w:rFonts w:ascii="Times New Roman" w:hAnsi="Times New Roman" w:hint="eastAsia"/>
          <w:szCs w:val="24"/>
        </w:rPr>
        <w:t>30</w:t>
      </w:r>
      <w:r>
        <w:rPr>
          <w:rFonts w:ascii="Times New Roman" w:hAnsi="Times New Roman"/>
          <w:szCs w:val="24"/>
        </w:rPr>
        <w:t>′</w:t>
      </w:r>
      <w:r>
        <w:rPr>
          <w:rFonts w:ascii="Times New Roman" w:hAnsi="Times New Roman" w:hint="eastAsia"/>
          <w:szCs w:val="24"/>
        </w:rPr>
        <w:t>58</w:t>
      </w:r>
      <w:r>
        <w:rPr>
          <w:rFonts w:ascii="Times New Roman" w:hAnsi="Times New Roman" w:hint="eastAsia"/>
          <w:szCs w:val="24"/>
        </w:rPr>
        <w:t>″</w:t>
      </w:r>
      <w:r>
        <w:rPr>
          <w:rFonts w:ascii="Times New Roman" w:hAnsi="Times New Roman" w:hint="eastAsia"/>
          <w:szCs w:val="24"/>
        </w:rPr>
        <w:t>N</w:t>
      </w:r>
      <w:r>
        <w:rPr>
          <w:rFonts w:ascii="Times New Roman" w:hAnsi="Times New Roman" w:hint="eastAsia"/>
          <w:szCs w:val="24"/>
        </w:rPr>
        <w:t>。东起以伴湖洲向北经廖潭口至彭湖潭；北以彭湖潭向西经东南湖的江心洲至挖口子的航标洲；西以航标洲向南经赤山岛、白沙湖至联盟七队；南以联盟七队向东经联盟二队、白沙大桥南端、七星洲、车便湖（大湾、小湾）至伴湖洲；核心区周边全长</w:t>
      </w:r>
      <w:r>
        <w:rPr>
          <w:rFonts w:ascii="Times New Roman" w:hAnsi="Times New Roman" w:hint="eastAsia"/>
          <w:szCs w:val="24"/>
        </w:rPr>
        <w:t>99.7km</w:t>
      </w:r>
      <w:r>
        <w:rPr>
          <w:rFonts w:ascii="Times New Roman" w:hAnsi="Times New Roman" w:hint="eastAsia"/>
          <w:szCs w:val="24"/>
        </w:rPr>
        <w:t>。保护区内除核心区外的其他区域为实验区，具体范围：东边为铁尺湖的猪栏湾；北边为外漉湖东湖脑的五花滩，西北边为南县的天心湖；西南边为沅江市平垸小区的创立大队，东南边为甘溪港入口处的灯塔洲。</w:t>
      </w:r>
    </w:p>
    <w:p w:rsidR="004B4777" w:rsidRDefault="004B4777">
      <w:pPr>
        <w:ind w:firstLine="480"/>
        <w:rPr>
          <w:rFonts w:ascii="Times New Roman" w:hAnsi="Times New Roman" w:hint="eastAsia"/>
          <w:szCs w:val="24"/>
        </w:rPr>
      </w:pPr>
      <w:r>
        <w:rPr>
          <w:rFonts w:ascii="Times New Roman" w:hAnsi="Times New Roman" w:hint="eastAsia"/>
          <w:szCs w:val="24"/>
        </w:rPr>
        <w:t>南洞庭湖银鱼三角帆蚌国家级水产种质资源保护区主要保护对象为银鱼、三角帆蚌及国家和地方重点保护的珍稀濒危水生动物，栖息的其他物种包括白暨豚、中华鲟、白鲟、江豚、大鲵、胭脂鱼、鲥、鳗鲡、中华鳖、草龟、背瘤丽蚌、魴、鱤、银鲴、细鳞鱼、长吻鮰、细鳞斜颌鲴、刀鲚、凤鲚、中华倒刺鲃、赤眼鳟、青鱼、草鱼、鲢、鳙、鯉、鲫、鳊、鳜、乌鳢、黄颡鱼、黄鳝、泥鳅、青虾、长臂虾、克氏螯虾、中华绒螯蟹、青蟹、褶纹冠蚌等。</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湘阴县斗米咀、易婆塘</w:t>
      </w:r>
      <w:r>
        <w:rPr>
          <w:rFonts w:ascii="Times New Roman" w:hAnsi="Times New Roman" w:hint="eastAsia"/>
          <w:color w:val="000000"/>
          <w:szCs w:val="24"/>
        </w:rPr>
        <w:t>2</w:t>
      </w:r>
      <w:r>
        <w:rPr>
          <w:rFonts w:ascii="Times New Roman" w:hAnsi="Times New Roman" w:hint="eastAsia"/>
          <w:color w:val="000000"/>
          <w:szCs w:val="24"/>
        </w:rPr>
        <w:t>个采砂区不涉及南洞庭湖银鱼三角帆蚌国家级水产种质资源保护区。其中，易婆塘采砂区距离保护区</w:t>
      </w:r>
      <w:r>
        <w:rPr>
          <w:rFonts w:ascii="Times New Roman" w:hAnsi="Times New Roman" w:hint="eastAsia"/>
          <w:color w:val="000000"/>
          <w:szCs w:val="24"/>
        </w:rPr>
        <w:t>103m</w:t>
      </w:r>
      <w:r>
        <w:rPr>
          <w:rFonts w:ascii="Times New Roman" w:hAnsi="Times New Roman" w:hint="eastAsia"/>
          <w:color w:val="000000"/>
          <w:szCs w:val="24"/>
        </w:rPr>
        <w:t>。</w:t>
      </w:r>
    </w:p>
    <w:p w:rsidR="004B4777" w:rsidRDefault="004B4777">
      <w:pPr>
        <w:pStyle w:val="4"/>
        <w:spacing w:before="0" w:after="0"/>
        <w:jc w:val="both"/>
        <w:rPr>
          <w:rFonts w:ascii="Times New Roman" w:eastAsia="宋体" w:hAnsi="Times New Roman" w:hint="eastAsia"/>
          <w:b/>
        </w:rPr>
      </w:pPr>
      <w:r>
        <w:rPr>
          <w:rFonts w:ascii="Times New Roman" w:eastAsia="宋体" w:hAnsi="Times New Roman" w:hint="eastAsia"/>
          <w:b/>
        </w:rPr>
        <w:t xml:space="preserve">5.1.2.12  </w:t>
      </w:r>
      <w:r>
        <w:rPr>
          <w:rFonts w:ascii="Times New Roman" w:eastAsia="宋体" w:hAnsi="Times New Roman" w:hint="eastAsia"/>
          <w:b/>
        </w:rPr>
        <w:t>横岭湖湖泊湿地</w:t>
      </w:r>
    </w:p>
    <w:p w:rsidR="004B4777" w:rsidRDefault="004B4777">
      <w:pPr>
        <w:ind w:firstLine="480"/>
        <w:rPr>
          <w:rFonts w:ascii="Times New Roman" w:hAnsi="Times New Roman" w:hint="eastAsia"/>
          <w:szCs w:val="24"/>
          <w:lang w:val="zh-CN"/>
        </w:rPr>
      </w:pPr>
      <w:r>
        <w:rPr>
          <w:rFonts w:ascii="Times New Roman" w:hAnsi="Times New Roman" w:hint="eastAsia"/>
          <w:szCs w:val="24"/>
          <w:lang w:val="zh-CN"/>
        </w:rPr>
        <w:t>横岭湖湖泊湿地位于洞庭湖横岭湖省级自然保护区内，总面积</w:t>
      </w:r>
      <w:r>
        <w:rPr>
          <w:rFonts w:ascii="Times New Roman" w:hAnsi="Times New Roman" w:hint="eastAsia"/>
          <w:szCs w:val="24"/>
          <w:lang w:val="zh-CN"/>
        </w:rPr>
        <w:t>4.3</w:t>
      </w:r>
      <w:r>
        <w:rPr>
          <w:rFonts w:ascii="Times New Roman" w:hAnsi="Times New Roman" w:hint="eastAsia"/>
          <w:szCs w:val="24"/>
          <w:lang w:val="zh-CN"/>
        </w:rPr>
        <w:t>万公顷。该湿地被列入第一批“湖南省重要湿地名录”（湘政办函</w:t>
      </w:r>
      <w:r>
        <w:rPr>
          <w:rFonts w:ascii="Times New Roman" w:hAnsi="Times New Roman" w:hint="eastAsia"/>
          <w:szCs w:val="24"/>
          <w:lang w:val="zh-CN"/>
        </w:rPr>
        <w:t>[2008]79</w:t>
      </w:r>
      <w:r>
        <w:rPr>
          <w:rFonts w:ascii="Times New Roman" w:hAnsi="Times New Roman" w:hint="eastAsia"/>
          <w:szCs w:val="24"/>
          <w:lang w:val="zh-CN"/>
        </w:rPr>
        <w:t>号），该湿地为湖南省典型的亚热带淡水湿地生态系统。</w:t>
      </w:r>
    </w:p>
    <w:p w:rsidR="004B4777" w:rsidRDefault="004B4777">
      <w:pPr>
        <w:ind w:firstLine="480"/>
        <w:rPr>
          <w:rFonts w:ascii="Times New Roman" w:hAnsi="Times New Roman" w:hint="eastAsia"/>
          <w:szCs w:val="24"/>
        </w:rPr>
      </w:pPr>
      <w:r>
        <w:rPr>
          <w:rFonts w:ascii="Times New Roman" w:hAnsi="Times New Roman"/>
          <w:szCs w:val="24"/>
        </w:rPr>
        <w:t>横岭湖是亚热带内陆湿地的典型代表，区内的湖沼洲滩是最为典型的湿地生态系统，湖洲、草甸、沼泽、水域等构成了复杂的生境，孕育着丰富的生物资源。横岭湖</w:t>
      </w:r>
      <w:r>
        <w:rPr>
          <w:rFonts w:ascii="Times New Roman" w:hAnsi="Times New Roman" w:hint="eastAsia"/>
          <w:szCs w:val="24"/>
        </w:rPr>
        <w:t>湖泊湿地</w:t>
      </w:r>
      <w:r>
        <w:rPr>
          <w:rFonts w:ascii="Times New Roman" w:hAnsi="Times New Roman"/>
          <w:szCs w:val="24"/>
        </w:rPr>
        <w:t>是生物多样性十分丰富的重要湿地，是数以万计鸟类的理想越冬地和停歇地。保护对象为湿地生态系统和生物多样性、珍稀濒危水禽及其栖息地、自然生态环境和自然资源，以及自然、人文景观。</w:t>
      </w:r>
    </w:p>
    <w:p w:rsidR="004B4777" w:rsidRDefault="004B4777">
      <w:pPr>
        <w:ind w:firstLine="480"/>
        <w:rPr>
          <w:rFonts w:ascii="Times New Roman" w:hAnsi="Times New Roman" w:hint="eastAsia"/>
          <w:szCs w:val="24"/>
        </w:rPr>
      </w:pPr>
      <w:r>
        <w:rPr>
          <w:rFonts w:ascii="Times New Roman" w:hAnsi="Times New Roman" w:hint="eastAsia"/>
          <w:szCs w:val="24"/>
          <w:lang w:val="zh-CN"/>
        </w:rPr>
        <w:t>该湿地范围与湖南湘阴横岭湖省级自然保护区范围一致，</w:t>
      </w:r>
      <w:r>
        <w:rPr>
          <w:rFonts w:ascii="Times New Roman" w:hAnsi="Times New Roman" w:hint="eastAsia"/>
          <w:szCs w:val="24"/>
        </w:rPr>
        <w:t>项目采区范围不涉及横岭湖湖泊湿地，易婆塘采砂区与横岭湖湖泊湿地的最近距离为</w:t>
      </w:r>
      <w:r>
        <w:rPr>
          <w:rFonts w:ascii="Times New Roman" w:hAnsi="Times New Roman" w:hint="eastAsia"/>
          <w:szCs w:val="24"/>
        </w:rPr>
        <w:t>103</w:t>
      </w:r>
      <w:r>
        <w:rPr>
          <w:rFonts w:ascii="Times New Roman" w:hAnsi="Times New Roman" w:hint="eastAsia"/>
          <w:szCs w:val="24"/>
        </w:rPr>
        <w:t>米；斗米咀采砂区与横</w:t>
      </w:r>
      <w:r>
        <w:rPr>
          <w:rFonts w:ascii="Times New Roman" w:hAnsi="Times New Roman" w:hint="eastAsia"/>
          <w:szCs w:val="24"/>
        </w:rPr>
        <w:lastRenderedPageBreak/>
        <w:t>岭湖湖泊湿地最近距离为</w:t>
      </w:r>
      <w:r>
        <w:rPr>
          <w:rFonts w:ascii="Times New Roman" w:hAnsi="Times New Roman"/>
          <w:szCs w:val="24"/>
        </w:rPr>
        <w:t>31</w:t>
      </w:r>
      <w:r>
        <w:rPr>
          <w:rFonts w:ascii="Times New Roman" w:hAnsi="Times New Roman" w:hint="eastAsia"/>
          <w:szCs w:val="24"/>
        </w:rPr>
        <w:t>米。</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5.1.3</w:t>
      </w:r>
      <w:r>
        <w:rPr>
          <w:rFonts w:ascii="Times New Roman" w:eastAsia="宋体" w:hAnsi="Times New Roman" w:hint="eastAsia"/>
          <w:b/>
        </w:rPr>
        <w:t xml:space="preserve"> </w:t>
      </w:r>
      <w:r>
        <w:rPr>
          <w:rFonts w:ascii="Times New Roman" w:eastAsia="宋体" w:hAnsi="Times New Roman" w:hint="eastAsia"/>
          <w:b/>
        </w:rPr>
        <w:t>湖南省湘江干流及洞庭湖区岳阳段河道采砂规划（</w:t>
      </w:r>
      <w:r>
        <w:rPr>
          <w:rFonts w:ascii="Times New Roman" w:eastAsia="宋体" w:hAnsi="Times New Roman" w:hint="eastAsia"/>
          <w:b/>
        </w:rPr>
        <w:t>2017</w:t>
      </w:r>
      <w:r>
        <w:rPr>
          <w:rFonts w:ascii="Times New Roman" w:eastAsia="宋体" w:hAnsi="Times New Roman" w:hint="eastAsia"/>
          <w:b/>
        </w:rPr>
        <w:t>～</w:t>
      </w:r>
      <w:r>
        <w:rPr>
          <w:rFonts w:ascii="Times New Roman" w:eastAsia="宋体" w:hAnsi="Times New Roman" w:hint="eastAsia"/>
          <w:b/>
        </w:rPr>
        <w:t>2020</w:t>
      </w:r>
      <w:r>
        <w:rPr>
          <w:rFonts w:ascii="Times New Roman" w:eastAsia="宋体" w:hAnsi="Times New Roman" w:hint="eastAsia"/>
          <w:b/>
        </w:rPr>
        <w:t>年）</w:t>
      </w:r>
    </w:p>
    <w:p w:rsidR="004B4777" w:rsidRDefault="004B4777">
      <w:pPr>
        <w:ind w:firstLine="480"/>
        <w:rPr>
          <w:rFonts w:ascii="Times New Roman" w:hAnsi="Times New Roman" w:hint="eastAsia"/>
        </w:rPr>
      </w:pPr>
      <w:r>
        <w:rPr>
          <w:rFonts w:ascii="Times New Roman" w:hAnsi="Times New Roman" w:hint="eastAsia"/>
        </w:rPr>
        <w:t>岳阳市洞庭湖区河道自</w:t>
      </w:r>
      <w:r>
        <w:rPr>
          <w:rFonts w:ascii="Times New Roman" w:hAnsi="Times New Roman" w:hint="eastAsia"/>
        </w:rPr>
        <w:t>20</w:t>
      </w:r>
      <w:r>
        <w:rPr>
          <w:rFonts w:ascii="Times New Roman" w:hAnsi="Times New Roman" w:hint="eastAsia"/>
        </w:rPr>
        <w:t>世纪</w:t>
      </w:r>
      <w:r>
        <w:rPr>
          <w:rFonts w:ascii="Times New Roman" w:hAnsi="Times New Roman" w:hint="eastAsia"/>
        </w:rPr>
        <w:t>90</w:t>
      </w:r>
      <w:r>
        <w:rPr>
          <w:rFonts w:ascii="Times New Roman" w:hAnsi="Times New Roman" w:hint="eastAsia"/>
        </w:rPr>
        <w:t>年代初期已开始机械采砂，随着岳阳市及周边地区经济建设的快速发展，采砂规模越来越大，</w:t>
      </w:r>
      <w:r>
        <w:rPr>
          <w:rFonts w:ascii="Times New Roman" w:hAnsi="Times New Roman" w:hint="eastAsia"/>
        </w:rPr>
        <w:t>2006</w:t>
      </w:r>
      <w:r>
        <w:rPr>
          <w:rFonts w:ascii="Times New Roman" w:hAnsi="Times New Roman" w:hint="eastAsia"/>
        </w:rPr>
        <w:t>年开始出现大规模采砂，在经济利益的驱使下，各类采砂机械遍布洞庭湖。由于湖南省湘江干流及洞庭湖区岳阳段河道未制定河道采砂规划，河道流域内采砂活动均未办理过环境影响评价手续，属于无排污许可证开采。近年来，河道滥采乱挖、超采等现象严重，对洞庭湖河道的河势稳定、防洪、水利工程基础设施、水生态环境安全等带来不利影响。目前该流域范围内已全部禁止了采砂活动。</w:t>
      </w:r>
    </w:p>
    <w:p w:rsidR="004B4777" w:rsidRDefault="004B4777">
      <w:pPr>
        <w:ind w:firstLine="480"/>
        <w:rPr>
          <w:rFonts w:ascii="Times New Roman" w:hAnsi="Times New Roman" w:hint="eastAsia"/>
        </w:rPr>
      </w:pPr>
      <w:r>
        <w:rPr>
          <w:rFonts w:ascii="Times New Roman" w:hAnsi="Times New Roman" w:hint="eastAsia"/>
        </w:rPr>
        <w:t>2017</w:t>
      </w:r>
      <w:r>
        <w:rPr>
          <w:rFonts w:ascii="Times New Roman" w:hAnsi="Times New Roman" w:hint="eastAsia"/>
        </w:rPr>
        <w:t>年，为了加强岳阳市洞庭湖区河道采砂管理，维护河势稳定，保障防洪安全，保证河道基本功能的正常发挥，使河道采砂逐步走向科学、依法、有序开采的轨道，岳阳市水务局组织开展了《湖南省湘江干流及洞庭湖区岳阳段河道采砂规划（</w:t>
      </w:r>
      <w:r>
        <w:rPr>
          <w:rFonts w:ascii="Times New Roman" w:hAnsi="Times New Roman" w:hint="eastAsia"/>
        </w:rPr>
        <w:t>2017~2020</w:t>
      </w:r>
      <w:r>
        <w:rPr>
          <w:rFonts w:ascii="Times New Roman" w:hAnsi="Times New Roman" w:hint="eastAsia"/>
        </w:rPr>
        <w:t>年）》的编制工作，以促进经济社会可持续发展的高度，对河道采砂进行规范的管理。</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根据《湖南省湘江干流及洞庭湖区岳阳段河道采砂规划（</w:t>
      </w:r>
      <w:r>
        <w:rPr>
          <w:rFonts w:ascii="Times New Roman" w:hAnsi="Times New Roman" w:hint="eastAsia"/>
          <w:color w:val="000000"/>
          <w:szCs w:val="24"/>
        </w:rPr>
        <w:t>2017~2020</w:t>
      </w:r>
      <w:r>
        <w:rPr>
          <w:rFonts w:ascii="Times New Roman" w:hAnsi="Times New Roman" w:hint="eastAsia"/>
          <w:color w:val="000000"/>
          <w:szCs w:val="24"/>
        </w:rPr>
        <w:t>年）》（草稿），本次规划范围为岳阳市境内省管河道（湘水濠河口以下、资水毛角口以下、藕池河）及洞庭湖岳阳境内部分。其中湘江东支</w:t>
      </w:r>
      <w:r>
        <w:rPr>
          <w:rFonts w:ascii="Times New Roman" w:hAnsi="Times New Roman" w:hint="eastAsia"/>
          <w:color w:val="000000"/>
          <w:szCs w:val="24"/>
        </w:rPr>
        <w:t>22</w:t>
      </w:r>
      <w:r>
        <w:rPr>
          <w:rFonts w:ascii="Times New Roman" w:hAnsi="Times New Roman" w:hint="eastAsia"/>
          <w:color w:val="000000"/>
          <w:szCs w:val="24"/>
        </w:rPr>
        <w:t>公里，西支</w:t>
      </w:r>
      <w:r>
        <w:rPr>
          <w:rFonts w:ascii="Times New Roman" w:hAnsi="Times New Roman" w:hint="eastAsia"/>
          <w:color w:val="000000"/>
          <w:szCs w:val="24"/>
        </w:rPr>
        <w:t>33.7</w:t>
      </w:r>
      <w:r>
        <w:rPr>
          <w:rFonts w:ascii="Times New Roman" w:hAnsi="Times New Roman" w:hint="eastAsia"/>
          <w:color w:val="000000"/>
          <w:szCs w:val="24"/>
        </w:rPr>
        <w:t>公里，芦林潭以下干流</w:t>
      </w:r>
      <w:r>
        <w:rPr>
          <w:rFonts w:ascii="Times New Roman" w:hAnsi="Times New Roman" w:hint="eastAsia"/>
          <w:color w:val="000000"/>
          <w:szCs w:val="24"/>
        </w:rPr>
        <w:t>34.5</w:t>
      </w:r>
      <w:r>
        <w:rPr>
          <w:rFonts w:ascii="Times New Roman" w:hAnsi="Times New Roman" w:hint="eastAsia"/>
          <w:color w:val="000000"/>
          <w:szCs w:val="24"/>
        </w:rPr>
        <w:t>公里；资江北支</w:t>
      </w:r>
      <w:r>
        <w:rPr>
          <w:rFonts w:ascii="Times New Roman" w:hAnsi="Times New Roman" w:hint="eastAsia"/>
          <w:color w:val="000000"/>
          <w:szCs w:val="24"/>
        </w:rPr>
        <w:t>21.4</w:t>
      </w:r>
      <w:r>
        <w:rPr>
          <w:rFonts w:ascii="Times New Roman" w:hAnsi="Times New Roman" w:hint="eastAsia"/>
          <w:color w:val="000000"/>
          <w:szCs w:val="24"/>
        </w:rPr>
        <w:t>公里，东支</w:t>
      </w:r>
      <w:r>
        <w:rPr>
          <w:rFonts w:ascii="Times New Roman" w:hAnsi="Times New Roman" w:hint="eastAsia"/>
          <w:color w:val="000000"/>
          <w:szCs w:val="24"/>
        </w:rPr>
        <w:t>35.6</w:t>
      </w:r>
      <w:r>
        <w:rPr>
          <w:rFonts w:ascii="Times New Roman" w:hAnsi="Times New Roman" w:hint="eastAsia"/>
          <w:color w:val="000000"/>
          <w:szCs w:val="24"/>
        </w:rPr>
        <w:t>公里；规划对象为河道内的采砂活动；规划基准年为</w:t>
      </w:r>
      <w:r>
        <w:rPr>
          <w:rFonts w:ascii="Times New Roman" w:hAnsi="Times New Roman" w:hint="eastAsia"/>
          <w:color w:val="000000"/>
          <w:szCs w:val="24"/>
        </w:rPr>
        <w:t>2016</w:t>
      </w:r>
      <w:r>
        <w:rPr>
          <w:rFonts w:ascii="Times New Roman" w:hAnsi="Times New Roman" w:hint="eastAsia"/>
          <w:color w:val="000000"/>
          <w:szCs w:val="24"/>
        </w:rPr>
        <w:t>年，规划期为</w:t>
      </w:r>
      <w:r>
        <w:rPr>
          <w:rFonts w:ascii="Times New Roman" w:hAnsi="Times New Roman" w:hint="eastAsia"/>
          <w:color w:val="000000"/>
          <w:szCs w:val="24"/>
        </w:rPr>
        <w:t>4</w:t>
      </w:r>
      <w:r>
        <w:rPr>
          <w:rFonts w:ascii="Times New Roman" w:hAnsi="Times New Roman" w:hint="eastAsia"/>
          <w:color w:val="000000"/>
          <w:szCs w:val="24"/>
        </w:rPr>
        <w:t>年，即</w:t>
      </w:r>
      <w:r>
        <w:rPr>
          <w:rFonts w:ascii="Times New Roman" w:hAnsi="Times New Roman" w:hint="eastAsia"/>
          <w:color w:val="000000"/>
          <w:szCs w:val="24"/>
        </w:rPr>
        <w:t>2017~2020</w:t>
      </w:r>
      <w:r>
        <w:rPr>
          <w:rFonts w:ascii="Times New Roman" w:hAnsi="Times New Roman" w:hint="eastAsia"/>
          <w:color w:val="000000"/>
          <w:szCs w:val="24"/>
        </w:rPr>
        <w:t>年。</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可采区规划。全市规划可采区</w:t>
      </w:r>
      <w:r>
        <w:rPr>
          <w:rFonts w:ascii="Times New Roman" w:hAnsi="Times New Roman" w:hint="eastAsia"/>
          <w:color w:val="000000"/>
          <w:szCs w:val="24"/>
        </w:rPr>
        <w:t>7</w:t>
      </w:r>
      <w:r>
        <w:rPr>
          <w:rFonts w:ascii="Times New Roman" w:hAnsi="Times New Roman" w:hint="eastAsia"/>
          <w:color w:val="000000"/>
          <w:szCs w:val="24"/>
        </w:rPr>
        <w:t>个，面积</w:t>
      </w:r>
      <w:r>
        <w:rPr>
          <w:rFonts w:ascii="Times New Roman" w:hAnsi="Times New Roman" w:hint="eastAsia"/>
          <w:color w:val="000000"/>
          <w:szCs w:val="24"/>
        </w:rPr>
        <w:t>13km</w:t>
      </w:r>
      <w:r>
        <w:rPr>
          <w:rFonts w:ascii="Times New Roman" w:hAnsi="Times New Roman" w:hint="eastAsia"/>
          <w:color w:val="000000"/>
          <w:szCs w:val="24"/>
          <w:vertAlign w:val="superscript"/>
        </w:rPr>
        <w:t>2</w:t>
      </w:r>
      <w:r>
        <w:rPr>
          <w:rFonts w:ascii="Times New Roman" w:hAnsi="Times New Roman" w:hint="eastAsia"/>
          <w:color w:val="000000"/>
          <w:szCs w:val="24"/>
        </w:rPr>
        <w:t>，年度控制开采量</w:t>
      </w:r>
      <w:r>
        <w:rPr>
          <w:rFonts w:ascii="Times New Roman" w:hAnsi="Times New Roman" w:hint="eastAsia"/>
          <w:color w:val="000000"/>
          <w:szCs w:val="24"/>
        </w:rPr>
        <w:t>4500</w:t>
      </w:r>
      <w:r>
        <w:rPr>
          <w:rFonts w:ascii="Times New Roman" w:hAnsi="Times New Roman" w:hint="eastAsia"/>
          <w:color w:val="000000"/>
          <w:szCs w:val="24"/>
        </w:rPr>
        <w:t>万吨，采砂船控制数量</w:t>
      </w:r>
      <w:r>
        <w:rPr>
          <w:rFonts w:ascii="Times New Roman" w:hAnsi="Times New Roman" w:hint="eastAsia"/>
          <w:color w:val="000000"/>
          <w:szCs w:val="24"/>
        </w:rPr>
        <w:t>23</w:t>
      </w:r>
      <w:r>
        <w:rPr>
          <w:rFonts w:ascii="Times New Roman" w:hAnsi="Times New Roman" w:hint="eastAsia"/>
          <w:color w:val="000000"/>
          <w:szCs w:val="24"/>
        </w:rPr>
        <w:t>艘。其中，岳阳县有胜利和新港</w:t>
      </w:r>
      <w:r>
        <w:rPr>
          <w:rFonts w:ascii="Times New Roman" w:hAnsi="Times New Roman" w:hint="eastAsia"/>
          <w:color w:val="000000"/>
          <w:szCs w:val="24"/>
        </w:rPr>
        <w:t>2</w:t>
      </w:r>
      <w:r>
        <w:rPr>
          <w:rFonts w:ascii="Times New Roman" w:hAnsi="Times New Roman" w:hint="eastAsia"/>
          <w:color w:val="000000"/>
          <w:szCs w:val="24"/>
        </w:rPr>
        <w:t>个可采区，面积</w:t>
      </w:r>
      <w:r>
        <w:rPr>
          <w:rFonts w:ascii="Times New Roman" w:hAnsi="Times New Roman" w:hint="eastAsia"/>
          <w:color w:val="000000"/>
          <w:szCs w:val="24"/>
        </w:rPr>
        <w:t>6km</w:t>
      </w:r>
      <w:r>
        <w:rPr>
          <w:rFonts w:ascii="Times New Roman" w:hAnsi="Times New Roman" w:hint="eastAsia"/>
          <w:color w:val="000000"/>
          <w:szCs w:val="24"/>
          <w:vertAlign w:val="superscript"/>
        </w:rPr>
        <w:t>2</w:t>
      </w:r>
      <w:r>
        <w:rPr>
          <w:rFonts w:ascii="Times New Roman" w:hAnsi="Times New Roman" w:hint="eastAsia"/>
          <w:color w:val="000000"/>
          <w:szCs w:val="24"/>
        </w:rPr>
        <w:t>，年度控制开采量</w:t>
      </w:r>
      <w:r>
        <w:rPr>
          <w:rFonts w:ascii="Times New Roman" w:hAnsi="Times New Roman" w:hint="eastAsia"/>
          <w:color w:val="000000"/>
          <w:szCs w:val="24"/>
        </w:rPr>
        <w:t>2000</w:t>
      </w:r>
      <w:r>
        <w:rPr>
          <w:rFonts w:ascii="Times New Roman" w:hAnsi="Times New Roman" w:hint="eastAsia"/>
          <w:color w:val="000000"/>
          <w:szCs w:val="24"/>
        </w:rPr>
        <w:t>万吨，采砂船控制数量</w:t>
      </w:r>
      <w:r>
        <w:rPr>
          <w:rFonts w:ascii="Times New Roman" w:hAnsi="Times New Roman" w:hint="eastAsia"/>
          <w:color w:val="000000"/>
          <w:szCs w:val="24"/>
        </w:rPr>
        <w:t>10</w:t>
      </w:r>
      <w:r>
        <w:rPr>
          <w:rFonts w:ascii="Times New Roman" w:hAnsi="Times New Roman" w:hint="eastAsia"/>
          <w:color w:val="000000"/>
          <w:szCs w:val="24"/>
        </w:rPr>
        <w:t>艘；汨罗市有打靶湖</w:t>
      </w:r>
      <w:r>
        <w:rPr>
          <w:rFonts w:ascii="Times New Roman" w:hAnsi="Times New Roman" w:hint="eastAsia"/>
          <w:color w:val="000000"/>
          <w:szCs w:val="24"/>
        </w:rPr>
        <w:t>1</w:t>
      </w:r>
      <w:r>
        <w:rPr>
          <w:rFonts w:ascii="Times New Roman" w:hAnsi="Times New Roman" w:hint="eastAsia"/>
          <w:color w:val="000000"/>
          <w:szCs w:val="24"/>
        </w:rPr>
        <w:t>个可采区，面积</w:t>
      </w:r>
      <w:r>
        <w:rPr>
          <w:rFonts w:ascii="Times New Roman" w:hAnsi="Times New Roman" w:hint="eastAsia"/>
          <w:color w:val="000000"/>
          <w:szCs w:val="24"/>
        </w:rPr>
        <w:t>1km</w:t>
      </w:r>
      <w:r>
        <w:rPr>
          <w:rFonts w:ascii="Times New Roman" w:hAnsi="Times New Roman" w:hint="eastAsia"/>
          <w:color w:val="000000"/>
          <w:szCs w:val="24"/>
          <w:vertAlign w:val="superscript"/>
        </w:rPr>
        <w:t>2</w:t>
      </w:r>
      <w:r>
        <w:rPr>
          <w:rFonts w:ascii="Times New Roman" w:hAnsi="Times New Roman" w:hint="eastAsia"/>
          <w:color w:val="000000"/>
          <w:szCs w:val="24"/>
        </w:rPr>
        <w:t>，年度控制开采量</w:t>
      </w:r>
      <w:r>
        <w:rPr>
          <w:rFonts w:ascii="Times New Roman" w:hAnsi="Times New Roman" w:hint="eastAsia"/>
          <w:color w:val="000000"/>
          <w:szCs w:val="24"/>
        </w:rPr>
        <w:t>500</w:t>
      </w:r>
      <w:r>
        <w:rPr>
          <w:rFonts w:ascii="Times New Roman" w:hAnsi="Times New Roman" w:hint="eastAsia"/>
          <w:color w:val="000000"/>
          <w:szCs w:val="24"/>
        </w:rPr>
        <w:t>万吨，采砂船控制数量</w:t>
      </w:r>
      <w:r>
        <w:rPr>
          <w:rFonts w:ascii="Times New Roman" w:hAnsi="Times New Roman" w:hint="eastAsia"/>
          <w:color w:val="000000"/>
          <w:szCs w:val="24"/>
        </w:rPr>
        <w:t>3</w:t>
      </w:r>
      <w:r>
        <w:rPr>
          <w:rFonts w:ascii="Times New Roman" w:hAnsi="Times New Roman" w:hint="eastAsia"/>
          <w:color w:val="000000"/>
          <w:szCs w:val="24"/>
        </w:rPr>
        <w:t>艘；湘阴县有新洲湖、湘资村、斗米咀、易婆塘</w:t>
      </w:r>
      <w:r>
        <w:rPr>
          <w:rFonts w:ascii="Times New Roman" w:hAnsi="Times New Roman" w:hint="eastAsia"/>
          <w:color w:val="000000"/>
          <w:szCs w:val="24"/>
        </w:rPr>
        <w:t>4</w:t>
      </w:r>
      <w:r>
        <w:rPr>
          <w:rFonts w:ascii="Times New Roman" w:hAnsi="Times New Roman" w:hint="eastAsia"/>
          <w:color w:val="000000"/>
          <w:szCs w:val="24"/>
        </w:rPr>
        <w:t>个可采区，面积</w:t>
      </w:r>
      <w:r>
        <w:rPr>
          <w:rFonts w:ascii="Times New Roman" w:hAnsi="Times New Roman" w:hint="eastAsia"/>
          <w:color w:val="000000"/>
          <w:szCs w:val="24"/>
        </w:rPr>
        <w:t>6km</w:t>
      </w:r>
      <w:r>
        <w:rPr>
          <w:rFonts w:ascii="Times New Roman" w:hAnsi="Times New Roman" w:hint="eastAsia"/>
          <w:color w:val="000000"/>
          <w:szCs w:val="24"/>
          <w:vertAlign w:val="superscript"/>
        </w:rPr>
        <w:t>2</w:t>
      </w:r>
      <w:r>
        <w:rPr>
          <w:rFonts w:ascii="Times New Roman" w:hAnsi="Times New Roman" w:hint="eastAsia"/>
          <w:color w:val="000000"/>
          <w:szCs w:val="24"/>
        </w:rPr>
        <w:t>，年度控制开采量</w:t>
      </w:r>
      <w:r>
        <w:rPr>
          <w:rFonts w:ascii="Times New Roman" w:hAnsi="Times New Roman" w:hint="eastAsia"/>
          <w:color w:val="000000"/>
          <w:szCs w:val="24"/>
        </w:rPr>
        <w:t>2000</w:t>
      </w:r>
      <w:r>
        <w:rPr>
          <w:rFonts w:ascii="Times New Roman" w:hAnsi="Times New Roman" w:hint="eastAsia"/>
          <w:color w:val="000000"/>
          <w:szCs w:val="24"/>
        </w:rPr>
        <w:t>万吨，采砂船控制数量</w:t>
      </w:r>
      <w:r>
        <w:rPr>
          <w:rFonts w:ascii="Times New Roman" w:hAnsi="Times New Roman" w:hint="eastAsia"/>
          <w:color w:val="000000"/>
          <w:szCs w:val="24"/>
        </w:rPr>
        <w:t>10</w:t>
      </w:r>
      <w:r>
        <w:rPr>
          <w:rFonts w:ascii="Times New Roman" w:hAnsi="Times New Roman" w:hint="eastAsia"/>
          <w:color w:val="000000"/>
          <w:szCs w:val="24"/>
        </w:rPr>
        <w:t>艘。</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禁采区规划。本次规划</w:t>
      </w:r>
      <w:r>
        <w:rPr>
          <w:rFonts w:ascii="Times New Roman" w:hAnsi="Times New Roman" w:hint="eastAsia"/>
          <w:color w:val="000000"/>
          <w:szCs w:val="24"/>
        </w:rPr>
        <w:t>21</w:t>
      </w:r>
      <w:r>
        <w:rPr>
          <w:rFonts w:ascii="Times New Roman" w:hAnsi="Times New Roman" w:hint="eastAsia"/>
          <w:color w:val="000000"/>
          <w:szCs w:val="24"/>
        </w:rPr>
        <w:t>处禁采区，其中：</w:t>
      </w:r>
      <w:r>
        <w:rPr>
          <w:rFonts w:ascii="Times New Roman" w:hAnsi="Times New Roman" w:hint="eastAsia"/>
          <w:color w:val="000000"/>
          <w:szCs w:val="24"/>
        </w:rPr>
        <w:t>3</w:t>
      </w:r>
      <w:r>
        <w:rPr>
          <w:rFonts w:ascii="Times New Roman" w:hAnsi="Times New Roman" w:hint="eastAsia"/>
          <w:color w:val="000000"/>
          <w:szCs w:val="24"/>
        </w:rPr>
        <w:t>个自然保护区（东洞庭湖自然保护区、横岭湖自然保护区、江豚自然保护区），</w:t>
      </w:r>
      <w:r>
        <w:rPr>
          <w:rFonts w:ascii="Times New Roman" w:hAnsi="Times New Roman" w:hint="eastAsia"/>
          <w:color w:val="000000"/>
          <w:szCs w:val="24"/>
        </w:rPr>
        <w:t>6</w:t>
      </w:r>
      <w:r>
        <w:rPr>
          <w:rFonts w:ascii="Times New Roman" w:hAnsi="Times New Roman" w:hint="eastAsia"/>
          <w:color w:val="000000"/>
          <w:szCs w:val="24"/>
        </w:rPr>
        <w:t>处水产种质资源保护区，</w:t>
      </w:r>
      <w:r>
        <w:rPr>
          <w:rFonts w:ascii="Times New Roman" w:hAnsi="Times New Roman" w:hint="eastAsia"/>
          <w:color w:val="000000"/>
          <w:szCs w:val="24"/>
        </w:rPr>
        <w:t>4</w:t>
      </w:r>
      <w:r>
        <w:rPr>
          <w:rFonts w:ascii="Times New Roman" w:hAnsi="Times New Roman" w:hint="eastAsia"/>
          <w:color w:val="000000"/>
          <w:szCs w:val="24"/>
        </w:rPr>
        <w:t>处国家级湿地公园，</w:t>
      </w:r>
      <w:r>
        <w:rPr>
          <w:rFonts w:ascii="Times New Roman" w:hAnsi="Times New Roman" w:hint="eastAsia"/>
          <w:color w:val="000000"/>
          <w:szCs w:val="24"/>
        </w:rPr>
        <w:t>2</w:t>
      </w:r>
      <w:r>
        <w:rPr>
          <w:rFonts w:ascii="Times New Roman" w:hAnsi="Times New Roman" w:hint="eastAsia"/>
          <w:color w:val="000000"/>
          <w:szCs w:val="24"/>
        </w:rPr>
        <w:t>处水源保护区，</w:t>
      </w:r>
      <w:r>
        <w:rPr>
          <w:rFonts w:ascii="Times New Roman" w:hAnsi="Times New Roman" w:hint="eastAsia"/>
          <w:color w:val="000000"/>
          <w:szCs w:val="24"/>
        </w:rPr>
        <w:t>6</w:t>
      </w:r>
      <w:r>
        <w:rPr>
          <w:rFonts w:ascii="Times New Roman" w:hAnsi="Times New Roman" w:hint="eastAsia"/>
          <w:color w:val="000000"/>
          <w:szCs w:val="24"/>
        </w:rPr>
        <w:t>处涉及桥梁、堤防险工险段的河段。</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lastRenderedPageBreak/>
        <w:t>规划划定</w:t>
      </w:r>
      <w:r>
        <w:rPr>
          <w:rFonts w:ascii="Times New Roman" w:hAnsi="Times New Roman" w:hint="eastAsia"/>
          <w:color w:val="000000"/>
          <w:szCs w:val="24"/>
        </w:rPr>
        <w:t>3~6</w:t>
      </w:r>
      <w:r>
        <w:rPr>
          <w:rFonts w:ascii="Times New Roman" w:hAnsi="Times New Roman" w:hint="eastAsia"/>
          <w:color w:val="000000"/>
          <w:szCs w:val="24"/>
        </w:rPr>
        <w:t>月份为打靶湖采区的禁采期，湘水、资水以及洞庭湖实际禁采期根据防汛汛情以当地防汛部门指令为准，有需要时另行发布禁采公告。</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禁采期以外时段均为可采期。本次规划期可采时段为</w:t>
      </w:r>
      <w:r>
        <w:rPr>
          <w:rFonts w:ascii="Times New Roman" w:hAnsi="Times New Roman" w:hint="eastAsia"/>
          <w:color w:val="000000"/>
          <w:szCs w:val="24"/>
        </w:rPr>
        <w:t>6</w:t>
      </w:r>
      <w:r>
        <w:rPr>
          <w:rFonts w:ascii="Times New Roman" w:hAnsi="Times New Roman" w:hint="eastAsia"/>
          <w:color w:val="000000"/>
          <w:szCs w:val="24"/>
        </w:rPr>
        <w:t>：</w:t>
      </w:r>
      <w:r>
        <w:rPr>
          <w:rFonts w:ascii="Times New Roman" w:hAnsi="Times New Roman" w:hint="eastAsia"/>
          <w:color w:val="000000"/>
          <w:szCs w:val="24"/>
        </w:rPr>
        <w:t>00</w:t>
      </w:r>
      <w:r>
        <w:rPr>
          <w:rFonts w:ascii="Times New Roman" w:hAnsi="Times New Roman" w:hint="eastAsia"/>
          <w:color w:val="000000"/>
          <w:szCs w:val="24"/>
        </w:rPr>
        <w:t>至</w:t>
      </w:r>
      <w:r>
        <w:rPr>
          <w:rFonts w:ascii="Times New Roman" w:hAnsi="Times New Roman" w:hint="eastAsia"/>
          <w:color w:val="000000"/>
          <w:szCs w:val="24"/>
        </w:rPr>
        <w:t>20</w:t>
      </w:r>
      <w:r>
        <w:rPr>
          <w:rFonts w:ascii="Times New Roman" w:hAnsi="Times New Roman" w:hint="eastAsia"/>
          <w:color w:val="000000"/>
          <w:szCs w:val="24"/>
        </w:rPr>
        <w:t>：</w:t>
      </w:r>
      <w:r>
        <w:rPr>
          <w:rFonts w:ascii="Times New Roman" w:hAnsi="Times New Roman" w:hint="eastAsia"/>
          <w:color w:val="000000"/>
          <w:szCs w:val="24"/>
        </w:rPr>
        <w:t>00</w:t>
      </w:r>
      <w:r>
        <w:rPr>
          <w:rFonts w:ascii="Times New Roman" w:hAnsi="Times New Roman" w:hint="eastAsia"/>
          <w:color w:val="000000"/>
          <w:szCs w:val="24"/>
        </w:rPr>
        <w:t>。</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本规划期（</w:t>
      </w:r>
      <w:r>
        <w:rPr>
          <w:rFonts w:ascii="Times New Roman" w:hAnsi="Times New Roman" w:hint="eastAsia"/>
          <w:color w:val="000000"/>
          <w:szCs w:val="24"/>
        </w:rPr>
        <w:t>2017~2020</w:t>
      </w:r>
      <w:r>
        <w:rPr>
          <w:rFonts w:ascii="Times New Roman" w:hAnsi="Times New Roman" w:hint="eastAsia"/>
          <w:color w:val="000000"/>
          <w:szCs w:val="24"/>
        </w:rPr>
        <w:t>年）内，</w:t>
      </w:r>
      <w:r>
        <w:rPr>
          <w:rFonts w:ascii="Times New Roman" w:hAnsi="Times New Roman" w:hint="eastAsia"/>
          <w:color w:val="000000"/>
          <w:szCs w:val="24"/>
        </w:rPr>
        <w:t>7</w:t>
      </w:r>
      <w:r>
        <w:rPr>
          <w:rFonts w:ascii="Times New Roman" w:hAnsi="Times New Roman" w:hint="eastAsia"/>
          <w:color w:val="000000"/>
          <w:szCs w:val="24"/>
        </w:rPr>
        <w:t>处可采区砂石开采总量为</w:t>
      </w:r>
      <w:r>
        <w:rPr>
          <w:rFonts w:ascii="Times New Roman" w:hAnsi="Times New Roman" w:hint="eastAsia"/>
          <w:color w:val="000000"/>
          <w:szCs w:val="24"/>
        </w:rPr>
        <w:t>18000</w:t>
      </w:r>
      <w:r>
        <w:rPr>
          <w:rFonts w:ascii="Times New Roman" w:hAnsi="Times New Roman" w:hint="eastAsia"/>
          <w:color w:val="000000"/>
          <w:szCs w:val="24"/>
        </w:rPr>
        <w:t>万吨，考虑岳阳市、长沙市的需求量，确定规划期内年度采砂总量控制数为</w:t>
      </w:r>
      <w:r>
        <w:rPr>
          <w:rFonts w:ascii="Times New Roman" w:hAnsi="Times New Roman" w:hint="eastAsia"/>
          <w:color w:val="000000"/>
          <w:szCs w:val="24"/>
        </w:rPr>
        <w:t>4500</w:t>
      </w:r>
      <w:r>
        <w:rPr>
          <w:rFonts w:ascii="Times New Roman" w:hAnsi="Times New Roman" w:hint="eastAsia"/>
          <w:color w:val="000000"/>
          <w:szCs w:val="24"/>
        </w:rPr>
        <w:t>万</w:t>
      </w:r>
      <w:r>
        <w:rPr>
          <w:rFonts w:ascii="Times New Roman" w:hAnsi="Times New Roman" w:hint="eastAsia"/>
          <w:color w:val="000000"/>
          <w:szCs w:val="24"/>
        </w:rPr>
        <w:t>t</w:t>
      </w:r>
      <w:r>
        <w:rPr>
          <w:rFonts w:ascii="Times New Roman" w:hAnsi="Times New Roman" w:hint="eastAsia"/>
          <w:color w:val="000000"/>
          <w:szCs w:val="24"/>
        </w:rPr>
        <w:t>。</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岳阳市环境保护局于</w:t>
      </w:r>
      <w:r>
        <w:rPr>
          <w:rFonts w:ascii="Times New Roman" w:hAnsi="Times New Roman" w:hint="eastAsia"/>
          <w:color w:val="000000"/>
          <w:szCs w:val="24"/>
        </w:rPr>
        <w:t>2018</w:t>
      </w:r>
      <w:r>
        <w:rPr>
          <w:rFonts w:ascii="Times New Roman" w:hAnsi="Times New Roman" w:hint="eastAsia"/>
          <w:color w:val="000000"/>
          <w:szCs w:val="24"/>
        </w:rPr>
        <w:t>年</w:t>
      </w:r>
      <w:r>
        <w:rPr>
          <w:rFonts w:ascii="Times New Roman" w:hAnsi="Times New Roman" w:hint="eastAsia"/>
          <w:color w:val="000000"/>
          <w:szCs w:val="24"/>
        </w:rPr>
        <w:t>3</w:t>
      </w:r>
      <w:r>
        <w:rPr>
          <w:rFonts w:ascii="Times New Roman" w:hAnsi="Times New Roman" w:hint="eastAsia"/>
          <w:color w:val="000000"/>
          <w:szCs w:val="24"/>
        </w:rPr>
        <w:t>月</w:t>
      </w:r>
      <w:r>
        <w:rPr>
          <w:rFonts w:ascii="Times New Roman" w:hAnsi="Times New Roman" w:hint="eastAsia"/>
          <w:color w:val="000000"/>
          <w:szCs w:val="24"/>
        </w:rPr>
        <w:t>16</w:t>
      </w:r>
      <w:r>
        <w:rPr>
          <w:rFonts w:ascii="Times New Roman" w:hAnsi="Times New Roman" w:hint="eastAsia"/>
          <w:color w:val="000000"/>
          <w:szCs w:val="24"/>
        </w:rPr>
        <w:t>日出具关于湖南省湘江干流及洞庭湖区岳阳段河道采砂规划（</w:t>
      </w:r>
      <w:r>
        <w:rPr>
          <w:rFonts w:ascii="Times New Roman" w:hAnsi="Times New Roman" w:hint="eastAsia"/>
          <w:color w:val="000000"/>
          <w:szCs w:val="24"/>
        </w:rPr>
        <w:t>2017</w:t>
      </w:r>
      <w:r>
        <w:rPr>
          <w:rFonts w:ascii="Times New Roman" w:hAnsi="Times New Roman" w:hint="eastAsia"/>
          <w:color w:val="000000"/>
          <w:szCs w:val="24"/>
        </w:rPr>
        <w:t>～</w:t>
      </w:r>
      <w:r>
        <w:rPr>
          <w:rFonts w:ascii="Times New Roman" w:hAnsi="Times New Roman" w:hint="eastAsia"/>
          <w:color w:val="000000"/>
          <w:szCs w:val="24"/>
        </w:rPr>
        <w:t>2020</w:t>
      </w:r>
      <w:r>
        <w:rPr>
          <w:rFonts w:ascii="Times New Roman" w:hAnsi="Times New Roman" w:hint="eastAsia"/>
          <w:color w:val="000000"/>
          <w:szCs w:val="24"/>
        </w:rPr>
        <w:t>年）环境影响报告书的审查意见。</w:t>
      </w:r>
    </w:p>
    <w:p w:rsidR="004B4777" w:rsidRDefault="004B4777">
      <w:pPr>
        <w:pStyle w:val="3"/>
        <w:spacing w:before="0" w:after="0"/>
        <w:rPr>
          <w:rFonts w:ascii="Times New Roman" w:eastAsia="宋体" w:hAnsi="Times New Roman" w:hint="eastAsia"/>
          <w:b/>
        </w:rPr>
      </w:pPr>
      <w:r>
        <w:rPr>
          <w:rFonts w:ascii="Times New Roman" w:eastAsia="宋体" w:hAnsi="Times New Roman"/>
          <w:b/>
        </w:rPr>
        <w:t>5.1.</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hint="eastAsia"/>
          <w:b/>
        </w:rPr>
        <w:t>洪道整治规划</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根据</w:t>
      </w:r>
      <w:r>
        <w:rPr>
          <w:rFonts w:ascii="Times New Roman" w:hAnsi="Times New Roman"/>
          <w:color w:val="000000"/>
          <w:szCs w:val="24"/>
        </w:rPr>
        <w:t>长江委</w:t>
      </w:r>
      <w:r>
        <w:rPr>
          <w:rFonts w:ascii="Times New Roman" w:hAnsi="Times New Roman"/>
          <w:color w:val="000000"/>
          <w:szCs w:val="24"/>
        </w:rPr>
        <w:t>2015</w:t>
      </w:r>
      <w:r>
        <w:rPr>
          <w:rFonts w:ascii="Times New Roman" w:hAnsi="Times New Roman"/>
          <w:color w:val="000000"/>
          <w:szCs w:val="24"/>
        </w:rPr>
        <w:t>年编制的</w:t>
      </w:r>
      <w:r>
        <w:rPr>
          <w:rFonts w:ascii="Times New Roman" w:hAnsi="Times New Roman" w:hint="eastAsia"/>
          <w:color w:val="000000"/>
          <w:szCs w:val="24"/>
        </w:rPr>
        <w:t>《湖南省洞庭湖区综合规划》，洞庭湖区水系错综复杂，洪道长约</w:t>
      </w:r>
      <w:r>
        <w:rPr>
          <w:rFonts w:ascii="Times New Roman" w:hAnsi="Times New Roman" w:hint="eastAsia"/>
          <w:color w:val="000000"/>
          <w:szCs w:val="24"/>
        </w:rPr>
        <w:t>1895m</w:t>
      </w:r>
      <w:r>
        <w:rPr>
          <w:rFonts w:ascii="Times New Roman" w:hAnsi="Times New Roman" w:hint="eastAsia"/>
          <w:color w:val="000000"/>
          <w:szCs w:val="24"/>
        </w:rPr>
        <w:t>，基本由三部分组成：第一部分为四口水系洪道，即松滋、虎渡、藕池、调弦洪道，总长</w:t>
      </w:r>
      <w:r>
        <w:rPr>
          <w:rFonts w:ascii="Times New Roman" w:hAnsi="Times New Roman" w:hint="eastAsia"/>
          <w:color w:val="000000"/>
          <w:szCs w:val="24"/>
        </w:rPr>
        <w:t>956km</w:t>
      </w:r>
      <w:r>
        <w:rPr>
          <w:rFonts w:ascii="Times New Roman" w:hAnsi="Times New Roman" w:hint="eastAsia"/>
          <w:color w:val="000000"/>
          <w:szCs w:val="24"/>
        </w:rPr>
        <w:t>；第二部分为纯湖区洪道，即西洞庭湖、南洞庭湖（包括草尾河、黄土包河）、东洞庭湖洪道总长</w:t>
      </w:r>
      <w:r>
        <w:rPr>
          <w:rFonts w:ascii="Times New Roman" w:hAnsi="Times New Roman" w:hint="eastAsia"/>
          <w:color w:val="000000"/>
          <w:szCs w:val="24"/>
        </w:rPr>
        <w:t>274km</w:t>
      </w:r>
      <w:r>
        <w:rPr>
          <w:rFonts w:ascii="Times New Roman" w:hAnsi="Times New Roman" w:hint="eastAsia"/>
          <w:color w:val="000000"/>
          <w:szCs w:val="24"/>
        </w:rPr>
        <w:t>；第三部分为四水等尾闾的水系洪道，即湘、资、沅、澧、汩罗江、新墙河等六河尾闾洪道，总长</w:t>
      </w:r>
      <w:r>
        <w:rPr>
          <w:rFonts w:ascii="Times New Roman" w:hAnsi="Times New Roman" w:hint="eastAsia"/>
          <w:color w:val="000000"/>
          <w:szCs w:val="24"/>
        </w:rPr>
        <w:t>665km</w:t>
      </w:r>
      <w:r>
        <w:rPr>
          <w:rFonts w:ascii="Times New Roman" w:hAnsi="Times New Roman" w:hint="eastAsia"/>
          <w:color w:val="000000"/>
          <w:szCs w:val="24"/>
        </w:rPr>
        <w:t>。其中涉及到湘阴县的部分如下：</w:t>
      </w:r>
    </w:p>
    <w:p w:rsidR="004B4777" w:rsidRDefault="004B4777">
      <w:pPr>
        <w:ind w:firstLine="480"/>
        <w:rPr>
          <w:rFonts w:ascii="Times New Roman" w:hAnsi="Times New Roman"/>
        </w:rPr>
      </w:pPr>
      <w:r>
        <w:rPr>
          <w:rFonts w:ascii="Times New Roman" w:hAnsi="Times New Roman" w:hint="eastAsia"/>
        </w:rPr>
        <w:t>1</w:t>
      </w:r>
      <w:r>
        <w:rPr>
          <w:rFonts w:ascii="Times New Roman" w:hAnsi="Times New Roman" w:hint="eastAsia"/>
        </w:rPr>
        <w:t>）</w:t>
      </w:r>
      <w:r>
        <w:rPr>
          <w:rFonts w:ascii="Times New Roman" w:hAnsi="Times New Roman" w:hint="eastAsia"/>
        </w:rPr>
        <w:t xml:space="preserve"> </w:t>
      </w:r>
      <w:r>
        <w:rPr>
          <w:rFonts w:ascii="Times New Roman" w:hAnsi="Times New Roman" w:hint="eastAsia"/>
        </w:rPr>
        <w:t>湘江洪道整治规划</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湘江洪道规划范围自株洲县渌口镇以下，干流洪道总长</w:t>
      </w:r>
      <w:r>
        <w:rPr>
          <w:rFonts w:ascii="Times New Roman" w:hAnsi="Times New Roman" w:hint="eastAsia"/>
          <w:color w:val="000000"/>
          <w:szCs w:val="24"/>
        </w:rPr>
        <w:t>218.11km</w:t>
      </w:r>
      <w:r>
        <w:rPr>
          <w:rFonts w:ascii="Times New Roman" w:hAnsi="Times New Roman" w:hint="eastAsia"/>
          <w:color w:val="000000"/>
          <w:szCs w:val="24"/>
        </w:rPr>
        <w:t>，其中禄口到濠河口长</w:t>
      </w:r>
      <w:r>
        <w:rPr>
          <w:rFonts w:ascii="Times New Roman" w:hAnsi="Times New Roman" w:hint="eastAsia"/>
          <w:color w:val="000000"/>
          <w:szCs w:val="24"/>
        </w:rPr>
        <w:t>154.73km</w:t>
      </w:r>
      <w:r>
        <w:rPr>
          <w:rFonts w:ascii="Times New Roman" w:hAnsi="Times New Roman" w:hint="eastAsia"/>
          <w:color w:val="000000"/>
          <w:szCs w:val="24"/>
        </w:rPr>
        <w:t>，东支濠河口到营田</w:t>
      </w:r>
      <w:r>
        <w:rPr>
          <w:rFonts w:ascii="Times New Roman" w:hAnsi="Times New Roman" w:hint="eastAsia"/>
          <w:color w:val="000000"/>
          <w:szCs w:val="24"/>
        </w:rPr>
        <w:t>32.38km</w:t>
      </w:r>
      <w:r>
        <w:rPr>
          <w:rFonts w:ascii="Times New Roman" w:hAnsi="Times New Roman" w:hint="eastAsia"/>
          <w:color w:val="000000"/>
          <w:szCs w:val="24"/>
        </w:rPr>
        <w:t>，西支濠河口到斗米咀</w:t>
      </w:r>
      <w:r>
        <w:rPr>
          <w:rFonts w:ascii="Times New Roman" w:hAnsi="Times New Roman" w:hint="eastAsia"/>
          <w:color w:val="000000"/>
          <w:szCs w:val="24"/>
        </w:rPr>
        <w:t>31km</w:t>
      </w:r>
      <w:r>
        <w:rPr>
          <w:rFonts w:ascii="Times New Roman" w:hAnsi="Times New Roman" w:hint="eastAsia"/>
          <w:color w:val="000000"/>
          <w:szCs w:val="24"/>
        </w:rPr>
        <w:t>。</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湘江尾闾洪道整治工程包括洪道扫障、疏挖、拓卡以及局部河段的河势控制等：①</w:t>
      </w:r>
      <w:r>
        <w:rPr>
          <w:rFonts w:ascii="Times New Roman" w:hAnsi="Times New Roman" w:hint="eastAsia"/>
          <w:color w:val="000000"/>
          <w:szCs w:val="24"/>
        </w:rPr>
        <w:t xml:space="preserve"> </w:t>
      </w:r>
      <w:r>
        <w:rPr>
          <w:rFonts w:ascii="Times New Roman" w:hAnsi="Times New Roman" w:hint="eastAsia"/>
          <w:color w:val="000000"/>
          <w:szCs w:val="24"/>
        </w:rPr>
        <w:t>清除苇柳</w:t>
      </w:r>
      <w:r>
        <w:rPr>
          <w:rFonts w:ascii="Times New Roman" w:hAnsi="Times New Roman" w:hint="eastAsia"/>
          <w:color w:val="000000"/>
          <w:szCs w:val="24"/>
        </w:rPr>
        <w:t>1.07</w:t>
      </w:r>
      <w:r>
        <w:rPr>
          <w:rFonts w:ascii="Times New Roman" w:hAnsi="Times New Roman" w:hint="eastAsia"/>
          <w:color w:val="000000"/>
          <w:szCs w:val="24"/>
        </w:rPr>
        <w:t>万亩，废堤</w:t>
      </w:r>
      <w:r>
        <w:rPr>
          <w:rFonts w:ascii="Times New Roman" w:hAnsi="Times New Roman" w:hint="eastAsia"/>
          <w:color w:val="000000"/>
          <w:szCs w:val="24"/>
        </w:rPr>
        <w:t>30km</w:t>
      </w:r>
      <w:r>
        <w:rPr>
          <w:rFonts w:ascii="Times New Roman" w:hAnsi="Times New Roman" w:hint="eastAsia"/>
          <w:color w:val="000000"/>
          <w:szCs w:val="24"/>
        </w:rPr>
        <w:t>，矶头、丁坝、码头等</w:t>
      </w:r>
      <w:r>
        <w:rPr>
          <w:rFonts w:ascii="Times New Roman" w:hAnsi="Times New Roman" w:hint="eastAsia"/>
          <w:color w:val="000000"/>
          <w:szCs w:val="24"/>
        </w:rPr>
        <w:t>12</w:t>
      </w:r>
      <w:r>
        <w:rPr>
          <w:rFonts w:ascii="Times New Roman" w:hAnsi="Times New Roman" w:hint="eastAsia"/>
          <w:color w:val="000000"/>
          <w:szCs w:val="24"/>
        </w:rPr>
        <w:t>处，改建码头</w:t>
      </w:r>
      <w:r>
        <w:rPr>
          <w:rFonts w:ascii="Times New Roman" w:hAnsi="Times New Roman" w:hint="eastAsia"/>
          <w:color w:val="000000"/>
          <w:szCs w:val="24"/>
        </w:rPr>
        <w:t>17</w:t>
      </w:r>
      <w:r>
        <w:rPr>
          <w:rFonts w:ascii="Times New Roman" w:hAnsi="Times New Roman" w:hint="eastAsia"/>
          <w:color w:val="000000"/>
          <w:szCs w:val="24"/>
        </w:rPr>
        <w:t>处，拆除阻水房屋</w:t>
      </w:r>
      <w:r>
        <w:rPr>
          <w:rFonts w:ascii="Times New Roman" w:hAnsi="Times New Roman" w:hint="eastAsia"/>
          <w:color w:val="000000"/>
          <w:szCs w:val="24"/>
        </w:rPr>
        <w:t>27.74</w:t>
      </w:r>
      <w:r>
        <w:rPr>
          <w:rFonts w:ascii="Times New Roman" w:hAnsi="Times New Roman" w:hint="eastAsia"/>
          <w:color w:val="000000"/>
          <w:szCs w:val="24"/>
        </w:rPr>
        <w:t>万</w:t>
      </w:r>
      <w:r>
        <w:rPr>
          <w:rFonts w:ascii="Times New Roman" w:hAnsi="Times New Roman" w:hint="eastAsia"/>
          <w:color w:val="000000"/>
          <w:szCs w:val="24"/>
        </w:rPr>
        <w:t>m</w:t>
      </w:r>
      <w:r>
        <w:rPr>
          <w:rFonts w:ascii="Times New Roman" w:hAnsi="Times New Roman"/>
          <w:color w:val="000000"/>
          <w:szCs w:val="24"/>
          <w:vertAlign w:val="superscript"/>
        </w:rPr>
        <w:t>2</w:t>
      </w:r>
      <w:r>
        <w:rPr>
          <w:rFonts w:ascii="Times New Roman" w:hAnsi="Times New Roman" w:hint="eastAsia"/>
          <w:color w:val="000000"/>
          <w:szCs w:val="24"/>
        </w:rPr>
        <w:t>；②</w:t>
      </w:r>
      <w:r>
        <w:rPr>
          <w:rFonts w:ascii="Times New Roman" w:hAnsi="Times New Roman" w:hint="eastAsia"/>
          <w:color w:val="000000"/>
          <w:szCs w:val="24"/>
        </w:rPr>
        <w:t xml:space="preserve"> </w:t>
      </w:r>
      <w:r>
        <w:rPr>
          <w:rFonts w:ascii="Times New Roman" w:hAnsi="Times New Roman" w:hint="eastAsia"/>
          <w:color w:val="000000"/>
          <w:szCs w:val="24"/>
        </w:rPr>
        <w:t>疏挖阻水高洲</w:t>
      </w:r>
      <w:r>
        <w:rPr>
          <w:rFonts w:ascii="Times New Roman" w:hAnsi="Times New Roman" w:hint="eastAsia"/>
          <w:color w:val="000000"/>
          <w:szCs w:val="24"/>
        </w:rPr>
        <w:t>11</w:t>
      </w:r>
      <w:r>
        <w:rPr>
          <w:rFonts w:ascii="Times New Roman" w:hAnsi="Times New Roman" w:hint="eastAsia"/>
          <w:color w:val="000000"/>
          <w:szCs w:val="24"/>
        </w:rPr>
        <w:t>处</w:t>
      </w:r>
      <w:r>
        <w:rPr>
          <w:rFonts w:ascii="Times New Roman" w:hAnsi="Times New Roman" w:hint="eastAsia"/>
          <w:color w:val="000000"/>
          <w:szCs w:val="24"/>
        </w:rPr>
        <w:t>41.106km</w:t>
      </w:r>
      <w:r>
        <w:rPr>
          <w:rFonts w:ascii="Times New Roman" w:hAnsi="Times New Roman" w:hint="eastAsia"/>
          <w:color w:val="000000"/>
          <w:szCs w:val="24"/>
        </w:rPr>
        <w:t>；③</w:t>
      </w:r>
      <w:r>
        <w:rPr>
          <w:rFonts w:ascii="Times New Roman" w:hAnsi="Times New Roman" w:hint="eastAsia"/>
          <w:color w:val="000000"/>
          <w:szCs w:val="24"/>
        </w:rPr>
        <w:t xml:space="preserve"> </w:t>
      </w:r>
      <w:r>
        <w:rPr>
          <w:rFonts w:ascii="Times New Roman" w:hAnsi="Times New Roman" w:hint="eastAsia"/>
          <w:color w:val="000000"/>
          <w:szCs w:val="24"/>
        </w:rPr>
        <w:t>拓宽大石围、丁字湾两处卡口；④</w:t>
      </w:r>
      <w:r>
        <w:rPr>
          <w:rFonts w:ascii="Times New Roman" w:hAnsi="Times New Roman" w:hint="eastAsia"/>
          <w:color w:val="000000"/>
          <w:szCs w:val="24"/>
        </w:rPr>
        <w:t xml:space="preserve"> </w:t>
      </w:r>
      <w:r>
        <w:rPr>
          <w:rFonts w:ascii="Times New Roman" w:hAnsi="Times New Roman" w:hint="eastAsia"/>
          <w:color w:val="000000"/>
          <w:szCs w:val="24"/>
        </w:rPr>
        <w:t>河势控制包括刨除原有矶头</w:t>
      </w:r>
      <w:r>
        <w:rPr>
          <w:rFonts w:ascii="Times New Roman" w:hAnsi="Times New Roman" w:hint="eastAsia"/>
          <w:color w:val="000000"/>
          <w:szCs w:val="24"/>
        </w:rPr>
        <w:t>19</w:t>
      </w:r>
      <w:r>
        <w:rPr>
          <w:rFonts w:ascii="Times New Roman" w:hAnsi="Times New Roman" w:hint="eastAsia"/>
          <w:color w:val="000000"/>
          <w:szCs w:val="24"/>
        </w:rPr>
        <w:t>个、丁坝改为平顺护岸</w:t>
      </w:r>
      <w:r>
        <w:rPr>
          <w:rFonts w:ascii="Times New Roman" w:hAnsi="Times New Roman" w:hint="eastAsia"/>
          <w:color w:val="000000"/>
          <w:szCs w:val="24"/>
        </w:rPr>
        <w:t>5</w:t>
      </w:r>
      <w:r>
        <w:rPr>
          <w:rFonts w:ascii="Times New Roman" w:hAnsi="Times New Roman" w:hint="eastAsia"/>
          <w:color w:val="000000"/>
          <w:szCs w:val="24"/>
        </w:rPr>
        <w:t>处共</w:t>
      </w:r>
      <w:r>
        <w:rPr>
          <w:rFonts w:ascii="Times New Roman" w:hAnsi="Times New Roman" w:hint="eastAsia"/>
          <w:color w:val="000000"/>
          <w:szCs w:val="24"/>
        </w:rPr>
        <w:t>8.78km</w:t>
      </w:r>
      <w:r>
        <w:rPr>
          <w:rFonts w:ascii="Times New Roman" w:hAnsi="Times New Roman" w:hint="eastAsia"/>
          <w:color w:val="000000"/>
          <w:szCs w:val="24"/>
        </w:rPr>
        <w:t>；⑤</w:t>
      </w:r>
      <w:r>
        <w:rPr>
          <w:rFonts w:ascii="Times New Roman" w:hAnsi="Times New Roman" w:hint="eastAsia"/>
          <w:color w:val="000000"/>
          <w:szCs w:val="24"/>
        </w:rPr>
        <w:t xml:space="preserve"> </w:t>
      </w:r>
      <w:r>
        <w:rPr>
          <w:rFonts w:ascii="Times New Roman" w:hAnsi="Times New Roman" w:hint="eastAsia"/>
          <w:color w:val="000000"/>
          <w:szCs w:val="24"/>
        </w:rPr>
        <w:t>对崩岸严重的</w:t>
      </w:r>
      <w:r>
        <w:rPr>
          <w:rFonts w:ascii="Times New Roman" w:hAnsi="Times New Roman" w:hint="eastAsia"/>
          <w:color w:val="000000"/>
          <w:szCs w:val="24"/>
        </w:rPr>
        <w:t>38.85km</w:t>
      </w:r>
      <w:r>
        <w:rPr>
          <w:rFonts w:ascii="Times New Roman" w:hAnsi="Times New Roman" w:hint="eastAsia"/>
          <w:color w:val="000000"/>
          <w:szCs w:val="24"/>
        </w:rPr>
        <w:t>岸段采取抛石护脚措施。</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2</w:t>
      </w:r>
      <w:r>
        <w:rPr>
          <w:rFonts w:ascii="Times New Roman" w:hAnsi="Times New Roman" w:hint="eastAsia"/>
          <w:color w:val="000000"/>
          <w:szCs w:val="24"/>
        </w:rPr>
        <w:t>）资水洪道整治规划</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资水尾闾洪道从桃江至杨柳潭全长</w:t>
      </w:r>
      <w:r>
        <w:rPr>
          <w:rFonts w:ascii="Times New Roman" w:hAnsi="Times New Roman" w:hint="eastAsia"/>
          <w:color w:val="000000"/>
          <w:szCs w:val="24"/>
        </w:rPr>
        <w:t>72.9km</w:t>
      </w:r>
      <w:r>
        <w:rPr>
          <w:rFonts w:ascii="Times New Roman" w:hAnsi="Times New Roman" w:hint="eastAsia"/>
          <w:color w:val="000000"/>
          <w:szCs w:val="24"/>
        </w:rPr>
        <w:t>，洪道下段又分出西支甘溪港河和东支毛角口河，长度分别为</w:t>
      </w:r>
      <w:r>
        <w:rPr>
          <w:rFonts w:ascii="Times New Roman" w:hAnsi="Times New Roman" w:hint="eastAsia"/>
          <w:color w:val="000000"/>
          <w:szCs w:val="24"/>
        </w:rPr>
        <w:t>21.4km</w:t>
      </w:r>
      <w:r>
        <w:rPr>
          <w:rFonts w:ascii="Times New Roman" w:hAnsi="Times New Roman" w:hint="eastAsia"/>
          <w:color w:val="000000"/>
          <w:szCs w:val="24"/>
        </w:rPr>
        <w:t>和</w:t>
      </w:r>
      <w:r>
        <w:rPr>
          <w:rFonts w:ascii="Times New Roman" w:hAnsi="Times New Roman" w:hint="eastAsia"/>
          <w:color w:val="000000"/>
          <w:szCs w:val="24"/>
        </w:rPr>
        <w:t>35.6km</w:t>
      </w:r>
      <w:r>
        <w:rPr>
          <w:rFonts w:ascii="Times New Roman" w:hAnsi="Times New Roman" w:hint="eastAsia"/>
          <w:color w:val="000000"/>
          <w:szCs w:val="24"/>
        </w:rPr>
        <w:t>，均为流向不定的河段，是湘澧航道的组成部分。资水洪道整治规划工程包括：①拓宽市二中、沙头</w:t>
      </w:r>
      <w:r>
        <w:rPr>
          <w:rFonts w:ascii="Times New Roman" w:hAnsi="Times New Roman" w:hint="eastAsia"/>
          <w:color w:val="000000"/>
          <w:szCs w:val="24"/>
        </w:rPr>
        <w:t>2</w:t>
      </w:r>
      <w:r>
        <w:rPr>
          <w:rFonts w:ascii="Times New Roman" w:hAnsi="Times New Roman" w:hint="eastAsia"/>
          <w:color w:val="000000"/>
          <w:szCs w:val="24"/>
        </w:rPr>
        <w:t>处天然卡口；②刨毁矶头</w:t>
      </w:r>
      <w:r>
        <w:rPr>
          <w:rFonts w:ascii="Times New Roman" w:hAnsi="Times New Roman" w:hint="eastAsia"/>
          <w:color w:val="000000"/>
          <w:szCs w:val="24"/>
        </w:rPr>
        <w:t>23</w:t>
      </w:r>
      <w:r>
        <w:rPr>
          <w:rFonts w:ascii="Times New Roman" w:hAnsi="Times New Roman" w:hint="eastAsia"/>
          <w:color w:val="000000"/>
          <w:szCs w:val="24"/>
        </w:rPr>
        <w:t>个，废堤</w:t>
      </w:r>
      <w:r>
        <w:rPr>
          <w:rFonts w:ascii="Times New Roman" w:hAnsi="Times New Roman" w:hint="eastAsia"/>
          <w:color w:val="000000"/>
          <w:szCs w:val="24"/>
        </w:rPr>
        <w:t>3.0km</w:t>
      </w:r>
      <w:r>
        <w:rPr>
          <w:rFonts w:ascii="Times New Roman" w:hAnsi="Times New Roman" w:hint="eastAsia"/>
          <w:color w:val="000000"/>
          <w:szCs w:val="24"/>
        </w:rPr>
        <w:t>；③拆除或改建码头</w:t>
      </w:r>
      <w:r>
        <w:rPr>
          <w:rFonts w:ascii="Times New Roman" w:hAnsi="Times New Roman" w:hint="eastAsia"/>
          <w:color w:val="000000"/>
          <w:szCs w:val="24"/>
        </w:rPr>
        <w:t>8</w:t>
      </w:r>
      <w:r>
        <w:rPr>
          <w:rFonts w:ascii="Times New Roman" w:hAnsi="Times New Roman" w:hint="eastAsia"/>
          <w:color w:val="000000"/>
          <w:szCs w:val="24"/>
        </w:rPr>
        <w:t>处，扫除洪道内阻水苇柳</w:t>
      </w:r>
      <w:r>
        <w:rPr>
          <w:rFonts w:ascii="Times New Roman" w:hAnsi="Times New Roman" w:hint="eastAsia"/>
          <w:color w:val="000000"/>
          <w:szCs w:val="24"/>
        </w:rPr>
        <w:t>0.81</w:t>
      </w:r>
      <w:r>
        <w:rPr>
          <w:rFonts w:ascii="Times New Roman" w:hAnsi="Times New Roman" w:hint="eastAsia"/>
          <w:color w:val="000000"/>
          <w:szCs w:val="24"/>
        </w:rPr>
        <w:t>万亩，清除岸边堆</w:t>
      </w:r>
      <w:r>
        <w:rPr>
          <w:rFonts w:ascii="Times New Roman" w:hAnsi="Times New Roman" w:hint="eastAsia"/>
          <w:color w:val="000000"/>
          <w:szCs w:val="24"/>
        </w:rPr>
        <w:lastRenderedPageBreak/>
        <w:t>场</w:t>
      </w:r>
      <w:r>
        <w:rPr>
          <w:rFonts w:ascii="Times New Roman" w:hAnsi="Times New Roman" w:hint="eastAsia"/>
          <w:color w:val="000000"/>
          <w:szCs w:val="24"/>
        </w:rPr>
        <w:t>5</w:t>
      </w:r>
      <w:r>
        <w:rPr>
          <w:rFonts w:ascii="Times New Roman" w:hAnsi="Times New Roman" w:hint="eastAsia"/>
          <w:color w:val="000000"/>
          <w:szCs w:val="24"/>
        </w:rPr>
        <w:t>处，拆迁房屋</w:t>
      </w:r>
      <w:r>
        <w:rPr>
          <w:rFonts w:ascii="Times New Roman" w:hAnsi="Times New Roman" w:hint="eastAsia"/>
          <w:color w:val="000000"/>
          <w:szCs w:val="24"/>
        </w:rPr>
        <w:t>800</w:t>
      </w:r>
      <w:r>
        <w:rPr>
          <w:rFonts w:ascii="Times New Roman" w:hAnsi="Times New Roman" w:hint="eastAsia"/>
          <w:color w:val="000000"/>
          <w:szCs w:val="24"/>
        </w:rPr>
        <w:t>栋。④</w:t>
      </w:r>
      <w:r>
        <w:rPr>
          <w:rFonts w:ascii="Times New Roman" w:hAnsi="Times New Roman" w:hint="eastAsia"/>
          <w:color w:val="000000"/>
          <w:szCs w:val="24"/>
        </w:rPr>
        <w:t xml:space="preserve"> </w:t>
      </w:r>
      <w:r>
        <w:rPr>
          <w:rFonts w:ascii="Times New Roman" w:hAnsi="Times New Roman" w:hint="eastAsia"/>
          <w:color w:val="000000"/>
          <w:szCs w:val="24"/>
        </w:rPr>
        <w:t>疏挖淤积严重的阻水洲滩</w:t>
      </w:r>
      <w:r>
        <w:rPr>
          <w:rFonts w:ascii="Times New Roman" w:hAnsi="Times New Roman" w:hint="eastAsia"/>
          <w:color w:val="000000"/>
          <w:szCs w:val="24"/>
        </w:rPr>
        <w:t>10</w:t>
      </w:r>
      <w:r>
        <w:rPr>
          <w:rFonts w:ascii="Times New Roman" w:hAnsi="Times New Roman" w:hint="eastAsia"/>
          <w:color w:val="000000"/>
          <w:szCs w:val="24"/>
        </w:rPr>
        <w:t>处</w:t>
      </w:r>
      <w:r>
        <w:rPr>
          <w:rFonts w:ascii="Times New Roman" w:hAnsi="Times New Roman" w:hint="eastAsia"/>
          <w:color w:val="000000"/>
          <w:szCs w:val="24"/>
        </w:rPr>
        <w:t>26.19km</w:t>
      </w:r>
      <w:r>
        <w:rPr>
          <w:rFonts w:ascii="Times New Roman" w:hAnsi="Times New Roman" w:hint="eastAsia"/>
          <w:color w:val="000000"/>
          <w:szCs w:val="24"/>
        </w:rPr>
        <w:t>；⑤对</w:t>
      </w:r>
      <w:r>
        <w:rPr>
          <w:rFonts w:ascii="Times New Roman" w:hAnsi="Times New Roman" w:hint="eastAsia"/>
          <w:color w:val="000000"/>
          <w:szCs w:val="24"/>
        </w:rPr>
        <w:t>34.2km</w:t>
      </w:r>
      <w:r>
        <w:rPr>
          <w:rFonts w:ascii="Times New Roman" w:hAnsi="Times New Roman" w:hint="eastAsia"/>
          <w:color w:val="000000"/>
          <w:szCs w:val="24"/>
        </w:rPr>
        <w:t>崩岸段抛石护脚。</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 xml:space="preserve">5.1.5 </w:t>
      </w:r>
      <w:r>
        <w:rPr>
          <w:rFonts w:ascii="Times New Roman" w:eastAsia="宋体" w:hAnsi="Times New Roman" w:hint="eastAsia"/>
          <w:b/>
        </w:rPr>
        <w:t>区域航道基本情况</w:t>
      </w:r>
    </w:p>
    <w:p w:rsidR="004B4777" w:rsidRDefault="004B4777">
      <w:pPr>
        <w:pStyle w:val="4"/>
        <w:spacing w:before="0" w:after="0"/>
        <w:jc w:val="both"/>
        <w:rPr>
          <w:rFonts w:ascii="Times New Roman" w:eastAsia="宋体" w:hAnsi="Times New Roman" w:hint="eastAsia"/>
          <w:b/>
        </w:rPr>
      </w:pPr>
      <w:r>
        <w:rPr>
          <w:rFonts w:ascii="Times New Roman" w:eastAsia="宋体" w:hAnsi="Times New Roman" w:hint="eastAsia"/>
          <w:b/>
        </w:rPr>
        <w:t xml:space="preserve">5.1.5.1 </w:t>
      </w:r>
      <w:r>
        <w:rPr>
          <w:rFonts w:ascii="Times New Roman" w:eastAsia="宋体" w:hAnsi="Times New Roman" w:hint="eastAsia"/>
          <w:b/>
        </w:rPr>
        <w:t>区域内航道基本情况</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根据《湖南省内河水运发展规划》（</w:t>
      </w:r>
      <w:r>
        <w:rPr>
          <w:rFonts w:ascii="Times New Roman" w:hAnsi="Times New Roman" w:hint="eastAsia"/>
          <w:color w:val="000000"/>
          <w:szCs w:val="24"/>
        </w:rPr>
        <w:t>2011-2030</w:t>
      </w:r>
      <w:r>
        <w:rPr>
          <w:rFonts w:ascii="Times New Roman" w:hAnsi="Times New Roman" w:hint="eastAsia"/>
          <w:color w:val="000000"/>
          <w:szCs w:val="24"/>
        </w:rPr>
        <w:t>年），湘江干流主航道岳阳境内</w:t>
      </w:r>
      <w:r>
        <w:rPr>
          <w:rFonts w:ascii="Times New Roman" w:hAnsi="Times New Roman" w:hint="eastAsia"/>
          <w:color w:val="000000"/>
          <w:szCs w:val="24"/>
        </w:rPr>
        <w:t>75.1km</w:t>
      </w:r>
      <w:r>
        <w:rPr>
          <w:rFonts w:ascii="Times New Roman" w:hAnsi="Times New Roman" w:hint="eastAsia"/>
          <w:color w:val="000000"/>
          <w:szCs w:val="24"/>
        </w:rPr>
        <w:t>，从樟树港</w:t>
      </w:r>
      <w:r>
        <w:rPr>
          <w:rFonts w:ascii="Times New Roman" w:hAnsi="Times New Roman" w:hint="eastAsia"/>
          <w:color w:val="000000"/>
          <w:szCs w:val="24"/>
        </w:rPr>
        <w:t>~</w:t>
      </w:r>
      <w:r>
        <w:rPr>
          <w:rFonts w:ascii="Times New Roman" w:hAnsi="Times New Roman" w:hint="eastAsia"/>
          <w:color w:val="000000"/>
          <w:szCs w:val="24"/>
        </w:rPr>
        <w:t>城陵矶段为Ⅱ级及以上航道，湘江西支</w:t>
      </w:r>
      <w:r>
        <w:rPr>
          <w:rFonts w:ascii="Times New Roman" w:hAnsi="Times New Roman" w:hint="eastAsia"/>
          <w:color w:val="000000"/>
          <w:szCs w:val="24"/>
        </w:rPr>
        <w:t>33.7</w:t>
      </w:r>
      <w:r>
        <w:rPr>
          <w:rFonts w:ascii="Times New Roman" w:hAnsi="Times New Roman" w:hint="eastAsia"/>
          <w:color w:val="000000"/>
          <w:szCs w:val="24"/>
        </w:rPr>
        <w:t>公里为Ⅲ级航道。资水干流（北支）</w:t>
      </w:r>
      <w:r>
        <w:rPr>
          <w:rFonts w:ascii="Times New Roman" w:hAnsi="Times New Roman" w:hint="eastAsia"/>
          <w:color w:val="000000"/>
          <w:szCs w:val="24"/>
        </w:rPr>
        <w:t>21.4km</w:t>
      </w:r>
      <w:r>
        <w:rPr>
          <w:rFonts w:ascii="Times New Roman" w:hAnsi="Times New Roman" w:hint="eastAsia"/>
          <w:color w:val="000000"/>
          <w:szCs w:val="24"/>
        </w:rPr>
        <w:t>，为Ⅲ级航道。另汨罗江、藕池东支—华容河在岳阳境内，汨罗江航道为平江</w:t>
      </w:r>
      <w:r>
        <w:rPr>
          <w:rFonts w:ascii="Times New Roman" w:hAnsi="Times New Roman" w:hint="eastAsia"/>
          <w:color w:val="000000"/>
          <w:szCs w:val="24"/>
        </w:rPr>
        <w:t>~</w:t>
      </w:r>
      <w:r>
        <w:rPr>
          <w:rFonts w:ascii="Times New Roman" w:hAnsi="Times New Roman" w:hint="eastAsia"/>
          <w:color w:val="000000"/>
          <w:szCs w:val="24"/>
        </w:rPr>
        <w:t>磊石段，航道长</w:t>
      </w:r>
      <w:r>
        <w:rPr>
          <w:rFonts w:ascii="Times New Roman" w:hAnsi="Times New Roman" w:hint="eastAsia"/>
          <w:color w:val="000000"/>
          <w:szCs w:val="24"/>
        </w:rPr>
        <w:t>123km</w:t>
      </w:r>
      <w:r>
        <w:rPr>
          <w:rFonts w:ascii="Times New Roman" w:hAnsi="Times New Roman" w:hint="eastAsia"/>
          <w:color w:val="000000"/>
          <w:szCs w:val="24"/>
        </w:rPr>
        <w:t>，航道等级原在等级外，提升至Ⅳ级航道；华容河，华容～君山段</w:t>
      </w:r>
      <w:r>
        <w:rPr>
          <w:rFonts w:ascii="Times New Roman" w:hAnsi="Times New Roman" w:hint="eastAsia"/>
          <w:color w:val="000000"/>
          <w:szCs w:val="24"/>
        </w:rPr>
        <w:t>49km</w:t>
      </w:r>
      <w:r>
        <w:rPr>
          <w:rFonts w:ascii="Times New Roman" w:hAnsi="Times New Roman" w:hint="eastAsia"/>
          <w:color w:val="000000"/>
          <w:szCs w:val="24"/>
        </w:rPr>
        <w:t>航道等级原在等级外，提升至Ⅲ级航道。</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根据上述分层次航道布局规划和各航道的空间分布形态，并考虑到湘江干流航道在湖南省水运发展中的突出地位和作用，该方案提出湖南省航道分层次布局规划方案为：以长江、湘江、沅水</w:t>
      </w:r>
      <w:r>
        <w:rPr>
          <w:rFonts w:ascii="Times New Roman" w:hAnsi="Times New Roman" w:hint="eastAsia"/>
          <w:color w:val="000000"/>
          <w:szCs w:val="24"/>
        </w:rPr>
        <w:t>3</w:t>
      </w:r>
      <w:r>
        <w:rPr>
          <w:rFonts w:ascii="Times New Roman" w:hAnsi="Times New Roman" w:hint="eastAsia"/>
          <w:color w:val="000000"/>
          <w:szCs w:val="24"/>
        </w:rPr>
        <w:t>条高等级航道和资水、澧水、淞虎—澧资航道、涟水</w:t>
      </w:r>
      <w:r>
        <w:rPr>
          <w:rFonts w:ascii="Times New Roman" w:hAnsi="Times New Roman" w:hint="eastAsia"/>
          <w:color w:val="000000"/>
          <w:szCs w:val="24"/>
        </w:rPr>
        <w:t>4</w:t>
      </w:r>
      <w:r>
        <w:rPr>
          <w:rFonts w:ascii="Times New Roman" w:hAnsi="Times New Roman" w:hint="eastAsia"/>
          <w:color w:val="000000"/>
          <w:szCs w:val="24"/>
        </w:rPr>
        <w:t>条地区重要航道为骨干，以耒水、舞水、南茅运河、塞阳运河、渌水、汨罗江、浏阳河、藕池东支—华容河、酉水、马凌航道等</w:t>
      </w:r>
      <w:r>
        <w:rPr>
          <w:rFonts w:ascii="Times New Roman" w:hAnsi="Times New Roman" w:hint="eastAsia"/>
          <w:color w:val="000000"/>
          <w:szCs w:val="24"/>
        </w:rPr>
        <w:t>10</w:t>
      </w:r>
      <w:r>
        <w:rPr>
          <w:rFonts w:ascii="Times New Roman" w:hAnsi="Times New Roman" w:hint="eastAsia"/>
          <w:color w:val="000000"/>
          <w:szCs w:val="24"/>
        </w:rPr>
        <w:t>条具有较大水运开发价值的一般航道为基础，形成全省“一纵六横十线”的航道布局，实现对区域内中心城市、主要经济区、重要矿产区、重点旅游景区、综合交通枢纽以及长江干线等周边航区的有效沟通，岳阳将在湖南省航运发展中发挥重要作用。</w:t>
      </w:r>
    </w:p>
    <w:p w:rsidR="004B4777" w:rsidRDefault="004B4777">
      <w:pPr>
        <w:pStyle w:val="4"/>
        <w:spacing w:before="0" w:after="0"/>
        <w:jc w:val="both"/>
        <w:rPr>
          <w:rFonts w:ascii="Times New Roman" w:eastAsia="宋体" w:hAnsi="Times New Roman" w:hint="eastAsia"/>
          <w:b/>
        </w:rPr>
      </w:pPr>
      <w:r>
        <w:rPr>
          <w:rFonts w:ascii="Times New Roman" w:eastAsia="宋体" w:hAnsi="Times New Roman" w:hint="eastAsia"/>
          <w:b/>
        </w:rPr>
        <w:t xml:space="preserve">5.1.5.2 </w:t>
      </w:r>
      <w:r>
        <w:rPr>
          <w:rFonts w:ascii="Times New Roman" w:eastAsia="宋体" w:hAnsi="Times New Roman" w:hint="eastAsia"/>
          <w:b/>
        </w:rPr>
        <w:t>航道相关规划</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根据《湖南省内河航运发展规划》提出的</w:t>
      </w:r>
      <w:r>
        <w:rPr>
          <w:rFonts w:ascii="Times New Roman" w:hAnsi="Times New Roman" w:hint="eastAsia"/>
          <w:color w:val="000000"/>
          <w:szCs w:val="24"/>
        </w:rPr>
        <w:t>2011</w:t>
      </w:r>
      <w:r>
        <w:rPr>
          <w:rFonts w:ascii="Times New Roman" w:hAnsi="Times New Roman" w:hint="eastAsia"/>
          <w:color w:val="000000"/>
          <w:szCs w:val="24"/>
        </w:rPr>
        <w:t>～</w:t>
      </w:r>
      <w:r>
        <w:rPr>
          <w:rFonts w:ascii="Times New Roman" w:hAnsi="Times New Roman" w:hint="eastAsia"/>
          <w:color w:val="000000"/>
          <w:szCs w:val="24"/>
        </w:rPr>
        <w:t>2020</w:t>
      </w:r>
      <w:r>
        <w:rPr>
          <w:rFonts w:ascii="Times New Roman" w:hAnsi="Times New Roman" w:hint="eastAsia"/>
          <w:color w:val="000000"/>
          <w:szCs w:val="24"/>
        </w:rPr>
        <w:t>年湖南省航道发展的分期实施意见中，根据轻重缓急和先易后难的原则，使湖南省的主要航道（包括骨干航道和区域性重要航道）逐步达到规划通航标准，到</w:t>
      </w:r>
      <w:r>
        <w:rPr>
          <w:rFonts w:ascii="Times New Roman" w:hAnsi="Times New Roman" w:hint="eastAsia"/>
          <w:color w:val="000000"/>
          <w:szCs w:val="24"/>
        </w:rPr>
        <w:t>2020</w:t>
      </w:r>
      <w:r>
        <w:rPr>
          <w:rFonts w:ascii="Times New Roman" w:hAnsi="Times New Roman" w:hint="eastAsia"/>
          <w:color w:val="000000"/>
          <w:szCs w:val="24"/>
        </w:rPr>
        <w:t>年，初步形成全省的骨干航道体系。建设的重点是湘江、沅水、澧湘航线、资水、澧水、耒水、淞虎航线等。洞庭湖区航道建设项目未列入规划，岳阳境内航道暂无航道疏浚规划。</w:t>
      </w:r>
    </w:p>
    <w:p w:rsidR="004B4777" w:rsidRDefault="004B4777">
      <w:pPr>
        <w:pStyle w:val="4"/>
        <w:spacing w:before="0" w:after="0"/>
        <w:jc w:val="both"/>
        <w:rPr>
          <w:rFonts w:ascii="Times New Roman" w:eastAsia="宋体" w:hAnsi="Times New Roman" w:hint="eastAsia"/>
          <w:b/>
        </w:rPr>
      </w:pPr>
      <w:r>
        <w:rPr>
          <w:rFonts w:ascii="Times New Roman" w:eastAsia="宋体" w:hAnsi="Times New Roman" w:hint="eastAsia"/>
          <w:b/>
        </w:rPr>
        <w:t xml:space="preserve">5.1.5.3 </w:t>
      </w:r>
      <w:r>
        <w:rPr>
          <w:rFonts w:ascii="Times New Roman" w:eastAsia="宋体" w:hAnsi="Times New Roman" w:hint="eastAsia"/>
          <w:b/>
        </w:rPr>
        <w:t>航运对区域经济影响</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湖南省</w:t>
      </w:r>
      <w:r>
        <w:rPr>
          <w:rFonts w:ascii="Times New Roman" w:hAnsi="Times New Roman" w:hint="eastAsia"/>
          <w:color w:val="000000"/>
          <w:szCs w:val="24"/>
        </w:rPr>
        <w:t>80%</w:t>
      </w:r>
      <w:r>
        <w:rPr>
          <w:rFonts w:ascii="Times New Roman" w:hAnsi="Times New Roman" w:hint="eastAsia"/>
          <w:color w:val="000000"/>
          <w:szCs w:val="24"/>
        </w:rPr>
        <w:t>的经开区和工业园区，以及大中型工业企业，都沿湘江及环洞庭湖布局，水运的潜在市场需求很大。岳阳港作为全国内河主要港口和长江沿岸亿吨级大港，是全</w:t>
      </w:r>
      <w:r>
        <w:rPr>
          <w:rFonts w:ascii="Times New Roman" w:hAnsi="Times New Roman" w:hint="eastAsia"/>
          <w:color w:val="000000"/>
          <w:szCs w:val="24"/>
        </w:rPr>
        <w:lastRenderedPageBreak/>
        <w:t>省唯一通江达海的对外贸易港口，更是湖南“物流全球”的重要节点。</w:t>
      </w:r>
      <w:r>
        <w:rPr>
          <w:rFonts w:ascii="Times New Roman" w:hAnsi="Times New Roman" w:hint="eastAsia"/>
          <w:color w:val="000000"/>
          <w:szCs w:val="24"/>
        </w:rPr>
        <w:t> </w:t>
      </w:r>
      <w:r>
        <w:rPr>
          <w:rFonts w:ascii="Times New Roman" w:hAnsi="Times New Roman" w:hint="eastAsia"/>
          <w:color w:val="000000"/>
          <w:szCs w:val="24"/>
        </w:rPr>
        <w:t>凭借着通江达海的独特区位优势，岳阳承载起了湖南对接世界的开放梦。</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城陵矶港既是长江八大深水良港之一，也是湖南内河交通的总咽喉。目前，岳阳市已陆续开通至南通、宁波、太仓的内支集装箱运输航线，至日本、韩国、香港、台湾等国家和地区的外贸集装箱国际水运直达航线，以及城陵矶至上海洋山港直航、岳阳至东盟的接力航线，枢纽大港正逐步成型。</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作为湖南“一核三极四带多点”发展新格局中首极，岳阳市委市政府把港口航运物流产业作为推进“一极三宜”江湖名城建设的一个着力点，紧紧融入与长江经济带、洞庭湖生态经济区密切相关的港口建设发展当中。</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岳阳市已完成港口资源的初步整合，形成以城陵矶、道仁矶港区为主的临港产业集聚区。逐步实现港口产业链中的集装箱、船务船代、多式联运服务快速发展，突出推进农产品、化工、整车、固体废旧物资等领域的贸易、物流信息、物流金融等产业的集聚发展，初步建设成为区域性航运物流中心。</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1--8</w:t>
      </w:r>
      <w:r>
        <w:rPr>
          <w:rFonts w:ascii="Times New Roman" w:hAnsi="Times New Roman" w:hint="eastAsia"/>
          <w:color w:val="000000"/>
          <w:szCs w:val="24"/>
        </w:rPr>
        <w:t>月份，城陵矶口岸进出口货物</w:t>
      </w:r>
      <w:r>
        <w:rPr>
          <w:rFonts w:ascii="Times New Roman" w:hAnsi="Times New Roman" w:hint="eastAsia"/>
          <w:color w:val="000000"/>
          <w:szCs w:val="24"/>
        </w:rPr>
        <w:t>1775</w:t>
      </w:r>
      <w:r>
        <w:rPr>
          <w:rFonts w:ascii="Times New Roman" w:hAnsi="Times New Roman" w:hint="eastAsia"/>
          <w:color w:val="000000"/>
          <w:szCs w:val="24"/>
        </w:rPr>
        <w:t>万吨，相比去年同期增长</w:t>
      </w:r>
      <w:r>
        <w:rPr>
          <w:rFonts w:ascii="Times New Roman" w:hAnsi="Times New Roman" w:hint="eastAsia"/>
          <w:color w:val="000000"/>
          <w:szCs w:val="24"/>
        </w:rPr>
        <w:t>29.16%</w:t>
      </w:r>
      <w:r>
        <w:rPr>
          <w:rFonts w:ascii="Times New Roman" w:hAnsi="Times New Roman" w:hint="eastAsia"/>
          <w:color w:val="000000"/>
          <w:szCs w:val="24"/>
        </w:rPr>
        <w:t>；集装箱吞吐量</w:t>
      </w:r>
      <w:r>
        <w:rPr>
          <w:rFonts w:ascii="Times New Roman" w:hAnsi="Times New Roman" w:hint="eastAsia"/>
          <w:color w:val="000000"/>
          <w:szCs w:val="24"/>
        </w:rPr>
        <w:t>29.05</w:t>
      </w:r>
      <w:r>
        <w:rPr>
          <w:rFonts w:ascii="Times New Roman" w:hAnsi="Times New Roman" w:hint="eastAsia"/>
          <w:color w:val="000000"/>
          <w:szCs w:val="24"/>
        </w:rPr>
        <w:t>万标箱，相比去年同期增长</w:t>
      </w:r>
      <w:r>
        <w:rPr>
          <w:rFonts w:ascii="Times New Roman" w:hAnsi="Times New Roman" w:hint="eastAsia"/>
          <w:color w:val="000000"/>
          <w:szCs w:val="24"/>
        </w:rPr>
        <w:t>85.22%</w:t>
      </w:r>
      <w:r>
        <w:rPr>
          <w:rFonts w:ascii="Times New Roman" w:hAnsi="Times New Roman" w:hint="eastAsia"/>
          <w:color w:val="000000"/>
          <w:szCs w:val="24"/>
        </w:rPr>
        <w:t>，口岸经济运营实现快速增长。作为湖南融入长江经济带的“桥头堡”、“排头兵”，岳阳市围绕发挥沿江畔湖区位优势，切实加强口岸平台建设、区域交流合作、对外经贸往来，开放型经济取得重大突破：城陵矶综合保税区、启运退税港和进口肉类、汽车、粮食、固废口岸等“一区一港四口岸”成功获批并建成运营，岳阳成为全国拥有</w:t>
      </w:r>
      <w:r>
        <w:rPr>
          <w:rFonts w:ascii="Times New Roman" w:hAnsi="Times New Roman" w:hint="eastAsia"/>
          <w:color w:val="000000"/>
          <w:szCs w:val="24"/>
        </w:rPr>
        <w:t>6</w:t>
      </w:r>
      <w:r>
        <w:rPr>
          <w:rFonts w:ascii="Times New Roman" w:hAnsi="Times New Roman" w:hint="eastAsia"/>
          <w:color w:val="000000"/>
          <w:szCs w:val="24"/>
        </w:rPr>
        <w:t>个口岸平台的地级市，成功组建湖南城陵矶国际港务集团，开通城陵矶至上海洋山港、岳阳至东盟等直达、接力航线</w:t>
      </w:r>
      <w:r>
        <w:rPr>
          <w:rFonts w:ascii="Times New Roman" w:hAnsi="Times New Roman" w:hint="eastAsia"/>
          <w:color w:val="000000"/>
          <w:szCs w:val="24"/>
        </w:rPr>
        <w:t>4</w:t>
      </w:r>
      <w:r>
        <w:rPr>
          <w:rFonts w:ascii="Times New Roman" w:hAnsi="Times New Roman" w:hint="eastAsia"/>
          <w:color w:val="000000"/>
          <w:szCs w:val="24"/>
        </w:rPr>
        <w:t>条，区域通关一体化加快推进，对外贸易往来更加便捷；三荷机场航空物流枢纽及空港经济区启动规划建设，将与城陵矶“水港”形成双港联动局面。</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岳阳将充分发挥岳阳市地理优势，形成港口、铁路、航空和公路物流有效协同，建成与经济发展相适应的社会化、专业化现代物流服务网络和多种运输方式无缝链接的现代物流节点网络，逐步形成物流业的品牌优势和核心竞争力。</w:t>
      </w:r>
    </w:p>
    <w:p w:rsidR="004B4777" w:rsidRDefault="004B4777">
      <w:pPr>
        <w:ind w:firstLine="480"/>
        <w:rPr>
          <w:rFonts w:ascii="Times New Roman" w:hAnsi="Times New Roman" w:hint="eastAsia"/>
          <w:color w:val="000000"/>
          <w:szCs w:val="24"/>
        </w:rPr>
      </w:pPr>
      <w:r>
        <w:rPr>
          <w:rFonts w:ascii="Times New Roman" w:hAnsi="Times New Roman" w:hint="eastAsia"/>
          <w:color w:val="000000"/>
          <w:szCs w:val="24"/>
        </w:rPr>
        <w:t>未来，岳阳市将持续、深度整合长江、湘江和洞庭湖港口物流资源，实现港口航运规模快速扩张，力争</w:t>
      </w:r>
      <w:r>
        <w:rPr>
          <w:rFonts w:ascii="Times New Roman" w:hAnsi="Times New Roman" w:hint="eastAsia"/>
          <w:color w:val="000000"/>
          <w:szCs w:val="24"/>
        </w:rPr>
        <w:t>3</w:t>
      </w:r>
      <w:r>
        <w:rPr>
          <w:rFonts w:ascii="Times New Roman" w:hAnsi="Times New Roman" w:hint="eastAsia"/>
          <w:color w:val="000000"/>
          <w:szCs w:val="24"/>
        </w:rPr>
        <w:t>至</w:t>
      </w:r>
      <w:r>
        <w:rPr>
          <w:rFonts w:ascii="Times New Roman" w:hAnsi="Times New Roman" w:hint="eastAsia"/>
          <w:color w:val="000000"/>
          <w:szCs w:val="24"/>
        </w:rPr>
        <w:t>5</w:t>
      </w:r>
      <w:r>
        <w:rPr>
          <w:rFonts w:ascii="Times New Roman" w:hAnsi="Times New Roman" w:hint="eastAsia"/>
          <w:color w:val="000000"/>
          <w:szCs w:val="24"/>
        </w:rPr>
        <w:t>年上市，建成具有国际竞争力的大型现代航运物流企业集团。</w:t>
      </w:r>
      <w:r>
        <w:rPr>
          <w:rFonts w:ascii="Times New Roman" w:hAnsi="Times New Roman" w:hint="eastAsia"/>
          <w:color w:val="000000"/>
          <w:szCs w:val="24"/>
        </w:rPr>
        <w:lastRenderedPageBreak/>
        <w:t>充分发挥港口物流优势，打造成为“全国性物流节点城市、长江中游航运物流核心枢纽城市和全国性跨境物流示范区”，向着实现建成全国现代物流创新发展示范城市和湖南省现代港口物流产业“大基地”目标前进。</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 xml:space="preserve">5.1.6 </w:t>
      </w:r>
      <w:r>
        <w:rPr>
          <w:rFonts w:ascii="Times New Roman" w:eastAsia="宋体" w:hAnsi="Times New Roman" w:hint="eastAsia"/>
          <w:b/>
        </w:rPr>
        <w:t>其他涉水工程概况</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湘阴县海川达水务有限公司混合入河排污口位于湘阴县文星镇，污水排入白水江</w:t>
      </w:r>
      <w:r>
        <w:rPr>
          <w:rFonts w:ascii="Times New Roman" w:hAnsi="Times New Roman" w:hint="eastAsia"/>
          <w:color w:val="000000"/>
          <w:szCs w:val="24"/>
        </w:rPr>
        <w:t>-</w:t>
      </w:r>
      <w:r>
        <w:rPr>
          <w:rFonts w:ascii="Times New Roman" w:hAnsi="Times New Roman" w:hint="eastAsia"/>
          <w:color w:val="000000"/>
          <w:szCs w:val="24"/>
        </w:rPr>
        <w:t>湘江（</w:t>
      </w:r>
      <w:r>
        <w:rPr>
          <w:rFonts w:ascii="Times New Roman" w:hAnsi="Times New Roman" w:hint="eastAsia"/>
          <w:color w:val="000000"/>
          <w:szCs w:val="24"/>
        </w:rPr>
        <w:t>100</w:t>
      </w:r>
      <w:r>
        <w:rPr>
          <w:rFonts w:ascii="Times New Roman" w:hAnsi="Times New Roman" w:hint="eastAsia"/>
          <w:color w:val="000000"/>
          <w:szCs w:val="24"/>
        </w:rPr>
        <w:t>米后到湘江），</w:t>
      </w:r>
      <w:r>
        <w:rPr>
          <w:rFonts w:ascii="Times New Roman" w:hAnsi="Times New Roman"/>
          <w:color w:val="000000"/>
          <w:szCs w:val="24"/>
        </w:rPr>
        <w:t>排污口由</w:t>
      </w:r>
      <w:r>
        <w:rPr>
          <w:rFonts w:ascii="Times New Roman" w:hAnsi="Times New Roman" w:hint="eastAsia"/>
          <w:color w:val="000000"/>
          <w:szCs w:val="24"/>
        </w:rPr>
        <w:t>湘阴县海川达水务有限公司设置，执行的排放标准为《城镇污水处理厂污染物排放标准》</w:t>
      </w:r>
      <w:r>
        <w:rPr>
          <w:rFonts w:ascii="Times New Roman" w:hAnsi="Times New Roman" w:hint="eastAsia"/>
          <w:color w:val="000000"/>
          <w:szCs w:val="24"/>
        </w:rPr>
        <w:t>GB18918-2002</w:t>
      </w:r>
      <w:r>
        <w:rPr>
          <w:rFonts w:ascii="Times New Roman" w:hAnsi="Times New Roman" w:hint="eastAsia"/>
          <w:color w:val="000000"/>
          <w:szCs w:val="24"/>
        </w:rPr>
        <w:t>一级</w:t>
      </w:r>
      <w:r>
        <w:rPr>
          <w:rFonts w:ascii="Times New Roman" w:hAnsi="Times New Roman" w:hint="eastAsia"/>
          <w:color w:val="000000"/>
          <w:szCs w:val="24"/>
        </w:rPr>
        <w:t>B</w:t>
      </w:r>
      <w:r>
        <w:rPr>
          <w:rFonts w:ascii="Times New Roman" w:hAnsi="Times New Roman" w:hint="eastAsia"/>
          <w:color w:val="000000"/>
          <w:szCs w:val="24"/>
        </w:rPr>
        <w:t>标准，</w:t>
      </w:r>
      <w:r>
        <w:rPr>
          <w:rFonts w:ascii="Times New Roman" w:hAnsi="Times New Roman" w:hint="eastAsia"/>
          <w:color w:val="000000"/>
          <w:szCs w:val="24"/>
        </w:rPr>
        <w:t>2016</w:t>
      </w:r>
      <w:r>
        <w:rPr>
          <w:rFonts w:ascii="Times New Roman" w:hAnsi="Times New Roman" w:hint="eastAsia"/>
          <w:color w:val="000000"/>
          <w:szCs w:val="24"/>
        </w:rPr>
        <w:t>年入河废污水量</w:t>
      </w:r>
      <w:r>
        <w:rPr>
          <w:rFonts w:ascii="Times New Roman" w:hAnsi="Times New Roman" w:hint="eastAsia"/>
          <w:color w:val="000000"/>
          <w:szCs w:val="24"/>
        </w:rPr>
        <w:t>73</w:t>
      </w:r>
      <w:r>
        <w:rPr>
          <w:rFonts w:ascii="Times New Roman" w:hAnsi="Times New Roman"/>
          <w:color w:val="000000"/>
          <w:szCs w:val="24"/>
        </w:rPr>
        <w:t>0</w:t>
      </w:r>
      <w:r>
        <w:rPr>
          <w:rFonts w:ascii="Times New Roman" w:hAnsi="Times New Roman" w:hint="eastAsia"/>
          <w:color w:val="000000"/>
          <w:szCs w:val="24"/>
        </w:rPr>
        <w:t>万吨。</w:t>
      </w:r>
    </w:p>
    <w:p w:rsidR="004B4777" w:rsidRDefault="004B4777">
      <w:pPr>
        <w:pStyle w:val="2"/>
        <w:rPr>
          <w:rFonts w:ascii="Times New Roman" w:eastAsia="宋体" w:hAnsi="Times New Roman"/>
        </w:rPr>
      </w:pPr>
      <w:bookmarkStart w:id="135" w:name="_Toc508791374"/>
      <w:bookmarkStart w:id="136" w:name="_Toc523854029"/>
      <w:r>
        <w:rPr>
          <w:rFonts w:ascii="Times New Roman" w:eastAsia="宋体" w:hAnsi="Times New Roman" w:hint="eastAsia"/>
        </w:rPr>
        <w:t>5.2</w:t>
      </w:r>
      <w:r>
        <w:rPr>
          <w:rFonts w:ascii="Times New Roman" w:eastAsia="宋体" w:hAnsi="Times New Roman"/>
        </w:rPr>
        <w:t>环境质量现状调查与评价</w:t>
      </w:r>
      <w:bookmarkEnd w:id="135"/>
      <w:bookmarkEnd w:id="136"/>
    </w:p>
    <w:p w:rsidR="004B4777" w:rsidRDefault="004B4777">
      <w:pPr>
        <w:ind w:firstLine="480"/>
        <w:rPr>
          <w:rFonts w:ascii="Times New Roman" w:hAnsi="Times New Roman"/>
        </w:rPr>
      </w:pPr>
      <w:r>
        <w:rPr>
          <w:rFonts w:ascii="Times New Roman" w:hAnsi="Times New Roman" w:hint="eastAsia"/>
          <w:color w:val="000000"/>
          <w:szCs w:val="24"/>
        </w:rPr>
        <w:t>项目监测数据均源自《湖南省湘江干流及洞庭湖区岳阳段河道采砂规划（</w:t>
      </w:r>
      <w:r>
        <w:rPr>
          <w:rFonts w:ascii="Times New Roman" w:hAnsi="Times New Roman"/>
          <w:color w:val="000000"/>
          <w:szCs w:val="24"/>
        </w:rPr>
        <w:t>2017</w:t>
      </w:r>
      <w:r>
        <w:rPr>
          <w:rFonts w:ascii="Times New Roman" w:hAnsi="Times New Roman"/>
          <w:color w:val="000000"/>
          <w:szCs w:val="24"/>
        </w:rPr>
        <w:t>～</w:t>
      </w:r>
      <w:r>
        <w:rPr>
          <w:rFonts w:ascii="Times New Roman" w:hAnsi="Times New Roman"/>
          <w:color w:val="000000"/>
          <w:szCs w:val="24"/>
        </w:rPr>
        <w:t>2020</w:t>
      </w:r>
      <w:r>
        <w:rPr>
          <w:rFonts w:ascii="Times New Roman" w:hAnsi="Times New Roman" w:hint="eastAsia"/>
          <w:color w:val="000000"/>
          <w:szCs w:val="24"/>
        </w:rPr>
        <w:t>年）环境质量现状监测报告》，监测机构为湖南谱实检测技术有限公司，监测时间为</w:t>
      </w:r>
      <w:r>
        <w:rPr>
          <w:rFonts w:ascii="Times New Roman" w:hAnsi="Times New Roman" w:hint="eastAsia"/>
          <w:color w:val="000000"/>
          <w:szCs w:val="24"/>
        </w:rPr>
        <w:t>2018</w:t>
      </w:r>
      <w:r>
        <w:rPr>
          <w:rFonts w:ascii="Times New Roman" w:hAnsi="Times New Roman" w:hint="eastAsia"/>
          <w:color w:val="000000"/>
          <w:szCs w:val="24"/>
        </w:rPr>
        <w:t>年</w:t>
      </w:r>
      <w:r>
        <w:rPr>
          <w:rFonts w:ascii="Times New Roman" w:hAnsi="Times New Roman" w:hint="eastAsia"/>
          <w:color w:val="000000"/>
          <w:szCs w:val="24"/>
        </w:rPr>
        <w:t>2</w:t>
      </w:r>
      <w:r>
        <w:rPr>
          <w:rFonts w:ascii="Times New Roman" w:hAnsi="Times New Roman" w:hint="eastAsia"/>
          <w:color w:val="000000"/>
          <w:szCs w:val="24"/>
        </w:rPr>
        <w:t>月</w:t>
      </w:r>
      <w:r>
        <w:rPr>
          <w:rFonts w:ascii="Times New Roman" w:hAnsi="Times New Roman" w:hint="eastAsia"/>
          <w:color w:val="000000"/>
          <w:szCs w:val="24"/>
        </w:rPr>
        <w:t>1</w:t>
      </w:r>
      <w:r>
        <w:rPr>
          <w:rFonts w:ascii="Times New Roman" w:hAnsi="Times New Roman" w:hint="eastAsia"/>
          <w:color w:val="000000"/>
          <w:szCs w:val="24"/>
        </w:rPr>
        <w:t>日</w:t>
      </w:r>
      <w:r>
        <w:rPr>
          <w:rFonts w:ascii="Times New Roman" w:hAnsi="Times New Roman" w:hint="eastAsia"/>
          <w:color w:val="000000"/>
          <w:szCs w:val="24"/>
        </w:rPr>
        <w:t>~2</w:t>
      </w:r>
      <w:r>
        <w:rPr>
          <w:rFonts w:ascii="Times New Roman" w:hAnsi="Times New Roman" w:hint="eastAsia"/>
          <w:color w:val="000000"/>
          <w:szCs w:val="24"/>
        </w:rPr>
        <w:t>月</w:t>
      </w:r>
      <w:r>
        <w:rPr>
          <w:rFonts w:ascii="Times New Roman" w:hAnsi="Times New Roman" w:hint="eastAsia"/>
          <w:color w:val="000000"/>
          <w:szCs w:val="24"/>
        </w:rPr>
        <w:t>7</w:t>
      </w:r>
      <w:r>
        <w:rPr>
          <w:rFonts w:ascii="Times New Roman" w:hAnsi="Times New Roman" w:hint="eastAsia"/>
          <w:color w:val="000000"/>
          <w:szCs w:val="24"/>
        </w:rPr>
        <w:t>日。项目涉及的两个采区均属于该规划中的采区，采用的监测点位数据均位于采区评价范围内。</w:t>
      </w:r>
    </w:p>
    <w:p w:rsidR="004B4777" w:rsidRDefault="004B4777">
      <w:pPr>
        <w:pStyle w:val="3"/>
        <w:spacing w:before="0" w:after="0"/>
        <w:rPr>
          <w:rFonts w:ascii="Times New Roman" w:eastAsia="宋体" w:hAnsi="Times New Roman"/>
          <w:b/>
        </w:rPr>
      </w:pPr>
      <w:bookmarkStart w:id="137" w:name="_Toc508791375"/>
      <w:r>
        <w:rPr>
          <w:rFonts w:ascii="Times New Roman" w:eastAsia="宋体" w:hAnsi="Times New Roman" w:hint="eastAsia"/>
          <w:b/>
        </w:rPr>
        <w:t>5.2.1</w:t>
      </w:r>
      <w:bookmarkStart w:id="138" w:name="_Toc367651141"/>
      <w:bookmarkStart w:id="139" w:name="_Toc500077832"/>
      <w:bookmarkStart w:id="140" w:name="_Toc505165145"/>
      <w:bookmarkStart w:id="141" w:name="_Toc504574035"/>
      <w:r>
        <w:rPr>
          <w:rFonts w:ascii="Times New Roman" w:eastAsia="宋体" w:hAnsi="Times New Roman"/>
          <w:b/>
        </w:rPr>
        <w:t>环境空气质量现状</w:t>
      </w:r>
      <w:bookmarkEnd w:id="138"/>
      <w:bookmarkEnd w:id="139"/>
      <w:bookmarkEnd w:id="140"/>
      <w:bookmarkEnd w:id="141"/>
      <w:r>
        <w:rPr>
          <w:rFonts w:ascii="Times New Roman" w:eastAsia="宋体" w:hAnsi="Times New Roman" w:hint="eastAsia"/>
          <w:b/>
        </w:rPr>
        <w:t>调查与评价</w:t>
      </w:r>
      <w:bookmarkEnd w:id="137"/>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b/>
          <w:szCs w:val="24"/>
        </w:rPr>
        <w:t>1</w:t>
      </w:r>
      <w:r>
        <w:rPr>
          <w:rFonts w:ascii="Times New Roman" w:hAnsi="Times New Roman"/>
          <w:b/>
          <w:szCs w:val="24"/>
        </w:rPr>
        <w:t>）监测</w:t>
      </w:r>
      <w:r>
        <w:rPr>
          <w:rFonts w:ascii="Times New Roman" w:hAnsi="Times New Roman" w:hint="eastAsia"/>
          <w:b/>
          <w:szCs w:val="24"/>
        </w:rPr>
        <w:t>点位</w:t>
      </w:r>
    </w:p>
    <w:p w:rsidR="004B4777" w:rsidRDefault="004B4777">
      <w:pPr>
        <w:ind w:firstLine="480"/>
        <w:rPr>
          <w:rFonts w:ascii="Times New Roman" w:hAnsi="Times New Roman"/>
          <w:szCs w:val="24"/>
        </w:rPr>
      </w:pPr>
      <w:r>
        <w:rPr>
          <w:rFonts w:ascii="Times New Roman" w:hAnsi="Times New Roman"/>
          <w:szCs w:val="24"/>
        </w:rPr>
        <w:t>本次评价</w:t>
      </w:r>
      <w:r>
        <w:rPr>
          <w:rFonts w:ascii="Times New Roman" w:hAnsi="Times New Roman" w:hint="eastAsia"/>
          <w:szCs w:val="24"/>
        </w:rPr>
        <w:t>选取易婆塘采区和斗米咀采区监测数据，</w:t>
      </w:r>
      <w:r>
        <w:rPr>
          <w:rFonts w:ascii="Times New Roman" w:hAnsi="Times New Roman"/>
          <w:szCs w:val="24"/>
        </w:rPr>
        <w:t>监测因子</w:t>
      </w:r>
      <w:r>
        <w:rPr>
          <w:rFonts w:ascii="Times New Roman" w:hAnsi="Times New Roman" w:hint="eastAsia"/>
          <w:szCs w:val="24"/>
        </w:rPr>
        <w:t>为</w:t>
      </w:r>
      <w:r>
        <w:rPr>
          <w:rFonts w:ascii="Times New Roman" w:hAnsi="Times New Roman"/>
          <w:szCs w:val="24"/>
        </w:rPr>
        <w:t>常规监测因子。监测方案及监测时间详见表</w:t>
      </w:r>
      <w:r>
        <w:rPr>
          <w:rFonts w:ascii="Times New Roman" w:hAnsi="Times New Roman" w:hint="eastAsia"/>
          <w:szCs w:val="24"/>
        </w:rPr>
        <w:t>5.2</w:t>
      </w:r>
      <w:r>
        <w:rPr>
          <w:rFonts w:ascii="Times New Roman" w:hAnsi="Times New Roman"/>
          <w:szCs w:val="24"/>
        </w:rPr>
        <w:t>-</w:t>
      </w:r>
      <w:r>
        <w:rPr>
          <w:rFonts w:ascii="Times New Roman" w:hAnsi="Times New Roman" w:hint="eastAsia"/>
          <w:szCs w:val="24"/>
        </w:rPr>
        <w:t>1</w:t>
      </w:r>
      <w:r>
        <w:rPr>
          <w:rFonts w:ascii="Times New Roman" w:hAnsi="Times New Roman"/>
          <w:szCs w:val="24"/>
        </w:rPr>
        <w:t>。</w:t>
      </w:r>
    </w:p>
    <w:p w:rsidR="004B4777" w:rsidRDefault="004B4777">
      <w:pPr>
        <w:pStyle w:val="af"/>
        <w:spacing w:line="240" w:lineRule="auto"/>
        <w:rPr>
          <w:rFonts w:hint="eastAsia"/>
          <w:b/>
        </w:rPr>
      </w:pPr>
      <w:bookmarkStart w:id="142" w:name="_Toc364329805"/>
      <w:bookmarkStart w:id="143" w:name="_Toc325987215"/>
    </w:p>
    <w:p w:rsidR="004B4777" w:rsidRDefault="004B4777">
      <w:pPr>
        <w:pStyle w:val="af"/>
        <w:spacing w:line="240" w:lineRule="auto"/>
        <w:rPr>
          <w:b/>
        </w:rPr>
      </w:pPr>
      <w:r>
        <w:rPr>
          <w:b/>
        </w:rPr>
        <w:t>表</w:t>
      </w:r>
      <w:r>
        <w:rPr>
          <w:rFonts w:hint="eastAsia"/>
          <w:b/>
        </w:rPr>
        <w:t>5.2</w:t>
      </w:r>
      <w:r>
        <w:rPr>
          <w:b/>
        </w:rPr>
        <w:t xml:space="preserve">-1  </w:t>
      </w:r>
      <w:r>
        <w:rPr>
          <w:b/>
        </w:rPr>
        <w:t>环境空气现状监测布点情况表</w:t>
      </w:r>
      <w:bookmarkEnd w:id="142"/>
      <w:bookmarkEnd w:id="143"/>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03"/>
        <w:gridCol w:w="1984"/>
        <w:gridCol w:w="3119"/>
        <w:gridCol w:w="1336"/>
      </w:tblGrid>
      <w:tr w:rsidR="004B4777">
        <w:trPr>
          <w:trHeight w:val="397"/>
          <w:jc w:val="center"/>
        </w:trPr>
        <w:tc>
          <w:tcPr>
            <w:tcW w:w="2803" w:type="dxa"/>
            <w:vAlign w:val="center"/>
          </w:tcPr>
          <w:p w:rsidR="004B4777" w:rsidRDefault="004B4777">
            <w:pPr>
              <w:pStyle w:val="affff8"/>
              <w:rPr>
                <w:rFonts w:eastAsia="宋体"/>
              </w:rPr>
            </w:pPr>
            <w:r>
              <w:rPr>
                <w:rFonts w:eastAsia="宋体" w:hint="eastAsia"/>
              </w:rPr>
              <w:t>采样点名称</w:t>
            </w:r>
          </w:p>
        </w:tc>
        <w:tc>
          <w:tcPr>
            <w:tcW w:w="1984" w:type="dxa"/>
            <w:vAlign w:val="center"/>
          </w:tcPr>
          <w:p w:rsidR="004B4777" w:rsidRDefault="004B4777">
            <w:pPr>
              <w:pStyle w:val="affff8"/>
              <w:rPr>
                <w:rFonts w:eastAsia="宋体"/>
              </w:rPr>
            </w:pPr>
            <w:r>
              <w:rPr>
                <w:rFonts w:eastAsia="宋体" w:hint="eastAsia"/>
              </w:rPr>
              <w:t>位置</w:t>
            </w:r>
          </w:p>
        </w:tc>
        <w:tc>
          <w:tcPr>
            <w:tcW w:w="3119" w:type="dxa"/>
            <w:vAlign w:val="center"/>
          </w:tcPr>
          <w:p w:rsidR="004B4777" w:rsidRDefault="004B4777">
            <w:pPr>
              <w:pStyle w:val="affff8"/>
              <w:rPr>
                <w:rFonts w:eastAsia="宋体"/>
              </w:rPr>
            </w:pPr>
            <w:r>
              <w:rPr>
                <w:rFonts w:eastAsia="宋体" w:hint="eastAsia"/>
              </w:rPr>
              <w:t>监测因子</w:t>
            </w:r>
          </w:p>
        </w:tc>
        <w:tc>
          <w:tcPr>
            <w:tcW w:w="1336" w:type="dxa"/>
            <w:vAlign w:val="center"/>
          </w:tcPr>
          <w:p w:rsidR="004B4777" w:rsidRDefault="004B4777">
            <w:pPr>
              <w:pStyle w:val="affff8"/>
              <w:rPr>
                <w:rFonts w:eastAsia="宋体"/>
              </w:rPr>
            </w:pPr>
            <w:r>
              <w:rPr>
                <w:rFonts w:eastAsia="宋体" w:hint="eastAsia"/>
              </w:rPr>
              <w:t>监测时间</w:t>
            </w:r>
          </w:p>
        </w:tc>
      </w:tr>
      <w:tr w:rsidR="004B4777">
        <w:trPr>
          <w:trHeight w:val="397"/>
          <w:jc w:val="center"/>
        </w:trPr>
        <w:tc>
          <w:tcPr>
            <w:tcW w:w="2803" w:type="dxa"/>
            <w:vAlign w:val="center"/>
          </w:tcPr>
          <w:p w:rsidR="004B4777" w:rsidRDefault="004B4777">
            <w:pPr>
              <w:pStyle w:val="affff8"/>
              <w:rPr>
                <w:rFonts w:eastAsia="宋体"/>
              </w:rPr>
            </w:pPr>
            <w:r>
              <w:rPr>
                <w:rFonts w:eastAsia="宋体" w:cs="宋体" w:hint="eastAsia"/>
              </w:rPr>
              <w:t>易婆塘采区</w:t>
            </w:r>
            <w:r>
              <w:rPr>
                <w:rFonts w:eastAsia="宋体" w:hint="eastAsia"/>
              </w:rPr>
              <w:t>附近居民区</w:t>
            </w:r>
          </w:p>
        </w:tc>
        <w:tc>
          <w:tcPr>
            <w:tcW w:w="1984" w:type="dxa"/>
            <w:vAlign w:val="center"/>
          </w:tcPr>
          <w:p w:rsidR="004B4777" w:rsidRDefault="004B4777">
            <w:pPr>
              <w:pStyle w:val="affff8"/>
              <w:rPr>
                <w:rFonts w:eastAsia="宋体"/>
                <w:color w:val="000000"/>
              </w:rPr>
            </w:pPr>
            <w:r>
              <w:rPr>
                <w:rFonts w:eastAsia="宋体" w:hint="eastAsia"/>
                <w:color w:val="000000"/>
              </w:rPr>
              <w:t>新坪村</w:t>
            </w:r>
          </w:p>
        </w:tc>
        <w:tc>
          <w:tcPr>
            <w:tcW w:w="3119" w:type="dxa"/>
            <w:vMerge w:val="restart"/>
            <w:vAlign w:val="center"/>
          </w:tcPr>
          <w:p w:rsidR="004B4777" w:rsidRDefault="004B4777">
            <w:pPr>
              <w:pStyle w:val="affff8"/>
              <w:rPr>
                <w:rFonts w:eastAsia="宋体"/>
              </w:rPr>
            </w:pPr>
            <w:r>
              <w:rPr>
                <w:rFonts w:eastAsia="宋体"/>
              </w:rPr>
              <w:t>TSP</w:t>
            </w:r>
            <w:r>
              <w:rPr>
                <w:rFonts w:eastAsia="宋体" w:hint="eastAsia"/>
              </w:rPr>
              <w:t>、</w:t>
            </w:r>
            <w:r>
              <w:rPr>
                <w:rFonts w:eastAsia="宋体"/>
              </w:rPr>
              <w:t>PM</w:t>
            </w:r>
            <w:r>
              <w:rPr>
                <w:rFonts w:eastAsia="宋体"/>
                <w:vertAlign w:val="subscript"/>
              </w:rPr>
              <w:t>10</w:t>
            </w:r>
            <w:r>
              <w:rPr>
                <w:rFonts w:eastAsia="宋体" w:hint="eastAsia"/>
              </w:rPr>
              <w:t>、</w:t>
            </w:r>
            <w:r>
              <w:rPr>
                <w:rFonts w:eastAsia="宋体"/>
              </w:rPr>
              <w:t>PM</w:t>
            </w:r>
            <w:r>
              <w:rPr>
                <w:rFonts w:eastAsia="宋体"/>
                <w:vertAlign w:val="subscript"/>
              </w:rPr>
              <w:t>2.5</w:t>
            </w:r>
            <w:r>
              <w:rPr>
                <w:rFonts w:eastAsia="宋体" w:hint="eastAsia"/>
              </w:rPr>
              <w:t>、</w:t>
            </w:r>
            <w:r>
              <w:rPr>
                <w:rFonts w:eastAsia="宋体"/>
              </w:rPr>
              <w:t>SO</w:t>
            </w:r>
            <w:r>
              <w:rPr>
                <w:rFonts w:eastAsia="宋体"/>
                <w:vertAlign w:val="subscript"/>
              </w:rPr>
              <w:t>2</w:t>
            </w:r>
            <w:r>
              <w:rPr>
                <w:rFonts w:eastAsia="宋体" w:hint="eastAsia"/>
              </w:rPr>
              <w:t>、</w:t>
            </w:r>
            <w:r>
              <w:rPr>
                <w:rFonts w:eastAsia="宋体"/>
              </w:rPr>
              <w:t>NO</w:t>
            </w:r>
            <w:r>
              <w:rPr>
                <w:rFonts w:eastAsia="宋体"/>
                <w:vertAlign w:val="subscript"/>
              </w:rPr>
              <w:t>2</w:t>
            </w:r>
          </w:p>
        </w:tc>
        <w:tc>
          <w:tcPr>
            <w:tcW w:w="1336" w:type="dxa"/>
            <w:vMerge w:val="restart"/>
            <w:vAlign w:val="center"/>
          </w:tcPr>
          <w:p w:rsidR="004B4777" w:rsidRDefault="004B4777">
            <w:pPr>
              <w:pStyle w:val="affff8"/>
              <w:rPr>
                <w:rFonts w:eastAsia="宋体"/>
              </w:rPr>
            </w:pPr>
            <w:r>
              <w:rPr>
                <w:rFonts w:eastAsia="宋体" w:hint="eastAsia"/>
                <w:szCs w:val="24"/>
              </w:rPr>
              <w:t>2018</w:t>
            </w:r>
            <w:r>
              <w:rPr>
                <w:rFonts w:eastAsia="宋体" w:cs="宋体" w:hint="eastAsia"/>
                <w:szCs w:val="24"/>
              </w:rPr>
              <w:t>年</w:t>
            </w:r>
            <w:r>
              <w:rPr>
                <w:rFonts w:eastAsia="宋体" w:hint="eastAsia"/>
                <w:szCs w:val="24"/>
              </w:rPr>
              <w:t>2</w:t>
            </w:r>
            <w:r>
              <w:rPr>
                <w:rFonts w:eastAsia="宋体" w:cs="宋体" w:hint="eastAsia"/>
                <w:szCs w:val="24"/>
              </w:rPr>
              <w:t>月</w:t>
            </w:r>
            <w:r>
              <w:rPr>
                <w:rFonts w:eastAsia="宋体" w:hint="eastAsia"/>
                <w:szCs w:val="24"/>
              </w:rPr>
              <w:t>1</w:t>
            </w:r>
            <w:r>
              <w:rPr>
                <w:rFonts w:eastAsia="宋体" w:cs="宋体" w:hint="eastAsia"/>
                <w:szCs w:val="24"/>
              </w:rPr>
              <w:t>日</w:t>
            </w:r>
            <w:r>
              <w:rPr>
                <w:rFonts w:eastAsia="宋体" w:hint="eastAsia"/>
                <w:szCs w:val="24"/>
              </w:rPr>
              <w:t>~2</w:t>
            </w:r>
            <w:r>
              <w:rPr>
                <w:rFonts w:eastAsia="宋体" w:cs="宋体" w:hint="eastAsia"/>
                <w:szCs w:val="24"/>
              </w:rPr>
              <w:t>月</w:t>
            </w:r>
            <w:r>
              <w:rPr>
                <w:rFonts w:eastAsia="宋体" w:hint="eastAsia"/>
                <w:szCs w:val="24"/>
              </w:rPr>
              <w:t>7</w:t>
            </w:r>
            <w:r>
              <w:rPr>
                <w:rFonts w:eastAsia="宋体" w:cs="宋体" w:hint="eastAsia"/>
                <w:szCs w:val="24"/>
              </w:rPr>
              <w:t>日</w:t>
            </w:r>
          </w:p>
        </w:tc>
      </w:tr>
      <w:tr w:rsidR="004B4777">
        <w:trPr>
          <w:trHeight w:val="397"/>
          <w:jc w:val="center"/>
        </w:trPr>
        <w:tc>
          <w:tcPr>
            <w:tcW w:w="2803" w:type="dxa"/>
            <w:vAlign w:val="center"/>
          </w:tcPr>
          <w:p w:rsidR="004B4777" w:rsidRDefault="004B4777">
            <w:pPr>
              <w:pStyle w:val="affff8"/>
              <w:rPr>
                <w:rFonts w:eastAsia="宋体"/>
              </w:rPr>
            </w:pPr>
            <w:r>
              <w:rPr>
                <w:rFonts w:eastAsia="宋体" w:cs="宋体" w:hint="eastAsia"/>
              </w:rPr>
              <w:t>米咀采区</w:t>
            </w:r>
            <w:r>
              <w:rPr>
                <w:rFonts w:eastAsia="宋体" w:hint="eastAsia"/>
              </w:rPr>
              <w:t>附近居民区</w:t>
            </w:r>
          </w:p>
        </w:tc>
        <w:tc>
          <w:tcPr>
            <w:tcW w:w="1984" w:type="dxa"/>
            <w:vAlign w:val="center"/>
          </w:tcPr>
          <w:p w:rsidR="004B4777" w:rsidRDefault="004B4777">
            <w:pPr>
              <w:pStyle w:val="affff8"/>
              <w:rPr>
                <w:rFonts w:eastAsia="宋体"/>
                <w:color w:val="000000"/>
              </w:rPr>
            </w:pPr>
            <w:r>
              <w:rPr>
                <w:rFonts w:eastAsia="宋体" w:hint="eastAsia"/>
                <w:color w:val="000000"/>
              </w:rPr>
              <w:t>裕民村</w:t>
            </w:r>
          </w:p>
        </w:tc>
        <w:tc>
          <w:tcPr>
            <w:tcW w:w="3119" w:type="dxa"/>
            <w:vMerge/>
            <w:vAlign w:val="center"/>
          </w:tcPr>
          <w:p w:rsidR="004B4777" w:rsidRDefault="004B4777">
            <w:pPr>
              <w:pStyle w:val="affff8"/>
              <w:rPr>
                <w:rFonts w:eastAsia="宋体"/>
              </w:rPr>
            </w:pPr>
          </w:p>
        </w:tc>
        <w:tc>
          <w:tcPr>
            <w:tcW w:w="1336" w:type="dxa"/>
            <w:vMerge/>
            <w:vAlign w:val="center"/>
          </w:tcPr>
          <w:p w:rsidR="004B4777" w:rsidRDefault="004B4777">
            <w:pPr>
              <w:pStyle w:val="affff8"/>
              <w:rPr>
                <w:rFonts w:eastAsia="宋体"/>
              </w:rPr>
            </w:pPr>
          </w:p>
        </w:tc>
      </w:tr>
    </w:tbl>
    <w:p w:rsidR="004B4777" w:rsidRDefault="004B4777">
      <w:pPr>
        <w:ind w:firstLine="480"/>
        <w:rPr>
          <w:rFonts w:ascii="Times New Roman" w:hAnsi="Times New Roman"/>
        </w:rPr>
      </w:pPr>
    </w:p>
    <w:p w:rsidR="004B4777" w:rsidRDefault="004B4777">
      <w:pPr>
        <w:tabs>
          <w:tab w:val="left" w:pos="458"/>
        </w:tabs>
        <w:ind w:firstLine="482"/>
        <w:rPr>
          <w:rFonts w:ascii="Times New Roman" w:hAnsi="Times New Roman"/>
          <w:b/>
          <w:szCs w:val="24"/>
        </w:rPr>
      </w:pPr>
      <w:r>
        <w:rPr>
          <w:rFonts w:ascii="Times New Roman" w:hAnsi="Times New Roman"/>
          <w:b/>
          <w:szCs w:val="24"/>
        </w:rPr>
        <w:t>（</w:t>
      </w:r>
      <w:r>
        <w:rPr>
          <w:rFonts w:ascii="Times New Roman" w:hAnsi="Times New Roman"/>
          <w:b/>
          <w:szCs w:val="24"/>
        </w:rPr>
        <w:t>2</w:t>
      </w:r>
      <w:r>
        <w:rPr>
          <w:rFonts w:ascii="Times New Roman" w:hAnsi="Times New Roman"/>
          <w:b/>
          <w:szCs w:val="24"/>
        </w:rPr>
        <w:t>）监测时段与频率</w:t>
      </w:r>
    </w:p>
    <w:p w:rsidR="004B4777" w:rsidRDefault="004B4777">
      <w:pPr>
        <w:ind w:firstLine="480"/>
        <w:rPr>
          <w:rFonts w:ascii="Times New Roman" w:hAnsi="Times New Roman"/>
          <w:szCs w:val="24"/>
        </w:rPr>
      </w:pPr>
      <w:r>
        <w:rPr>
          <w:rFonts w:ascii="Times New Roman" w:hAnsi="Times New Roman"/>
          <w:szCs w:val="24"/>
        </w:rPr>
        <w:t>进行一期连续</w:t>
      </w:r>
      <w:r>
        <w:rPr>
          <w:rFonts w:ascii="Times New Roman" w:hAnsi="Times New Roman"/>
          <w:szCs w:val="24"/>
        </w:rPr>
        <w:t>7</w:t>
      </w:r>
      <w:r>
        <w:rPr>
          <w:rFonts w:ascii="Times New Roman" w:hAnsi="Times New Roman"/>
          <w:szCs w:val="24"/>
        </w:rPr>
        <w:t>天监测，</w:t>
      </w:r>
      <w:r>
        <w:rPr>
          <w:rFonts w:ascii="Times New Roman" w:hAnsi="Times New Roman"/>
          <w:szCs w:val="24"/>
        </w:rPr>
        <w:t xml:space="preserve"> SO</w:t>
      </w:r>
      <w:r>
        <w:rPr>
          <w:rFonts w:ascii="Times New Roman" w:hAnsi="Times New Roman"/>
          <w:szCs w:val="24"/>
          <w:vertAlign w:val="subscript"/>
        </w:rPr>
        <w:t>2</w:t>
      </w:r>
      <w:r>
        <w:rPr>
          <w:rFonts w:ascii="Times New Roman" w:hAnsi="Times New Roman"/>
          <w:szCs w:val="24"/>
        </w:rPr>
        <w:t>、</w:t>
      </w:r>
      <w:r>
        <w:rPr>
          <w:rFonts w:ascii="Times New Roman" w:hAnsi="Times New Roman"/>
          <w:szCs w:val="24"/>
        </w:rPr>
        <w:t>NO</w:t>
      </w:r>
      <w:r>
        <w:rPr>
          <w:rFonts w:ascii="Times New Roman" w:hAnsi="Times New Roman"/>
          <w:szCs w:val="24"/>
          <w:vertAlign w:val="subscript"/>
        </w:rPr>
        <w:t>2</w:t>
      </w:r>
      <w:r>
        <w:rPr>
          <w:rFonts w:ascii="Times New Roman" w:hAnsi="Times New Roman" w:hint="eastAsia"/>
          <w:szCs w:val="24"/>
        </w:rPr>
        <w:t>、</w:t>
      </w:r>
      <w:r>
        <w:rPr>
          <w:rFonts w:ascii="Times New Roman" w:hAnsi="Times New Roman" w:hint="eastAsia"/>
          <w:szCs w:val="24"/>
        </w:rPr>
        <w:t>PM</w:t>
      </w:r>
      <w:r>
        <w:rPr>
          <w:rFonts w:ascii="Times New Roman" w:hAnsi="Times New Roman" w:hint="eastAsia"/>
          <w:szCs w:val="24"/>
          <w:vertAlign w:val="subscript"/>
        </w:rPr>
        <w:t>10</w:t>
      </w:r>
      <w:r>
        <w:rPr>
          <w:rFonts w:ascii="Times New Roman" w:hAnsi="Times New Roman" w:hint="eastAsia"/>
          <w:szCs w:val="24"/>
        </w:rPr>
        <w:t>、</w:t>
      </w:r>
      <w:r>
        <w:rPr>
          <w:rFonts w:ascii="Times New Roman" w:hAnsi="Times New Roman" w:hint="eastAsia"/>
          <w:szCs w:val="24"/>
        </w:rPr>
        <w:t>PM</w:t>
      </w:r>
      <w:r>
        <w:rPr>
          <w:rFonts w:ascii="Times New Roman" w:hAnsi="Times New Roman" w:hint="eastAsia"/>
          <w:szCs w:val="24"/>
          <w:vertAlign w:val="subscript"/>
        </w:rPr>
        <w:t>2.5</w:t>
      </w:r>
      <w:r>
        <w:rPr>
          <w:rFonts w:ascii="Times New Roman" w:hAnsi="Times New Roman" w:hint="eastAsia"/>
          <w:szCs w:val="24"/>
        </w:rPr>
        <w:t>每日至少有</w:t>
      </w:r>
      <w:r>
        <w:rPr>
          <w:rFonts w:ascii="Times New Roman" w:hAnsi="Times New Roman" w:hint="eastAsia"/>
          <w:szCs w:val="24"/>
        </w:rPr>
        <w:t>20</w:t>
      </w:r>
      <w:r>
        <w:rPr>
          <w:rFonts w:ascii="Times New Roman" w:hAnsi="Times New Roman" w:hint="eastAsia"/>
          <w:szCs w:val="24"/>
        </w:rPr>
        <w:t>个小时的采样；</w:t>
      </w:r>
      <w:r>
        <w:rPr>
          <w:rFonts w:ascii="Times New Roman" w:hAnsi="Times New Roman" w:hint="eastAsia"/>
          <w:szCs w:val="24"/>
        </w:rPr>
        <w:t>TSP</w:t>
      </w:r>
      <w:r>
        <w:rPr>
          <w:rFonts w:ascii="Times New Roman" w:hAnsi="Times New Roman" w:hint="eastAsia"/>
          <w:szCs w:val="24"/>
        </w:rPr>
        <w:t>每日应有</w:t>
      </w:r>
      <w:r>
        <w:rPr>
          <w:rFonts w:ascii="Times New Roman" w:hAnsi="Times New Roman" w:hint="eastAsia"/>
          <w:szCs w:val="24"/>
        </w:rPr>
        <w:t>24</w:t>
      </w:r>
      <w:r>
        <w:rPr>
          <w:rFonts w:ascii="Times New Roman" w:hAnsi="Times New Roman" w:hint="eastAsia"/>
          <w:szCs w:val="24"/>
        </w:rPr>
        <w:t>小时的采样时间，</w:t>
      </w:r>
      <w:r>
        <w:rPr>
          <w:rFonts w:ascii="Times New Roman" w:hAnsi="Times New Roman"/>
          <w:szCs w:val="24"/>
        </w:rPr>
        <w:t>监测时期同步进行气象观测</w:t>
      </w:r>
      <w:r>
        <w:rPr>
          <w:rFonts w:ascii="Times New Roman" w:hAnsi="Times New Roman" w:hint="eastAsia"/>
          <w:szCs w:val="24"/>
        </w:rPr>
        <w:t>。</w:t>
      </w:r>
      <w:r>
        <w:rPr>
          <w:rFonts w:ascii="Times New Roman" w:hAnsi="Times New Roman"/>
          <w:szCs w:val="24"/>
        </w:rPr>
        <w:t>监测方法按国家环保</w:t>
      </w:r>
      <w:r>
        <w:rPr>
          <w:rFonts w:ascii="Times New Roman" w:hAnsi="Times New Roman"/>
          <w:szCs w:val="24"/>
        </w:rPr>
        <w:lastRenderedPageBreak/>
        <w:t>局发布的标准方法进行。</w:t>
      </w:r>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b/>
          <w:szCs w:val="24"/>
        </w:rPr>
        <w:t>3</w:t>
      </w:r>
      <w:r>
        <w:rPr>
          <w:rFonts w:ascii="Times New Roman" w:hAnsi="Times New Roman"/>
          <w:b/>
          <w:szCs w:val="24"/>
        </w:rPr>
        <w:t>）分析方法</w:t>
      </w:r>
    </w:p>
    <w:p w:rsidR="004B4777" w:rsidRDefault="004B4777">
      <w:pPr>
        <w:ind w:firstLine="480"/>
        <w:rPr>
          <w:rFonts w:ascii="Times New Roman" w:hAnsi="Times New Roman"/>
          <w:szCs w:val="24"/>
        </w:rPr>
      </w:pPr>
      <w:r>
        <w:rPr>
          <w:rFonts w:ascii="Times New Roman" w:hAnsi="Times New Roman"/>
          <w:szCs w:val="24"/>
        </w:rPr>
        <w:t>本报告中各监测项目所用采样及分析方法均按照国家环保局《环境监测技术规范》、《环境监测分析方法》和《环境空气质量标准》（</w:t>
      </w:r>
      <w:r>
        <w:rPr>
          <w:rFonts w:ascii="Times New Roman" w:hAnsi="Times New Roman"/>
          <w:szCs w:val="24"/>
        </w:rPr>
        <w:t>GB3095-</w:t>
      </w:r>
      <w:r>
        <w:rPr>
          <w:rFonts w:ascii="Times New Roman" w:hAnsi="Times New Roman" w:hint="eastAsia"/>
          <w:szCs w:val="24"/>
        </w:rPr>
        <w:t>2012</w:t>
      </w:r>
      <w:r>
        <w:rPr>
          <w:rFonts w:ascii="Times New Roman" w:hAnsi="Times New Roman"/>
          <w:szCs w:val="24"/>
        </w:rPr>
        <w:t>）要求的方法进行。</w:t>
      </w:r>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hint="eastAsia"/>
          <w:b/>
          <w:szCs w:val="24"/>
        </w:rPr>
        <w:t>4</w:t>
      </w:r>
      <w:r>
        <w:rPr>
          <w:rFonts w:ascii="Times New Roman" w:hAnsi="Times New Roman"/>
          <w:b/>
          <w:szCs w:val="24"/>
        </w:rPr>
        <w:t>）评价标准</w:t>
      </w:r>
    </w:p>
    <w:p w:rsidR="004B4777" w:rsidRDefault="004B4777">
      <w:pPr>
        <w:ind w:firstLine="480"/>
        <w:rPr>
          <w:rFonts w:ascii="Times New Roman" w:hAnsi="Times New Roman"/>
          <w:bCs/>
          <w:szCs w:val="24"/>
        </w:rPr>
      </w:pPr>
      <w:r>
        <w:rPr>
          <w:rFonts w:ascii="Times New Roman" w:hAnsi="Times New Roman"/>
          <w:szCs w:val="24"/>
        </w:rPr>
        <w:t>SO</w:t>
      </w:r>
      <w:r>
        <w:rPr>
          <w:rFonts w:ascii="Times New Roman" w:hAnsi="Times New Roman"/>
          <w:szCs w:val="24"/>
          <w:vertAlign w:val="subscript"/>
        </w:rPr>
        <w:t>2</w:t>
      </w:r>
      <w:r>
        <w:rPr>
          <w:rFonts w:ascii="Times New Roman" w:hAnsi="Times New Roman"/>
          <w:szCs w:val="24"/>
        </w:rPr>
        <w:t>、</w:t>
      </w:r>
      <w:r>
        <w:rPr>
          <w:rFonts w:ascii="Times New Roman" w:hAnsi="Times New Roman"/>
          <w:szCs w:val="24"/>
        </w:rPr>
        <w:t>NO</w:t>
      </w:r>
      <w:r>
        <w:rPr>
          <w:rFonts w:ascii="Times New Roman" w:hAnsi="Times New Roman"/>
          <w:szCs w:val="24"/>
          <w:vertAlign w:val="subscript"/>
        </w:rPr>
        <w:t>2</w:t>
      </w:r>
      <w:r>
        <w:rPr>
          <w:rFonts w:ascii="Times New Roman" w:hAnsi="Times New Roman" w:hint="eastAsia"/>
          <w:szCs w:val="24"/>
        </w:rPr>
        <w:t>、</w:t>
      </w:r>
      <w:r>
        <w:rPr>
          <w:rFonts w:ascii="Times New Roman" w:hAnsi="Times New Roman" w:hint="eastAsia"/>
          <w:szCs w:val="24"/>
        </w:rPr>
        <w:t>TSP</w:t>
      </w:r>
      <w:r>
        <w:rPr>
          <w:rFonts w:ascii="Times New Roman" w:hAnsi="Times New Roman" w:hint="eastAsia"/>
          <w:szCs w:val="24"/>
        </w:rPr>
        <w:t>、</w:t>
      </w:r>
      <w:r>
        <w:rPr>
          <w:rFonts w:ascii="Times New Roman" w:hAnsi="Times New Roman"/>
          <w:szCs w:val="24"/>
        </w:rPr>
        <w:t>PM</w:t>
      </w:r>
      <w:r>
        <w:rPr>
          <w:rFonts w:ascii="Times New Roman" w:hAnsi="Times New Roman"/>
          <w:szCs w:val="24"/>
          <w:vertAlign w:val="subscript"/>
        </w:rPr>
        <w:t>10</w:t>
      </w:r>
      <w:r>
        <w:rPr>
          <w:rFonts w:ascii="Times New Roman" w:hAnsi="Times New Roman" w:hint="eastAsia"/>
          <w:szCs w:val="24"/>
        </w:rPr>
        <w:t>、</w:t>
      </w:r>
      <w:r>
        <w:rPr>
          <w:rFonts w:ascii="Times New Roman" w:hAnsi="Times New Roman" w:hint="eastAsia"/>
          <w:szCs w:val="24"/>
        </w:rPr>
        <w:t>PM</w:t>
      </w:r>
      <w:r>
        <w:rPr>
          <w:rFonts w:ascii="Times New Roman" w:hAnsi="Times New Roman" w:hint="eastAsia"/>
          <w:szCs w:val="24"/>
          <w:vertAlign w:val="subscript"/>
        </w:rPr>
        <w:t>2.5</w:t>
      </w:r>
      <w:r>
        <w:rPr>
          <w:rFonts w:ascii="Times New Roman" w:hAnsi="Times New Roman"/>
          <w:szCs w:val="24"/>
        </w:rPr>
        <w:t>评价标准采用《环境空气质量标准》（</w:t>
      </w:r>
      <w:r>
        <w:rPr>
          <w:rFonts w:ascii="Times New Roman" w:hAnsi="Times New Roman"/>
          <w:szCs w:val="24"/>
        </w:rPr>
        <w:t>GB3095-</w:t>
      </w:r>
      <w:r>
        <w:rPr>
          <w:rFonts w:ascii="Times New Roman" w:hAnsi="Times New Roman" w:hint="eastAsia"/>
          <w:szCs w:val="24"/>
        </w:rPr>
        <w:t>2012</w:t>
      </w:r>
      <w:r>
        <w:rPr>
          <w:rFonts w:ascii="Times New Roman" w:hAnsi="Times New Roman"/>
          <w:szCs w:val="24"/>
        </w:rPr>
        <w:t>）二级标准</w:t>
      </w:r>
      <w:r>
        <w:rPr>
          <w:rFonts w:ascii="Times New Roman" w:hAnsi="Times New Roman"/>
          <w:bCs/>
          <w:szCs w:val="24"/>
        </w:rPr>
        <w:t>。</w:t>
      </w:r>
    </w:p>
    <w:p w:rsidR="004B4777" w:rsidRDefault="004B4777">
      <w:pPr>
        <w:ind w:firstLine="482"/>
        <w:rPr>
          <w:rFonts w:ascii="Times New Roman" w:hAnsi="Times New Roman"/>
          <w:b/>
          <w:bCs/>
          <w:szCs w:val="24"/>
        </w:rPr>
      </w:pPr>
      <w:r>
        <w:rPr>
          <w:rFonts w:ascii="Times New Roman" w:hAnsi="Times New Roman"/>
          <w:b/>
          <w:bCs/>
          <w:szCs w:val="24"/>
        </w:rPr>
        <w:t>（</w:t>
      </w:r>
      <w:r>
        <w:rPr>
          <w:rFonts w:ascii="Times New Roman" w:hAnsi="Times New Roman" w:hint="eastAsia"/>
          <w:b/>
          <w:bCs/>
          <w:szCs w:val="24"/>
        </w:rPr>
        <w:t>4</w:t>
      </w:r>
      <w:r>
        <w:rPr>
          <w:rFonts w:ascii="Times New Roman" w:hAnsi="Times New Roman"/>
          <w:b/>
          <w:bCs/>
          <w:szCs w:val="24"/>
        </w:rPr>
        <w:t>）监测结果</w:t>
      </w:r>
      <w:r>
        <w:rPr>
          <w:rFonts w:ascii="Times New Roman" w:hAnsi="Times New Roman" w:hint="eastAsia"/>
          <w:b/>
          <w:bCs/>
          <w:szCs w:val="24"/>
        </w:rPr>
        <w:t>与评价</w:t>
      </w:r>
    </w:p>
    <w:p w:rsidR="004B4777" w:rsidRDefault="004B4777">
      <w:pPr>
        <w:ind w:firstLine="480"/>
        <w:rPr>
          <w:rFonts w:ascii="Times New Roman" w:hAnsi="Times New Roman"/>
          <w:bCs/>
          <w:szCs w:val="24"/>
        </w:rPr>
      </w:pPr>
      <w:r>
        <w:rPr>
          <w:rFonts w:ascii="Times New Roman" w:hAnsi="Times New Roman"/>
          <w:bCs/>
          <w:szCs w:val="24"/>
        </w:rPr>
        <w:t>监测结果详见表</w:t>
      </w:r>
      <w:r>
        <w:rPr>
          <w:rFonts w:ascii="Times New Roman" w:hAnsi="Times New Roman" w:hint="eastAsia"/>
          <w:bCs/>
          <w:szCs w:val="24"/>
        </w:rPr>
        <w:t>5.2</w:t>
      </w:r>
      <w:r>
        <w:rPr>
          <w:rFonts w:ascii="Times New Roman" w:hAnsi="Times New Roman"/>
          <w:bCs/>
          <w:szCs w:val="24"/>
        </w:rPr>
        <w:t>-</w:t>
      </w:r>
      <w:r>
        <w:rPr>
          <w:rFonts w:ascii="Times New Roman" w:hAnsi="Times New Roman" w:hint="eastAsia"/>
          <w:bCs/>
          <w:szCs w:val="24"/>
        </w:rPr>
        <w:t>2~5.2-3</w:t>
      </w:r>
      <w:r>
        <w:rPr>
          <w:rFonts w:ascii="Times New Roman" w:hAnsi="Times New Roman"/>
          <w:bCs/>
          <w:szCs w:val="24"/>
        </w:rPr>
        <w:t>。</w:t>
      </w:r>
    </w:p>
    <w:p w:rsidR="004B4777" w:rsidRDefault="004B4777">
      <w:pPr>
        <w:pStyle w:val="af"/>
        <w:spacing w:line="240" w:lineRule="auto"/>
        <w:rPr>
          <w:b/>
        </w:rPr>
      </w:pPr>
      <w:bookmarkStart w:id="144" w:name="_Toc364329809"/>
      <w:bookmarkStart w:id="145" w:name="_Toc325987219"/>
      <w:r>
        <w:rPr>
          <w:b/>
        </w:rPr>
        <w:t>表</w:t>
      </w:r>
      <w:r>
        <w:rPr>
          <w:b/>
        </w:rPr>
        <w:t>5.2</w:t>
      </w:r>
      <w:r>
        <w:rPr>
          <w:b/>
        </w:rPr>
        <w:noBreakHyphen/>
      </w:r>
      <w:r>
        <w:rPr>
          <w:rFonts w:hint="eastAsia"/>
          <w:b/>
        </w:rPr>
        <w:t>2</w:t>
      </w:r>
      <w:r>
        <w:rPr>
          <w:b/>
        </w:rPr>
        <w:t xml:space="preserve"> </w:t>
      </w:r>
      <w:bookmarkEnd w:id="144"/>
      <w:bookmarkEnd w:id="145"/>
      <w:r>
        <w:rPr>
          <w:rFonts w:hint="eastAsia"/>
          <w:b/>
        </w:rPr>
        <w:t>大气环境监</w:t>
      </w:r>
      <w:r>
        <w:rPr>
          <w:b/>
        </w:rPr>
        <w:t>测结果</w:t>
      </w:r>
      <w:r>
        <w:rPr>
          <w:rFonts w:hint="eastAsia"/>
          <w:b/>
        </w:rPr>
        <w:t>一览表</w:t>
      </w:r>
    </w:p>
    <w:tbl>
      <w:tblPr>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69"/>
        <w:gridCol w:w="1171"/>
        <w:gridCol w:w="1012"/>
        <w:gridCol w:w="1012"/>
        <w:gridCol w:w="1012"/>
        <w:gridCol w:w="1012"/>
        <w:gridCol w:w="1012"/>
        <w:gridCol w:w="1012"/>
        <w:gridCol w:w="1016"/>
      </w:tblGrid>
      <w:tr w:rsidR="004B4777">
        <w:trPr>
          <w:trHeight w:val="397"/>
        </w:trPr>
        <w:tc>
          <w:tcPr>
            <w:tcW w:w="1269" w:type="dxa"/>
            <w:vMerge w:val="restart"/>
            <w:vAlign w:val="center"/>
          </w:tcPr>
          <w:p w:rsidR="004B4777" w:rsidRDefault="004B4777">
            <w:pPr>
              <w:pStyle w:val="affff8"/>
              <w:rPr>
                <w:rFonts w:eastAsia="宋体"/>
              </w:rPr>
            </w:pPr>
            <w:r>
              <w:rPr>
                <w:rFonts w:eastAsia="宋体" w:hint="eastAsia"/>
                <w:lang/>
              </w:rPr>
              <w:t>采样点位</w:t>
            </w:r>
          </w:p>
        </w:tc>
        <w:tc>
          <w:tcPr>
            <w:tcW w:w="1171" w:type="dxa"/>
            <w:vMerge w:val="restart"/>
            <w:vAlign w:val="center"/>
          </w:tcPr>
          <w:p w:rsidR="004B4777" w:rsidRDefault="004B4777">
            <w:pPr>
              <w:pStyle w:val="affff8"/>
              <w:rPr>
                <w:rFonts w:eastAsia="宋体"/>
                <w:lang/>
              </w:rPr>
            </w:pPr>
            <w:r>
              <w:rPr>
                <w:rFonts w:eastAsia="宋体" w:hint="eastAsia"/>
                <w:lang/>
              </w:rPr>
              <w:t>检测项目</w:t>
            </w:r>
          </w:p>
        </w:tc>
        <w:tc>
          <w:tcPr>
            <w:tcW w:w="7088" w:type="dxa"/>
            <w:gridSpan w:val="7"/>
            <w:vAlign w:val="center"/>
          </w:tcPr>
          <w:p w:rsidR="004B4777" w:rsidRDefault="004B4777">
            <w:pPr>
              <w:pStyle w:val="affff8"/>
              <w:rPr>
                <w:rFonts w:eastAsia="宋体"/>
              </w:rPr>
            </w:pPr>
            <w:r>
              <w:rPr>
                <w:rFonts w:eastAsia="宋体" w:hint="eastAsia"/>
                <w:lang/>
              </w:rPr>
              <w:t>检测结果（日均值）单位：</w:t>
            </w:r>
            <w:r>
              <w:rPr>
                <w:rFonts w:eastAsia="宋体" w:hint="eastAsia"/>
                <w:bCs/>
                <w:sz w:val="24"/>
                <w:szCs w:val="24"/>
              </w:rPr>
              <w:t>μ</w:t>
            </w:r>
            <w:r>
              <w:rPr>
                <w:rFonts w:eastAsia="宋体"/>
                <w:bCs/>
                <w:sz w:val="24"/>
                <w:szCs w:val="24"/>
              </w:rPr>
              <w:t>g/Nm</w:t>
            </w:r>
            <w:r>
              <w:rPr>
                <w:rFonts w:eastAsia="宋体"/>
                <w:bCs/>
                <w:sz w:val="24"/>
                <w:szCs w:val="24"/>
                <w:vertAlign w:val="superscript"/>
              </w:rPr>
              <w:t>3</w:t>
            </w:r>
          </w:p>
        </w:tc>
      </w:tr>
      <w:tr w:rsidR="004B4777">
        <w:trPr>
          <w:trHeight w:val="397"/>
        </w:trPr>
        <w:tc>
          <w:tcPr>
            <w:tcW w:w="1269" w:type="dxa"/>
            <w:vMerge/>
            <w:vAlign w:val="center"/>
          </w:tcPr>
          <w:p w:rsidR="004B4777" w:rsidRDefault="004B4777">
            <w:pPr>
              <w:pStyle w:val="affff8"/>
              <w:rPr>
                <w:rFonts w:eastAsia="宋体"/>
              </w:rPr>
            </w:pPr>
          </w:p>
        </w:tc>
        <w:tc>
          <w:tcPr>
            <w:tcW w:w="1171" w:type="dxa"/>
            <w:vMerge/>
            <w:vAlign w:val="center"/>
          </w:tcPr>
          <w:p w:rsidR="004B4777" w:rsidRDefault="004B4777">
            <w:pPr>
              <w:pStyle w:val="affff8"/>
              <w:rPr>
                <w:rFonts w:eastAsia="宋体"/>
                <w:b/>
              </w:rPr>
            </w:pPr>
          </w:p>
        </w:tc>
        <w:tc>
          <w:tcPr>
            <w:tcW w:w="1012"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1</w:t>
            </w:r>
            <w:r>
              <w:rPr>
                <w:rFonts w:eastAsia="宋体" w:hint="eastAsia"/>
                <w:bCs/>
              </w:rPr>
              <w:t>日</w:t>
            </w:r>
          </w:p>
        </w:tc>
        <w:tc>
          <w:tcPr>
            <w:tcW w:w="1012"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2</w:t>
            </w:r>
            <w:r>
              <w:rPr>
                <w:rFonts w:eastAsia="宋体" w:hint="eastAsia"/>
                <w:bCs/>
              </w:rPr>
              <w:t>日</w:t>
            </w:r>
          </w:p>
        </w:tc>
        <w:tc>
          <w:tcPr>
            <w:tcW w:w="1012"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3</w:t>
            </w:r>
            <w:r>
              <w:rPr>
                <w:rFonts w:eastAsia="宋体" w:hint="eastAsia"/>
                <w:bCs/>
              </w:rPr>
              <w:t>日</w:t>
            </w:r>
          </w:p>
        </w:tc>
        <w:tc>
          <w:tcPr>
            <w:tcW w:w="1012"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4</w:t>
            </w:r>
            <w:r>
              <w:rPr>
                <w:rFonts w:eastAsia="宋体" w:hint="eastAsia"/>
                <w:bCs/>
              </w:rPr>
              <w:t>日</w:t>
            </w:r>
          </w:p>
        </w:tc>
        <w:tc>
          <w:tcPr>
            <w:tcW w:w="1012"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5</w:t>
            </w:r>
            <w:r>
              <w:rPr>
                <w:rFonts w:eastAsia="宋体" w:hint="eastAsia"/>
                <w:bCs/>
              </w:rPr>
              <w:t>日</w:t>
            </w:r>
          </w:p>
        </w:tc>
        <w:tc>
          <w:tcPr>
            <w:tcW w:w="1012"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6</w:t>
            </w:r>
            <w:r>
              <w:rPr>
                <w:rFonts w:eastAsia="宋体" w:hint="eastAsia"/>
                <w:bCs/>
              </w:rPr>
              <w:t>日</w:t>
            </w:r>
          </w:p>
        </w:tc>
        <w:tc>
          <w:tcPr>
            <w:tcW w:w="1016" w:type="dxa"/>
            <w:vAlign w:val="center"/>
          </w:tcPr>
          <w:p w:rsidR="004B4777" w:rsidRDefault="004B4777">
            <w:pPr>
              <w:pStyle w:val="affff8"/>
              <w:rPr>
                <w:rFonts w:eastAsia="宋体"/>
              </w:rPr>
            </w:pPr>
            <w:r>
              <w:rPr>
                <w:rFonts w:eastAsia="宋体" w:hint="eastAsia"/>
                <w:bCs/>
              </w:rPr>
              <w:t>2</w:t>
            </w:r>
            <w:r>
              <w:rPr>
                <w:rFonts w:eastAsia="宋体" w:hint="eastAsia"/>
                <w:bCs/>
              </w:rPr>
              <w:t>月</w:t>
            </w:r>
            <w:r>
              <w:rPr>
                <w:rFonts w:eastAsia="宋体" w:hint="eastAsia"/>
                <w:bCs/>
              </w:rPr>
              <w:t>7</w:t>
            </w:r>
            <w:r>
              <w:rPr>
                <w:rFonts w:eastAsia="宋体" w:hint="eastAsia"/>
                <w:bCs/>
              </w:rPr>
              <w:t>日</w:t>
            </w:r>
          </w:p>
        </w:tc>
      </w:tr>
      <w:tr w:rsidR="004B4777">
        <w:trPr>
          <w:trHeight w:val="397"/>
        </w:trPr>
        <w:tc>
          <w:tcPr>
            <w:tcW w:w="1269" w:type="dxa"/>
            <w:vMerge w:val="restart"/>
            <w:vAlign w:val="center"/>
          </w:tcPr>
          <w:p w:rsidR="004B4777" w:rsidRDefault="004B4777">
            <w:pPr>
              <w:pStyle w:val="affff8"/>
              <w:rPr>
                <w:rFonts w:eastAsia="宋体"/>
              </w:rPr>
            </w:pPr>
            <w:r>
              <w:rPr>
                <w:rFonts w:eastAsia="宋体" w:cs="宋体" w:hint="eastAsia"/>
                <w:bCs/>
              </w:rPr>
              <w:t>易婆塘采区新坪村居民点</w:t>
            </w:r>
          </w:p>
        </w:tc>
        <w:tc>
          <w:tcPr>
            <w:tcW w:w="1171" w:type="dxa"/>
            <w:vAlign w:val="center"/>
          </w:tcPr>
          <w:p w:rsidR="004B4777" w:rsidRDefault="004B4777">
            <w:pPr>
              <w:pStyle w:val="affff8"/>
              <w:rPr>
                <w:rFonts w:eastAsia="宋体"/>
                <w:lang/>
              </w:rPr>
            </w:pPr>
            <w:r>
              <w:rPr>
                <w:rFonts w:eastAsia="宋体"/>
                <w:lang/>
              </w:rPr>
              <w:t>SO</w:t>
            </w:r>
            <w:r>
              <w:rPr>
                <w:rFonts w:eastAsia="宋体"/>
                <w:vertAlign w:val="subscript"/>
                <w:lang/>
              </w:rPr>
              <w:t>2</w:t>
            </w:r>
          </w:p>
        </w:tc>
        <w:tc>
          <w:tcPr>
            <w:tcW w:w="1012" w:type="dxa"/>
            <w:vAlign w:val="center"/>
          </w:tcPr>
          <w:p w:rsidR="004B4777" w:rsidRDefault="004B4777">
            <w:pPr>
              <w:pStyle w:val="affff8"/>
              <w:rPr>
                <w:rFonts w:eastAsia="宋体"/>
              </w:rPr>
            </w:pPr>
            <w:r>
              <w:rPr>
                <w:rFonts w:eastAsia="宋体" w:hint="eastAsia"/>
              </w:rPr>
              <w:t>19</w:t>
            </w:r>
          </w:p>
        </w:tc>
        <w:tc>
          <w:tcPr>
            <w:tcW w:w="1012" w:type="dxa"/>
            <w:vAlign w:val="center"/>
          </w:tcPr>
          <w:p w:rsidR="004B4777" w:rsidRDefault="004B4777">
            <w:pPr>
              <w:pStyle w:val="affff8"/>
              <w:rPr>
                <w:rFonts w:eastAsia="宋体"/>
              </w:rPr>
            </w:pPr>
            <w:r>
              <w:rPr>
                <w:rFonts w:eastAsia="宋体" w:hint="eastAsia"/>
              </w:rPr>
              <w:t>24</w:t>
            </w:r>
          </w:p>
        </w:tc>
        <w:tc>
          <w:tcPr>
            <w:tcW w:w="1012" w:type="dxa"/>
            <w:vAlign w:val="center"/>
          </w:tcPr>
          <w:p w:rsidR="004B4777" w:rsidRDefault="004B4777">
            <w:pPr>
              <w:pStyle w:val="affff8"/>
              <w:rPr>
                <w:rFonts w:eastAsia="宋体"/>
              </w:rPr>
            </w:pPr>
            <w:r>
              <w:rPr>
                <w:rFonts w:eastAsia="宋体" w:hint="eastAsia"/>
              </w:rPr>
              <w:t>16</w:t>
            </w:r>
          </w:p>
        </w:tc>
        <w:tc>
          <w:tcPr>
            <w:tcW w:w="1012" w:type="dxa"/>
            <w:vAlign w:val="center"/>
          </w:tcPr>
          <w:p w:rsidR="004B4777" w:rsidRDefault="004B4777">
            <w:pPr>
              <w:pStyle w:val="affff8"/>
              <w:rPr>
                <w:rFonts w:eastAsia="宋体"/>
              </w:rPr>
            </w:pPr>
            <w:r>
              <w:rPr>
                <w:rFonts w:eastAsia="宋体" w:hint="eastAsia"/>
              </w:rPr>
              <w:t>23</w:t>
            </w:r>
          </w:p>
        </w:tc>
        <w:tc>
          <w:tcPr>
            <w:tcW w:w="1012" w:type="dxa"/>
            <w:vAlign w:val="center"/>
          </w:tcPr>
          <w:p w:rsidR="004B4777" w:rsidRDefault="004B4777">
            <w:pPr>
              <w:pStyle w:val="affff8"/>
              <w:rPr>
                <w:rFonts w:eastAsia="宋体"/>
              </w:rPr>
            </w:pPr>
            <w:r>
              <w:rPr>
                <w:rFonts w:eastAsia="宋体" w:hint="eastAsia"/>
              </w:rPr>
              <w:t>22</w:t>
            </w:r>
          </w:p>
        </w:tc>
        <w:tc>
          <w:tcPr>
            <w:tcW w:w="1012" w:type="dxa"/>
            <w:vAlign w:val="center"/>
          </w:tcPr>
          <w:p w:rsidR="004B4777" w:rsidRDefault="004B4777">
            <w:pPr>
              <w:pStyle w:val="affff8"/>
              <w:rPr>
                <w:rFonts w:eastAsia="宋体"/>
              </w:rPr>
            </w:pPr>
            <w:r>
              <w:rPr>
                <w:rFonts w:eastAsia="宋体" w:hint="eastAsia"/>
              </w:rPr>
              <w:t>21</w:t>
            </w:r>
          </w:p>
        </w:tc>
        <w:tc>
          <w:tcPr>
            <w:tcW w:w="1016" w:type="dxa"/>
            <w:vAlign w:val="center"/>
          </w:tcPr>
          <w:p w:rsidR="004B4777" w:rsidRDefault="004B4777">
            <w:pPr>
              <w:pStyle w:val="affff8"/>
              <w:rPr>
                <w:rFonts w:eastAsia="宋体"/>
              </w:rPr>
            </w:pPr>
            <w:r>
              <w:rPr>
                <w:rFonts w:eastAsia="宋体" w:hint="eastAsia"/>
              </w:rPr>
              <w:t>18</w:t>
            </w:r>
          </w:p>
        </w:tc>
      </w:tr>
      <w:tr w:rsidR="004B4777">
        <w:trPr>
          <w:trHeight w:val="397"/>
        </w:trPr>
        <w:tc>
          <w:tcPr>
            <w:tcW w:w="1269" w:type="dxa"/>
            <w:vMerge/>
            <w:vAlign w:val="center"/>
          </w:tcPr>
          <w:p w:rsidR="004B4777" w:rsidRDefault="004B4777">
            <w:pPr>
              <w:pStyle w:val="affff8"/>
              <w:rPr>
                <w:rFonts w:eastAsia="宋体"/>
                <w:lang/>
              </w:rPr>
            </w:pPr>
          </w:p>
        </w:tc>
        <w:tc>
          <w:tcPr>
            <w:tcW w:w="1171" w:type="dxa"/>
            <w:vAlign w:val="center"/>
          </w:tcPr>
          <w:p w:rsidR="004B4777" w:rsidRDefault="004B4777">
            <w:pPr>
              <w:pStyle w:val="affff8"/>
              <w:rPr>
                <w:rFonts w:eastAsia="宋体"/>
                <w:lang/>
              </w:rPr>
            </w:pPr>
            <w:r>
              <w:rPr>
                <w:rFonts w:eastAsia="宋体"/>
                <w:lang/>
              </w:rPr>
              <w:t>NO</w:t>
            </w:r>
            <w:r>
              <w:rPr>
                <w:rFonts w:eastAsia="宋体"/>
                <w:vertAlign w:val="subscript"/>
                <w:lang/>
              </w:rPr>
              <w:t>2</w:t>
            </w:r>
          </w:p>
        </w:tc>
        <w:tc>
          <w:tcPr>
            <w:tcW w:w="1012" w:type="dxa"/>
            <w:vAlign w:val="center"/>
          </w:tcPr>
          <w:p w:rsidR="004B4777" w:rsidRDefault="004B4777">
            <w:pPr>
              <w:pStyle w:val="affff8"/>
              <w:rPr>
                <w:rFonts w:eastAsia="宋体"/>
              </w:rPr>
            </w:pPr>
            <w:r>
              <w:rPr>
                <w:rFonts w:eastAsia="宋体" w:hint="eastAsia"/>
              </w:rPr>
              <w:t>15</w:t>
            </w:r>
          </w:p>
        </w:tc>
        <w:tc>
          <w:tcPr>
            <w:tcW w:w="1012" w:type="dxa"/>
            <w:vAlign w:val="center"/>
          </w:tcPr>
          <w:p w:rsidR="004B4777" w:rsidRDefault="004B4777">
            <w:pPr>
              <w:pStyle w:val="affff8"/>
              <w:rPr>
                <w:rFonts w:eastAsia="宋体"/>
              </w:rPr>
            </w:pPr>
            <w:r>
              <w:rPr>
                <w:rFonts w:eastAsia="宋体" w:hint="eastAsia"/>
              </w:rPr>
              <w:t>12</w:t>
            </w:r>
          </w:p>
        </w:tc>
        <w:tc>
          <w:tcPr>
            <w:tcW w:w="1012" w:type="dxa"/>
            <w:vAlign w:val="center"/>
          </w:tcPr>
          <w:p w:rsidR="004B4777" w:rsidRDefault="004B4777">
            <w:pPr>
              <w:pStyle w:val="affff8"/>
              <w:rPr>
                <w:rFonts w:eastAsia="宋体"/>
              </w:rPr>
            </w:pPr>
            <w:r>
              <w:rPr>
                <w:rFonts w:eastAsia="宋体" w:hint="eastAsia"/>
              </w:rPr>
              <w:t>13</w:t>
            </w:r>
          </w:p>
        </w:tc>
        <w:tc>
          <w:tcPr>
            <w:tcW w:w="1012" w:type="dxa"/>
            <w:vAlign w:val="center"/>
          </w:tcPr>
          <w:p w:rsidR="004B4777" w:rsidRDefault="004B4777">
            <w:pPr>
              <w:pStyle w:val="affff8"/>
              <w:rPr>
                <w:rFonts w:eastAsia="宋体"/>
              </w:rPr>
            </w:pPr>
            <w:r>
              <w:rPr>
                <w:rFonts w:eastAsia="宋体" w:hint="eastAsia"/>
              </w:rPr>
              <w:t>14</w:t>
            </w:r>
          </w:p>
        </w:tc>
        <w:tc>
          <w:tcPr>
            <w:tcW w:w="1012" w:type="dxa"/>
            <w:vAlign w:val="center"/>
          </w:tcPr>
          <w:p w:rsidR="004B4777" w:rsidRDefault="004B4777">
            <w:pPr>
              <w:pStyle w:val="affff8"/>
              <w:rPr>
                <w:rFonts w:eastAsia="宋体"/>
              </w:rPr>
            </w:pPr>
            <w:r>
              <w:rPr>
                <w:rFonts w:eastAsia="宋体" w:hint="eastAsia"/>
              </w:rPr>
              <w:t>15</w:t>
            </w:r>
          </w:p>
        </w:tc>
        <w:tc>
          <w:tcPr>
            <w:tcW w:w="1012" w:type="dxa"/>
            <w:vAlign w:val="center"/>
          </w:tcPr>
          <w:p w:rsidR="004B4777" w:rsidRDefault="004B4777">
            <w:pPr>
              <w:pStyle w:val="affff8"/>
              <w:rPr>
                <w:rFonts w:eastAsia="宋体"/>
              </w:rPr>
            </w:pPr>
            <w:r>
              <w:rPr>
                <w:rFonts w:eastAsia="宋体" w:hint="eastAsia"/>
              </w:rPr>
              <w:t>12</w:t>
            </w:r>
          </w:p>
        </w:tc>
        <w:tc>
          <w:tcPr>
            <w:tcW w:w="1016" w:type="dxa"/>
            <w:vAlign w:val="center"/>
          </w:tcPr>
          <w:p w:rsidR="004B4777" w:rsidRDefault="004B4777">
            <w:pPr>
              <w:pStyle w:val="affff8"/>
              <w:rPr>
                <w:rFonts w:eastAsia="宋体"/>
              </w:rPr>
            </w:pPr>
            <w:r>
              <w:rPr>
                <w:rFonts w:eastAsia="宋体" w:hint="eastAsia"/>
              </w:rPr>
              <w:t>16</w:t>
            </w:r>
          </w:p>
        </w:tc>
      </w:tr>
      <w:tr w:rsidR="004B4777">
        <w:trPr>
          <w:trHeight w:val="397"/>
        </w:trPr>
        <w:tc>
          <w:tcPr>
            <w:tcW w:w="1269" w:type="dxa"/>
            <w:vMerge/>
            <w:vAlign w:val="center"/>
          </w:tcPr>
          <w:p w:rsidR="004B4777" w:rsidRDefault="004B4777">
            <w:pPr>
              <w:pStyle w:val="affff8"/>
              <w:rPr>
                <w:rFonts w:eastAsia="宋体"/>
                <w:lang/>
              </w:rPr>
            </w:pPr>
          </w:p>
        </w:tc>
        <w:tc>
          <w:tcPr>
            <w:tcW w:w="1171" w:type="dxa"/>
            <w:vAlign w:val="center"/>
          </w:tcPr>
          <w:p w:rsidR="004B4777" w:rsidRDefault="004B4777">
            <w:pPr>
              <w:pStyle w:val="affff8"/>
              <w:rPr>
                <w:rFonts w:eastAsia="宋体"/>
                <w:lang/>
              </w:rPr>
            </w:pPr>
            <w:r>
              <w:rPr>
                <w:rFonts w:eastAsia="宋体"/>
                <w:lang/>
              </w:rPr>
              <w:t>PM</w:t>
            </w:r>
            <w:r>
              <w:rPr>
                <w:rFonts w:eastAsia="宋体"/>
                <w:vertAlign w:val="subscript"/>
                <w:lang/>
              </w:rPr>
              <w:t>10</w:t>
            </w:r>
          </w:p>
        </w:tc>
        <w:tc>
          <w:tcPr>
            <w:tcW w:w="1012" w:type="dxa"/>
            <w:vAlign w:val="center"/>
          </w:tcPr>
          <w:p w:rsidR="004B4777" w:rsidRDefault="004B4777">
            <w:pPr>
              <w:pStyle w:val="affff8"/>
              <w:rPr>
                <w:rFonts w:eastAsia="宋体"/>
              </w:rPr>
            </w:pPr>
            <w:r>
              <w:rPr>
                <w:rFonts w:eastAsia="宋体" w:hint="eastAsia"/>
              </w:rPr>
              <w:t>44</w:t>
            </w:r>
          </w:p>
        </w:tc>
        <w:tc>
          <w:tcPr>
            <w:tcW w:w="1012" w:type="dxa"/>
            <w:vAlign w:val="center"/>
          </w:tcPr>
          <w:p w:rsidR="004B4777" w:rsidRDefault="004B4777">
            <w:pPr>
              <w:pStyle w:val="affff8"/>
              <w:rPr>
                <w:rFonts w:eastAsia="宋体"/>
              </w:rPr>
            </w:pPr>
            <w:r>
              <w:rPr>
                <w:rFonts w:eastAsia="宋体" w:hint="eastAsia"/>
              </w:rPr>
              <w:t>38</w:t>
            </w:r>
          </w:p>
        </w:tc>
        <w:tc>
          <w:tcPr>
            <w:tcW w:w="1012" w:type="dxa"/>
            <w:vAlign w:val="center"/>
          </w:tcPr>
          <w:p w:rsidR="004B4777" w:rsidRDefault="004B4777">
            <w:pPr>
              <w:pStyle w:val="affff8"/>
              <w:rPr>
                <w:rFonts w:eastAsia="宋体"/>
              </w:rPr>
            </w:pPr>
            <w:r>
              <w:rPr>
                <w:rFonts w:eastAsia="宋体" w:hint="eastAsia"/>
              </w:rPr>
              <w:t>39</w:t>
            </w:r>
          </w:p>
        </w:tc>
        <w:tc>
          <w:tcPr>
            <w:tcW w:w="1012" w:type="dxa"/>
            <w:vAlign w:val="center"/>
          </w:tcPr>
          <w:p w:rsidR="004B4777" w:rsidRDefault="004B4777">
            <w:pPr>
              <w:pStyle w:val="affff8"/>
              <w:rPr>
                <w:rFonts w:eastAsia="宋体"/>
              </w:rPr>
            </w:pPr>
            <w:r>
              <w:rPr>
                <w:rFonts w:eastAsia="宋体" w:hint="eastAsia"/>
              </w:rPr>
              <w:t>46</w:t>
            </w:r>
          </w:p>
        </w:tc>
        <w:tc>
          <w:tcPr>
            <w:tcW w:w="1012" w:type="dxa"/>
            <w:vAlign w:val="center"/>
          </w:tcPr>
          <w:p w:rsidR="004B4777" w:rsidRDefault="004B4777">
            <w:pPr>
              <w:pStyle w:val="affff8"/>
              <w:rPr>
                <w:rFonts w:eastAsia="宋体"/>
              </w:rPr>
            </w:pPr>
            <w:r>
              <w:rPr>
                <w:rFonts w:eastAsia="宋体" w:hint="eastAsia"/>
              </w:rPr>
              <w:t>42</w:t>
            </w:r>
          </w:p>
        </w:tc>
        <w:tc>
          <w:tcPr>
            <w:tcW w:w="1012" w:type="dxa"/>
            <w:vAlign w:val="center"/>
          </w:tcPr>
          <w:p w:rsidR="004B4777" w:rsidRDefault="004B4777">
            <w:pPr>
              <w:pStyle w:val="affff8"/>
              <w:rPr>
                <w:rFonts w:eastAsia="宋体"/>
              </w:rPr>
            </w:pPr>
            <w:r>
              <w:rPr>
                <w:rFonts w:eastAsia="宋体" w:hint="eastAsia"/>
              </w:rPr>
              <w:t>48</w:t>
            </w:r>
          </w:p>
        </w:tc>
        <w:tc>
          <w:tcPr>
            <w:tcW w:w="1016" w:type="dxa"/>
            <w:vAlign w:val="center"/>
          </w:tcPr>
          <w:p w:rsidR="004B4777" w:rsidRDefault="004B4777">
            <w:pPr>
              <w:pStyle w:val="affff8"/>
              <w:rPr>
                <w:rFonts w:eastAsia="宋体"/>
              </w:rPr>
            </w:pPr>
            <w:r>
              <w:rPr>
                <w:rFonts w:eastAsia="宋体" w:hint="eastAsia"/>
              </w:rPr>
              <w:t>42</w:t>
            </w:r>
          </w:p>
        </w:tc>
      </w:tr>
      <w:tr w:rsidR="004B4777">
        <w:trPr>
          <w:trHeight w:val="397"/>
        </w:trPr>
        <w:tc>
          <w:tcPr>
            <w:tcW w:w="1269" w:type="dxa"/>
            <w:vMerge/>
            <w:vAlign w:val="center"/>
          </w:tcPr>
          <w:p w:rsidR="004B4777" w:rsidRDefault="004B4777">
            <w:pPr>
              <w:pStyle w:val="affff8"/>
              <w:rPr>
                <w:rFonts w:eastAsia="宋体"/>
                <w:lang/>
              </w:rPr>
            </w:pPr>
          </w:p>
        </w:tc>
        <w:tc>
          <w:tcPr>
            <w:tcW w:w="1171" w:type="dxa"/>
            <w:vAlign w:val="center"/>
          </w:tcPr>
          <w:p w:rsidR="004B4777" w:rsidRDefault="004B4777">
            <w:pPr>
              <w:pStyle w:val="affff8"/>
              <w:rPr>
                <w:rFonts w:eastAsia="宋体"/>
                <w:lang/>
              </w:rPr>
            </w:pPr>
            <w:r>
              <w:rPr>
                <w:rFonts w:eastAsia="宋体"/>
                <w:lang/>
              </w:rPr>
              <w:t>PM</w:t>
            </w:r>
            <w:r>
              <w:rPr>
                <w:rFonts w:eastAsia="宋体" w:hint="eastAsia"/>
                <w:vertAlign w:val="subscript"/>
                <w:lang/>
              </w:rPr>
              <w:t>2.5</w:t>
            </w:r>
          </w:p>
        </w:tc>
        <w:tc>
          <w:tcPr>
            <w:tcW w:w="1012" w:type="dxa"/>
            <w:vAlign w:val="center"/>
          </w:tcPr>
          <w:p w:rsidR="004B4777" w:rsidRDefault="004B4777">
            <w:pPr>
              <w:pStyle w:val="affff8"/>
              <w:rPr>
                <w:rFonts w:eastAsia="宋体"/>
              </w:rPr>
            </w:pPr>
            <w:r>
              <w:rPr>
                <w:rFonts w:eastAsia="宋体" w:hint="eastAsia"/>
              </w:rPr>
              <w:t>23</w:t>
            </w:r>
          </w:p>
        </w:tc>
        <w:tc>
          <w:tcPr>
            <w:tcW w:w="1012" w:type="dxa"/>
            <w:vAlign w:val="center"/>
          </w:tcPr>
          <w:p w:rsidR="004B4777" w:rsidRDefault="004B4777">
            <w:pPr>
              <w:pStyle w:val="affff8"/>
              <w:rPr>
                <w:rFonts w:eastAsia="宋体"/>
              </w:rPr>
            </w:pPr>
            <w:r>
              <w:rPr>
                <w:rFonts w:eastAsia="宋体" w:hint="eastAsia"/>
              </w:rPr>
              <w:t>18</w:t>
            </w:r>
          </w:p>
        </w:tc>
        <w:tc>
          <w:tcPr>
            <w:tcW w:w="1012" w:type="dxa"/>
            <w:vAlign w:val="center"/>
          </w:tcPr>
          <w:p w:rsidR="004B4777" w:rsidRDefault="004B4777">
            <w:pPr>
              <w:pStyle w:val="affff8"/>
              <w:rPr>
                <w:rFonts w:eastAsia="宋体"/>
              </w:rPr>
            </w:pPr>
            <w:r>
              <w:rPr>
                <w:rFonts w:eastAsia="宋体" w:hint="eastAsia"/>
              </w:rPr>
              <w:t>22</w:t>
            </w:r>
          </w:p>
        </w:tc>
        <w:tc>
          <w:tcPr>
            <w:tcW w:w="1012" w:type="dxa"/>
            <w:vAlign w:val="center"/>
          </w:tcPr>
          <w:p w:rsidR="004B4777" w:rsidRDefault="004B4777">
            <w:pPr>
              <w:pStyle w:val="affff8"/>
              <w:rPr>
                <w:rFonts w:eastAsia="宋体"/>
              </w:rPr>
            </w:pPr>
            <w:r>
              <w:rPr>
                <w:rFonts w:eastAsia="宋体" w:hint="eastAsia"/>
              </w:rPr>
              <w:t>23</w:t>
            </w:r>
          </w:p>
        </w:tc>
        <w:tc>
          <w:tcPr>
            <w:tcW w:w="1012" w:type="dxa"/>
            <w:vAlign w:val="center"/>
          </w:tcPr>
          <w:p w:rsidR="004B4777" w:rsidRDefault="004B4777">
            <w:pPr>
              <w:pStyle w:val="affff8"/>
              <w:rPr>
                <w:rFonts w:eastAsia="宋体"/>
              </w:rPr>
            </w:pPr>
            <w:r>
              <w:rPr>
                <w:rFonts w:eastAsia="宋体" w:hint="eastAsia"/>
              </w:rPr>
              <w:t>25</w:t>
            </w:r>
          </w:p>
        </w:tc>
        <w:tc>
          <w:tcPr>
            <w:tcW w:w="1012" w:type="dxa"/>
            <w:vAlign w:val="center"/>
          </w:tcPr>
          <w:p w:rsidR="004B4777" w:rsidRDefault="004B4777">
            <w:pPr>
              <w:pStyle w:val="affff8"/>
              <w:rPr>
                <w:rFonts w:eastAsia="宋体"/>
              </w:rPr>
            </w:pPr>
            <w:r>
              <w:rPr>
                <w:rFonts w:eastAsia="宋体" w:hint="eastAsia"/>
              </w:rPr>
              <w:t>24</w:t>
            </w:r>
          </w:p>
        </w:tc>
        <w:tc>
          <w:tcPr>
            <w:tcW w:w="1016" w:type="dxa"/>
            <w:vAlign w:val="center"/>
          </w:tcPr>
          <w:p w:rsidR="004B4777" w:rsidRDefault="004B4777">
            <w:pPr>
              <w:pStyle w:val="affff8"/>
              <w:rPr>
                <w:rFonts w:eastAsia="宋体"/>
              </w:rPr>
            </w:pPr>
            <w:r>
              <w:rPr>
                <w:rFonts w:eastAsia="宋体" w:hint="eastAsia"/>
              </w:rPr>
              <w:t>26</w:t>
            </w:r>
          </w:p>
        </w:tc>
      </w:tr>
      <w:tr w:rsidR="004B4777">
        <w:trPr>
          <w:trHeight w:val="397"/>
        </w:trPr>
        <w:tc>
          <w:tcPr>
            <w:tcW w:w="1269" w:type="dxa"/>
            <w:vMerge/>
            <w:vAlign w:val="center"/>
          </w:tcPr>
          <w:p w:rsidR="004B4777" w:rsidRDefault="004B4777">
            <w:pPr>
              <w:pStyle w:val="affff8"/>
              <w:rPr>
                <w:rFonts w:eastAsia="宋体"/>
                <w:lang/>
              </w:rPr>
            </w:pPr>
          </w:p>
        </w:tc>
        <w:tc>
          <w:tcPr>
            <w:tcW w:w="1171" w:type="dxa"/>
            <w:vAlign w:val="center"/>
          </w:tcPr>
          <w:p w:rsidR="004B4777" w:rsidRDefault="004B4777">
            <w:pPr>
              <w:pStyle w:val="affff8"/>
              <w:rPr>
                <w:rFonts w:eastAsia="宋体"/>
                <w:lang/>
              </w:rPr>
            </w:pPr>
            <w:r>
              <w:rPr>
                <w:rFonts w:eastAsia="宋体"/>
                <w:lang/>
              </w:rPr>
              <w:t>TSP</w:t>
            </w:r>
          </w:p>
        </w:tc>
        <w:tc>
          <w:tcPr>
            <w:tcW w:w="1012" w:type="dxa"/>
            <w:vAlign w:val="center"/>
          </w:tcPr>
          <w:p w:rsidR="004B4777" w:rsidRDefault="004B4777">
            <w:pPr>
              <w:pStyle w:val="affff8"/>
              <w:rPr>
                <w:rFonts w:eastAsia="宋体"/>
              </w:rPr>
            </w:pPr>
            <w:r>
              <w:rPr>
                <w:rFonts w:eastAsia="宋体" w:hint="eastAsia"/>
              </w:rPr>
              <w:t>113</w:t>
            </w:r>
          </w:p>
        </w:tc>
        <w:tc>
          <w:tcPr>
            <w:tcW w:w="1012" w:type="dxa"/>
            <w:vAlign w:val="center"/>
          </w:tcPr>
          <w:p w:rsidR="004B4777" w:rsidRDefault="004B4777">
            <w:pPr>
              <w:pStyle w:val="affff8"/>
              <w:rPr>
                <w:rFonts w:eastAsia="宋体"/>
              </w:rPr>
            </w:pPr>
            <w:r>
              <w:rPr>
                <w:rFonts w:eastAsia="宋体"/>
              </w:rPr>
              <w:t>103</w:t>
            </w:r>
          </w:p>
        </w:tc>
        <w:tc>
          <w:tcPr>
            <w:tcW w:w="1012" w:type="dxa"/>
            <w:vAlign w:val="center"/>
          </w:tcPr>
          <w:p w:rsidR="004B4777" w:rsidRDefault="004B4777">
            <w:pPr>
              <w:pStyle w:val="affff8"/>
              <w:rPr>
                <w:rFonts w:eastAsia="宋体"/>
              </w:rPr>
            </w:pPr>
            <w:r>
              <w:rPr>
                <w:rFonts w:eastAsia="宋体"/>
              </w:rPr>
              <w:t>114</w:t>
            </w:r>
          </w:p>
        </w:tc>
        <w:tc>
          <w:tcPr>
            <w:tcW w:w="1012" w:type="dxa"/>
            <w:vAlign w:val="center"/>
          </w:tcPr>
          <w:p w:rsidR="004B4777" w:rsidRDefault="004B4777">
            <w:pPr>
              <w:pStyle w:val="affff8"/>
              <w:rPr>
                <w:rFonts w:eastAsia="宋体"/>
              </w:rPr>
            </w:pPr>
            <w:r>
              <w:rPr>
                <w:rFonts w:eastAsia="宋体"/>
              </w:rPr>
              <w:t>115</w:t>
            </w:r>
          </w:p>
        </w:tc>
        <w:tc>
          <w:tcPr>
            <w:tcW w:w="1012" w:type="dxa"/>
            <w:vAlign w:val="center"/>
          </w:tcPr>
          <w:p w:rsidR="004B4777" w:rsidRDefault="004B4777">
            <w:pPr>
              <w:pStyle w:val="affff8"/>
              <w:rPr>
                <w:rFonts w:eastAsia="宋体"/>
              </w:rPr>
            </w:pPr>
            <w:r>
              <w:rPr>
                <w:rFonts w:eastAsia="宋体"/>
              </w:rPr>
              <w:t>114</w:t>
            </w:r>
          </w:p>
        </w:tc>
        <w:tc>
          <w:tcPr>
            <w:tcW w:w="1012" w:type="dxa"/>
            <w:vAlign w:val="center"/>
          </w:tcPr>
          <w:p w:rsidR="004B4777" w:rsidRDefault="004B4777">
            <w:pPr>
              <w:pStyle w:val="affff8"/>
              <w:rPr>
                <w:rFonts w:eastAsia="宋体"/>
              </w:rPr>
            </w:pPr>
            <w:r>
              <w:rPr>
                <w:rFonts w:eastAsia="宋体" w:hint="eastAsia"/>
              </w:rPr>
              <w:t>117</w:t>
            </w:r>
          </w:p>
        </w:tc>
        <w:tc>
          <w:tcPr>
            <w:tcW w:w="1016" w:type="dxa"/>
            <w:vAlign w:val="center"/>
          </w:tcPr>
          <w:p w:rsidR="004B4777" w:rsidRDefault="004B4777">
            <w:pPr>
              <w:pStyle w:val="affff8"/>
              <w:rPr>
                <w:rFonts w:eastAsia="宋体"/>
              </w:rPr>
            </w:pPr>
            <w:r>
              <w:rPr>
                <w:rFonts w:eastAsia="宋体" w:hint="eastAsia"/>
              </w:rPr>
              <w:t>119</w:t>
            </w:r>
          </w:p>
        </w:tc>
      </w:tr>
      <w:tr w:rsidR="004B4777">
        <w:trPr>
          <w:trHeight w:val="397"/>
        </w:trPr>
        <w:tc>
          <w:tcPr>
            <w:tcW w:w="1269" w:type="dxa"/>
            <w:vMerge w:val="restart"/>
            <w:vAlign w:val="center"/>
          </w:tcPr>
          <w:p w:rsidR="004B4777" w:rsidRDefault="004B4777">
            <w:pPr>
              <w:pStyle w:val="affff8"/>
              <w:rPr>
                <w:rFonts w:eastAsia="宋体"/>
              </w:rPr>
            </w:pPr>
            <w:r>
              <w:rPr>
                <w:rFonts w:eastAsia="宋体" w:cs="宋体" w:hint="eastAsia"/>
                <w:bCs/>
              </w:rPr>
              <w:t>斗米咀采区裕民村居民点</w:t>
            </w:r>
          </w:p>
        </w:tc>
        <w:tc>
          <w:tcPr>
            <w:tcW w:w="1171" w:type="dxa"/>
            <w:vAlign w:val="center"/>
          </w:tcPr>
          <w:p w:rsidR="004B4777" w:rsidRDefault="004B4777">
            <w:pPr>
              <w:pStyle w:val="affff8"/>
              <w:rPr>
                <w:rFonts w:eastAsia="宋体"/>
              </w:rPr>
            </w:pPr>
            <w:r>
              <w:rPr>
                <w:rFonts w:eastAsia="宋体"/>
                <w:lang/>
              </w:rPr>
              <w:t>SO</w:t>
            </w:r>
            <w:r>
              <w:rPr>
                <w:rFonts w:eastAsia="宋体"/>
                <w:vertAlign w:val="subscript"/>
                <w:lang/>
              </w:rPr>
              <w:t>2</w:t>
            </w:r>
          </w:p>
        </w:tc>
        <w:tc>
          <w:tcPr>
            <w:tcW w:w="1012" w:type="dxa"/>
            <w:vAlign w:val="center"/>
          </w:tcPr>
          <w:p w:rsidR="004B4777" w:rsidRDefault="004B4777">
            <w:pPr>
              <w:pStyle w:val="affff8"/>
              <w:rPr>
                <w:rFonts w:eastAsia="宋体"/>
              </w:rPr>
            </w:pPr>
            <w:r>
              <w:rPr>
                <w:rFonts w:eastAsia="宋体"/>
              </w:rPr>
              <w:t>18</w:t>
            </w:r>
          </w:p>
        </w:tc>
        <w:tc>
          <w:tcPr>
            <w:tcW w:w="1012" w:type="dxa"/>
            <w:vAlign w:val="center"/>
          </w:tcPr>
          <w:p w:rsidR="004B4777" w:rsidRDefault="004B4777">
            <w:pPr>
              <w:pStyle w:val="affff8"/>
              <w:rPr>
                <w:rFonts w:eastAsia="宋体"/>
              </w:rPr>
            </w:pPr>
            <w:r>
              <w:rPr>
                <w:rFonts w:eastAsia="宋体"/>
              </w:rPr>
              <w:t>19</w:t>
            </w:r>
          </w:p>
        </w:tc>
        <w:tc>
          <w:tcPr>
            <w:tcW w:w="1012" w:type="dxa"/>
            <w:vAlign w:val="center"/>
          </w:tcPr>
          <w:p w:rsidR="004B4777" w:rsidRDefault="004B4777">
            <w:pPr>
              <w:pStyle w:val="affff8"/>
              <w:rPr>
                <w:rFonts w:eastAsia="宋体"/>
              </w:rPr>
            </w:pPr>
            <w:r>
              <w:rPr>
                <w:rFonts w:eastAsia="宋体"/>
              </w:rPr>
              <w:t>24</w:t>
            </w:r>
          </w:p>
        </w:tc>
        <w:tc>
          <w:tcPr>
            <w:tcW w:w="1012" w:type="dxa"/>
            <w:vAlign w:val="center"/>
          </w:tcPr>
          <w:p w:rsidR="004B4777" w:rsidRDefault="004B4777">
            <w:pPr>
              <w:pStyle w:val="affff8"/>
              <w:rPr>
                <w:rFonts w:eastAsia="宋体"/>
              </w:rPr>
            </w:pPr>
            <w:r>
              <w:rPr>
                <w:rFonts w:eastAsia="宋体"/>
              </w:rPr>
              <w:t>16</w:t>
            </w:r>
          </w:p>
        </w:tc>
        <w:tc>
          <w:tcPr>
            <w:tcW w:w="1012" w:type="dxa"/>
            <w:vAlign w:val="center"/>
          </w:tcPr>
          <w:p w:rsidR="004B4777" w:rsidRDefault="004B4777">
            <w:pPr>
              <w:pStyle w:val="affff8"/>
              <w:rPr>
                <w:rFonts w:eastAsia="宋体"/>
              </w:rPr>
            </w:pPr>
            <w:r>
              <w:rPr>
                <w:rFonts w:eastAsia="宋体"/>
              </w:rPr>
              <w:t>23</w:t>
            </w:r>
          </w:p>
        </w:tc>
        <w:tc>
          <w:tcPr>
            <w:tcW w:w="1012" w:type="dxa"/>
            <w:vAlign w:val="center"/>
          </w:tcPr>
          <w:p w:rsidR="004B4777" w:rsidRDefault="004B4777">
            <w:pPr>
              <w:pStyle w:val="affff8"/>
              <w:rPr>
                <w:rFonts w:eastAsia="宋体"/>
              </w:rPr>
            </w:pPr>
            <w:r>
              <w:rPr>
                <w:rFonts w:eastAsia="宋体"/>
              </w:rPr>
              <w:t>22</w:t>
            </w:r>
          </w:p>
        </w:tc>
        <w:tc>
          <w:tcPr>
            <w:tcW w:w="1016" w:type="dxa"/>
            <w:vAlign w:val="center"/>
          </w:tcPr>
          <w:p w:rsidR="004B4777" w:rsidRDefault="004B4777">
            <w:pPr>
              <w:pStyle w:val="affff8"/>
              <w:rPr>
                <w:rFonts w:eastAsia="宋体"/>
              </w:rPr>
            </w:pPr>
            <w:r>
              <w:rPr>
                <w:rFonts w:eastAsia="宋体"/>
              </w:rPr>
              <w:t>25</w:t>
            </w:r>
          </w:p>
        </w:tc>
      </w:tr>
      <w:tr w:rsidR="004B4777">
        <w:trPr>
          <w:trHeight w:val="397"/>
        </w:trPr>
        <w:tc>
          <w:tcPr>
            <w:tcW w:w="1269" w:type="dxa"/>
            <w:vMerge/>
            <w:vAlign w:val="center"/>
          </w:tcPr>
          <w:p w:rsidR="004B4777" w:rsidRDefault="004B4777">
            <w:pPr>
              <w:pStyle w:val="affff8"/>
              <w:rPr>
                <w:rFonts w:eastAsia="宋体"/>
                <w:b/>
                <w:sz w:val="20"/>
              </w:rPr>
            </w:pPr>
          </w:p>
        </w:tc>
        <w:tc>
          <w:tcPr>
            <w:tcW w:w="1171" w:type="dxa"/>
            <w:vAlign w:val="center"/>
          </w:tcPr>
          <w:p w:rsidR="004B4777" w:rsidRDefault="004B4777">
            <w:pPr>
              <w:pStyle w:val="affff8"/>
              <w:rPr>
                <w:rFonts w:eastAsia="宋体"/>
              </w:rPr>
            </w:pPr>
            <w:r>
              <w:rPr>
                <w:rFonts w:eastAsia="宋体"/>
                <w:lang/>
              </w:rPr>
              <w:t>NO</w:t>
            </w:r>
            <w:r>
              <w:rPr>
                <w:rFonts w:eastAsia="宋体"/>
                <w:vertAlign w:val="subscript"/>
                <w:lang/>
              </w:rPr>
              <w:t>2</w:t>
            </w:r>
          </w:p>
        </w:tc>
        <w:tc>
          <w:tcPr>
            <w:tcW w:w="1012" w:type="dxa"/>
            <w:vAlign w:val="center"/>
          </w:tcPr>
          <w:p w:rsidR="004B4777" w:rsidRDefault="004B4777">
            <w:pPr>
              <w:pStyle w:val="affff8"/>
              <w:rPr>
                <w:rFonts w:eastAsia="宋体"/>
              </w:rPr>
            </w:pPr>
            <w:r>
              <w:rPr>
                <w:rFonts w:eastAsia="宋体"/>
              </w:rPr>
              <w:t>12</w:t>
            </w:r>
          </w:p>
        </w:tc>
        <w:tc>
          <w:tcPr>
            <w:tcW w:w="1012" w:type="dxa"/>
            <w:vAlign w:val="center"/>
          </w:tcPr>
          <w:p w:rsidR="004B4777" w:rsidRDefault="004B4777">
            <w:pPr>
              <w:pStyle w:val="affff8"/>
              <w:rPr>
                <w:rFonts w:eastAsia="宋体"/>
              </w:rPr>
            </w:pPr>
            <w:r>
              <w:rPr>
                <w:rFonts w:eastAsia="宋体"/>
              </w:rPr>
              <w:t>14</w:t>
            </w:r>
          </w:p>
        </w:tc>
        <w:tc>
          <w:tcPr>
            <w:tcW w:w="1012" w:type="dxa"/>
            <w:vAlign w:val="center"/>
          </w:tcPr>
          <w:p w:rsidR="004B4777" w:rsidRDefault="004B4777">
            <w:pPr>
              <w:pStyle w:val="affff8"/>
              <w:rPr>
                <w:rFonts w:eastAsia="宋体"/>
              </w:rPr>
            </w:pPr>
            <w:r>
              <w:rPr>
                <w:rFonts w:eastAsia="宋体"/>
              </w:rPr>
              <w:t>16</w:t>
            </w:r>
          </w:p>
        </w:tc>
        <w:tc>
          <w:tcPr>
            <w:tcW w:w="1012" w:type="dxa"/>
            <w:vAlign w:val="center"/>
          </w:tcPr>
          <w:p w:rsidR="004B4777" w:rsidRDefault="004B4777">
            <w:pPr>
              <w:pStyle w:val="affff8"/>
              <w:rPr>
                <w:rFonts w:eastAsia="宋体"/>
              </w:rPr>
            </w:pPr>
            <w:r>
              <w:rPr>
                <w:rFonts w:eastAsia="宋体"/>
              </w:rPr>
              <w:t>13</w:t>
            </w:r>
          </w:p>
        </w:tc>
        <w:tc>
          <w:tcPr>
            <w:tcW w:w="1012" w:type="dxa"/>
            <w:vAlign w:val="center"/>
          </w:tcPr>
          <w:p w:rsidR="004B4777" w:rsidRDefault="004B4777">
            <w:pPr>
              <w:pStyle w:val="affff8"/>
              <w:rPr>
                <w:rFonts w:eastAsia="宋体"/>
              </w:rPr>
            </w:pPr>
            <w:r>
              <w:rPr>
                <w:rFonts w:eastAsia="宋体"/>
              </w:rPr>
              <w:t>13</w:t>
            </w:r>
          </w:p>
        </w:tc>
        <w:tc>
          <w:tcPr>
            <w:tcW w:w="1012" w:type="dxa"/>
            <w:vAlign w:val="center"/>
          </w:tcPr>
          <w:p w:rsidR="004B4777" w:rsidRDefault="004B4777">
            <w:pPr>
              <w:pStyle w:val="affff8"/>
              <w:rPr>
                <w:rFonts w:eastAsia="宋体"/>
              </w:rPr>
            </w:pPr>
            <w:r>
              <w:rPr>
                <w:rFonts w:eastAsia="宋体"/>
              </w:rPr>
              <w:t>15</w:t>
            </w:r>
          </w:p>
        </w:tc>
        <w:tc>
          <w:tcPr>
            <w:tcW w:w="1016" w:type="dxa"/>
            <w:vAlign w:val="center"/>
          </w:tcPr>
          <w:p w:rsidR="004B4777" w:rsidRDefault="004B4777">
            <w:pPr>
              <w:pStyle w:val="affff8"/>
              <w:rPr>
                <w:rFonts w:eastAsia="宋体"/>
              </w:rPr>
            </w:pPr>
            <w:r>
              <w:rPr>
                <w:rFonts w:eastAsia="宋体"/>
              </w:rPr>
              <w:t>14</w:t>
            </w:r>
          </w:p>
        </w:tc>
      </w:tr>
      <w:tr w:rsidR="004B4777">
        <w:trPr>
          <w:trHeight w:val="397"/>
        </w:trPr>
        <w:tc>
          <w:tcPr>
            <w:tcW w:w="1269" w:type="dxa"/>
            <w:vMerge/>
            <w:vAlign w:val="center"/>
          </w:tcPr>
          <w:p w:rsidR="004B4777" w:rsidRDefault="004B4777">
            <w:pPr>
              <w:pStyle w:val="affff8"/>
              <w:rPr>
                <w:rFonts w:eastAsia="宋体"/>
                <w:b/>
                <w:sz w:val="20"/>
              </w:rPr>
            </w:pPr>
          </w:p>
        </w:tc>
        <w:tc>
          <w:tcPr>
            <w:tcW w:w="1171" w:type="dxa"/>
            <w:vAlign w:val="center"/>
          </w:tcPr>
          <w:p w:rsidR="004B4777" w:rsidRDefault="004B4777">
            <w:pPr>
              <w:pStyle w:val="affff8"/>
              <w:rPr>
                <w:rFonts w:eastAsia="宋体"/>
              </w:rPr>
            </w:pPr>
            <w:r>
              <w:rPr>
                <w:rFonts w:eastAsia="宋体"/>
                <w:lang/>
              </w:rPr>
              <w:t>PM</w:t>
            </w:r>
            <w:r>
              <w:rPr>
                <w:rFonts w:eastAsia="宋体"/>
                <w:vertAlign w:val="subscript"/>
                <w:lang/>
              </w:rPr>
              <w:t>10</w:t>
            </w:r>
          </w:p>
        </w:tc>
        <w:tc>
          <w:tcPr>
            <w:tcW w:w="1012" w:type="dxa"/>
            <w:vAlign w:val="center"/>
          </w:tcPr>
          <w:p w:rsidR="004B4777" w:rsidRDefault="004B4777">
            <w:pPr>
              <w:pStyle w:val="affff8"/>
              <w:rPr>
                <w:rFonts w:eastAsia="宋体"/>
              </w:rPr>
            </w:pPr>
            <w:r>
              <w:rPr>
                <w:rFonts w:eastAsia="宋体"/>
              </w:rPr>
              <w:t>45</w:t>
            </w:r>
          </w:p>
        </w:tc>
        <w:tc>
          <w:tcPr>
            <w:tcW w:w="1012" w:type="dxa"/>
            <w:vAlign w:val="center"/>
          </w:tcPr>
          <w:p w:rsidR="004B4777" w:rsidRDefault="004B4777">
            <w:pPr>
              <w:pStyle w:val="affff8"/>
              <w:rPr>
                <w:rFonts w:eastAsia="宋体"/>
              </w:rPr>
            </w:pPr>
            <w:r>
              <w:rPr>
                <w:rFonts w:eastAsia="宋体"/>
              </w:rPr>
              <w:t>42</w:t>
            </w:r>
          </w:p>
        </w:tc>
        <w:tc>
          <w:tcPr>
            <w:tcW w:w="1012" w:type="dxa"/>
            <w:vAlign w:val="center"/>
          </w:tcPr>
          <w:p w:rsidR="004B4777" w:rsidRDefault="004B4777">
            <w:pPr>
              <w:pStyle w:val="affff8"/>
              <w:rPr>
                <w:rFonts w:eastAsia="宋体"/>
              </w:rPr>
            </w:pPr>
            <w:r>
              <w:rPr>
                <w:rFonts w:eastAsia="宋体"/>
              </w:rPr>
              <w:t>44</w:t>
            </w:r>
          </w:p>
        </w:tc>
        <w:tc>
          <w:tcPr>
            <w:tcW w:w="1012" w:type="dxa"/>
            <w:vAlign w:val="center"/>
          </w:tcPr>
          <w:p w:rsidR="004B4777" w:rsidRDefault="004B4777">
            <w:pPr>
              <w:pStyle w:val="affff8"/>
              <w:rPr>
                <w:rFonts w:eastAsia="宋体"/>
              </w:rPr>
            </w:pPr>
            <w:r>
              <w:rPr>
                <w:rFonts w:eastAsia="宋体"/>
              </w:rPr>
              <w:t>48</w:t>
            </w:r>
          </w:p>
        </w:tc>
        <w:tc>
          <w:tcPr>
            <w:tcW w:w="1012" w:type="dxa"/>
            <w:vAlign w:val="center"/>
          </w:tcPr>
          <w:p w:rsidR="004B4777" w:rsidRDefault="004B4777">
            <w:pPr>
              <w:pStyle w:val="affff8"/>
              <w:rPr>
                <w:rFonts w:eastAsia="宋体"/>
              </w:rPr>
            </w:pPr>
            <w:r>
              <w:rPr>
                <w:rFonts w:eastAsia="宋体"/>
              </w:rPr>
              <w:t>39</w:t>
            </w:r>
          </w:p>
        </w:tc>
        <w:tc>
          <w:tcPr>
            <w:tcW w:w="1012" w:type="dxa"/>
            <w:vAlign w:val="center"/>
          </w:tcPr>
          <w:p w:rsidR="004B4777" w:rsidRDefault="004B4777">
            <w:pPr>
              <w:pStyle w:val="affff8"/>
              <w:rPr>
                <w:rFonts w:eastAsia="宋体"/>
              </w:rPr>
            </w:pPr>
            <w:r>
              <w:rPr>
                <w:rFonts w:eastAsia="宋体"/>
              </w:rPr>
              <w:t>46</w:t>
            </w:r>
          </w:p>
        </w:tc>
        <w:tc>
          <w:tcPr>
            <w:tcW w:w="1016" w:type="dxa"/>
            <w:vAlign w:val="center"/>
          </w:tcPr>
          <w:p w:rsidR="004B4777" w:rsidRDefault="004B4777">
            <w:pPr>
              <w:pStyle w:val="affff8"/>
              <w:rPr>
                <w:rFonts w:eastAsia="宋体"/>
              </w:rPr>
            </w:pPr>
            <w:r>
              <w:rPr>
                <w:rFonts w:eastAsia="宋体"/>
              </w:rPr>
              <w:t>48</w:t>
            </w:r>
          </w:p>
        </w:tc>
      </w:tr>
      <w:tr w:rsidR="004B4777">
        <w:trPr>
          <w:trHeight w:val="397"/>
        </w:trPr>
        <w:tc>
          <w:tcPr>
            <w:tcW w:w="1269" w:type="dxa"/>
            <w:vMerge/>
            <w:vAlign w:val="center"/>
          </w:tcPr>
          <w:p w:rsidR="004B4777" w:rsidRDefault="004B4777">
            <w:pPr>
              <w:pStyle w:val="affff8"/>
              <w:rPr>
                <w:rFonts w:eastAsia="宋体"/>
                <w:b/>
                <w:sz w:val="20"/>
              </w:rPr>
            </w:pPr>
          </w:p>
        </w:tc>
        <w:tc>
          <w:tcPr>
            <w:tcW w:w="1171" w:type="dxa"/>
            <w:vAlign w:val="center"/>
          </w:tcPr>
          <w:p w:rsidR="004B4777" w:rsidRDefault="004B4777">
            <w:pPr>
              <w:pStyle w:val="affff8"/>
              <w:rPr>
                <w:rFonts w:eastAsia="宋体"/>
              </w:rPr>
            </w:pPr>
            <w:r>
              <w:rPr>
                <w:rFonts w:eastAsia="宋体"/>
                <w:lang/>
              </w:rPr>
              <w:t>PM</w:t>
            </w:r>
            <w:r>
              <w:rPr>
                <w:rFonts w:eastAsia="宋体" w:hint="eastAsia"/>
                <w:vertAlign w:val="subscript"/>
                <w:lang/>
              </w:rPr>
              <w:t>2.5</w:t>
            </w:r>
          </w:p>
        </w:tc>
        <w:tc>
          <w:tcPr>
            <w:tcW w:w="1012" w:type="dxa"/>
            <w:vAlign w:val="center"/>
          </w:tcPr>
          <w:p w:rsidR="004B4777" w:rsidRDefault="004B4777">
            <w:pPr>
              <w:pStyle w:val="affff8"/>
              <w:rPr>
                <w:rFonts w:eastAsia="宋体"/>
              </w:rPr>
            </w:pPr>
            <w:r>
              <w:rPr>
                <w:rFonts w:eastAsia="宋体"/>
              </w:rPr>
              <w:t>26</w:t>
            </w:r>
          </w:p>
        </w:tc>
        <w:tc>
          <w:tcPr>
            <w:tcW w:w="1012" w:type="dxa"/>
            <w:vAlign w:val="center"/>
          </w:tcPr>
          <w:p w:rsidR="004B4777" w:rsidRDefault="004B4777">
            <w:pPr>
              <w:pStyle w:val="affff8"/>
              <w:rPr>
                <w:rFonts w:eastAsia="宋体"/>
              </w:rPr>
            </w:pPr>
            <w:r>
              <w:rPr>
                <w:rFonts w:eastAsia="宋体"/>
              </w:rPr>
              <w:t>21</w:t>
            </w:r>
          </w:p>
        </w:tc>
        <w:tc>
          <w:tcPr>
            <w:tcW w:w="1012" w:type="dxa"/>
            <w:vAlign w:val="center"/>
          </w:tcPr>
          <w:p w:rsidR="004B4777" w:rsidRDefault="004B4777">
            <w:pPr>
              <w:pStyle w:val="affff8"/>
              <w:rPr>
                <w:rFonts w:eastAsia="宋体"/>
              </w:rPr>
            </w:pPr>
            <w:r>
              <w:rPr>
                <w:rFonts w:eastAsia="宋体"/>
              </w:rPr>
              <w:t>23</w:t>
            </w:r>
          </w:p>
        </w:tc>
        <w:tc>
          <w:tcPr>
            <w:tcW w:w="1012" w:type="dxa"/>
            <w:vAlign w:val="center"/>
          </w:tcPr>
          <w:p w:rsidR="004B4777" w:rsidRDefault="004B4777">
            <w:pPr>
              <w:pStyle w:val="affff8"/>
              <w:rPr>
                <w:rFonts w:eastAsia="宋体"/>
              </w:rPr>
            </w:pPr>
            <w:r>
              <w:rPr>
                <w:rFonts w:eastAsia="宋体"/>
              </w:rPr>
              <w:t>25</w:t>
            </w:r>
          </w:p>
        </w:tc>
        <w:tc>
          <w:tcPr>
            <w:tcW w:w="1012" w:type="dxa"/>
            <w:vAlign w:val="center"/>
          </w:tcPr>
          <w:p w:rsidR="004B4777" w:rsidRDefault="004B4777">
            <w:pPr>
              <w:pStyle w:val="affff8"/>
              <w:rPr>
                <w:rFonts w:eastAsia="宋体"/>
              </w:rPr>
            </w:pPr>
            <w:r>
              <w:rPr>
                <w:rFonts w:eastAsia="宋体"/>
              </w:rPr>
              <w:t>19</w:t>
            </w:r>
          </w:p>
        </w:tc>
        <w:tc>
          <w:tcPr>
            <w:tcW w:w="1012" w:type="dxa"/>
            <w:vAlign w:val="center"/>
          </w:tcPr>
          <w:p w:rsidR="004B4777" w:rsidRDefault="004B4777">
            <w:pPr>
              <w:pStyle w:val="affff8"/>
              <w:rPr>
                <w:rFonts w:eastAsia="宋体"/>
              </w:rPr>
            </w:pPr>
            <w:r>
              <w:rPr>
                <w:rFonts w:eastAsia="宋体"/>
              </w:rPr>
              <w:t>23</w:t>
            </w:r>
          </w:p>
        </w:tc>
        <w:tc>
          <w:tcPr>
            <w:tcW w:w="1016" w:type="dxa"/>
            <w:vAlign w:val="center"/>
          </w:tcPr>
          <w:p w:rsidR="004B4777" w:rsidRDefault="004B4777">
            <w:pPr>
              <w:pStyle w:val="affff8"/>
              <w:rPr>
                <w:rFonts w:eastAsia="宋体"/>
              </w:rPr>
            </w:pPr>
            <w:r>
              <w:rPr>
                <w:rFonts w:eastAsia="宋体"/>
              </w:rPr>
              <w:t>26</w:t>
            </w:r>
          </w:p>
        </w:tc>
      </w:tr>
      <w:tr w:rsidR="004B4777">
        <w:trPr>
          <w:trHeight w:val="397"/>
        </w:trPr>
        <w:tc>
          <w:tcPr>
            <w:tcW w:w="1269" w:type="dxa"/>
            <w:vMerge/>
            <w:vAlign w:val="center"/>
          </w:tcPr>
          <w:p w:rsidR="004B4777" w:rsidRDefault="004B4777">
            <w:pPr>
              <w:pStyle w:val="affff8"/>
              <w:rPr>
                <w:rFonts w:eastAsia="宋体"/>
                <w:b/>
                <w:sz w:val="20"/>
              </w:rPr>
            </w:pPr>
          </w:p>
        </w:tc>
        <w:tc>
          <w:tcPr>
            <w:tcW w:w="1171" w:type="dxa"/>
            <w:vAlign w:val="center"/>
          </w:tcPr>
          <w:p w:rsidR="004B4777" w:rsidRDefault="004B4777">
            <w:pPr>
              <w:pStyle w:val="affff8"/>
              <w:rPr>
                <w:rFonts w:eastAsia="宋体"/>
              </w:rPr>
            </w:pPr>
            <w:r>
              <w:rPr>
                <w:rFonts w:eastAsia="宋体"/>
                <w:lang/>
              </w:rPr>
              <w:t>TSP</w:t>
            </w:r>
          </w:p>
        </w:tc>
        <w:tc>
          <w:tcPr>
            <w:tcW w:w="1012" w:type="dxa"/>
            <w:vAlign w:val="center"/>
          </w:tcPr>
          <w:p w:rsidR="004B4777" w:rsidRDefault="004B4777">
            <w:pPr>
              <w:pStyle w:val="affff8"/>
              <w:rPr>
                <w:rFonts w:eastAsia="宋体"/>
              </w:rPr>
            </w:pPr>
            <w:r>
              <w:rPr>
                <w:rFonts w:eastAsia="宋体"/>
              </w:rPr>
              <w:t>115</w:t>
            </w:r>
          </w:p>
        </w:tc>
        <w:tc>
          <w:tcPr>
            <w:tcW w:w="1012" w:type="dxa"/>
            <w:vAlign w:val="center"/>
          </w:tcPr>
          <w:p w:rsidR="004B4777" w:rsidRDefault="004B4777">
            <w:pPr>
              <w:pStyle w:val="affff8"/>
              <w:rPr>
                <w:rFonts w:eastAsia="宋体"/>
              </w:rPr>
            </w:pPr>
            <w:r>
              <w:rPr>
                <w:rFonts w:eastAsia="宋体"/>
              </w:rPr>
              <w:t>119</w:t>
            </w:r>
          </w:p>
        </w:tc>
        <w:tc>
          <w:tcPr>
            <w:tcW w:w="1012" w:type="dxa"/>
            <w:vAlign w:val="center"/>
          </w:tcPr>
          <w:p w:rsidR="004B4777" w:rsidRDefault="004B4777">
            <w:pPr>
              <w:pStyle w:val="affff8"/>
              <w:rPr>
                <w:rFonts w:eastAsia="宋体"/>
              </w:rPr>
            </w:pPr>
            <w:r>
              <w:rPr>
                <w:rFonts w:eastAsia="宋体"/>
              </w:rPr>
              <w:t>112</w:t>
            </w:r>
          </w:p>
        </w:tc>
        <w:tc>
          <w:tcPr>
            <w:tcW w:w="1012" w:type="dxa"/>
            <w:vAlign w:val="center"/>
          </w:tcPr>
          <w:p w:rsidR="004B4777" w:rsidRDefault="004B4777">
            <w:pPr>
              <w:pStyle w:val="affff8"/>
              <w:rPr>
                <w:rFonts w:eastAsia="宋体"/>
              </w:rPr>
            </w:pPr>
            <w:r>
              <w:rPr>
                <w:rFonts w:eastAsia="宋体"/>
              </w:rPr>
              <w:t>114</w:t>
            </w:r>
          </w:p>
        </w:tc>
        <w:tc>
          <w:tcPr>
            <w:tcW w:w="1012" w:type="dxa"/>
            <w:vAlign w:val="center"/>
          </w:tcPr>
          <w:p w:rsidR="004B4777" w:rsidRDefault="004B4777">
            <w:pPr>
              <w:pStyle w:val="affff8"/>
              <w:rPr>
                <w:rFonts w:eastAsia="宋体"/>
              </w:rPr>
            </w:pPr>
            <w:r>
              <w:rPr>
                <w:rFonts w:eastAsia="宋体"/>
              </w:rPr>
              <w:t>118</w:t>
            </w:r>
          </w:p>
        </w:tc>
        <w:tc>
          <w:tcPr>
            <w:tcW w:w="1012" w:type="dxa"/>
            <w:vAlign w:val="center"/>
          </w:tcPr>
          <w:p w:rsidR="004B4777" w:rsidRDefault="004B4777">
            <w:pPr>
              <w:pStyle w:val="affff8"/>
              <w:rPr>
                <w:rFonts w:eastAsia="宋体"/>
              </w:rPr>
            </w:pPr>
            <w:r>
              <w:rPr>
                <w:rFonts w:eastAsia="宋体"/>
              </w:rPr>
              <w:t>113</w:t>
            </w:r>
          </w:p>
        </w:tc>
        <w:tc>
          <w:tcPr>
            <w:tcW w:w="1016" w:type="dxa"/>
            <w:vAlign w:val="center"/>
          </w:tcPr>
          <w:p w:rsidR="004B4777" w:rsidRDefault="004B4777">
            <w:pPr>
              <w:pStyle w:val="affff8"/>
              <w:rPr>
                <w:rFonts w:eastAsia="宋体"/>
              </w:rPr>
            </w:pPr>
            <w:r>
              <w:rPr>
                <w:rFonts w:eastAsia="宋体"/>
              </w:rPr>
              <w:t>112</w:t>
            </w:r>
          </w:p>
        </w:tc>
      </w:tr>
    </w:tbl>
    <w:p w:rsidR="004B4777" w:rsidRDefault="004B4777">
      <w:pPr>
        <w:pStyle w:val="af"/>
        <w:spacing w:line="240" w:lineRule="auto"/>
        <w:rPr>
          <w:b/>
        </w:rPr>
      </w:pPr>
      <w:r>
        <w:rPr>
          <w:b/>
        </w:rPr>
        <w:t>表</w:t>
      </w:r>
      <w:r>
        <w:rPr>
          <w:b/>
        </w:rPr>
        <w:t>5.2</w:t>
      </w:r>
      <w:r>
        <w:rPr>
          <w:b/>
        </w:rPr>
        <w:noBreakHyphen/>
      </w:r>
      <w:r>
        <w:rPr>
          <w:rFonts w:hint="eastAsia"/>
          <w:b/>
        </w:rPr>
        <w:t>3</w:t>
      </w:r>
      <w:r>
        <w:rPr>
          <w:b/>
        </w:rPr>
        <w:t xml:space="preserve">   </w:t>
      </w:r>
      <w:r>
        <w:rPr>
          <w:rFonts w:hint="eastAsia"/>
          <w:b/>
        </w:rPr>
        <w:t>各监测因子日均浓度单因子指数</w:t>
      </w:r>
      <w:r>
        <w:rPr>
          <w:b/>
        </w:rPr>
        <w:t>统计表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03"/>
        <w:gridCol w:w="4638"/>
        <w:gridCol w:w="1974"/>
        <w:gridCol w:w="1427"/>
      </w:tblGrid>
      <w:tr w:rsidR="004B4777">
        <w:trPr>
          <w:trHeight w:val="397"/>
          <w:jc w:val="center"/>
        </w:trPr>
        <w:tc>
          <w:tcPr>
            <w:tcW w:w="1203" w:type="dxa"/>
            <w:vAlign w:val="center"/>
          </w:tcPr>
          <w:p w:rsidR="004B4777" w:rsidRDefault="004B4777">
            <w:pPr>
              <w:pStyle w:val="affff8"/>
              <w:rPr>
                <w:rFonts w:eastAsia="宋体"/>
              </w:rPr>
            </w:pPr>
            <w:r>
              <w:rPr>
                <w:rFonts w:eastAsia="宋体" w:hint="eastAsia"/>
              </w:rPr>
              <w:t>监测</w:t>
            </w:r>
          </w:p>
          <w:p w:rsidR="004B4777" w:rsidRDefault="004B4777">
            <w:pPr>
              <w:pStyle w:val="affff8"/>
              <w:rPr>
                <w:rFonts w:eastAsia="宋体"/>
              </w:rPr>
            </w:pPr>
            <w:r>
              <w:rPr>
                <w:rFonts w:eastAsia="宋体" w:hint="eastAsia"/>
              </w:rPr>
              <w:t>因子</w:t>
            </w:r>
          </w:p>
        </w:tc>
        <w:tc>
          <w:tcPr>
            <w:tcW w:w="4638" w:type="dxa"/>
            <w:vAlign w:val="center"/>
          </w:tcPr>
          <w:p w:rsidR="004B4777" w:rsidRDefault="004B4777">
            <w:pPr>
              <w:pStyle w:val="affff8"/>
              <w:rPr>
                <w:rFonts w:eastAsia="宋体"/>
              </w:rPr>
            </w:pPr>
            <w:r>
              <w:rPr>
                <w:rFonts w:eastAsia="宋体" w:hint="eastAsia"/>
              </w:rPr>
              <w:t>名称</w:t>
            </w:r>
          </w:p>
        </w:tc>
        <w:tc>
          <w:tcPr>
            <w:tcW w:w="1974" w:type="dxa"/>
            <w:vAlign w:val="center"/>
          </w:tcPr>
          <w:p w:rsidR="004B4777" w:rsidRDefault="004B4777">
            <w:pPr>
              <w:pStyle w:val="affff8"/>
              <w:rPr>
                <w:rFonts w:eastAsia="宋体"/>
              </w:rPr>
            </w:pPr>
            <w:r>
              <w:rPr>
                <w:rFonts w:eastAsia="宋体" w:hint="eastAsia"/>
              </w:rPr>
              <w:t>单因子指数范围</w:t>
            </w:r>
          </w:p>
        </w:tc>
        <w:tc>
          <w:tcPr>
            <w:tcW w:w="1427" w:type="dxa"/>
            <w:vAlign w:val="center"/>
          </w:tcPr>
          <w:p w:rsidR="004B4777" w:rsidRDefault="004B4777">
            <w:pPr>
              <w:pStyle w:val="affff8"/>
              <w:rPr>
                <w:rFonts w:eastAsia="宋体"/>
              </w:rPr>
            </w:pPr>
            <w:r>
              <w:rPr>
                <w:rFonts w:eastAsia="宋体" w:hint="eastAsia"/>
              </w:rPr>
              <w:t>超标率（</w:t>
            </w:r>
            <w:r>
              <w:rPr>
                <w:rFonts w:eastAsia="宋体"/>
              </w:rPr>
              <w:t>%</w:t>
            </w:r>
            <w:r>
              <w:rPr>
                <w:rFonts w:eastAsia="宋体" w:hint="eastAsia"/>
              </w:rPr>
              <w:t>）</w:t>
            </w:r>
          </w:p>
        </w:tc>
      </w:tr>
      <w:tr w:rsidR="004B4777">
        <w:trPr>
          <w:trHeight w:val="397"/>
          <w:jc w:val="center"/>
        </w:trPr>
        <w:tc>
          <w:tcPr>
            <w:tcW w:w="1203" w:type="dxa"/>
            <w:vMerge w:val="restart"/>
            <w:vAlign w:val="center"/>
          </w:tcPr>
          <w:p w:rsidR="004B4777" w:rsidRDefault="004B4777">
            <w:pPr>
              <w:pStyle w:val="affff8"/>
              <w:rPr>
                <w:rFonts w:eastAsia="宋体"/>
              </w:rPr>
            </w:pPr>
            <w:r>
              <w:rPr>
                <w:rFonts w:eastAsia="宋体"/>
                <w:lang/>
              </w:rPr>
              <w:t>SO</w:t>
            </w:r>
            <w:r>
              <w:rPr>
                <w:rFonts w:eastAsia="宋体"/>
                <w:vertAlign w:val="subscript"/>
                <w:lang/>
              </w:rPr>
              <w:t>2</w:t>
            </w:r>
          </w:p>
        </w:tc>
        <w:tc>
          <w:tcPr>
            <w:tcW w:w="4638" w:type="dxa"/>
            <w:vAlign w:val="center"/>
          </w:tcPr>
          <w:p w:rsidR="004B4777" w:rsidRDefault="004B4777">
            <w:pPr>
              <w:pStyle w:val="affff8"/>
              <w:rPr>
                <w:rFonts w:eastAsia="宋体"/>
              </w:rPr>
            </w:pPr>
            <w:r>
              <w:rPr>
                <w:rFonts w:eastAsia="宋体" w:cs="宋体" w:hint="eastAsia"/>
                <w:bCs/>
              </w:rPr>
              <w:t>易婆塘采区新坪村居民点</w:t>
            </w:r>
          </w:p>
        </w:tc>
        <w:tc>
          <w:tcPr>
            <w:tcW w:w="1974" w:type="dxa"/>
            <w:vAlign w:val="center"/>
          </w:tcPr>
          <w:p w:rsidR="004B4777" w:rsidRDefault="004B4777">
            <w:pPr>
              <w:pStyle w:val="affff8"/>
              <w:rPr>
                <w:rFonts w:eastAsia="宋体"/>
              </w:rPr>
            </w:pPr>
            <w:r>
              <w:rPr>
                <w:rFonts w:eastAsia="宋体" w:hint="eastAsia"/>
              </w:rPr>
              <w:t>0.107~</w:t>
            </w:r>
            <w:r>
              <w:rPr>
                <w:rFonts w:eastAsia="宋体" w:hint="eastAsia"/>
                <w:color w:val="000000"/>
                <w:sz w:val="22"/>
                <w:szCs w:val="22"/>
              </w:rPr>
              <w:t>0.160</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ign w:val="center"/>
          </w:tcPr>
          <w:p w:rsidR="004B4777" w:rsidRDefault="004B4777">
            <w:pPr>
              <w:pStyle w:val="affff8"/>
              <w:rPr>
                <w:rFonts w:eastAsia="宋体"/>
              </w:rPr>
            </w:pPr>
          </w:p>
        </w:tc>
        <w:tc>
          <w:tcPr>
            <w:tcW w:w="4638" w:type="dxa"/>
            <w:vAlign w:val="center"/>
          </w:tcPr>
          <w:p w:rsidR="004B4777" w:rsidRDefault="004B4777">
            <w:pPr>
              <w:pStyle w:val="affff8"/>
              <w:rPr>
                <w:rFonts w:eastAsia="宋体"/>
              </w:rPr>
            </w:pPr>
            <w:r>
              <w:rPr>
                <w:rFonts w:eastAsia="宋体" w:cs="宋体" w:hint="eastAsia"/>
                <w:bCs/>
              </w:rPr>
              <w:t>斗米咀采区裕民村居民点</w:t>
            </w:r>
          </w:p>
        </w:tc>
        <w:tc>
          <w:tcPr>
            <w:tcW w:w="1974" w:type="dxa"/>
            <w:vAlign w:val="center"/>
          </w:tcPr>
          <w:p w:rsidR="004B4777" w:rsidRDefault="004B4777">
            <w:pPr>
              <w:pStyle w:val="affff8"/>
              <w:rPr>
                <w:rFonts w:eastAsia="宋体"/>
              </w:rPr>
            </w:pPr>
            <w:r>
              <w:rPr>
                <w:rFonts w:eastAsia="宋体" w:hint="eastAsia"/>
              </w:rPr>
              <w:t>0.107~</w:t>
            </w:r>
            <w:r>
              <w:rPr>
                <w:rFonts w:eastAsia="宋体" w:hint="eastAsia"/>
                <w:color w:val="000000"/>
                <w:sz w:val="22"/>
                <w:szCs w:val="22"/>
              </w:rPr>
              <w:t>0.167</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restart"/>
            <w:vAlign w:val="center"/>
          </w:tcPr>
          <w:p w:rsidR="004B4777" w:rsidRDefault="004B4777">
            <w:pPr>
              <w:pStyle w:val="affff8"/>
              <w:rPr>
                <w:rFonts w:eastAsia="宋体"/>
              </w:rPr>
            </w:pPr>
            <w:r>
              <w:rPr>
                <w:rFonts w:eastAsia="宋体"/>
                <w:lang/>
              </w:rPr>
              <w:t>NO</w:t>
            </w:r>
            <w:r>
              <w:rPr>
                <w:rFonts w:eastAsia="宋体"/>
                <w:vertAlign w:val="subscript"/>
                <w:lang/>
              </w:rPr>
              <w:t>2</w:t>
            </w:r>
          </w:p>
        </w:tc>
        <w:tc>
          <w:tcPr>
            <w:tcW w:w="4638" w:type="dxa"/>
            <w:vAlign w:val="center"/>
          </w:tcPr>
          <w:p w:rsidR="004B4777" w:rsidRDefault="004B4777">
            <w:pPr>
              <w:pStyle w:val="affff8"/>
              <w:rPr>
                <w:rFonts w:eastAsia="宋体" w:cs="宋体"/>
                <w:bCs/>
              </w:rPr>
            </w:pPr>
            <w:r>
              <w:rPr>
                <w:rFonts w:eastAsia="宋体" w:cs="宋体" w:hint="eastAsia"/>
                <w:bCs/>
              </w:rPr>
              <w:t>易婆塘采区新坪村居民点</w:t>
            </w:r>
          </w:p>
        </w:tc>
        <w:tc>
          <w:tcPr>
            <w:tcW w:w="1974" w:type="dxa"/>
            <w:vAlign w:val="center"/>
          </w:tcPr>
          <w:p w:rsidR="004B4777" w:rsidRDefault="004B4777">
            <w:pPr>
              <w:pStyle w:val="affff8"/>
              <w:rPr>
                <w:rFonts w:eastAsia="宋体"/>
              </w:rPr>
            </w:pPr>
            <w:r>
              <w:rPr>
                <w:rFonts w:eastAsia="宋体" w:hint="eastAsia"/>
                <w:color w:val="000000"/>
                <w:sz w:val="22"/>
                <w:szCs w:val="22"/>
              </w:rPr>
              <w:t>0.150</w:t>
            </w:r>
            <w:r>
              <w:rPr>
                <w:rFonts w:eastAsia="宋体" w:hint="eastAsia"/>
              </w:rPr>
              <w:t>~</w:t>
            </w:r>
            <w:r>
              <w:rPr>
                <w:rFonts w:eastAsia="宋体" w:hint="eastAsia"/>
                <w:color w:val="000000"/>
                <w:sz w:val="22"/>
                <w:szCs w:val="22"/>
              </w:rPr>
              <w:t>0.200</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ign w:val="center"/>
          </w:tcPr>
          <w:p w:rsidR="004B4777" w:rsidRDefault="004B4777">
            <w:pPr>
              <w:pStyle w:val="affff8"/>
              <w:rPr>
                <w:rFonts w:eastAsia="宋体"/>
              </w:rPr>
            </w:pPr>
          </w:p>
        </w:tc>
        <w:tc>
          <w:tcPr>
            <w:tcW w:w="4638" w:type="dxa"/>
            <w:vAlign w:val="center"/>
          </w:tcPr>
          <w:p w:rsidR="004B4777" w:rsidRDefault="004B4777">
            <w:pPr>
              <w:pStyle w:val="affff8"/>
              <w:rPr>
                <w:rFonts w:eastAsia="宋体" w:cs="宋体"/>
                <w:bCs/>
              </w:rPr>
            </w:pPr>
            <w:r>
              <w:rPr>
                <w:rFonts w:eastAsia="宋体" w:cs="宋体" w:hint="eastAsia"/>
                <w:bCs/>
              </w:rPr>
              <w:t>斗米咀采区裕民村居民点</w:t>
            </w:r>
          </w:p>
        </w:tc>
        <w:tc>
          <w:tcPr>
            <w:tcW w:w="1974" w:type="dxa"/>
            <w:vAlign w:val="center"/>
          </w:tcPr>
          <w:p w:rsidR="004B4777" w:rsidRDefault="004B4777">
            <w:pPr>
              <w:pStyle w:val="affff8"/>
              <w:rPr>
                <w:rFonts w:eastAsia="宋体"/>
              </w:rPr>
            </w:pPr>
            <w:r>
              <w:rPr>
                <w:rFonts w:eastAsia="宋体" w:hint="eastAsia"/>
                <w:color w:val="000000"/>
                <w:sz w:val="22"/>
                <w:szCs w:val="22"/>
              </w:rPr>
              <w:t>0.150</w:t>
            </w:r>
            <w:r>
              <w:rPr>
                <w:rFonts w:eastAsia="宋体" w:hint="eastAsia"/>
              </w:rPr>
              <w:t>~</w:t>
            </w:r>
            <w:r>
              <w:rPr>
                <w:rFonts w:eastAsia="宋体" w:hint="eastAsia"/>
                <w:color w:val="000000"/>
                <w:sz w:val="22"/>
                <w:szCs w:val="22"/>
              </w:rPr>
              <w:t>0.200</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restart"/>
            <w:vAlign w:val="center"/>
          </w:tcPr>
          <w:p w:rsidR="004B4777" w:rsidRDefault="004B4777">
            <w:pPr>
              <w:pStyle w:val="affff8"/>
              <w:rPr>
                <w:rFonts w:eastAsia="宋体"/>
              </w:rPr>
            </w:pPr>
            <w:r>
              <w:rPr>
                <w:rFonts w:eastAsia="宋体"/>
                <w:lang/>
              </w:rPr>
              <w:t>PM</w:t>
            </w:r>
            <w:r>
              <w:rPr>
                <w:rFonts w:eastAsia="宋体"/>
                <w:vertAlign w:val="subscript"/>
                <w:lang/>
              </w:rPr>
              <w:t>10</w:t>
            </w:r>
          </w:p>
        </w:tc>
        <w:tc>
          <w:tcPr>
            <w:tcW w:w="4638" w:type="dxa"/>
            <w:vAlign w:val="center"/>
          </w:tcPr>
          <w:p w:rsidR="004B4777" w:rsidRDefault="004B4777">
            <w:pPr>
              <w:pStyle w:val="affff8"/>
              <w:rPr>
                <w:rFonts w:eastAsia="宋体" w:cs="宋体"/>
                <w:bCs/>
              </w:rPr>
            </w:pPr>
            <w:r>
              <w:rPr>
                <w:rFonts w:eastAsia="宋体" w:cs="宋体" w:hint="eastAsia"/>
                <w:bCs/>
              </w:rPr>
              <w:t>易婆塘采区新坪村居民点</w:t>
            </w:r>
          </w:p>
        </w:tc>
        <w:tc>
          <w:tcPr>
            <w:tcW w:w="1974" w:type="dxa"/>
            <w:vAlign w:val="center"/>
          </w:tcPr>
          <w:p w:rsidR="004B4777" w:rsidRDefault="004B4777">
            <w:pPr>
              <w:pStyle w:val="affff8"/>
              <w:rPr>
                <w:rFonts w:eastAsia="宋体"/>
                <w:color w:val="000000"/>
                <w:sz w:val="22"/>
                <w:szCs w:val="22"/>
              </w:rPr>
            </w:pPr>
            <w:r>
              <w:rPr>
                <w:rFonts w:eastAsia="宋体"/>
              </w:rPr>
              <w:t>0.2</w:t>
            </w:r>
            <w:r>
              <w:rPr>
                <w:rFonts w:eastAsia="宋体" w:hint="eastAsia"/>
              </w:rPr>
              <w:t>40</w:t>
            </w:r>
            <w:r>
              <w:rPr>
                <w:rFonts w:eastAsia="宋体"/>
              </w:rPr>
              <w:t>~0.347</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ign w:val="center"/>
          </w:tcPr>
          <w:p w:rsidR="004B4777" w:rsidRDefault="004B4777">
            <w:pPr>
              <w:pStyle w:val="affff8"/>
              <w:rPr>
                <w:rFonts w:eastAsia="宋体"/>
              </w:rPr>
            </w:pPr>
          </w:p>
        </w:tc>
        <w:tc>
          <w:tcPr>
            <w:tcW w:w="4638" w:type="dxa"/>
            <w:vAlign w:val="center"/>
          </w:tcPr>
          <w:p w:rsidR="004B4777" w:rsidRDefault="004B4777">
            <w:pPr>
              <w:pStyle w:val="affff8"/>
              <w:rPr>
                <w:rFonts w:eastAsia="宋体" w:cs="宋体"/>
                <w:bCs/>
              </w:rPr>
            </w:pPr>
            <w:r>
              <w:rPr>
                <w:rFonts w:eastAsia="宋体" w:cs="宋体" w:hint="eastAsia"/>
                <w:bCs/>
              </w:rPr>
              <w:t>斗米咀采区裕民村居民点</w:t>
            </w:r>
          </w:p>
        </w:tc>
        <w:tc>
          <w:tcPr>
            <w:tcW w:w="1974" w:type="dxa"/>
            <w:vAlign w:val="center"/>
          </w:tcPr>
          <w:p w:rsidR="004B4777" w:rsidRDefault="004B4777">
            <w:pPr>
              <w:pStyle w:val="affff8"/>
              <w:rPr>
                <w:rFonts w:eastAsia="宋体"/>
                <w:color w:val="000000"/>
                <w:sz w:val="22"/>
                <w:szCs w:val="22"/>
              </w:rPr>
            </w:pPr>
            <w:r>
              <w:rPr>
                <w:rFonts w:eastAsia="宋体"/>
              </w:rPr>
              <w:t>0.</w:t>
            </w:r>
            <w:r>
              <w:rPr>
                <w:rFonts w:eastAsia="宋体" w:hint="eastAsia"/>
              </w:rPr>
              <w:t>253</w:t>
            </w:r>
            <w:r>
              <w:rPr>
                <w:rFonts w:eastAsia="宋体"/>
              </w:rPr>
              <w:t>~0.347</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restart"/>
            <w:vAlign w:val="center"/>
          </w:tcPr>
          <w:p w:rsidR="004B4777" w:rsidRDefault="004B4777">
            <w:pPr>
              <w:pStyle w:val="affff8"/>
              <w:rPr>
                <w:rFonts w:eastAsia="宋体"/>
              </w:rPr>
            </w:pPr>
            <w:r>
              <w:rPr>
                <w:rFonts w:eastAsia="宋体"/>
                <w:lang/>
              </w:rPr>
              <w:lastRenderedPageBreak/>
              <w:t>PM</w:t>
            </w:r>
            <w:r>
              <w:rPr>
                <w:rFonts w:eastAsia="宋体" w:hint="eastAsia"/>
                <w:vertAlign w:val="subscript"/>
                <w:lang/>
              </w:rPr>
              <w:t>2.5</w:t>
            </w:r>
          </w:p>
        </w:tc>
        <w:tc>
          <w:tcPr>
            <w:tcW w:w="4638" w:type="dxa"/>
            <w:vAlign w:val="center"/>
          </w:tcPr>
          <w:p w:rsidR="004B4777" w:rsidRDefault="004B4777">
            <w:pPr>
              <w:pStyle w:val="affff8"/>
              <w:rPr>
                <w:rFonts w:eastAsia="宋体" w:cs="宋体"/>
                <w:bCs/>
              </w:rPr>
            </w:pPr>
            <w:r>
              <w:rPr>
                <w:rFonts w:eastAsia="宋体" w:cs="宋体" w:hint="eastAsia"/>
                <w:bCs/>
              </w:rPr>
              <w:t>易婆塘采区新坪村居民点</w:t>
            </w:r>
          </w:p>
        </w:tc>
        <w:tc>
          <w:tcPr>
            <w:tcW w:w="1974" w:type="dxa"/>
            <w:vAlign w:val="center"/>
          </w:tcPr>
          <w:p w:rsidR="004B4777" w:rsidRDefault="004B4777">
            <w:pPr>
              <w:pStyle w:val="affff8"/>
              <w:rPr>
                <w:rFonts w:eastAsia="宋体"/>
              </w:rPr>
            </w:pPr>
            <w:r>
              <w:rPr>
                <w:rFonts w:eastAsia="宋体"/>
              </w:rPr>
              <w:t>0.</w:t>
            </w:r>
            <w:r>
              <w:rPr>
                <w:rFonts w:eastAsia="宋体" w:hint="eastAsia"/>
              </w:rPr>
              <w:t>240</w:t>
            </w:r>
            <w:r>
              <w:rPr>
                <w:rFonts w:eastAsia="宋体"/>
              </w:rPr>
              <w:t>~0.3</w:t>
            </w:r>
            <w:r>
              <w:rPr>
                <w:rFonts w:eastAsia="宋体" w:hint="eastAsia"/>
              </w:rPr>
              <w:t>47</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ign w:val="center"/>
          </w:tcPr>
          <w:p w:rsidR="004B4777" w:rsidRDefault="004B4777">
            <w:pPr>
              <w:pStyle w:val="affff8"/>
              <w:rPr>
                <w:rFonts w:eastAsia="宋体"/>
              </w:rPr>
            </w:pPr>
          </w:p>
        </w:tc>
        <w:tc>
          <w:tcPr>
            <w:tcW w:w="4638" w:type="dxa"/>
            <w:vAlign w:val="center"/>
          </w:tcPr>
          <w:p w:rsidR="004B4777" w:rsidRDefault="004B4777">
            <w:pPr>
              <w:pStyle w:val="affff8"/>
              <w:rPr>
                <w:rFonts w:eastAsia="宋体" w:cs="宋体"/>
                <w:bCs/>
              </w:rPr>
            </w:pPr>
            <w:r>
              <w:rPr>
                <w:rFonts w:eastAsia="宋体" w:cs="宋体" w:hint="eastAsia"/>
                <w:bCs/>
              </w:rPr>
              <w:t>斗米咀采区裕民村居民点</w:t>
            </w:r>
          </w:p>
        </w:tc>
        <w:tc>
          <w:tcPr>
            <w:tcW w:w="1974" w:type="dxa"/>
            <w:vAlign w:val="center"/>
          </w:tcPr>
          <w:p w:rsidR="004B4777" w:rsidRDefault="004B4777">
            <w:pPr>
              <w:pStyle w:val="affff8"/>
              <w:rPr>
                <w:rFonts w:eastAsia="宋体"/>
              </w:rPr>
            </w:pPr>
            <w:r>
              <w:rPr>
                <w:rFonts w:eastAsia="宋体"/>
              </w:rPr>
              <w:t>0.</w:t>
            </w:r>
            <w:r>
              <w:rPr>
                <w:rFonts w:eastAsia="宋体" w:hint="eastAsia"/>
              </w:rPr>
              <w:t>280</w:t>
            </w:r>
            <w:r>
              <w:rPr>
                <w:rFonts w:eastAsia="宋体"/>
              </w:rPr>
              <w:t>~0.3</w:t>
            </w:r>
            <w:r>
              <w:rPr>
                <w:rFonts w:eastAsia="宋体" w:hint="eastAsia"/>
              </w:rPr>
              <w:t>47</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restart"/>
            <w:vAlign w:val="center"/>
          </w:tcPr>
          <w:p w:rsidR="004B4777" w:rsidRDefault="004B4777">
            <w:pPr>
              <w:pStyle w:val="affff8"/>
              <w:rPr>
                <w:rFonts w:eastAsia="宋体"/>
              </w:rPr>
            </w:pPr>
            <w:r>
              <w:rPr>
                <w:rFonts w:eastAsia="宋体"/>
                <w:lang/>
              </w:rPr>
              <w:t>TSP</w:t>
            </w:r>
          </w:p>
        </w:tc>
        <w:tc>
          <w:tcPr>
            <w:tcW w:w="4638" w:type="dxa"/>
            <w:vAlign w:val="center"/>
          </w:tcPr>
          <w:p w:rsidR="004B4777" w:rsidRDefault="004B4777">
            <w:pPr>
              <w:pStyle w:val="affff8"/>
              <w:rPr>
                <w:rFonts w:eastAsia="宋体" w:cs="宋体"/>
                <w:bCs/>
              </w:rPr>
            </w:pPr>
            <w:r>
              <w:rPr>
                <w:rFonts w:eastAsia="宋体" w:cs="宋体" w:hint="eastAsia"/>
                <w:bCs/>
              </w:rPr>
              <w:t>易婆塘采区新坪村居民点</w:t>
            </w:r>
          </w:p>
        </w:tc>
        <w:tc>
          <w:tcPr>
            <w:tcW w:w="1974" w:type="dxa"/>
            <w:vAlign w:val="center"/>
          </w:tcPr>
          <w:p w:rsidR="004B4777" w:rsidRDefault="004B4777">
            <w:pPr>
              <w:pStyle w:val="affff8"/>
              <w:rPr>
                <w:rFonts w:eastAsia="宋体"/>
              </w:rPr>
            </w:pPr>
            <w:r>
              <w:rPr>
                <w:rFonts w:eastAsia="宋体"/>
              </w:rPr>
              <w:t>0.</w:t>
            </w:r>
            <w:r>
              <w:rPr>
                <w:rFonts w:eastAsia="宋体" w:hint="eastAsia"/>
              </w:rPr>
              <w:t>343</w:t>
            </w:r>
            <w:r>
              <w:rPr>
                <w:rFonts w:eastAsia="宋体"/>
              </w:rPr>
              <w:t>~0.</w:t>
            </w:r>
            <w:r>
              <w:rPr>
                <w:rFonts w:eastAsia="宋体" w:hint="eastAsia"/>
              </w:rPr>
              <w:t>417</w:t>
            </w:r>
          </w:p>
        </w:tc>
        <w:tc>
          <w:tcPr>
            <w:tcW w:w="1427" w:type="dxa"/>
            <w:vAlign w:val="center"/>
          </w:tcPr>
          <w:p w:rsidR="004B4777" w:rsidRDefault="004B4777">
            <w:pPr>
              <w:pStyle w:val="affff8"/>
              <w:rPr>
                <w:rFonts w:eastAsia="宋体"/>
              </w:rPr>
            </w:pPr>
            <w:r>
              <w:rPr>
                <w:rFonts w:eastAsia="宋体"/>
              </w:rPr>
              <w:t>0</w:t>
            </w:r>
          </w:p>
        </w:tc>
      </w:tr>
      <w:tr w:rsidR="004B4777">
        <w:trPr>
          <w:trHeight w:val="397"/>
          <w:jc w:val="center"/>
        </w:trPr>
        <w:tc>
          <w:tcPr>
            <w:tcW w:w="1203" w:type="dxa"/>
            <w:vMerge/>
            <w:vAlign w:val="center"/>
          </w:tcPr>
          <w:p w:rsidR="004B4777" w:rsidRDefault="004B4777">
            <w:pPr>
              <w:pStyle w:val="affff8"/>
              <w:rPr>
                <w:rFonts w:eastAsia="宋体"/>
              </w:rPr>
            </w:pPr>
          </w:p>
        </w:tc>
        <w:tc>
          <w:tcPr>
            <w:tcW w:w="4638" w:type="dxa"/>
            <w:vAlign w:val="center"/>
          </w:tcPr>
          <w:p w:rsidR="004B4777" w:rsidRDefault="004B4777">
            <w:pPr>
              <w:pStyle w:val="affff8"/>
              <w:rPr>
                <w:rFonts w:eastAsia="宋体" w:cs="宋体"/>
                <w:bCs/>
              </w:rPr>
            </w:pPr>
            <w:r>
              <w:rPr>
                <w:rFonts w:eastAsia="宋体" w:cs="宋体" w:hint="eastAsia"/>
                <w:bCs/>
              </w:rPr>
              <w:t>斗米咀采区裕民村居民点</w:t>
            </w:r>
          </w:p>
        </w:tc>
        <w:tc>
          <w:tcPr>
            <w:tcW w:w="1974" w:type="dxa"/>
            <w:vAlign w:val="center"/>
          </w:tcPr>
          <w:p w:rsidR="004B4777" w:rsidRDefault="004B4777">
            <w:pPr>
              <w:pStyle w:val="affff8"/>
              <w:rPr>
                <w:rFonts w:eastAsia="宋体"/>
              </w:rPr>
            </w:pPr>
            <w:r>
              <w:rPr>
                <w:rFonts w:eastAsia="宋体"/>
              </w:rPr>
              <w:t>0.</w:t>
            </w:r>
            <w:r>
              <w:rPr>
                <w:rFonts w:eastAsia="宋体" w:hint="eastAsia"/>
              </w:rPr>
              <w:t>393</w:t>
            </w:r>
            <w:r>
              <w:rPr>
                <w:rFonts w:eastAsia="宋体"/>
              </w:rPr>
              <w:t>~0.</w:t>
            </w:r>
            <w:r>
              <w:rPr>
                <w:rFonts w:eastAsia="宋体" w:hint="eastAsia"/>
              </w:rPr>
              <w:t>420</w:t>
            </w:r>
          </w:p>
        </w:tc>
        <w:tc>
          <w:tcPr>
            <w:tcW w:w="1427" w:type="dxa"/>
            <w:vAlign w:val="center"/>
          </w:tcPr>
          <w:p w:rsidR="004B4777" w:rsidRDefault="004B4777">
            <w:pPr>
              <w:pStyle w:val="affff8"/>
              <w:rPr>
                <w:rFonts w:eastAsia="宋体"/>
              </w:rPr>
            </w:pPr>
            <w:r>
              <w:rPr>
                <w:rFonts w:eastAsia="宋体"/>
              </w:rPr>
              <w:t>0</w:t>
            </w:r>
          </w:p>
        </w:tc>
      </w:tr>
    </w:tbl>
    <w:p w:rsidR="004B4777" w:rsidRDefault="004B4777">
      <w:pPr>
        <w:ind w:firstLine="482"/>
        <w:rPr>
          <w:rFonts w:ascii="Times New Roman" w:hAnsi="Times New Roman"/>
          <w:b/>
          <w:bCs/>
          <w:szCs w:val="24"/>
        </w:rPr>
      </w:pPr>
    </w:p>
    <w:p w:rsidR="004B4777" w:rsidRDefault="004B4777">
      <w:pPr>
        <w:ind w:firstLine="482"/>
        <w:rPr>
          <w:rFonts w:ascii="Times New Roman" w:hAnsi="Times New Roman"/>
          <w:b/>
          <w:bCs/>
          <w:szCs w:val="24"/>
        </w:rPr>
      </w:pPr>
      <w:r>
        <w:rPr>
          <w:rFonts w:ascii="Times New Roman" w:hAnsi="Times New Roman"/>
          <w:b/>
          <w:bCs/>
          <w:szCs w:val="24"/>
        </w:rPr>
        <w:fldChar w:fldCharType="begin"/>
      </w:r>
      <w:r>
        <w:rPr>
          <w:rFonts w:ascii="Times New Roman" w:hAnsi="Times New Roman"/>
          <w:b/>
          <w:bCs/>
          <w:szCs w:val="24"/>
        </w:rPr>
        <w:instrText>= 1 \* GB3</w:instrText>
      </w:r>
      <w:r>
        <w:rPr>
          <w:rFonts w:ascii="Times New Roman" w:hAnsi="Times New Roman"/>
          <w:b/>
          <w:bCs/>
          <w:szCs w:val="24"/>
        </w:rPr>
        <w:fldChar w:fldCharType="separate"/>
      </w:r>
      <w:r>
        <w:rPr>
          <w:rFonts w:ascii="Times New Roman" w:hAnsi="Times New Roman" w:cs="宋体" w:hint="eastAsia"/>
          <w:b/>
          <w:bCs/>
          <w:szCs w:val="24"/>
        </w:rPr>
        <w:t>①</w:t>
      </w:r>
      <w:r>
        <w:rPr>
          <w:rFonts w:ascii="Times New Roman" w:hAnsi="Times New Roman"/>
          <w:b/>
          <w:bCs/>
          <w:szCs w:val="24"/>
        </w:rPr>
        <w:fldChar w:fldCharType="end"/>
      </w:r>
      <w:r>
        <w:rPr>
          <w:rFonts w:ascii="Times New Roman" w:hAnsi="Times New Roman"/>
          <w:b/>
          <w:bCs/>
          <w:szCs w:val="24"/>
        </w:rPr>
        <w:t>二氧化硫（</w:t>
      </w:r>
      <w:r>
        <w:rPr>
          <w:rFonts w:ascii="Times New Roman" w:hAnsi="Times New Roman"/>
          <w:bCs/>
          <w:szCs w:val="24"/>
        </w:rPr>
        <w:t>SO</w:t>
      </w:r>
      <w:r>
        <w:rPr>
          <w:rFonts w:ascii="Times New Roman" w:hAnsi="Times New Roman"/>
          <w:bCs/>
          <w:szCs w:val="24"/>
          <w:vertAlign w:val="subscript"/>
        </w:rPr>
        <w:t>2</w:t>
      </w:r>
      <w:r>
        <w:rPr>
          <w:rFonts w:ascii="Times New Roman" w:hAnsi="Times New Roman"/>
          <w:b/>
          <w:bCs/>
          <w:szCs w:val="24"/>
        </w:rPr>
        <w:t>）</w:t>
      </w:r>
    </w:p>
    <w:p w:rsidR="004B4777" w:rsidRDefault="004B4777">
      <w:pPr>
        <w:ind w:firstLine="480"/>
        <w:rPr>
          <w:rFonts w:ascii="Times New Roman" w:hAnsi="Times New Roman"/>
          <w:b/>
          <w:bCs/>
          <w:szCs w:val="24"/>
        </w:rPr>
      </w:pPr>
      <w:r>
        <w:rPr>
          <w:rFonts w:ascii="Times New Roman" w:hAnsi="Times New Roman"/>
          <w:bCs/>
          <w:szCs w:val="24"/>
        </w:rPr>
        <w:t>各监测点</w:t>
      </w:r>
      <w:r>
        <w:rPr>
          <w:rFonts w:ascii="Times New Roman" w:hAnsi="Times New Roman"/>
          <w:bCs/>
          <w:szCs w:val="24"/>
        </w:rPr>
        <w:t>SO</w:t>
      </w:r>
      <w:r>
        <w:rPr>
          <w:rFonts w:ascii="Times New Roman" w:hAnsi="Times New Roman"/>
          <w:bCs/>
          <w:szCs w:val="24"/>
          <w:vertAlign w:val="subscript"/>
        </w:rPr>
        <w:t>2</w:t>
      </w:r>
      <w:r>
        <w:rPr>
          <w:rFonts w:ascii="Times New Roman" w:hAnsi="Times New Roman"/>
          <w:bCs/>
          <w:szCs w:val="24"/>
        </w:rPr>
        <w:t>检出率为</w:t>
      </w:r>
      <w:r>
        <w:rPr>
          <w:rFonts w:ascii="Times New Roman" w:hAnsi="Times New Roman"/>
          <w:bCs/>
          <w:szCs w:val="24"/>
        </w:rPr>
        <w:t>100%</w:t>
      </w:r>
      <w:r>
        <w:rPr>
          <w:rFonts w:ascii="Times New Roman" w:hAnsi="Times New Roman"/>
          <w:bCs/>
          <w:szCs w:val="24"/>
        </w:rPr>
        <w:t>，</w:t>
      </w:r>
      <w:r>
        <w:rPr>
          <w:rFonts w:ascii="Times New Roman" w:hAnsi="Times New Roman" w:hint="eastAsia"/>
          <w:bCs/>
          <w:szCs w:val="24"/>
        </w:rPr>
        <w:t>2</w:t>
      </w:r>
      <w:r>
        <w:rPr>
          <w:rFonts w:ascii="Times New Roman" w:hAnsi="Times New Roman"/>
          <w:bCs/>
          <w:szCs w:val="24"/>
        </w:rPr>
        <w:t>个监测点中</w:t>
      </w:r>
      <w:r>
        <w:rPr>
          <w:rFonts w:ascii="Times New Roman" w:hAnsi="Times New Roman" w:hint="eastAsia"/>
          <w:bCs/>
          <w:szCs w:val="24"/>
        </w:rPr>
        <w:t>日</w:t>
      </w:r>
      <w:r>
        <w:rPr>
          <w:rFonts w:ascii="Times New Roman" w:hAnsi="Times New Roman"/>
          <w:bCs/>
          <w:szCs w:val="24"/>
        </w:rPr>
        <w:t>均浓度范围为</w:t>
      </w:r>
      <w:r>
        <w:rPr>
          <w:rFonts w:ascii="Times New Roman" w:hAnsi="Times New Roman"/>
        </w:rPr>
        <w:t>16</w:t>
      </w:r>
      <w:r>
        <w:rPr>
          <w:rFonts w:ascii="Times New Roman" w:hAnsi="Times New Roman"/>
          <w:bCs/>
          <w:szCs w:val="24"/>
        </w:rPr>
        <w:t>~</w:t>
      </w:r>
      <w:r>
        <w:rPr>
          <w:rFonts w:ascii="Times New Roman" w:hAnsi="Times New Roman" w:hint="eastAsia"/>
          <w:bCs/>
          <w:szCs w:val="24"/>
        </w:rPr>
        <w:t>25</w:t>
      </w:r>
      <w:r>
        <w:rPr>
          <w:rFonts w:hint="eastAsia"/>
          <w:bCs/>
          <w:szCs w:val="24"/>
        </w:rPr>
        <w:t>μ</w:t>
      </w:r>
      <w:r>
        <w:rPr>
          <w:rFonts w:ascii="Times New Roman" w:hAnsi="Times New Roman"/>
          <w:bCs/>
          <w:szCs w:val="24"/>
        </w:rPr>
        <w:t>g/Nm</w:t>
      </w:r>
      <w:r>
        <w:rPr>
          <w:rFonts w:ascii="Times New Roman" w:hAnsi="Times New Roman"/>
          <w:bCs/>
          <w:szCs w:val="24"/>
          <w:vertAlign w:val="superscript"/>
        </w:rPr>
        <w:t>3</w:t>
      </w:r>
      <w:r>
        <w:rPr>
          <w:rFonts w:ascii="Times New Roman" w:hAnsi="Times New Roman"/>
          <w:bCs/>
          <w:szCs w:val="24"/>
        </w:rPr>
        <w:t>，</w:t>
      </w:r>
      <w:r>
        <w:rPr>
          <w:rFonts w:ascii="Times New Roman" w:hAnsi="Times New Roman" w:hint="eastAsia"/>
          <w:bCs/>
          <w:szCs w:val="24"/>
        </w:rPr>
        <w:t>浓度单因子指数</w:t>
      </w:r>
      <w:r>
        <w:rPr>
          <w:rFonts w:ascii="Times New Roman" w:hAnsi="Times New Roman"/>
          <w:bCs/>
          <w:szCs w:val="24"/>
        </w:rPr>
        <w:t>范围为</w:t>
      </w:r>
      <w:r>
        <w:rPr>
          <w:rFonts w:ascii="Times New Roman" w:hAnsi="Times New Roman" w:hint="eastAsia"/>
          <w:bCs/>
          <w:szCs w:val="24"/>
        </w:rPr>
        <w:t>0.107</w:t>
      </w:r>
      <w:r>
        <w:rPr>
          <w:rFonts w:ascii="Times New Roman" w:hAnsi="Times New Roman"/>
          <w:bCs/>
          <w:szCs w:val="24"/>
        </w:rPr>
        <w:t>～</w:t>
      </w:r>
      <w:r>
        <w:rPr>
          <w:rFonts w:ascii="Times New Roman" w:hAnsi="Times New Roman"/>
          <w:bCs/>
          <w:szCs w:val="24"/>
        </w:rPr>
        <w:t>0.</w:t>
      </w:r>
      <w:r>
        <w:rPr>
          <w:rFonts w:ascii="Times New Roman" w:hAnsi="Times New Roman" w:hint="eastAsia"/>
          <w:bCs/>
          <w:szCs w:val="24"/>
        </w:rPr>
        <w:t>167</w:t>
      </w:r>
      <w:r>
        <w:rPr>
          <w:rFonts w:ascii="Times New Roman" w:hAnsi="Times New Roman" w:hint="eastAsia"/>
          <w:bCs/>
          <w:szCs w:val="24"/>
        </w:rPr>
        <w:t>，单因子指数均小于</w:t>
      </w:r>
      <w:r>
        <w:rPr>
          <w:rFonts w:ascii="Times New Roman" w:hAnsi="Times New Roman" w:hint="eastAsia"/>
          <w:bCs/>
          <w:szCs w:val="24"/>
        </w:rPr>
        <w:t>1</w:t>
      </w:r>
      <w:r>
        <w:rPr>
          <w:rFonts w:ascii="Times New Roman" w:hAnsi="Times New Roman"/>
          <w:bCs/>
          <w:szCs w:val="24"/>
        </w:rPr>
        <w:t>，各监测点</w:t>
      </w:r>
      <w:r>
        <w:rPr>
          <w:rFonts w:ascii="Times New Roman" w:hAnsi="Times New Roman"/>
          <w:bCs/>
          <w:szCs w:val="24"/>
        </w:rPr>
        <w:t>SO</w:t>
      </w:r>
      <w:r>
        <w:rPr>
          <w:rFonts w:ascii="Times New Roman" w:hAnsi="Times New Roman"/>
          <w:bCs/>
          <w:szCs w:val="24"/>
          <w:vertAlign w:val="subscript"/>
        </w:rPr>
        <w:t>2</w:t>
      </w:r>
      <w:r>
        <w:rPr>
          <w:rFonts w:ascii="Times New Roman" w:hAnsi="Times New Roman"/>
          <w:bCs/>
          <w:szCs w:val="24"/>
        </w:rPr>
        <w:t>的日平均浓度值达到《环境空气质量标准》（</w:t>
      </w:r>
      <w:r>
        <w:rPr>
          <w:rFonts w:ascii="Times New Roman" w:hAnsi="Times New Roman"/>
          <w:bCs/>
          <w:szCs w:val="24"/>
        </w:rPr>
        <w:t>GB3095-</w:t>
      </w:r>
      <w:r>
        <w:rPr>
          <w:rFonts w:ascii="Times New Roman" w:hAnsi="Times New Roman" w:hint="eastAsia"/>
          <w:bCs/>
          <w:szCs w:val="24"/>
        </w:rPr>
        <w:t>2012</w:t>
      </w:r>
      <w:r>
        <w:rPr>
          <w:rFonts w:ascii="Times New Roman" w:hAnsi="Times New Roman"/>
          <w:bCs/>
          <w:szCs w:val="24"/>
        </w:rPr>
        <w:t>）中的二级标准。</w:t>
      </w:r>
    </w:p>
    <w:p w:rsidR="004B4777" w:rsidRDefault="004B4777">
      <w:pPr>
        <w:ind w:firstLine="482"/>
        <w:rPr>
          <w:rFonts w:ascii="Times New Roman" w:hAnsi="Times New Roman"/>
          <w:b/>
          <w:bCs/>
          <w:szCs w:val="24"/>
        </w:rPr>
      </w:pPr>
      <w:r>
        <w:rPr>
          <w:rFonts w:ascii="Times New Roman" w:hAnsi="Times New Roman"/>
          <w:b/>
          <w:bCs/>
          <w:szCs w:val="24"/>
        </w:rPr>
        <w:fldChar w:fldCharType="begin"/>
      </w:r>
      <w:r>
        <w:rPr>
          <w:rFonts w:ascii="Times New Roman" w:hAnsi="Times New Roman"/>
          <w:b/>
          <w:bCs/>
          <w:szCs w:val="24"/>
        </w:rPr>
        <w:instrText>= 2 \* GB3</w:instrText>
      </w:r>
      <w:r>
        <w:rPr>
          <w:rFonts w:ascii="Times New Roman" w:hAnsi="Times New Roman"/>
          <w:b/>
          <w:bCs/>
          <w:szCs w:val="24"/>
        </w:rPr>
        <w:fldChar w:fldCharType="separate"/>
      </w:r>
      <w:r>
        <w:rPr>
          <w:rFonts w:ascii="Times New Roman" w:hAnsi="Times New Roman" w:cs="宋体" w:hint="eastAsia"/>
          <w:b/>
          <w:bCs/>
          <w:szCs w:val="24"/>
        </w:rPr>
        <w:t>②</w:t>
      </w:r>
      <w:r>
        <w:rPr>
          <w:rFonts w:ascii="Times New Roman" w:hAnsi="Times New Roman"/>
          <w:b/>
          <w:bCs/>
          <w:szCs w:val="24"/>
        </w:rPr>
        <w:fldChar w:fldCharType="end"/>
      </w:r>
      <w:r>
        <w:rPr>
          <w:rFonts w:ascii="Times New Roman" w:hAnsi="Times New Roman"/>
          <w:b/>
          <w:bCs/>
          <w:szCs w:val="24"/>
        </w:rPr>
        <w:t>二氧化氮（</w:t>
      </w:r>
      <w:r>
        <w:rPr>
          <w:rFonts w:ascii="Times New Roman" w:hAnsi="Times New Roman"/>
          <w:bCs/>
          <w:szCs w:val="24"/>
        </w:rPr>
        <w:t>NO</w:t>
      </w:r>
      <w:r>
        <w:rPr>
          <w:rFonts w:ascii="Times New Roman" w:hAnsi="Times New Roman"/>
          <w:bCs/>
          <w:szCs w:val="24"/>
          <w:vertAlign w:val="subscript"/>
        </w:rPr>
        <w:t>2</w:t>
      </w:r>
      <w:r>
        <w:rPr>
          <w:rFonts w:ascii="Times New Roman" w:hAnsi="Times New Roman"/>
          <w:b/>
          <w:bCs/>
          <w:szCs w:val="24"/>
        </w:rPr>
        <w:t>）</w:t>
      </w:r>
    </w:p>
    <w:p w:rsidR="004B4777" w:rsidRDefault="004B4777">
      <w:pPr>
        <w:ind w:firstLine="480"/>
        <w:rPr>
          <w:rFonts w:ascii="Times New Roman" w:hAnsi="Times New Roman"/>
          <w:bCs/>
          <w:szCs w:val="24"/>
        </w:rPr>
      </w:pPr>
      <w:r>
        <w:rPr>
          <w:rFonts w:ascii="Times New Roman" w:hAnsi="Times New Roman"/>
          <w:bCs/>
          <w:szCs w:val="24"/>
        </w:rPr>
        <w:t>各监测点</w:t>
      </w:r>
      <w:r>
        <w:rPr>
          <w:rFonts w:ascii="Times New Roman" w:hAnsi="Times New Roman"/>
          <w:bCs/>
          <w:szCs w:val="24"/>
        </w:rPr>
        <w:t>NO</w:t>
      </w:r>
      <w:r>
        <w:rPr>
          <w:rFonts w:ascii="Times New Roman" w:hAnsi="Times New Roman"/>
          <w:bCs/>
          <w:szCs w:val="24"/>
          <w:vertAlign w:val="subscript"/>
        </w:rPr>
        <w:t>2</w:t>
      </w:r>
      <w:r>
        <w:rPr>
          <w:rFonts w:ascii="Times New Roman" w:hAnsi="Times New Roman"/>
          <w:bCs/>
          <w:szCs w:val="24"/>
        </w:rPr>
        <w:t>检出率为</w:t>
      </w:r>
      <w:r>
        <w:rPr>
          <w:rFonts w:ascii="Times New Roman" w:hAnsi="Times New Roman"/>
          <w:bCs/>
          <w:szCs w:val="24"/>
        </w:rPr>
        <w:t>100%</w:t>
      </w:r>
      <w:r>
        <w:rPr>
          <w:rFonts w:ascii="Times New Roman" w:hAnsi="Times New Roman"/>
          <w:bCs/>
          <w:szCs w:val="24"/>
        </w:rPr>
        <w:t>，</w:t>
      </w:r>
      <w:r>
        <w:rPr>
          <w:rFonts w:ascii="Times New Roman" w:hAnsi="Times New Roman" w:hint="eastAsia"/>
          <w:bCs/>
          <w:szCs w:val="24"/>
        </w:rPr>
        <w:t>2</w:t>
      </w:r>
      <w:r>
        <w:rPr>
          <w:rFonts w:ascii="Times New Roman" w:hAnsi="Times New Roman"/>
          <w:bCs/>
          <w:szCs w:val="24"/>
        </w:rPr>
        <w:t>个监测点中</w:t>
      </w:r>
      <w:r>
        <w:rPr>
          <w:rFonts w:ascii="Times New Roman" w:hAnsi="Times New Roman" w:hint="eastAsia"/>
          <w:bCs/>
          <w:szCs w:val="24"/>
        </w:rPr>
        <w:t>日</w:t>
      </w:r>
      <w:r>
        <w:rPr>
          <w:rFonts w:ascii="Times New Roman" w:hAnsi="Times New Roman"/>
          <w:bCs/>
          <w:szCs w:val="24"/>
        </w:rPr>
        <w:t>平均浓度范围为</w:t>
      </w:r>
      <w:r>
        <w:rPr>
          <w:rFonts w:ascii="Times New Roman" w:hAnsi="Times New Roman" w:hint="eastAsia"/>
          <w:bCs/>
          <w:szCs w:val="24"/>
        </w:rPr>
        <w:t>12</w:t>
      </w:r>
      <w:r>
        <w:rPr>
          <w:rFonts w:ascii="Times New Roman" w:hAnsi="Times New Roman"/>
          <w:bCs/>
          <w:szCs w:val="24"/>
        </w:rPr>
        <w:t>~</w:t>
      </w:r>
      <w:r>
        <w:rPr>
          <w:rFonts w:ascii="Times New Roman" w:hAnsi="Times New Roman" w:hint="eastAsia"/>
          <w:bCs/>
          <w:szCs w:val="24"/>
        </w:rPr>
        <w:t>16</w:t>
      </w:r>
      <w:r>
        <w:rPr>
          <w:rFonts w:hint="eastAsia"/>
          <w:bCs/>
          <w:szCs w:val="24"/>
        </w:rPr>
        <w:t>μ</w:t>
      </w:r>
      <w:r>
        <w:rPr>
          <w:rFonts w:ascii="Times New Roman" w:hAnsi="Times New Roman"/>
          <w:bCs/>
          <w:szCs w:val="24"/>
        </w:rPr>
        <w:t>g/Nm</w:t>
      </w:r>
      <w:r>
        <w:rPr>
          <w:rFonts w:ascii="Times New Roman" w:hAnsi="Times New Roman"/>
          <w:bCs/>
          <w:szCs w:val="24"/>
          <w:vertAlign w:val="superscript"/>
        </w:rPr>
        <w:t>3</w:t>
      </w:r>
      <w:r>
        <w:rPr>
          <w:rFonts w:ascii="Times New Roman" w:hAnsi="Times New Roman"/>
          <w:bCs/>
          <w:szCs w:val="24"/>
        </w:rPr>
        <w:t>，</w:t>
      </w:r>
      <w:r>
        <w:rPr>
          <w:rFonts w:ascii="Times New Roman" w:hAnsi="Times New Roman" w:hint="eastAsia"/>
          <w:bCs/>
          <w:szCs w:val="24"/>
        </w:rPr>
        <w:t>浓度单因子指数</w:t>
      </w:r>
      <w:r>
        <w:rPr>
          <w:rFonts w:ascii="Times New Roman" w:hAnsi="Times New Roman"/>
          <w:bCs/>
          <w:szCs w:val="24"/>
        </w:rPr>
        <w:t>范围为</w:t>
      </w:r>
      <w:r>
        <w:rPr>
          <w:rFonts w:ascii="Times New Roman" w:hAnsi="Times New Roman" w:hint="eastAsia"/>
          <w:bCs/>
          <w:szCs w:val="24"/>
        </w:rPr>
        <w:t>0.150</w:t>
      </w:r>
      <w:r>
        <w:rPr>
          <w:rFonts w:ascii="Times New Roman" w:hAnsi="Times New Roman"/>
          <w:bCs/>
          <w:szCs w:val="24"/>
        </w:rPr>
        <w:t>～</w:t>
      </w:r>
      <w:r>
        <w:rPr>
          <w:rFonts w:ascii="Times New Roman" w:hAnsi="Times New Roman"/>
          <w:bCs/>
          <w:szCs w:val="24"/>
        </w:rPr>
        <w:t>0.</w:t>
      </w:r>
      <w:r>
        <w:rPr>
          <w:rFonts w:ascii="Times New Roman" w:hAnsi="Times New Roman" w:hint="eastAsia"/>
          <w:bCs/>
          <w:szCs w:val="24"/>
        </w:rPr>
        <w:t>200</w:t>
      </w:r>
      <w:r>
        <w:rPr>
          <w:rFonts w:ascii="Times New Roman" w:hAnsi="Times New Roman"/>
          <w:bCs/>
          <w:szCs w:val="24"/>
        </w:rPr>
        <w:t>。结果显示，各监测点</w:t>
      </w:r>
      <w:r>
        <w:rPr>
          <w:rFonts w:ascii="Times New Roman" w:hAnsi="Times New Roman"/>
          <w:bCs/>
          <w:szCs w:val="24"/>
        </w:rPr>
        <w:t>NO</w:t>
      </w:r>
      <w:r>
        <w:rPr>
          <w:rFonts w:ascii="Times New Roman" w:hAnsi="Times New Roman"/>
          <w:bCs/>
          <w:szCs w:val="24"/>
          <w:vertAlign w:val="subscript"/>
        </w:rPr>
        <w:t>2</w:t>
      </w:r>
      <w:r>
        <w:rPr>
          <w:rFonts w:ascii="Times New Roman" w:hAnsi="Times New Roman"/>
          <w:bCs/>
          <w:szCs w:val="24"/>
        </w:rPr>
        <w:t>的日平均浓度值达到《环境空气质量标准》（</w:t>
      </w:r>
      <w:r>
        <w:rPr>
          <w:rFonts w:ascii="Times New Roman" w:hAnsi="Times New Roman"/>
          <w:bCs/>
          <w:szCs w:val="24"/>
        </w:rPr>
        <w:t>GB3095-</w:t>
      </w:r>
      <w:r>
        <w:rPr>
          <w:rFonts w:ascii="Times New Roman" w:hAnsi="Times New Roman" w:hint="eastAsia"/>
          <w:bCs/>
          <w:szCs w:val="24"/>
        </w:rPr>
        <w:t>2012</w:t>
      </w:r>
      <w:r>
        <w:rPr>
          <w:rFonts w:ascii="Times New Roman" w:hAnsi="Times New Roman"/>
          <w:bCs/>
          <w:szCs w:val="24"/>
        </w:rPr>
        <w:t>）中的二级标准。</w:t>
      </w:r>
    </w:p>
    <w:p w:rsidR="004B4777" w:rsidRDefault="004B4777">
      <w:pPr>
        <w:ind w:firstLine="482"/>
        <w:rPr>
          <w:rFonts w:ascii="Times New Roman" w:hAnsi="Times New Roman"/>
          <w:b/>
          <w:bCs/>
          <w:szCs w:val="24"/>
        </w:rPr>
      </w:pPr>
      <w:r>
        <w:rPr>
          <w:rFonts w:ascii="Times New Roman" w:hAnsi="Times New Roman" w:hint="eastAsia"/>
          <w:b/>
          <w:bCs/>
          <w:szCs w:val="24"/>
        </w:rPr>
        <w:t>③</w:t>
      </w:r>
      <w:r>
        <w:rPr>
          <w:rFonts w:ascii="Times New Roman" w:hAnsi="Times New Roman"/>
          <w:b/>
          <w:bCs/>
          <w:szCs w:val="24"/>
        </w:rPr>
        <w:t>可吸入颗粒物（</w:t>
      </w:r>
      <w:r>
        <w:rPr>
          <w:rFonts w:ascii="Times New Roman" w:hAnsi="Times New Roman"/>
          <w:b/>
          <w:bCs/>
          <w:szCs w:val="24"/>
        </w:rPr>
        <w:t>PM</w:t>
      </w:r>
      <w:r>
        <w:rPr>
          <w:rFonts w:ascii="Times New Roman" w:hAnsi="Times New Roman"/>
          <w:b/>
          <w:bCs/>
          <w:szCs w:val="24"/>
          <w:vertAlign w:val="subscript"/>
        </w:rPr>
        <w:t>10</w:t>
      </w:r>
      <w:r>
        <w:rPr>
          <w:rFonts w:ascii="Times New Roman" w:hAnsi="Times New Roman"/>
          <w:b/>
          <w:bCs/>
          <w:szCs w:val="24"/>
        </w:rPr>
        <w:t>）</w:t>
      </w:r>
    </w:p>
    <w:p w:rsidR="004B4777" w:rsidRDefault="004B4777">
      <w:pPr>
        <w:ind w:firstLine="480"/>
        <w:rPr>
          <w:rFonts w:ascii="Times New Roman" w:hAnsi="Times New Roman"/>
          <w:bCs/>
          <w:szCs w:val="24"/>
        </w:rPr>
      </w:pPr>
      <w:r>
        <w:rPr>
          <w:rFonts w:ascii="Times New Roman" w:hAnsi="Times New Roman"/>
          <w:bCs/>
          <w:szCs w:val="24"/>
        </w:rPr>
        <w:t>PM</w:t>
      </w:r>
      <w:r>
        <w:rPr>
          <w:rFonts w:ascii="Times New Roman" w:hAnsi="Times New Roman"/>
          <w:bCs/>
          <w:szCs w:val="24"/>
          <w:vertAlign w:val="subscript"/>
        </w:rPr>
        <w:t>10</w:t>
      </w:r>
      <w:r>
        <w:rPr>
          <w:rFonts w:ascii="Times New Roman" w:hAnsi="Times New Roman"/>
          <w:bCs/>
          <w:szCs w:val="24"/>
        </w:rPr>
        <w:t>的检出率为</w:t>
      </w:r>
      <w:r>
        <w:rPr>
          <w:rFonts w:ascii="Times New Roman" w:hAnsi="Times New Roman"/>
          <w:bCs/>
          <w:szCs w:val="24"/>
        </w:rPr>
        <w:t>100%</w:t>
      </w:r>
      <w:r>
        <w:rPr>
          <w:rFonts w:ascii="Times New Roman" w:hAnsi="Times New Roman"/>
          <w:bCs/>
          <w:szCs w:val="24"/>
        </w:rPr>
        <w:t>，</w:t>
      </w:r>
      <w:r>
        <w:rPr>
          <w:rFonts w:ascii="Times New Roman" w:hAnsi="Times New Roman" w:hint="eastAsia"/>
          <w:bCs/>
          <w:szCs w:val="24"/>
        </w:rPr>
        <w:t>2</w:t>
      </w:r>
      <w:r>
        <w:rPr>
          <w:rFonts w:ascii="Times New Roman" w:hAnsi="Times New Roman"/>
          <w:bCs/>
          <w:szCs w:val="24"/>
        </w:rPr>
        <w:t>个监测点日平均浓度值范围为</w:t>
      </w:r>
      <w:r>
        <w:rPr>
          <w:rFonts w:ascii="Times New Roman" w:hAnsi="Times New Roman" w:hint="eastAsia"/>
          <w:bCs/>
          <w:szCs w:val="24"/>
        </w:rPr>
        <w:t>38</w:t>
      </w:r>
      <w:r>
        <w:rPr>
          <w:rFonts w:ascii="Times New Roman" w:hAnsi="Times New Roman"/>
          <w:bCs/>
          <w:szCs w:val="24"/>
        </w:rPr>
        <w:t>~</w:t>
      </w:r>
      <w:r>
        <w:rPr>
          <w:rFonts w:ascii="Times New Roman" w:hAnsi="Times New Roman" w:hint="eastAsia"/>
          <w:bCs/>
          <w:szCs w:val="24"/>
        </w:rPr>
        <w:t>48</w:t>
      </w:r>
      <w:r>
        <w:rPr>
          <w:rFonts w:hint="eastAsia"/>
          <w:bCs/>
          <w:szCs w:val="24"/>
        </w:rPr>
        <w:t>μ</w:t>
      </w:r>
      <w:r>
        <w:rPr>
          <w:rFonts w:ascii="Times New Roman" w:hAnsi="Times New Roman"/>
          <w:bCs/>
          <w:szCs w:val="24"/>
        </w:rPr>
        <w:t>g/Nm</w:t>
      </w:r>
      <w:r>
        <w:rPr>
          <w:rFonts w:ascii="Times New Roman" w:hAnsi="Times New Roman"/>
          <w:bCs/>
          <w:szCs w:val="24"/>
          <w:vertAlign w:val="superscript"/>
        </w:rPr>
        <w:t>3</w:t>
      </w:r>
      <w:r>
        <w:rPr>
          <w:rFonts w:ascii="Times New Roman" w:hAnsi="Times New Roman"/>
          <w:bCs/>
          <w:szCs w:val="24"/>
        </w:rPr>
        <w:t>，</w:t>
      </w:r>
      <w:r>
        <w:rPr>
          <w:rFonts w:ascii="Times New Roman" w:hAnsi="Times New Roman" w:hint="eastAsia"/>
          <w:bCs/>
          <w:szCs w:val="24"/>
        </w:rPr>
        <w:t>浓度单因子指数</w:t>
      </w:r>
      <w:r>
        <w:rPr>
          <w:rFonts w:ascii="Times New Roman" w:hAnsi="Times New Roman"/>
          <w:bCs/>
          <w:szCs w:val="24"/>
        </w:rPr>
        <w:t>范围为</w:t>
      </w:r>
      <w:r>
        <w:rPr>
          <w:rFonts w:ascii="Times New Roman" w:hAnsi="Times New Roman"/>
          <w:bCs/>
          <w:szCs w:val="24"/>
        </w:rPr>
        <w:t>0.</w:t>
      </w:r>
      <w:r>
        <w:rPr>
          <w:rFonts w:ascii="Times New Roman" w:hAnsi="Times New Roman" w:hint="eastAsia"/>
          <w:bCs/>
          <w:szCs w:val="24"/>
        </w:rPr>
        <w:t>240</w:t>
      </w:r>
      <w:r>
        <w:rPr>
          <w:rFonts w:ascii="Times New Roman" w:hAnsi="Times New Roman"/>
          <w:bCs/>
          <w:szCs w:val="24"/>
        </w:rPr>
        <w:t>～</w:t>
      </w:r>
      <w:r>
        <w:rPr>
          <w:rFonts w:ascii="Times New Roman" w:hAnsi="Times New Roman"/>
          <w:bCs/>
          <w:szCs w:val="24"/>
        </w:rPr>
        <w:t>0.</w:t>
      </w:r>
      <w:r>
        <w:rPr>
          <w:rFonts w:ascii="Times New Roman" w:hAnsi="Times New Roman" w:hint="eastAsia"/>
          <w:bCs/>
          <w:szCs w:val="24"/>
        </w:rPr>
        <w:t>347</w:t>
      </w:r>
      <w:r>
        <w:rPr>
          <w:rFonts w:ascii="Times New Roman" w:hAnsi="Times New Roman"/>
          <w:bCs/>
          <w:szCs w:val="24"/>
        </w:rPr>
        <w:t>。结果显示，各监测点</w:t>
      </w:r>
      <w:r>
        <w:rPr>
          <w:rFonts w:ascii="Times New Roman" w:hAnsi="Times New Roman"/>
          <w:bCs/>
          <w:szCs w:val="24"/>
        </w:rPr>
        <w:t>PM</w:t>
      </w:r>
      <w:r>
        <w:rPr>
          <w:rFonts w:ascii="Times New Roman" w:hAnsi="Times New Roman"/>
          <w:bCs/>
          <w:szCs w:val="24"/>
          <w:vertAlign w:val="subscript"/>
        </w:rPr>
        <w:t>10</w:t>
      </w:r>
      <w:r>
        <w:rPr>
          <w:rFonts w:ascii="Times New Roman" w:hAnsi="Times New Roman"/>
          <w:bCs/>
          <w:szCs w:val="24"/>
        </w:rPr>
        <w:t>的日平均浓度值全部达到《环境空气质量标准》（</w:t>
      </w:r>
      <w:r>
        <w:rPr>
          <w:rFonts w:ascii="Times New Roman" w:hAnsi="Times New Roman"/>
          <w:bCs/>
          <w:szCs w:val="24"/>
        </w:rPr>
        <w:t>GB3095-</w:t>
      </w:r>
      <w:r>
        <w:rPr>
          <w:rFonts w:ascii="Times New Roman" w:hAnsi="Times New Roman" w:hint="eastAsia"/>
          <w:bCs/>
          <w:szCs w:val="24"/>
        </w:rPr>
        <w:t>2012</w:t>
      </w:r>
      <w:r>
        <w:rPr>
          <w:rFonts w:ascii="Times New Roman" w:hAnsi="Times New Roman"/>
          <w:bCs/>
          <w:szCs w:val="24"/>
        </w:rPr>
        <w:t>）中的二级标准。</w:t>
      </w:r>
    </w:p>
    <w:p w:rsidR="004B4777" w:rsidRDefault="004B4777">
      <w:pPr>
        <w:ind w:firstLine="482"/>
        <w:rPr>
          <w:rFonts w:ascii="Times New Roman" w:hAnsi="Times New Roman"/>
          <w:b/>
          <w:bCs/>
          <w:szCs w:val="24"/>
        </w:rPr>
      </w:pPr>
      <w:r>
        <w:rPr>
          <w:rFonts w:ascii="Times New Roman" w:hAnsi="Times New Roman" w:hint="eastAsia"/>
          <w:b/>
          <w:bCs/>
          <w:szCs w:val="24"/>
        </w:rPr>
        <w:t>④细</w:t>
      </w:r>
      <w:r>
        <w:rPr>
          <w:rFonts w:ascii="Times New Roman" w:hAnsi="Times New Roman"/>
          <w:b/>
          <w:bCs/>
          <w:szCs w:val="24"/>
        </w:rPr>
        <w:t>颗粒物（</w:t>
      </w:r>
      <w:r>
        <w:rPr>
          <w:rFonts w:ascii="Times New Roman" w:hAnsi="Times New Roman"/>
          <w:b/>
          <w:bCs/>
          <w:szCs w:val="24"/>
        </w:rPr>
        <w:t>PM</w:t>
      </w:r>
      <w:r>
        <w:rPr>
          <w:rFonts w:ascii="Times New Roman" w:hAnsi="Times New Roman" w:hint="eastAsia"/>
          <w:b/>
          <w:bCs/>
          <w:szCs w:val="24"/>
          <w:vertAlign w:val="subscript"/>
        </w:rPr>
        <w:t>2.5</w:t>
      </w:r>
      <w:r>
        <w:rPr>
          <w:rFonts w:ascii="Times New Roman" w:hAnsi="Times New Roman"/>
          <w:b/>
          <w:bCs/>
          <w:szCs w:val="24"/>
        </w:rPr>
        <w:t>）</w:t>
      </w:r>
    </w:p>
    <w:p w:rsidR="004B4777" w:rsidRDefault="004B4777">
      <w:pPr>
        <w:ind w:firstLine="480"/>
        <w:rPr>
          <w:rFonts w:ascii="Times New Roman" w:hAnsi="Times New Roman"/>
          <w:bCs/>
          <w:szCs w:val="24"/>
        </w:rPr>
      </w:pPr>
      <w:r>
        <w:rPr>
          <w:rFonts w:ascii="Times New Roman" w:hAnsi="Times New Roman"/>
          <w:bCs/>
          <w:szCs w:val="24"/>
        </w:rPr>
        <w:t>PM</w:t>
      </w:r>
      <w:r>
        <w:rPr>
          <w:rFonts w:ascii="Times New Roman" w:hAnsi="Times New Roman" w:hint="eastAsia"/>
          <w:bCs/>
          <w:szCs w:val="24"/>
          <w:vertAlign w:val="subscript"/>
        </w:rPr>
        <w:t>2.5</w:t>
      </w:r>
      <w:r>
        <w:rPr>
          <w:rFonts w:ascii="Times New Roman" w:hAnsi="Times New Roman"/>
          <w:bCs/>
          <w:szCs w:val="24"/>
        </w:rPr>
        <w:t>的检出率为</w:t>
      </w:r>
      <w:r>
        <w:rPr>
          <w:rFonts w:ascii="Times New Roman" w:hAnsi="Times New Roman"/>
          <w:bCs/>
          <w:szCs w:val="24"/>
        </w:rPr>
        <w:t>100%</w:t>
      </w:r>
      <w:r>
        <w:rPr>
          <w:rFonts w:ascii="Times New Roman" w:hAnsi="Times New Roman"/>
          <w:bCs/>
          <w:szCs w:val="24"/>
        </w:rPr>
        <w:t>，</w:t>
      </w:r>
      <w:r>
        <w:rPr>
          <w:rFonts w:ascii="Times New Roman" w:hAnsi="Times New Roman" w:hint="eastAsia"/>
          <w:bCs/>
          <w:szCs w:val="24"/>
        </w:rPr>
        <w:t>2</w:t>
      </w:r>
      <w:r>
        <w:rPr>
          <w:rFonts w:ascii="Times New Roman" w:hAnsi="Times New Roman"/>
          <w:bCs/>
          <w:szCs w:val="24"/>
        </w:rPr>
        <w:t>个监测点日平均浓度值范围为</w:t>
      </w:r>
      <w:r>
        <w:rPr>
          <w:rFonts w:ascii="Times New Roman" w:hAnsi="Times New Roman" w:hint="eastAsia"/>
          <w:bCs/>
          <w:szCs w:val="24"/>
        </w:rPr>
        <w:t>18</w:t>
      </w:r>
      <w:r>
        <w:rPr>
          <w:rFonts w:ascii="Times New Roman" w:hAnsi="Times New Roman"/>
          <w:bCs/>
          <w:szCs w:val="24"/>
        </w:rPr>
        <w:t>~</w:t>
      </w:r>
      <w:r>
        <w:rPr>
          <w:rFonts w:ascii="Times New Roman" w:hAnsi="Times New Roman" w:hint="eastAsia"/>
          <w:bCs/>
          <w:szCs w:val="24"/>
        </w:rPr>
        <w:t>26</w:t>
      </w:r>
      <w:r>
        <w:rPr>
          <w:rFonts w:hint="eastAsia"/>
          <w:bCs/>
          <w:szCs w:val="24"/>
        </w:rPr>
        <w:t>μ</w:t>
      </w:r>
      <w:r>
        <w:rPr>
          <w:rFonts w:ascii="Times New Roman" w:hAnsi="Times New Roman"/>
          <w:bCs/>
          <w:szCs w:val="24"/>
        </w:rPr>
        <w:t>g/Nm</w:t>
      </w:r>
      <w:r>
        <w:rPr>
          <w:rFonts w:ascii="Times New Roman" w:hAnsi="Times New Roman"/>
          <w:bCs/>
          <w:szCs w:val="24"/>
          <w:vertAlign w:val="superscript"/>
        </w:rPr>
        <w:t>3</w:t>
      </w:r>
      <w:r>
        <w:rPr>
          <w:rFonts w:ascii="Times New Roman" w:hAnsi="Times New Roman"/>
          <w:bCs/>
          <w:szCs w:val="24"/>
        </w:rPr>
        <w:t>，</w:t>
      </w:r>
      <w:r>
        <w:rPr>
          <w:rFonts w:ascii="Times New Roman" w:hAnsi="Times New Roman" w:hint="eastAsia"/>
          <w:bCs/>
          <w:szCs w:val="24"/>
        </w:rPr>
        <w:t>浓度单因子指数</w:t>
      </w:r>
      <w:r>
        <w:rPr>
          <w:rFonts w:ascii="Times New Roman" w:hAnsi="Times New Roman"/>
          <w:bCs/>
          <w:szCs w:val="24"/>
        </w:rPr>
        <w:t>范围为</w:t>
      </w:r>
      <w:r>
        <w:rPr>
          <w:rFonts w:ascii="Times New Roman" w:hAnsi="Times New Roman"/>
          <w:bCs/>
          <w:szCs w:val="24"/>
        </w:rPr>
        <w:t>0.</w:t>
      </w:r>
      <w:r>
        <w:rPr>
          <w:rFonts w:ascii="Times New Roman" w:hAnsi="Times New Roman" w:hint="eastAsia"/>
          <w:bCs/>
          <w:szCs w:val="24"/>
        </w:rPr>
        <w:t>240</w:t>
      </w:r>
      <w:r>
        <w:rPr>
          <w:rFonts w:ascii="Times New Roman" w:hAnsi="Times New Roman"/>
          <w:bCs/>
          <w:szCs w:val="24"/>
        </w:rPr>
        <w:t>～</w:t>
      </w:r>
      <w:r>
        <w:rPr>
          <w:rFonts w:ascii="Times New Roman" w:hAnsi="Times New Roman"/>
          <w:bCs/>
          <w:szCs w:val="24"/>
        </w:rPr>
        <w:t>0.</w:t>
      </w:r>
      <w:r>
        <w:rPr>
          <w:rFonts w:ascii="Times New Roman" w:hAnsi="Times New Roman" w:hint="eastAsia"/>
          <w:bCs/>
          <w:szCs w:val="24"/>
        </w:rPr>
        <w:t>347</w:t>
      </w:r>
      <w:r>
        <w:rPr>
          <w:rFonts w:ascii="Times New Roman" w:hAnsi="Times New Roman"/>
          <w:bCs/>
          <w:szCs w:val="24"/>
        </w:rPr>
        <w:t>。结果显示，各监测点</w:t>
      </w:r>
      <w:r>
        <w:rPr>
          <w:rFonts w:ascii="Times New Roman" w:hAnsi="Times New Roman"/>
          <w:bCs/>
          <w:szCs w:val="24"/>
        </w:rPr>
        <w:t>PM</w:t>
      </w:r>
      <w:r>
        <w:rPr>
          <w:rFonts w:ascii="Times New Roman" w:hAnsi="Times New Roman" w:hint="eastAsia"/>
          <w:bCs/>
          <w:szCs w:val="24"/>
          <w:vertAlign w:val="subscript"/>
        </w:rPr>
        <w:t>2.5</w:t>
      </w:r>
      <w:r>
        <w:rPr>
          <w:rFonts w:ascii="Times New Roman" w:hAnsi="Times New Roman"/>
          <w:bCs/>
          <w:szCs w:val="24"/>
        </w:rPr>
        <w:t>的日平均浓度值全部达到《环境空气质量标准》（</w:t>
      </w:r>
      <w:r>
        <w:rPr>
          <w:rFonts w:ascii="Times New Roman" w:hAnsi="Times New Roman"/>
          <w:bCs/>
          <w:szCs w:val="24"/>
        </w:rPr>
        <w:t>GB3095-</w:t>
      </w:r>
      <w:r>
        <w:rPr>
          <w:rFonts w:ascii="Times New Roman" w:hAnsi="Times New Roman" w:hint="eastAsia"/>
          <w:bCs/>
          <w:szCs w:val="24"/>
        </w:rPr>
        <w:t>2012</w:t>
      </w:r>
      <w:r>
        <w:rPr>
          <w:rFonts w:ascii="Times New Roman" w:hAnsi="Times New Roman"/>
          <w:bCs/>
          <w:szCs w:val="24"/>
        </w:rPr>
        <w:t>）中的二级标准。</w:t>
      </w:r>
    </w:p>
    <w:p w:rsidR="004B4777" w:rsidRDefault="004B4777">
      <w:pPr>
        <w:ind w:firstLine="482"/>
        <w:rPr>
          <w:rFonts w:ascii="Times New Roman" w:hAnsi="Times New Roman"/>
          <w:b/>
          <w:bCs/>
          <w:szCs w:val="24"/>
        </w:rPr>
      </w:pPr>
      <w:r>
        <w:rPr>
          <w:rFonts w:ascii="Times New Roman" w:hAnsi="Times New Roman" w:hint="eastAsia"/>
          <w:b/>
          <w:bCs/>
          <w:szCs w:val="24"/>
        </w:rPr>
        <w:t>⑤总悬浮颗粒物</w:t>
      </w:r>
      <w:r>
        <w:rPr>
          <w:rFonts w:ascii="Times New Roman" w:hAnsi="Times New Roman"/>
          <w:b/>
          <w:bCs/>
          <w:szCs w:val="24"/>
        </w:rPr>
        <w:t>（</w:t>
      </w:r>
      <w:r>
        <w:rPr>
          <w:rFonts w:ascii="Times New Roman" w:hAnsi="Times New Roman" w:hint="eastAsia"/>
          <w:b/>
          <w:bCs/>
          <w:szCs w:val="24"/>
        </w:rPr>
        <w:t>TSP</w:t>
      </w:r>
      <w:r>
        <w:rPr>
          <w:rFonts w:ascii="Times New Roman" w:hAnsi="Times New Roman"/>
          <w:b/>
          <w:bCs/>
          <w:szCs w:val="24"/>
        </w:rPr>
        <w:t>）</w:t>
      </w:r>
    </w:p>
    <w:p w:rsidR="004B4777" w:rsidRDefault="004B4777">
      <w:pPr>
        <w:ind w:firstLine="480"/>
        <w:rPr>
          <w:rFonts w:ascii="Times New Roman" w:hAnsi="Times New Roman"/>
          <w:bCs/>
          <w:szCs w:val="24"/>
        </w:rPr>
      </w:pPr>
      <w:r>
        <w:rPr>
          <w:rFonts w:ascii="Times New Roman" w:hAnsi="Times New Roman" w:hint="eastAsia"/>
          <w:bCs/>
          <w:szCs w:val="24"/>
        </w:rPr>
        <w:t>TSP</w:t>
      </w:r>
      <w:r>
        <w:rPr>
          <w:rFonts w:ascii="Times New Roman" w:hAnsi="Times New Roman"/>
          <w:bCs/>
          <w:szCs w:val="24"/>
        </w:rPr>
        <w:t>的检出率为</w:t>
      </w:r>
      <w:r>
        <w:rPr>
          <w:rFonts w:ascii="Times New Roman" w:hAnsi="Times New Roman"/>
          <w:bCs/>
          <w:szCs w:val="24"/>
        </w:rPr>
        <w:t>100%</w:t>
      </w:r>
      <w:r>
        <w:rPr>
          <w:rFonts w:ascii="Times New Roman" w:hAnsi="Times New Roman"/>
          <w:bCs/>
          <w:szCs w:val="24"/>
        </w:rPr>
        <w:t>，</w:t>
      </w:r>
      <w:r>
        <w:rPr>
          <w:rFonts w:ascii="Times New Roman" w:hAnsi="Times New Roman" w:hint="eastAsia"/>
          <w:bCs/>
          <w:szCs w:val="24"/>
        </w:rPr>
        <w:t>2</w:t>
      </w:r>
      <w:r>
        <w:rPr>
          <w:rFonts w:ascii="Times New Roman" w:hAnsi="Times New Roman"/>
          <w:bCs/>
          <w:szCs w:val="24"/>
        </w:rPr>
        <w:t>个监测点日平均浓度值范围为</w:t>
      </w:r>
      <w:r>
        <w:rPr>
          <w:rFonts w:ascii="Times New Roman" w:hAnsi="Times New Roman" w:hint="eastAsia"/>
          <w:bCs/>
          <w:szCs w:val="24"/>
        </w:rPr>
        <w:t>103</w:t>
      </w:r>
      <w:r>
        <w:rPr>
          <w:rFonts w:ascii="Times New Roman" w:hAnsi="Times New Roman"/>
          <w:bCs/>
          <w:szCs w:val="24"/>
        </w:rPr>
        <w:t>~</w:t>
      </w:r>
      <w:r>
        <w:rPr>
          <w:rFonts w:ascii="Times New Roman" w:hAnsi="Times New Roman" w:hint="eastAsia"/>
          <w:bCs/>
          <w:szCs w:val="24"/>
        </w:rPr>
        <w:t>119</w:t>
      </w:r>
      <w:r>
        <w:rPr>
          <w:rFonts w:hint="eastAsia"/>
          <w:bCs/>
          <w:szCs w:val="24"/>
        </w:rPr>
        <w:t>μ</w:t>
      </w:r>
      <w:r>
        <w:rPr>
          <w:rFonts w:ascii="Times New Roman" w:hAnsi="Times New Roman"/>
          <w:bCs/>
          <w:szCs w:val="24"/>
        </w:rPr>
        <w:t>g/Nm</w:t>
      </w:r>
      <w:r>
        <w:rPr>
          <w:rFonts w:ascii="Times New Roman" w:hAnsi="Times New Roman"/>
          <w:bCs/>
          <w:szCs w:val="24"/>
          <w:vertAlign w:val="superscript"/>
        </w:rPr>
        <w:t>3</w:t>
      </w:r>
      <w:r>
        <w:rPr>
          <w:rFonts w:ascii="Times New Roman" w:hAnsi="Times New Roman"/>
          <w:bCs/>
          <w:szCs w:val="24"/>
        </w:rPr>
        <w:t>，浓度单因子指数范围为</w:t>
      </w:r>
      <w:r>
        <w:rPr>
          <w:rFonts w:ascii="Times New Roman" w:hAnsi="Times New Roman"/>
          <w:bCs/>
          <w:szCs w:val="24"/>
        </w:rPr>
        <w:t>0.</w:t>
      </w:r>
      <w:r>
        <w:rPr>
          <w:rFonts w:ascii="Times New Roman" w:hAnsi="Times New Roman" w:hint="eastAsia"/>
          <w:bCs/>
          <w:szCs w:val="24"/>
        </w:rPr>
        <w:t>343</w:t>
      </w:r>
      <w:r>
        <w:rPr>
          <w:rFonts w:ascii="Times New Roman" w:hAnsi="Times New Roman"/>
          <w:bCs/>
          <w:szCs w:val="24"/>
        </w:rPr>
        <w:t>～</w:t>
      </w:r>
      <w:r>
        <w:rPr>
          <w:rFonts w:ascii="Times New Roman" w:hAnsi="Times New Roman"/>
          <w:bCs/>
          <w:szCs w:val="24"/>
        </w:rPr>
        <w:t>0.</w:t>
      </w:r>
      <w:r>
        <w:rPr>
          <w:rFonts w:ascii="Times New Roman" w:hAnsi="Times New Roman" w:hint="eastAsia"/>
          <w:bCs/>
          <w:szCs w:val="24"/>
        </w:rPr>
        <w:t>420</w:t>
      </w:r>
      <w:r>
        <w:rPr>
          <w:rFonts w:ascii="Times New Roman" w:hAnsi="Times New Roman"/>
          <w:bCs/>
          <w:szCs w:val="24"/>
        </w:rPr>
        <w:t>。结果显示，各监测点</w:t>
      </w:r>
      <w:r>
        <w:rPr>
          <w:rFonts w:ascii="Times New Roman" w:hAnsi="Times New Roman" w:hint="eastAsia"/>
          <w:bCs/>
          <w:szCs w:val="24"/>
        </w:rPr>
        <w:t>TSP</w:t>
      </w:r>
      <w:r>
        <w:rPr>
          <w:rFonts w:ascii="Times New Roman" w:hAnsi="Times New Roman"/>
          <w:bCs/>
          <w:szCs w:val="24"/>
        </w:rPr>
        <w:t>的日平均浓度值全部达到《环境空气质量标准》（</w:t>
      </w:r>
      <w:r>
        <w:rPr>
          <w:rFonts w:ascii="Times New Roman" w:hAnsi="Times New Roman"/>
          <w:bCs/>
          <w:szCs w:val="24"/>
        </w:rPr>
        <w:t>GB3095-</w:t>
      </w:r>
      <w:r>
        <w:rPr>
          <w:rFonts w:ascii="Times New Roman" w:hAnsi="Times New Roman" w:hint="eastAsia"/>
          <w:bCs/>
          <w:szCs w:val="24"/>
        </w:rPr>
        <w:t>2012</w:t>
      </w:r>
      <w:r>
        <w:rPr>
          <w:rFonts w:ascii="Times New Roman" w:hAnsi="Times New Roman"/>
          <w:bCs/>
          <w:szCs w:val="24"/>
        </w:rPr>
        <w:t>）中的二级标准。</w:t>
      </w:r>
    </w:p>
    <w:p w:rsidR="004B4777" w:rsidRDefault="004B4777">
      <w:pPr>
        <w:ind w:firstLine="480"/>
        <w:rPr>
          <w:rFonts w:ascii="Times New Roman" w:hAnsi="Times New Roman"/>
          <w:bCs/>
          <w:szCs w:val="24"/>
        </w:rPr>
      </w:pPr>
      <w:r>
        <w:rPr>
          <w:rFonts w:ascii="Times New Roman" w:hAnsi="Times New Roman"/>
          <w:bCs/>
          <w:szCs w:val="24"/>
        </w:rPr>
        <w:t>综上所述，评价区域</w:t>
      </w:r>
      <w:r>
        <w:rPr>
          <w:rFonts w:ascii="Times New Roman" w:hAnsi="Times New Roman" w:hint="eastAsia"/>
        </w:rPr>
        <w:t>监测点</w:t>
      </w: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hint="eastAsia"/>
        </w:rPr>
        <w:t>、</w:t>
      </w:r>
      <w:r>
        <w:rPr>
          <w:rFonts w:ascii="Times New Roman" w:hAnsi="Times New Roman"/>
        </w:rPr>
        <w:t>PM</w:t>
      </w:r>
      <w:r>
        <w:rPr>
          <w:rFonts w:ascii="Times New Roman" w:hAnsi="Times New Roman" w:hint="eastAsia"/>
          <w:vertAlign w:val="subscript"/>
        </w:rPr>
        <w:t>2.5</w:t>
      </w:r>
      <w:r>
        <w:rPr>
          <w:rFonts w:ascii="Times New Roman" w:hAnsi="Times New Roman" w:hint="eastAsia"/>
        </w:rPr>
        <w:t>、</w:t>
      </w:r>
      <w:r>
        <w:rPr>
          <w:rFonts w:ascii="Times New Roman" w:hAnsi="Times New Roman"/>
        </w:rPr>
        <w:t>TSP</w:t>
      </w:r>
      <w:r>
        <w:rPr>
          <w:rFonts w:ascii="Times New Roman" w:hAnsi="Times New Roman" w:hint="eastAsia"/>
        </w:rPr>
        <w:t>均满足</w:t>
      </w:r>
      <w:r>
        <w:rPr>
          <w:rFonts w:ascii="Times New Roman" w:hAnsi="Times New Roman"/>
        </w:rPr>
        <w:t>《环境空气质量标准》（</w:t>
      </w:r>
      <w:r>
        <w:rPr>
          <w:rFonts w:ascii="Times New Roman" w:hAnsi="Times New Roman"/>
        </w:rPr>
        <w:t>GB3095-</w:t>
      </w:r>
      <w:r>
        <w:rPr>
          <w:rFonts w:ascii="Times New Roman" w:hAnsi="Times New Roman" w:hint="eastAsia"/>
        </w:rPr>
        <w:t>2012</w:t>
      </w:r>
      <w:r>
        <w:rPr>
          <w:rFonts w:ascii="Times New Roman" w:hAnsi="Times New Roman"/>
        </w:rPr>
        <w:t>）</w:t>
      </w:r>
      <w:r>
        <w:rPr>
          <w:rFonts w:ascii="Times New Roman" w:hAnsi="Times New Roman" w:hint="eastAsia"/>
        </w:rPr>
        <w:t>中</w:t>
      </w:r>
      <w:r>
        <w:rPr>
          <w:rFonts w:ascii="Times New Roman" w:hAnsi="Times New Roman"/>
        </w:rPr>
        <w:t>二级</w:t>
      </w:r>
      <w:r>
        <w:rPr>
          <w:rFonts w:ascii="Times New Roman" w:hAnsi="Times New Roman" w:hint="eastAsia"/>
        </w:rPr>
        <w:t>浓度</w:t>
      </w:r>
      <w:r>
        <w:rPr>
          <w:rFonts w:ascii="Times New Roman" w:hAnsi="Times New Roman"/>
        </w:rPr>
        <w:t>限值</w:t>
      </w:r>
      <w:r>
        <w:rPr>
          <w:rFonts w:ascii="Times New Roman" w:hAnsi="Times New Roman" w:hint="eastAsia"/>
        </w:rPr>
        <w:t>的要求，</w:t>
      </w:r>
      <w:r>
        <w:rPr>
          <w:rFonts w:ascii="Times New Roman" w:hAnsi="Times New Roman"/>
          <w:bCs/>
          <w:szCs w:val="24"/>
        </w:rPr>
        <w:t>环境空气质量现状良好。</w:t>
      </w:r>
    </w:p>
    <w:p w:rsidR="004B4777" w:rsidRDefault="004B4777">
      <w:pPr>
        <w:pStyle w:val="3"/>
        <w:spacing w:before="0" w:after="0"/>
        <w:rPr>
          <w:rFonts w:ascii="Times New Roman" w:eastAsia="宋体" w:hAnsi="Times New Roman"/>
          <w:b/>
        </w:rPr>
      </w:pPr>
      <w:bookmarkStart w:id="146" w:name="_Toc508791376"/>
      <w:r>
        <w:rPr>
          <w:rFonts w:ascii="Times New Roman" w:eastAsia="宋体" w:hAnsi="Times New Roman" w:hint="eastAsia"/>
          <w:b/>
        </w:rPr>
        <w:lastRenderedPageBreak/>
        <w:t>5.2.2</w:t>
      </w:r>
      <w:r>
        <w:rPr>
          <w:rFonts w:ascii="Times New Roman" w:eastAsia="宋体" w:hAnsi="Times New Roman" w:hint="eastAsia"/>
          <w:b/>
        </w:rPr>
        <w:t>地表水</w:t>
      </w:r>
      <w:r>
        <w:rPr>
          <w:rFonts w:ascii="Times New Roman" w:eastAsia="宋体" w:hAnsi="Times New Roman"/>
          <w:b/>
        </w:rPr>
        <w:t>环境质量现状</w:t>
      </w:r>
      <w:r>
        <w:rPr>
          <w:rFonts w:ascii="Times New Roman" w:eastAsia="宋体" w:hAnsi="Times New Roman" w:hint="eastAsia"/>
          <w:b/>
        </w:rPr>
        <w:t>调查与评价</w:t>
      </w:r>
      <w:bookmarkEnd w:id="146"/>
    </w:p>
    <w:p w:rsidR="004B4777" w:rsidRDefault="004B4777">
      <w:pPr>
        <w:pStyle w:val="4"/>
        <w:spacing w:before="0" w:after="0"/>
        <w:rPr>
          <w:rFonts w:ascii="Times New Roman" w:eastAsia="宋体" w:hAnsi="Times New Roman" w:hint="eastAsia"/>
          <w:b/>
        </w:rPr>
      </w:pPr>
      <w:r>
        <w:rPr>
          <w:rFonts w:ascii="Times New Roman" w:eastAsia="宋体" w:hAnsi="Times New Roman" w:hint="eastAsia"/>
          <w:b/>
        </w:rPr>
        <w:t xml:space="preserve">5.2.2.1 </w:t>
      </w:r>
      <w:r>
        <w:rPr>
          <w:rFonts w:ascii="Times New Roman" w:eastAsia="宋体" w:hAnsi="Times New Roman" w:hint="eastAsia"/>
          <w:b/>
        </w:rPr>
        <w:t>易婆塘采区和斗米咀采区监测断面</w:t>
      </w:r>
    </w:p>
    <w:p w:rsidR="004B4777" w:rsidRDefault="004B4777">
      <w:pPr>
        <w:pStyle w:val="aff5"/>
        <w:ind w:firstLine="482"/>
        <w:rPr>
          <w:b/>
        </w:rPr>
      </w:pPr>
      <w:r>
        <w:rPr>
          <w:rFonts w:hint="eastAsia"/>
          <w:b/>
        </w:rPr>
        <w:t>（</w:t>
      </w:r>
      <w:r>
        <w:rPr>
          <w:rFonts w:hint="eastAsia"/>
          <w:b/>
        </w:rPr>
        <w:t>1</w:t>
      </w:r>
      <w:r>
        <w:rPr>
          <w:rFonts w:hint="eastAsia"/>
          <w:b/>
        </w:rPr>
        <w:t>）监测断面设置</w:t>
      </w:r>
    </w:p>
    <w:p w:rsidR="004B4777" w:rsidRDefault="004B4777">
      <w:pPr>
        <w:pStyle w:val="aff5"/>
        <w:ind w:firstLine="480"/>
      </w:pPr>
      <w:r>
        <w:t>本次评价</w:t>
      </w:r>
      <w:r>
        <w:rPr>
          <w:rFonts w:hint="eastAsia"/>
        </w:rPr>
        <w:t>选取易婆塘采区和斗米咀采区监测数据，共</w:t>
      </w:r>
      <w:r>
        <w:rPr>
          <w:rFonts w:hint="eastAsia"/>
        </w:rPr>
        <w:t>4</w:t>
      </w:r>
      <w:r>
        <w:rPr>
          <w:rFonts w:hint="eastAsia"/>
        </w:rPr>
        <w:t>个监测断面，监测断面设置情况见表</w:t>
      </w:r>
      <w:r>
        <w:rPr>
          <w:rFonts w:hint="eastAsia"/>
        </w:rPr>
        <w:t>5.2-4</w:t>
      </w:r>
      <w:r>
        <w:t>。</w:t>
      </w:r>
    </w:p>
    <w:p w:rsidR="004B4777" w:rsidRDefault="004B4777">
      <w:pPr>
        <w:pStyle w:val="af"/>
        <w:spacing w:line="240" w:lineRule="auto"/>
        <w:rPr>
          <w:b/>
        </w:rPr>
      </w:pPr>
      <w:r>
        <w:rPr>
          <w:b/>
        </w:rPr>
        <w:t>表</w:t>
      </w:r>
      <w:r>
        <w:rPr>
          <w:b/>
        </w:rPr>
        <w:t>5.2-</w:t>
      </w:r>
      <w:r>
        <w:rPr>
          <w:rFonts w:hint="eastAsia"/>
          <w:b/>
        </w:rPr>
        <w:t>4</w:t>
      </w:r>
      <w:r>
        <w:rPr>
          <w:b/>
        </w:rPr>
        <w:t xml:space="preserve">   </w:t>
      </w:r>
      <w:r>
        <w:rPr>
          <w:b/>
        </w:rPr>
        <w:t>地表水水环境现状监测断面布设</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159"/>
        <w:gridCol w:w="5530"/>
      </w:tblGrid>
      <w:tr w:rsidR="004B4777">
        <w:trPr>
          <w:trHeight w:val="397"/>
          <w:jc w:val="center"/>
        </w:trPr>
        <w:tc>
          <w:tcPr>
            <w:tcW w:w="3159" w:type="dxa"/>
            <w:vAlign w:val="center"/>
          </w:tcPr>
          <w:p w:rsidR="004B4777" w:rsidRDefault="004B4777">
            <w:pPr>
              <w:pStyle w:val="affff8"/>
              <w:rPr>
                <w:rFonts w:eastAsia="宋体"/>
              </w:rPr>
            </w:pPr>
            <w:r>
              <w:rPr>
                <w:rFonts w:eastAsia="宋体" w:cs="宋体" w:hint="eastAsia"/>
              </w:rPr>
              <w:t>水体</w:t>
            </w:r>
          </w:p>
        </w:tc>
        <w:tc>
          <w:tcPr>
            <w:tcW w:w="5530" w:type="dxa"/>
            <w:vAlign w:val="center"/>
          </w:tcPr>
          <w:p w:rsidR="004B4777" w:rsidRDefault="004B4777">
            <w:pPr>
              <w:pStyle w:val="affff8"/>
              <w:rPr>
                <w:rFonts w:eastAsia="宋体"/>
              </w:rPr>
            </w:pPr>
            <w:r>
              <w:rPr>
                <w:rFonts w:eastAsia="宋体" w:cs="宋体" w:hint="eastAsia"/>
              </w:rPr>
              <w:t>断面位置</w:t>
            </w:r>
          </w:p>
        </w:tc>
      </w:tr>
      <w:tr w:rsidR="004B4777">
        <w:trPr>
          <w:trHeight w:val="397"/>
          <w:jc w:val="center"/>
        </w:trPr>
        <w:tc>
          <w:tcPr>
            <w:tcW w:w="3159" w:type="dxa"/>
            <w:vAlign w:val="center"/>
          </w:tcPr>
          <w:p w:rsidR="004B4777" w:rsidRDefault="004B4777">
            <w:pPr>
              <w:pStyle w:val="affff8"/>
              <w:rPr>
                <w:rFonts w:eastAsia="宋体"/>
              </w:rPr>
            </w:pPr>
            <w:r>
              <w:rPr>
                <w:rFonts w:eastAsia="宋体" w:cs="宋体" w:hint="eastAsia"/>
              </w:rPr>
              <w:t>资水北支流</w:t>
            </w:r>
          </w:p>
        </w:tc>
        <w:tc>
          <w:tcPr>
            <w:tcW w:w="5530" w:type="dxa"/>
            <w:vAlign w:val="center"/>
          </w:tcPr>
          <w:p w:rsidR="004B4777" w:rsidRDefault="004B4777">
            <w:pPr>
              <w:pStyle w:val="affff8"/>
              <w:rPr>
                <w:rFonts w:eastAsia="宋体"/>
              </w:rPr>
            </w:pPr>
            <w:r>
              <w:rPr>
                <w:rFonts w:eastAsia="宋体" w:cs="宋体" w:hint="eastAsia"/>
              </w:rPr>
              <w:t>易婆塘采区上游</w:t>
            </w:r>
            <w:r>
              <w:rPr>
                <w:rFonts w:eastAsia="宋体"/>
              </w:rPr>
              <w:t>500m</w:t>
            </w:r>
          </w:p>
        </w:tc>
      </w:tr>
      <w:tr w:rsidR="004B4777">
        <w:trPr>
          <w:trHeight w:val="397"/>
          <w:jc w:val="center"/>
        </w:trPr>
        <w:tc>
          <w:tcPr>
            <w:tcW w:w="3159" w:type="dxa"/>
            <w:vAlign w:val="center"/>
          </w:tcPr>
          <w:p w:rsidR="004B4777" w:rsidRDefault="004B4777">
            <w:pPr>
              <w:pStyle w:val="affff8"/>
              <w:rPr>
                <w:rFonts w:eastAsia="宋体"/>
              </w:rPr>
            </w:pPr>
            <w:r>
              <w:rPr>
                <w:rFonts w:eastAsia="宋体" w:cs="宋体" w:hint="eastAsia"/>
              </w:rPr>
              <w:t>资水北支流</w:t>
            </w:r>
          </w:p>
        </w:tc>
        <w:tc>
          <w:tcPr>
            <w:tcW w:w="5530" w:type="dxa"/>
            <w:vAlign w:val="center"/>
          </w:tcPr>
          <w:p w:rsidR="004B4777" w:rsidRDefault="004B4777">
            <w:pPr>
              <w:pStyle w:val="affff8"/>
              <w:rPr>
                <w:rFonts w:eastAsia="宋体"/>
              </w:rPr>
            </w:pPr>
            <w:r>
              <w:rPr>
                <w:rFonts w:eastAsia="宋体" w:cs="宋体" w:hint="eastAsia"/>
              </w:rPr>
              <w:t>易婆塘采区下游</w:t>
            </w:r>
            <w:r>
              <w:rPr>
                <w:rFonts w:eastAsia="宋体"/>
              </w:rPr>
              <w:t>500m</w:t>
            </w:r>
          </w:p>
        </w:tc>
      </w:tr>
      <w:tr w:rsidR="004B4777">
        <w:trPr>
          <w:trHeight w:val="397"/>
          <w:jc w:val="center"/>
        </w:trPr>
        <w:tc>
          <w:tcPr>
            <w:tcW w:w="3159" w:type="dxa"/>
            <w:vAlign w:val="center"/>
          </w:tcPr>
          <w:p w:rsidR="004B4777" w:rsidRDefault="004B4777">
            <w:pPr>
              <w:pStyle w:val="affff8"/>
              <w:rPr>
                <w:rFonts w:eastAsia="宋体"/>
              </w:rPr>
            </w:pPr>
            <w:r>
              <w:rPr>
                <w:rFonts w:eastAsia="宋体" w:cs="宋体" w:hint="eastAsia"/>
              </w:rPr>
              <w:t>湘江西支</w:t>
            </w:r>
          </w:p>
        </w:tc>
        <w:tc>
          <w:tcPr>
            <w:tcW w:w="5530" w:type="dxa"/>
            <w:vAlign w:val="center"/>
          </w:tcPr>
          <w:p w:rsidR="004B4777" w:rsidRDefault="004B4777">
            <w:pPr>
              <w:pStyle w:val="affff8"/>
              <w:rPr>
                <w:rFonts w:eastAsia="宋体"/>
              </w:rPr>
            </w:pPr>
            <w:r>
              <w:rPr>
                <w:rFonts w:eastAsia="宋体" w:cs="宋体" w:hint="eastAsia"/>
                <w:color w:val="000000"/>
              </w:rPr>
              <w:t>斗米咀采区</w:t>
            </w:r>
            <w:r>
              <w:rPr>
                <w:rFonts w:eastAsia="宋体" w:cs="宋体" w:hint="eastAsia"/>
              </w:rPr>
              <w:t>上游</w:t>
            </w:r>
            <w:r>
              <w:rPr>
                <w:rFonts w:eastAsia="宋体"/>
              </w:rPr>
              <w:t>500m</w:t>
            </w:r>
          </w:p>
        </w:tc>
      </w:tr>
      <w:tr w:rsidR="004B4777">
        <w:trPr>
          <w:trHeight w:val="397"/>
          <w:jc w:val="center"/>
        </w:trPr>
        <w:tc>
          <w:tcPr>
            <w:tcW w:w="3159" w:type="dxa"/>
            <w:vAlign w:val="center"/>
          </w:tcPr>
          <w:p w:rsidR="004B4777" w:rsidRDefault="004B4777">
            <w:pPr>
              <w:pStyle w:val="affff8"/>
              <w:rPr>
                <w:rFonts w:eastAsia="宋体"/>
              </w:rPr>
            </w:pPr>
            <w:r>
              <w:rPr>
                <w:rFonts w:eastAsia="宋体" w:cs="宋体" w:hint="eastAsia"/>
              </w:rPr>
              <w:t>湘江</w:t>
            </w:r>
          </w:p>
        </w:tc>
        <w:tc>
          <w:tcPr>
            <w:tcW w:w="5530" w:type="dxa"/>
            <w:vAlign w:val="center"/>
          </w:tcPr>
          <w:p w:rsidR="004B4777" w:rsidRDefault="004B4777">
            <w:pPr>
              <w:pStyle w:val="affff8"/>
              <w:rPr>
                <w:rFonts w:eastAsia="宋体"/>
              </w:rPr>
            </w:pPr>
            <w:r>
              <w:rPr>
                <w:rFonts w:eastAsia="宋体" w:cs="宋体" w:hint="eastAsia"/>
                <w:color w:val="000000"/>
              </w:rPr>
              <w:t>斗米咀采区</w:t>
            </w:r>
            <w:r>
              <w:rPr>
                <w:rFonts w:eastAsia="宋体" w:cs="宋体" w:hint="eastAsia"/>
              </w:rPr>
              <w:t>下游</w:t>
            </w:r>
            <w:r>
              <w:rPr>
                <w:rFonts w:eastAsia="宋体"/>
              </w:rPr>
              <w:t>500m</w:t>
            </w:r>
          </w:p>
        </w:tc>
      </w:tr>
    </w:tbl>
    <w:p w:rsidR="004B4777" w:rsidRDefault="004B4777">
      <w:pPr>
        <w:ind w:firstLine="482"/>
        <w:rPr>
          <w:rFonts w:ascii="Times New Roman" w:hAnsi="Times New Roman"/>
          <w:b/>
          <w:szCs w:val="24"/>
        </w:rPr>
      </w:pPr>
      <w:r>
        <w:rPr>
          <w:rFonts w:ascii="Times New Roman" w:hAnsi="Times New Roman" w:hint="eastAsia"/>
          <w:b/>
          <w:szCs w:val="24"/>
        </w:rPr>
        <w:t>（</w:t>
      </w:r>
      <w:r>
        <w:rPr>
          <w:rFonts w:ascii="Times New Roman" w:hAnsi="Times New Roman" w:hint="eastAsia"/>
          <w:b/>
          <w:szCs w:val="24"/>
        </w:rPr>
        <w:t>2</w:t>
      </w:r>
      <w:r>
        <w:rPr>
          <w:rFonts w:ascii="Times New Roman" w:hAnsi="Times New Roman" w:hint="eastAsia"/>
          <w:b/>
          <w:szCs w:val="24"/>
        </w:rPr>
        <w:t>）监测因子、时间、频率</w:t>
      </w:r>
    </w:p>
    <w:p w:rsidR="004B4777" w:rsidRDefault="004B4777">
      <w:pPr>
        <w:pStyle w:val="aff5"/>
        <w:ind w:firstLine="480"/>
      </w:pPr>
      <w:r>
        <w:rPr>
          <w:rFonts w:hint="eastAsia"/>
        </w:rPr>
        <w:t>①</w:t>
      </w:r>
      <w:r>
        <w:t>监测</w:t>
      </w:r>
      <w:r>
        <w:rPr>
          <w:rFonts w:hint="eastAsia"/>
        </w:rPr>
        <w:t>因子</w:t>
      </w:r>
    </w:p>
    <w:p w:rsidR="004B4777" w:rsidRDefault="004B4777">
      <w:pPr>
        <w:pStyle w:val="aff5"/>
        <w:ind w:firstLine="480"/>
        <w:rPr>
          <w:bCs/>
        </w:rPr>
      </w:pPr>
      <w:r>
        <w:rPr>
          <w:bCs/>
        </w:rPr>
        <w:t>监测因子选取水温、</w:t>
      </w:r>
      <w:r>
        <w:rPr>
          <w:bCs/>
        </w:rPr>
        <w:t>pH</w:t>
      </w:r>
      <w:r>
        <w:rPr>
          <w:bCs/>
        </w:rPr>
        <w:t>、</w:t>
      </w:r>
      <w:r>
        <w:rPr>
          <w:bCs/>
        </w:rPr>
        <w:t>DO</w:t>
      </w:r>
      <w:r>
        <w:rPr>
          <w:bCs/>
        </w:rPr>
        <w:t>、</w:t>
      </w:r>
      <w:r>
        <w:rPr>
          <w:bCs/>
        </w:rPr>
        <w:t>CODcr</w:t>
      </w:r>
      <w:r>
        <w:rPr>
          <w:bCs/>
        </w:rPr>
        <w:t>、</w:t>
      </w:r>
      <w:r>
        <w:rPr>
          <w:bCs/>
        </w:rPr>
        <w:t>BOD</w:t>
      </w:r>
      <w:r>
        <w:rPr>
          <w:bCs/>
          <w:vertAlign w:val="subscript"/>
        </w:rPr>
        <w:t>5</w:t>
      </w:r>
      <w:r>
        <w:rPr>
          <w:bCs/>
        </w:rPr>
        <w:t>、氨氮、总磷、铜、锌、砷、镉、六价铬、硒、铅、氰化物、挥发酚、石油类、硫化物、阴离子表面活性剂、粪大肠菌群、</w:t>
      </w:r>
      <w:r>
        <w:rPr>
          <w:bCs/>
        </w:rPr>
        <w:t>SS</w:t>
      </w:r>
      <w:r>
        <w:rPr>
          <w:bCs/>
        </w:rPr>
        <w:t>、硫酸盐、硝酸盐、镍。</w:t>
      </w:r>
    </w:p>
    <w:p w:rsidR="004B4777" w:rsidRDefault="004B4777">
      <w:pPr>
        <w:pStyle w:val="aff5"/>
        <w:ind w:firstLine="480"/>
        <w:rPr>
          <w:bCs/>
        </w:rPr>
      </w:pPr>
      <w:r>
        <w:rPr>
          <w:rFonts w:hint="eastAsia"/>
        </w:rPr>
        <w:t>②</w:t>
      </w:r>
      <w:r>
        <w:rPr>
          <w:rFonts w:hint="eastAsia"/>
          <w:bCs/>
        </w:rPr>
        <w:t>监测时间和频次</w:t>
      </w:r>
    </w:p>
    <w:p w:rsidR="004B4777" w:rsidRDefault="004B4777">
      <w:pPr>
        <w:pStyle w:val="aff5"/>
        <w:ind w:firstLine="480"/>
        <w:rPr>
          <w:bCs/>
        </w:rPr>
      </w:pPr>
      <w:r>
        <w:rPr>
          <w:bCs/>
        </w:rPr>
        <w:t>湖南谱实检测技术有限公司于</w:t>
      </w:r>
      <w:r>
        <w:rPr>
          <w:bCs/>
        </w:rPr>
        <w:t>2018</w:t>
      </w:r>
      <w:r>
        <w:rPr>
          <w:bCs/>
        </w:rPr>
        <w:t>年</w:t>
      </w:r>
      <w:r>
        <w:rPr>
          <w:bCs/>
        </w:rPr>
        <w:t>2</w:t>
      </w:r>
      <w:r>
        <w:rPr>
          <w:bCs/>
        </w:rPr>
        <w:t>月</w:t>
      </w:r>
      <w:r>
        <w:rPr>
          <w:bCs/>
        </w:rPr>
        <w:t>1</w:t>
      </w:r>
      <w:r>
        <w:rPr>
          <w:bCs/>
        </w:rPr>
        <w:t>月</w:t>
      </w:r>
      <w:r>
        <w:rPr>
          <w:bCs/>
        </w:rPr>
        <w:t>~2</w:t>
      </w:r>
      <w:r>
        <w:rPr>
          <w:bCs/>
        </w:rPr>
        <w:t>月</w:t>
      </w:r>
      <w:r>
        <w:rPr>
          <w:bCs/>
        </w:rPr>
        <w:t>3</w:t>
      </w:r>
      <w:r>
        <w:rPr>
          <w:bCs/>
        </w:rPr>
        <w:t>日连续采样</w:t>
      </w:r>
      <w:r>
        <w:rPr>
          <w:bCs/>
        </w:rPr>
        <w:t>3</w:t>
      </w:r>
      <w:r>
        <w:rPr>
          <w:bCs/>
        </w:rPr>
        <w:t>天，每天取样监测</w:t>
      </w:r>
      <w:r>
        <w:rPr>
          <w:bCs/>
        </w:rPr>
        <w:t>1</w:t>
      </w:r>
      <w:r>
        <w:rPr>
          <w:bCs/>
        </w:rPr>
        <w:t>次。</w:t>
      </w:r>
    </w:p>
    <w:p w:rsidR="004B4777" w:rsidRDefault="004B4777">
      <w:pPr>
        <w:pStyle w:val="aff5"/>
        <w:ind w:firstLine="482"/>
        <w:rPr>
          <w:b/>
        </w:rPr>
      </w:pPr>
      <w:r>
        <w:rPr>
          <w:rFonts w:hint="eastAsia"/>
          <w:b/>
        </w:rPr>
        <w:t>（</w:t>
      </w:r>
      <w:r>
        <w:rPr>
          <w:rFonts w:hint="eastAsia"/>
          <w:b/>
        </w:rPr>
        <w:t>3</w:t>
      </w:r>
      <w:r>
        <w:rPr>
          <w:rFonts w:hint="eastAsia"/>
          <w:b/>
        </w:rPr>
        <w:t>）分析方法</w:t>
      </w:r>
    </w:p>
    <w:p w:rsidR="004B4777" w:rsidRDefault="004B4777">
      <w:pPr>
        <w:pStyle w:val="aff5"/>
        <w:ind w:firstLine="480"/>
      </w:pPr>
      <w:r>
        <w:rPr>
          <w:bCs/>
        </w:rPr>
        <w:t>本报告中各监测项目所用采样及分析方法均按照国家环保局《环境监测技术规范》、《环境监测分析方法》要求的方法进行</w:t>
      </w:r>
      <w:r>
        <w:rPr>
          <w:rFonts w:hint="eastAsia"/>
          <w:bCs/>
        </w:rPr>
        <w:t>。</w:t>
      </w:r>
    </w:p>
    <w:p w:rsidR="004B4777" w:rsidRDefault="004B4777">
      <w:pPr>
        <w:ind w:firstLine="482"/>
        <w:rPr>
          <w:rFonts w:ascii="Times New Roman" w:hAnsi="Times New Roman"/>
          <w:b/>
          <w:bCs/>
          <w:szCs w:val="24"/>
        </w:rPr>
      </w:pPr>
      <w:r>
        <w:rPr>
          <w:rFonts w:ascii="Times New Roman" w:hAnsi="Times New Roman" w:hint="eastAsia"/>
          <w:b/>
          <w:bCs/>
          <w:szCs w:val="24"/>
        </w:rPr>
        <w:t>（</w:t>
      </w:r>
      <w:r>
        <w:rPr>
          <w:rFonts w:ascii="Times New Roman" w:hAnsi="Times New Roman" w:hint="eastAsia"/>
          <w:b/>
          <w:bCs/>
          <w:szCs w:val="24"/>
        </w:rPr>
        <w:t>4</w:t>
      </w:r>
      <w:r>
        <w:rPr>
          <w:rFonts w:ascii="Times New Roman" w:hAnsi="Times New Roman" w:hint="eastAsia"/>
          <w:b/>
          <w:bCs/>
          <w:szCs w:val="24"/>
        </w:rPr>
        <w:t>）评价标准</w:t>
      </w:r>
    </w:p>
    <w:p w:rsidR="004B4777" w:rsidRDefault="004B4777">
      <w:pPr>
        <w:ind w:firstLine="480"/>
        <w:rPr>
          <w:rFonts w:ascii="Times New Roman" w:hAnsi="Times New Roman"/>
          <w:szCs w:val="24"/>
        </w:rPr>
      </w:pPr>
      <w:r>
        <w:rPr>
          <w:rFonts w:ascii="Times New Roman" w:hAnsi="Times New Roman"/>
          <w:szCs w:val="24"/>
        </w:rPr>
        <w:t>地表水评价标准根据各评价河段水质目标</w:t>
      </w:r>
      <w:r>
        <w:rPr>
          <w:rFonts w:ascii="Times New Roman" w:hAnsi="Times New Roman" w:hint="eastAsia"/>
          <w:szCs w:val="24"/>
        </w:rPr>
        <w:t>，</w:t>
      </w:r>
      <w:r>
        <w:rPr>
          <w:rFonts w:ascii="Times New Roman" w:hAnsi="Times New Roman"/>
          <w:szCs w:val="24"/>
        </w:rPr>
        <w:t>采用《地表水环境质量标准》（</w:t>
      </w:r>
      <w:r>
        <w:rPr>
          <w:rFonts w:ascii="Times New Roman" w:hAnsi="Times New Roman"/>
          <w:szCs w:val="24"/>
        </w:rPr>
        <w:t>GB3838-2002</w:t>
      </w:r>
      <w:r>
        <w:rPr>
          <w:rFonts w:ascii="Times New Roman" w:hAnsi="Times New Roman"/>
          <w:szCs w:val="24"/>
        </w:rPr>
        <w:t>）中的</w:t>
      </w:r>
      <w:r>
        <w:rPr>
          <w:rFonts w:ascii="Times New Roman" w:hAnsi="Times New Roman" w:cs="宋体" w:hint="eastAsia"/>
          <w:szCs w:val="24"/>
        </w:rPr>
        <w:t>Ⅲ</w:t>
      </w:r>
      <w:r>
        <w:rPr>
          <w:rFonts w:ascii="Times New Roman" w:hAnsi="Times New Roman"/>
          <w:szCs w:val="24"/>
        </w:rPr>
        <w:t>类标准进行评价</w:t>
      </w:r>
      <w:r>
        <w:rPr>
          <w:rFonts w:ascii="Times New Roman" w:hAnsi="Times New Roman" w:hint="eastAsia"/>
          <w:szCs w:val="24"/>
        </w:rPr>
        <w:t>。</w:t>
      </w:r>
      <w:r>
        <w:rPr>
          <w:rFonts w:ascii="Times New Roman" w:hAnsi="Times New Roman" w:hint="eastAsia"/>
          <w:szCs w:val="24"/>
        </w:rPr>
        <w:t xml:space="preserve"> </w:t>
      </w:r>
    </w:p>
    <w:p w:rsidR="004B4777" w:rsidRDefault="004B4777">
      <w:pPr>
        <w:ind w:firstLine="482"/>
        <w:rPr>
          <w:rFonts w:ascii="Times New Roman" w:hAnsi="Times New Roman"/>
          <w:b/>
          <w:szCs w:val="24"/>
        </w:rPr>
      </w:pPr>
      <w:r>
        <w:rPr>
          <w:rFonts w:ascii="Times New Roman" w:hAnsi="Times New Roman" w:hint="eastAsia"/>
          <w:b/>
          <w:szCs w:val="24"/>
        </w:rPr>
        <w:t>（</w:t>
      </w:r>
      <w:r>
        <w:rPr>
          <w:rFonts w:ascii="Times New Roman" w:hAnsi="Times New Roman" w:hint="eastAsia"/>
          <w:b/>
          <w:szCs w:val="24"/>
        </w:rPr>
        <w:t>5</w:t>
      </w:r>
      <w:r>
        <w:rPr>
          <w:rFonts w:ascii="Times New Roman" w:hAnsi="Times New Roman" w:hint="eastAsia"/>
          <w:b/>
          <w:szCs w:val="24"/>
        </w:rPr>
        <w:t>）监测结果</w:t>
      </w:r>
    </w:p>
    <w:p w:rsidR="004B4777" w:rsidRDefault="004B4777">
      <w:pPr>
        <w:pStyle w:val="aff5"/>
        <w:ind w:firstLine="480"/>
      </w:pPr>
      <w:r>
        <w:rPr>
          <w:rFonts w:hint="eastAsia"/>
        </w:rPr>
        <w:t>监测结果一览表见表</w:t>
      </w:r>
      <w:r>
        <w:rPr>
          <w:rFonts w:hint="eastAsia"/>
        </w:rPr>
        <w:t>5.2-5</w:t>
      </w:r>
      <w:r>
        <w:rPr>
          <w:rFonts w:hint="eastAsia"/>
        </w:rPr>
        <w:t>。</w:t>
      </w:r>
    </w:p>
    <w:p w:rsidR="004B4777" w:rsidRDefault="004B4777">
      <w:pPr>
        <w:pStyle w:val="aff5"/>
        <w:ind w:firstLine="482"/>
      </w:pPr>
      <w:r>
        <w:rPr>
          <w:rFonts w:hint="eastAsia"/>
          <w:b/>
        </w:rPr>
        <w:t>（</w:t>
      </w:r>
      <w:r>
        <w:rPr>
          <w:rFonts w:hint="eastAsia"/>
          <w:b/>
        </w:rPr>
        <w:t>6</w:t>
      </w:r>
      <w:r>
        <w:rPr>
          <w:rFonts w:hint="eastAsia"/>
          <w:b/>
        </w:rPr>
        <w:t>）监测结果分析与评价</w:t>
      </w:r>
    </w:p>
    <w:p w:rsidR="004B4777" w:rsidRDefault="004B4777">
      <w:pPr>
        <w:pStyle w:val="aff5"/>
        <w:ind w:firstLineChars="0" w:firstLine="839"/>
      </w:pPr>
      <w:r>
        <w:rPr>
          <w:rFonts w:hint="eastAsia"/>
        </w:rPr>
        <w:lastRenderedPageBreak/>
        <w:t>由水质监测结果表明：断面各个监测因子均可满足《地表水环境质量》（</w:t>
      </w:r>
      <w:r>
        <w:rPr>
          <w:rFonts w:hint="eastAsia"/>
        </w:rPr>
        <w:t>GB3838-2002</w:t>
      </w:r>
      <w:r>
        <w:rPr>
          <w:rFonts w:hint="eastAsia"/>
        </w:rPr>
        <w:t>）中Ⅲ类水质标准的要求。</w:t>
      </w:r>
    </w:p>
    <w:p w:rsidR="004B4777" w:rsidRDefault="004B4777">
      <w:pPr>
        <w:pStyle w:val="aff5"/>
        <w:ind w:firstLineChars="0" w:firstLine="839"/>
      </w:pPr>
    </w:p>
    <w:p w:rsidR="004B4777" w:rsidRDefault="004B4777">
      <w:pPr>
        <w:pStyle w:val="aff5"/>
        <w:ind w:firstLineChars="0" w:firstLine="839"/>
      </w:pPr>
    </w:p>
    <w:p w:rsidR="004B4777" w:rsidRDefault="004B4777">
      <w:pPr>
        <w:pStyle w:val="aff5"/>
        <w:ind w:firstLineChars="0" w:firstLine="839"/>
      </w:pPr>
    </w:p>
    <w:p w:rsidR="004B4777" w:rsidRDefault="004B4777">
      <w:pPr>
        <w:pStyle w:val="aff5"/>
        <w:ind w:firstLineChars="0" w:firstLine="839"/>
      </w:pPr>
    </w:p>
    <w:p w:rsidR="004B4777" w:rsidRDefault="004B4777">
      <w:pPr>
        <w:ind w:firstLineChars="1600" w:firstLine="3855"/>
        <w:jc w:val="left"/>
        <w:rPr>
          <w:rFonts w:ascii="Times New Roman" w:hAnsi="Times New Roman"/>
          <w:b/>
          <w:bCs/>
        </w:rPr>
        <w:sectPr w:rsidR="004B4777">
          <w:pgSz w:w="11906" w:h="16838"/>
          <w:pgMar w:top="1800" w:right="1440" w:bottom="1800" w:left="1440" w:header="851" w:footer="992" w:gutter="0"/>
          <w:cols w:space="720"/>
          <w:docGrid w:type="lines" w:linePitch="326"/>
        </w:sectPr>
      </w:pPr>
    </w:p>
    <w:p w:rsidR="004B4777" w:rsidRDefault="004B4777">
      <w:pPr>
        <w:pStyle w:val="af"/>
        <w:spacing w:line="240" w:lineRule="auto"/>
        <w:rPr>
          <w:b/>
        </w:rPr>
      </w:pPr>
      <w:r>
        <w:rPr>
          <w:rFonts w:hint="eastAsia"/>
          <w:b/>
        </w:rPr>
        <w:lastRenderedPageBreak/>
        <w:t>表</w:t>
      </w:r>
      <w:r>
        <w:rPr>
          <w:rFonts w:hint="eastAsia"/>
          <w:b/>
        </w:rPr>
        <w:t>5.2-5</w:t>
      </w:r>
      <w:r>
        <w:rPr>
          <w:rFonts w:hint="eastAsia"/>
          <w:b/>
        </w:rPr>
        <w:t>（续表</w:t>
      </w:r>
      <w:r>
        <w:rPr>
          <w:rFonts w:hint="eastAsia"/>
          <w:b/>
        </w:rPr>
        <w:t>1</w:t>
      </w:r>
      <w:r>
        <w:rPr>
          <w:rFonts w:hint="eastAsia"/>
          <w:b/>
        </w:rPr>
        <w:t>）</w:t>
      </w:r>
      <w:r>
        <w:rPr>
          <w:rFonts w:hint="eastAsia"/>
          <w:b/>
        </w:rPr>
        <w:t xml:space="preserve">   </w:t>
      </w:r>
      <w:r>
        <w:rPr>
          <w:rFonts w:hint="eastAsia"/>
          <w:b/>
        </w:rPr>
        <w:t>项目采区地表水环境现状监测及评价结果表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017"/>
        <w:gridCol w:w="1606"/>
        <w:gridCol w:w="1160"/>
        <w:gridCol w:w="1193"/>
        <w:gridCol w:w="1150"/>
        <w:gridCol w:w="1198"/>
        <w:gridCol w:w="1198"/>
        <w:gridCol w:w="1349"/>
        <w:gridCol w:w="1346"/>
        <w:gridCol w:w="1065"/>
        <w:gridCol w:w="892"/>
      </w:tblGrid>
      <w:tr w:rsidR="004B4777">
        <w:trPr>
          <w:trHeight w:val="472"/>
          <w:jc w:val="center"/>
        </w:trPr>
        <w:tc>
          <w:tcPr>
            <w:tcW w:w="3623" w:type="dxa"/>
            <w:gridSpan w:val="2"/>
            <w:tcBorders>
              <w:tl2br w:val="single" w:sz="4" w:space="0" w:color="auto"/>
            </w:tcBorders>
            <w:vAlign w:val="center"/>
          </w:tcPr>
          <w:p w:rsidR="004B4777" w:rsidRDefault="004B4777">
            <w:pPr>
              <w:pStyle w:val="af"/>
              <w:spacing w:line="240" w:lineRule="auto"/>
              <w:rPr>
                <w:sz w:val="21"/>
                <w:szCs w:val="21"/>
              </w:rPr>
            </w:pPr>
            <w:r>
              <w:rPr>
                <w:sz w:val="21"/>
                <w:szCs w:val="21"/>
              </w:rPr>
              <w:t xml:space="preserve">                  </w:t>
            </w:r>
            <w:r>
              <w:rPr>
                <w:sz w:val="21"/>
                <w:szCs w:val="21"/>
              </w:rPr>
              <w:t>评价因子</w:t>
            </w:r>
          </w:p>
          <w:p w:rsidR="004B4777" w:rsidRDefault="004B4777">
            <w:pPr>
              <w:pStyle w:val="af"/>
              <w:spacing w:line="240" w:lineRule="auto"/>
              <w:ind w:firstLineChars="50" w:firstLine="105"/>
              <w:jc w:val="both"/>
              <w:rPr>
                <w:sz w:val="21"/>
                <w:szCs w:val="21"/>
              </w:rPr>
            </w:pPr>
            <w:r>
              <w:rPr>
                <w:sz w:val="21"/>
                <w:szCs w:val="21"/>
              </w:rPr>
              <w:t>监测断面</w:t>
            </w:r>
          </w:p>
        </w:tc>
        <w:tc>
          <w:tcPr>
            <w:tcW w:w="1160" w:type="dxa"/>
            <w:vAlign w:val="center"/>
          </w:tcPr>
          <w:p w:rsidR="004B4777" w:rsidRDefault="004B4777">
            <w:pPr>
              <w:pStyle w:val="af"/>
              <w:spacing w:line="240" w:lineRule="auto"/>
              <w:rPr>
                <w:sz w:val="21"/>
                <w:szCs w:val="21"/>
              </w:rPr>
            </w:pPr>
            <w:r>
              <w:rPr>
                <w:rFonts w:hint="eastAsia"/>
                <w:sz w:val="21"/>
                <w:szCs w:val="21"/>
              </w:rPr>
              <w:t>水温</w:t>
            </w:r>
            <w:r>
              <w:rPr>
                <w:rFonts w:cs="宋体" w:hint="eastAsia"/>
              </w:rPr>
              <w:t>（℃）</w:t>
            </w:r>
          </w:p>
        </w:tc>
        <w:tc>
          <w:tcPr>
            <w:tcW w:w="1193" w:type="dxa"/>
            <w:vAlign w:val="center"/>
          </w:tcPr>
          <w:p w:rsidR="004B4777" w:rsidRDefault="004B4777">
            <w:pPr>
              <w:pStyle w:val="af"/>
              <w:spacing w:line="240" w:lineRule="auto"/>
              <w:rPr>
                <w:sz w:val="21"/>
                <w:szCs w:val="21"/>
              </w:rPr>
            </w:pPr>
            <w:r>
              <w:rPr>
                <w:lang/>
              </w:rPr>
              <w:t>pH</w:t>
            </w:r>
            <w:r>
              <w:rPr>
                <w:rFonts w:cs="宋体" w:hint="eastAsia"/>
                <w:lang/>
              </w:rPr>
              <w:t>（无量纲）</w:t>
            </w:r>
          </w:p>
        </w:tc>
        <w:tc>
          <w:tcPr>
            <w:tcW w:w="1150" w:type="dxa"/>
            <w:vAlign w:val="center"/>
          </w:tcPr>
          <w:p w:rsidR="004B4777" w:rsidRDefault="004B4777">
            <w:pPr>
              <w:pStyle w:val="af"/>
              <w:spacing w:line="240" w:lineRule="auto"/>
              <w:rPr>
                <w:sz w:val="21"/>
                <w:szCs w:val="21"/>
              </w:rPr>
            </w:pPr>
            <w:r>
              <w:rPr>
                <w:bCs/>
              </w:rPr>
              <w:t>DO</w:t>
            </w:r>
          </w:p>
        </w:tc>
        <w:tc>
          <w:tcPr>
            <w:tcW w:w="1198" w:type="dxa"/>
            <w:vAlign w:val="center"/>
          </w:tcPr>
          <w:p w:rsidR="004B4777" w:rsidRDefault="004B4777">
            <w:pPr>
              <w:pStyle w:val="af"/>
              <w:spacing w:line="240" w:lineRule="auto"/>
              <w:rPr>
                <w:sz w:val="21"/>
                <w:szCs w:val="21"/>
              </w:rPr>
            </w:pPr>
            <w:r>
              <w:rPr>
                <w:lang/>
              </w:rPr>
              <w:t>COD</w:t>
            </w:r>
            <w:r>
              <w:rPr>
                <w:vertAlign w:val="subscript"/>
                <w:lang/>
              </w:rPr>
              <w:t>cr</w:t>
            </w:r>
          </w:p>
        </w:tc>
        <w:tc>
          <w:tcPr>
            <w:tcW w:w="1198" w:type="dxa"/>
            <w:vAlign w:val="center"/>
          </w:tcPr>
          <w:p w:rsidR="004B4777" w:rsidRDefault="004B4777">
            <w:pPr>
              <w:pStyle w:val="af"/>
              <w:spacing w:line="240" w:lineRule="auto"/>
              <w:rPr>
                <w:sz w:val="21"/>
                <w:szCs w:val="21"/>
              </w:rPr>
            </w:pPr>
            <w:r>
              <w:rPr>
                <w:bCs/>
              </w:rPr>
              <w:t>BOD</w:t>
            </w:r>
            <w:r>
              <w:rPr>
                <w:bCs/>
                <w:vertAlign w:val="subscript"/>
              </w:rPr>
              <w:t>5</w:t>
            </w:r>
          </w:p>
        </w:tc>
        <w:tc>
          <w:tcPr>
            <w:tcW w:w="1349" w:type="dxa"/>
            <w:vAlign w:val="center"/>
          </w:tcPr>
          <w:p w:rsidR="004B4777" w:rsidRDefault="004B4777">
            <w:pPr>
              <w:pStyle w:val="af"/>
              <w:spacing w:line="240" w:lineRule="auto"/>
              <w:rPr>
                <w:sz w:val="21"/>
                <w:szCs w:val="21"/>
              </w:rPr>
            </w:pPr>
            <w:r>
              <w:rPr>
                <w:rFonts w:cs="宋体" w:hint="eastAsia"/>
                <w:bCs/>
              </w:rPr>
              <w:t>氨氮</w:t>
            </w:r>
          </w:p>
        </w:tc>
        <w:tc>
          <w:tcPr>
            <w:tcW w:w="1346" w:type="dxa"/>
            <w:vAlign w:val="center"/>
          </w:tcPr>
          <w:p w:rsidR="004B4777" w:rsidRDefault="004B4777">
            <w:pPr>
              <w:pStyle w:val="affff8"/>
              <w:rPr>
                <w:rFonts w:eastAsia="宋体"/>
              </w:rPr>
            </w:pPr>
            <w:r>
              <w:rPr>
                <w:rFonts w:eastAsia="宋体" w:hint="eastAsia"/>
              </w:rPr>
              <w:t>总氮</w:t>
            </w:r>
          </w:p>
        </w:tc>
        <w:tc>
          <w:tcPr>
            <w:tcW w:w="1065" w:type="dxa"/>
            <w:vAlign w:val="center"/>
          </w:tcPr>
          <w:p w:rsidR="004B4777" w:rsidRDefault="004B4777">
            <w:pPr>
              <w:pStyle w:val="affff8"/>
              <w:rPr>
                <w:rFonts w:eastAsia="宋体"/>
              </w:rPr>
            </w:pPr>
            <w:r>
              <w:rPr>
                <w:rFonts w:eastAsia="宋体" w:cs="宋体" w:hint="eastAsia"/>
                <w:bCs/>
              </w:rPr>
              <w:t>总磷</w:t>
            </w:r>
          </w:p>
        </w:tc>
        <w:tc>
          <w:tcPr>
            <w:tcW w:w="892" w:type="dxa"/>
            <w:vAlign w:val="center"/>
          </w:tcPr>
          <w:p w:rsidR="004B4777" w:rsidRDefault="004B4777">
            <w:pPr>
              <w:pStyle w:val="affff8"/>
              <w:rPr>
                <w:rFonts w:eastAsia="宋体" w:cs="宋体"/>
                <w:bCs/>
              </w:rPr>
            </w:pPr>
            <w:r>
              <w:rPr>
                <w:rFonts w:eastAsia="宋体" w:cs="宋体" w:hint="eastAsia"/>
                <w:bCs/>
              </w:rPr>
              <w:t>铜</w:t>
            </w:r>
          </w:p>
        </w:tc>
      </w:tr>
      <w:tr w:rsidR="004B4777">
        <w:trPr>
          <w:trHeight w:val="541"/>
          <w:jc w:val="center"/>
        </w:trPr>
        <w:tc>
          <w:tcPr>
            <w:tcW w:w="2017"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W7</w:t>
            </w:r>
            <w:r>
              <w:rPr>
                <w:rFonts w:eastAsia="宋体" w:hint="eastAsia"/>
                <w:b w:val="0"/>
                <w:sz w:val="21"/>
                <w:szCs w:val="21"/>
              </w:rPr>
              <w:t>资水北支流易婆塘采区上游</w:t>
            </w:r>
            <w:r>
              <w:rPr>
                <w:rFonts w:eastAsia="宋体" w:hint="eastAsia"/>
                <w:b w:val="0"/>
                <w:sz w:val="21"/>
                <w:szCs w:val="21"/>
              </w:rPr>
              <w:t>500m</w:t>
            </w: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60" w:type="dxa"/>
            <w:vAlign w:val="center"/>
          </w:tcPr>
          <w:p w:rsidR="004B4777" w:rsidRDefault="004B4777">
            <w:pPr>
              <w:pStyle w:val="af"/>
              <w:spacing w:line="240" w:lineRule="auto"/>
              <w:rPr>
                <w:sz w:val="21"/>
                <w:szCs w:val="21"/>
              </w:rPr>
            </w:pPr>
            <w:r>
              <w:rPr>
                <w:rFonts w:hint="eastAsia"/>
                <w:sz w:val="21"/>
                <w:szCs w:val="21"/>
              </w:rPr>
              <w:t>10.5~10.6</w:t>
            </w:r>
          </w:p>
        </w:tc>
        <w:tc>
          <w:tcPr>
            <w:tcW w:w="1193" w:type="dxa"/>
            <w:vAlign w:val="center"/>
          </w:tcPr>
          <w:p w:rsidR="004B4777" w:rsidRDefault="004B4777">
            <w:pPr>
              <w:pStyle w:val="af"/>
              <w:spacing w:line="240" w:lineRule="auto"/>
              <w:rPr>
                <w:sz w:val="21"/>
                <w:szCs w:val="21"/>
              </w:rPr>
            </w:pPr>
            <w:r>
              <w:rPr>
                <w:sz w:val="21"/>
                <w:szCs w:val="21"/>
              </w:rPr>
              <w:t>7.09</w:t>
            </w:r>
            <w:r>
              <w:rPr>
                <w:rFonts w:hint="eastAsia"/>
                <w:sz w:val="21"/>
                <w:szCs w:val="21"/>
              </w:rPr>
              <w:t>~7.21</w:t>
            </w:r>
          </w:p>
        </w:tc>
        <w:tc>
          <w:tcPr>
            <w:tcW w:w="1150" w:type="dxa"/>
            <w:vAlign w:val="center"/>
          </w:tcPr>
          <w:p w:rsidR="004B4777" w:rsidRDefault="004B4777">
            <w:pPr>
              <w:pStyle w:val="af"/>
              <w:spacing w:line="240" w:lineRule="auto"/>
              <w:rPr>
                <w:sz w:val="21"/>
                <w:szCs w:val="21"/>
              </w:rPr>
            </w:pPr>
            <w:r>
              <w:rPr>
                <w:rFonts w:hint="eastAsia"/>
                <w:sz w:val="21"/>
                <w:szCs w:val="21"/>
              </w:rPr>
              <w:t>5.22~5.32</w:t>
            </w:r>
          </w:p>
        </w:tc>
        <w:tc>
          <w:tcPr>
            <w:tcW w:w="1198" w:type="dxa"/>
            <w:vAlign w:val="center"/>
          </w:tcPr>
          <w:p w:rsidR="004B4777" w:rsidRDefault="004B4777">
            <w:pPr>
              <w:pStyle w:val="af"/>
              <w:spacing w:line="240" w:lineRule="auto"/>
              <w:rPr>
                <w:sz w:val="21"/>
                <w:szCs w:val="21"/>
              </w:rPr>
            </w:pPr>
            <w:r>
              <w:rPr>
                <w:rFonts w:hint="eastAsia"/>
                <w:sz w:val="21"/>
                <w:szCs w:val="21"/>
              </w:rPr>
              <w:t>8~9</w:t>
            </w:r>
          </w:p>
        </w:tc>
        <w:tc>
          <w:tcPr>
            <w:tcW w:w="1198" w:type="dxa"/>
            <w:vAlign w:val="center"/>
          </w:tcPr>
          <w:p w:rsidR="004B4777" w:rsidRDefault="004B4777">
            <w:pPr>
              <w:pStyle w:val="af"/>
              <w:spacing w:line="240" w:lineRule="auto"/>
              <w:rPr>
                <w:sz w:val="21"/>
                <w:szCs w:val="21"/>
              </w:rPr>
            </w:pPr>
            <w:r>
              <w:rPr>
                <w:sz w:val="21"/>
                <w:szCs w:val="21"/>
              </w:rPr>
              <w:t>2.2</w:t>
            </w:r>
            <w:r>
              <w:rPr>
                <w:rFonts w:hint="eastAsia"/>
                <w:sz w:val="21"/>
                <w:szCs w:val="21"/>
              </w:rPr>
              <w:t>~2.4</w:t>
            </w:r>
          </w:p>
        </w:tc>
        <w:tc>
          <w:tcPr>
            <w:tcW w:w="1349" w:type="dxa"/>
            <w:vAlign w:val="center"/>
          </w:tcPr>
          <w:p w:rsidR="004B4777" w:rsidRDefault="004B4777">
            <w:pPr>
              <w:pStyle w:val="af"/>
              <w:spacing w:line="240" w:lineRule="auto"/>
              <w:rPr>
                <w:sz w:val="21"/>
                <w:szCs w:val="21"/>
              </w:rPr>
            </w:pPr>
            <w:r>
              <w:rPr>
                <w:sz w:val="21"/>
                <w:szCs w:val="21"/>
              </w:rPr>
              <w:t>0.379</w:t>
            </w:r>
            <w:r>
              <w:rPr>
                <w:rFonts w:hint="eastAsia"/>
                <w:sz w:val="21"/>
                <w:szCs w:val="21"/>
              </w:rPr>
              <w:t>~</w:t>
            </w:r>
            <w:r>
              <w:rPr>
                <w:sz w:val="21"/>
                <w:szCs w:val="21"/>
              </w:rPr>
              <w:t>0.392</w:t>
            </w:r>
          </w:p>
        </w:tc>
        <w:tc>
          <w:tcPr>
            <w:tcW w:w="1346" w:type="dxa"/>
            <w:vAlign w:val="center"/>
          </w:tcPr>
          <w:p w:rsidR="004B4777" w:rsidRDefault="004B4777">
            <w:pPr>
              <w:pStyle w:val="af"/>
              <w:spacing w:line="240" w:lineRule="auto"/>
              <w:rPr>
                <w:sz w:val="21"/>
                <w:szCs w:val="21"/>
              </w:rPr>
            </w:pPr>
            <w:r>
              <w:rPr>
                <w:sz w:val="21"/>
                <w:szCs w:val="21"/>
              </w:rPr>
              <w:t>0.512</w:t>
            </w:r>
            <w:r>
              <w:rPr>
                <w:rFonts w:hint="eastAsia"/>
                <w:sz w:val="21"/>
                <w:szCs w:val="21"/>
              </w:rPr>
              <w:t>~</w:t>
            </w:r>
            <w:r>
              <w:rPr>
                <w:sz w:val="21"/>
                <w:szCs w:val="21"/>
              </w:rPr>
              <w:t>0.544</w:t>
            </w:r>
          </w:p>
        </w:tc>
        <w:tc>
          <w:tcPr>
            <w:tcW w:w="1065" w:type="dxa"/>
            <w:vAlign w:val="center"/>
          </w:tcPr>
          <w:p w:rsidR="004B4777" w:rsidRDefault="004B4777">
            <w:pPr>
              <w:pStyle w:val="af"/>
              <w:spacing w:line="240" w:lineRule="auto"/>
              <w:rPr>
                <w:sz w:val="21"/>
                <w:szCs w:val="21"/>
              </w:rPr>
            </w:pPr>
            <w:r>
              <w:rPr>
                <w:sz w:val="21"/>
                <w:szCs w:val="21"/>
              </w:rPr>
              <w:t>0.08</w:t>
            </w:r>
            <w:r>
              <w:rPr>
                <w:rFonts w:hint="eastAsia"/>
                <w:sz w:val="21"/>
                <w:szCs w:val="21"/>
              </w:rPr>
              <w:t>~0.09</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60" w:type="dxa"/>
            <w:vAlign w:val="center"/>
          </w:tcPr>
          <w:p w:rsidR="004B4777" w:rsidRDefault="004B4777">
            <w:pPr>
              <w:pStyle w:val="af"/>
              <w:spacing w:line="240" w:lineRule="auto"/>
              <w:rPr>
                <w:sz w:val="21"/>
                <w:szCs w:val="21"/>
              </w:rPr>
            </w:pPr>
            <w:r>
              <w:rPr>
                <w:rFonts w:hint="eastAsia"/>
                <w:sz w:val="21"/>
                <w:szCs w:val="21"/>
              </w:rPr>
              <w:t>10.57</w:t>
            </w:r>
          </w:p>
        </w:tc>
        <w:tc>
          <w:tcPr>
            <w:tcW w:w="1193" w:type="dxa"/>
            <w:vAlign w:val="center"/>
          </w:tcPr>
          <w:p w:rsidR="004B4777" w:rsidRDefault="004B4777">
            <w:pPr>
              <w:pStyle w:val="af"/>
              <w:spacing w:line="240" w:lineRule="auto"/>
              <w:rPr>
                <w:sz w:val="21"/>
                <w:szCs w:val="21"/>
              </w:rPr>
            </w:pPr>
            <w:r>
              <w:rPr>
                <w:rFonts w:hint="eastAsia"/>
                <w:sz w:val="21"/>
                <w:szCs w:val="21"/>
              </w:rPr>
              <w:t>7.15</w:t>
            </w:r>
          </w:p>
        </w:tc>
        <w:tc>
          <w:tcPr>
            <w:tcW w:w="1150" w:type="dxa"/>
            <w:vAlign w:val="center"/>
          </w:tcPr>
          <w:p w:rsidR="004B4777" w:rsidRDefault="004B4777">
            <w:pPr>
              <w:pStyle w:val="af"/>
              <w:spacing w:line="240" w:lineRule="auto"/>
              <w:rPr>
                <w:sz w:val="21"/>
                <w:szCs w:val="21"/>
              </w:rPr>
            </w:pPr>
            <w:r>
              <w:rPr>
                <w:rFonts w:hint="eastAsia"/>
                <w:sz w:val="21"/>
                <w:szCs w:val="21"/>
              </w:rPr>
              <w:t>5.26</w:t>
            </w:r>
          </w:p>
        </w:tc>
        <w:tc>
          <w:tcPr>
            <w:tcW w:w="1198" w:type="dxa"/>
            <w:vAlign w:val="center"/>
          </w:tcPr>
          <w:p w:rsidR="004B4777" w:rsidRDefault="004B4777">
            <w:pPr>
              <w:pStyle w:val="af"/>
              <w:spacing w:line="240" w:lineRule="auto"/>
              <w:rPr>
                <w:sz w:val="21"/>
                <w:szCs w:val="21"/>
              </w:rPr>
            </w:pPr>
            <w:r>
              <w:rPr>
                <w:rFonts w:hint="eastAsia"/>
                <w:sz w:val="21"/>
                <w:szCs w:val="21"/>
              </w:rPr>
              <w:t>8.3</w:t>
            </w:r>
          </w:p>
        </w:tc>
        <w:tc>
          <w:tcPr>
            <w:tcW w:w="1198" w:type="dxa"/>
            <w:vAlign w:val="center"/>
          </w:tcPr>
          <w:p w:rsidR="004B4777" w:rsidRDefault="004B4777">
            <w:pPr>
              <w:pStyle w:val="af"/>
              <w:spacing w:line="240" w:lineRule="auto"/>
              <w:rPr>
                <w:sz w:val="21"/>
                <w:szCs w:val="21"/>
              </w:rPr>
            </w:pPr>
            <w:r>
              <w:rPr>
                <w:rFonts w:hint="eastAsia"/>
                <w:sz w:val="21"/>
                <w:szCs w:val="21"/>
              </w:rPr>
              <w:t>2.3</w:t>
            </w:r>
          </w:p>
        </w:tc>
        <w:tc>
          <w:tcPr>
            <w:tcW w:w="1349" w:type="dxa"/>
            <w:vAlign w:val="center"/>
          </w:tcPr>
          <w:p w:rsidR="004B4777" w:rsidRDefault="004B4777">
            <w:pPr>
              <w:pStyle w:val="af"/>
              <w:spacing w:line="240" w:lineRule="auto"/>
              <w:rPr>
                <w:sz w:val="21"/>
                <w:szCs w:val="21"/>
              </w:rPr>
            </w:pPr>
            <w:r>
              <w:rPr>
                <w:rFonts w:hint="eastAsia"/>
                <w:sz w:val="21"/>
                <w:szCs w:val="21"/>
              </w:rPr>
              <w:t>0.386</w:t>
            </w:r>
          </w:p>
        </w:tc>
        <w:tc>
          <w:tcPr>
            <w:tcW w:w="1346" w:type="dxa"/>
            <w:vAlign w:val="center"/>
          </w:tcPr>
          <w:p w:rsidR="004B4777" w:rsidRDefault="004B4777">
            <w:pPr>
              <w:pStyle w:val="af"/>
              <w:spacing w:line="240" w:lineRule="auto"/>
              <w:rPr>
                <w:sz w:val="21"/>
                <w:szCs w:val="21"/>
              </w:rPr>
            </w:pPr>
            <w:r>
              <w:rPr>
                <w:rFonts w:hint="eastAsia"/>
                <w:sz w:val="21"/>
                <w:szCs w:val="21"/>
              </w:rPr>
              <w:t>0.526</w:t>
            </w:r>
          </w:p>
        </w:tc>
        <w:tc>
          <w:tcPr>
            <w:tcW w:w="1065" w:type="dxa"/>
            <w:vAlign w:val="center"/>
          </w:tcPr>
          <w:p w:rsidR="004B4777" w:rsidRDefault="004B4777">
            <w:pPr>
              <w:pStyle w:val="af"/>
              <w:spacing w:line="240" w:lineRule="auto"/>
              <w:rPr>
                <w:sz w:val="21"/>
                <w:szCs w:val="21"/>
              </w:rPr>
            </w:pPr>
            <w:r>
              <w:rPr>
                <w:rFonts w:hint="eastAsia"/>
                <w:sz w:val="21"/>
                <w:szCs w:val="21"/>
              </w:rPr>
              <w:t>0.87</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trHeight w:val="90"/>
          <w:jc w:val="center"/>
        </w:trPr>
        <w:tc>
          <w:tcPr>
            <w:tcW w:w="2017"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W8</w:t>
            </w:r>
            <w:r>
              <w:rPr>
                <w:rFonts w:eastAsia="宋体" w:hint="eastAsia"/>
                <w:b w:val="0"/>
                <w:sz w:val="21"/>
                <w:szCs w:val="21"/>
              </w:rPr>
              <w:t>资水北支流易婆塘采区下游</w:t>
            </w:r>
            <w:r>
              <w:rPr>
                <w:rFonts w:eastAsia="宋体" w:hint="eastAsia"/>
                <w:b w:val="0"/>
                <w:sz w:val="21"/>
                <w:szCs w:val="21"/>
              </w:rPr>
              <w:t>500m</w:t>
            </w: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60" w:type="dxa"/>
            <w:vAlign w:val="center"/>
          </w:tcPr>
          <w:p w:rsidR="004B4777" w:rsidRDefault="004B4777">
            <w:pPr>
              <w:pStyle w:val="af"/>
              <w:spacing w:line="240" w:lineRule="auto"/>
              <w:rPr>
                <w:sz w:val="21"/>
                <w:szCs w:val="21"/>
              </w:rPr>
            </w:pPr>
            <w:r>
              <w:rPr>
                <w:rFonts w:hint="eastAsia"/>
                <w:sz w:val="21"/>
                <w:szCs w:val="21"/>
              </w:rPr>
              <w:t>10.4~10.6</w:t>
            </w:r>
          </w:p>
        </w:tc>
        <w:tc>
          <w:tcPr>
            <w:tcW w:w="1193" w:type="dxa"/>
            <w:vAlign w:val="center"/>
          </w:tcPr>
          <w:p w:rsidR="004B4777" w:rsidRDefault="004B4777">
            <w:pPr>
              <w:pStyle w:val="af"/>
              <w:spacing w:line="240" w:lineRule="auto"/>
              <w:rPr>
                <w:sz w:val="21"/>
                <w:szCs w:val="21"/>
              </w:rPr>
            </w:pPr>
            <w:r>
              <w:rPr>
                <w:sz w:val="21"/>
                <w:szCs w:val="21"/>
              </w:rPr>
              <w:t>7.11</w:t>
            </w:r>
            <w:r>
              <w:rPr>
                <w:rFonts w:hint="eastAsia"/>
                <w:sz w:val="21"/>
                <w:szCs w:val="21"/>
              </w:rPr>
              <w:t>~</w:t>
            </w:r>
            <w:r>
              <w:rPr>
                <w:sz w:val="21"/>
                <w:szCs w:val="21"/>
              </w:rPr>
              <w:t>7.21</w:t>
            </w:r>
          </w:p>
        </w:tc>
        <w:tc>
          <w:tcPr>
            <w:tcW w:w="1150" w:type="dxa"/>
            <w:vAlign w:val="center"/>
          </w:tcPr>
          <w:p w:rsidR="004B4777" w:rsidRDefault="004B4777">
            <w:pPr>
              <w:pStyle w:val="af"/>
              <w:spacing w:line="240" w:lineRule="auto"/>
              <w:rPr>
                <w:sz w:val="21"/>
                <w:szCs w:val="21"/>
              </w:rPr>
            </w:pPr>
            <w:r>
              <w:rPr>
                <w:sz w:val="21"/>
                <w:szCs w:val="21"/>
              </w:rPr>
              <w:t>5.16</w:t>
            </w:r>
            <w:r>
              <w:rPr>
                <w:rFonts w:hint="eastAsia"/>
                <w:sz w:val="21"/>
                <w:szCs w:val="21"/>
              </w:rPr>
              <w:t>~</w:t>
            </w:r>
            <w:r>
              <w:rPr>
                <w:sz w:val="21"/>
                <w:szCs w:val="21"/>
              </w:rPr>
              <w:t>5.3</w:t>
            </w:r>
            <w:r>
              <w:rPr>
                <w:rFonts w:hint="eastAsia"/>
                <w:sz w:val="21"/>
                <w:szCs w:val="21"/>
              </w:rPr>
              <w:t>5</w:t>
            </w:r>
          </w:p>
        </w:tc>
        <w:tc>
          <w:tcPr>
            <w:tcW w:w="1198" w:type="dxa"/>
            <w:vAlign w:val="center"/>
          </w:tcPr>
          <w:p w:rsidR="004B4777" w:rsidRDefault="004B4777">
            <w:pPr>
              <w:pStyle w:val="af"/>
              <w:spacing w:line="240" w:lineRule="auto"/>
              <w:rPr>
                <w:sz w:val="21"/>
                <w:szCs w:val="21"/>
              </w:rPr>
            </w:pPr>
            <w:r>
              <w:rPr>
                <w:rFonts w:hint="eastAsia"/>
                <w:sz w:val="21"/>
                <w:szCs w:val="21"/>
              </w:rPr>
              <w:t>10~12</w:t>
            </w:r>
          </w:p>
        </w:tc>
        <w:tc>
          <w:tcPr>
            <w:tcW w:w="1198" w:type="dxa"/>
            <w:vAlign w:val="center"/>
          </w:tcPr>
          <w:p w:rsidR="004B4777" w:rsidRDefault="004B4777">
            <w:pPr>
              <w:pStyle w:val="af"/>
              <w:spacing w:line="240" w:lineRule="auto"/>
              <w:rPr>
                <w:sz w:val="21"/>
                <w:szCs w:val="21"/>
              </w:rPr>
            </w:pPr>
            <w:r>
              <w:rPr>
                <w:rFonts w:hint="eastAsia"/>
                <w:sz w:val="21"/>
                <w:szCs w:val="21"/>
              </w:rPr>
              <w:t>2.6~2.9</w:t>
            </w:r>
          </w:p>
        </w:tc>
        <w:tc>
          <w:tcPr>
            <w:tcW w:w="1349" w:type="dxa"/>
            <w:vAlign w:val="center"/>
          </w:tcPr>
          <w:p w:rsidR="004B4777" w:rsidRDefault="004B4777">
            <w:pPr>
              <w:pStyle w:val="af"/>
              <w:spacing w:line="240" w:lineRule="auto"/>
              <w:rPr>
                <w:sz w:val="21"/>
                <w:szCs w:val="21"/>
              </w:rPr>
            </w:pPr>
            <w:r>
              <w:rPr>
                <w:sz w:val="21"/>
                <w:szCs w:val="21"/>
              </w:rPr>
              <w:t>0.426~0.451</w:t>
            </w:r>
          </w:p>
        </w:tc>
        <w:tc>
          <w:tcPr>
            <w:tcW w:w="1346" w:type="dxa"/>
            <w:vAlign w:val="center"/>
          </w:tcPr>
          <w:p w:rsidR="004B4777" w:rsidRDefault="004B4777">
            <w:pPr>
              <w:pStyle w:val="af"/>
              <w:spacing w:line="240" w:lineRule="auto"/>
              <w:rPr>
                <w:sz w:val="21"/>
                <w:szCs w:val="21"/>
              </w:rPr>
            </w:pPr>
            <w:r>
              <w:rPr>
                <w:sz w:val="21"/>
                <w:szCs w:val="21"/>
              </w:rPr>
              <w:t>0.718</w:t>
            </w:r>
            <w:r>
              <w:rPr>
                <w:rFonts w:hint="eastAsia"/>
                <w:sz w:val="21"/>
                <w:szCs w:val="21"/>
              </w:rPr>
              <w:t>~</w:t>
            </w:r>
            <w:r>
              <w:rPr>
                <w:sz w:val="21"/>
                <w:szCs w:val="21"/>
              </w:rPr>
              <w:t>0.769</w:t>
            </w:r>
          </w:p>
        </w:tc>
        <w:tc>
          <w:tcPr>
            <w:tcW w:w="1065" w:type="dxa"/>
            <w:vAlign w:val="center"/>
          </w:tcPr>
          <w:p w:rsidR="004B4777" w:rsidRDefault="004B4777">
            <w:pPr>
              <w:pStyle w:val="af"/>
              <w:spacing w:line="240" w:lineRule="auto"/>
              <w:rPr>
                <w:sz w:val="21"/>
                <w:szCs w:val="21"/>
              </w:rPr>
            </w:pPr>
            <w:r>
              <w:rPr>
                <w:sz w:val="21"/>
                <w:szCs w:val="21"/>
              </w:rPr>
              <w:t>0.13</w:t>
            </w:r>
            <w:r>
              <w:rPr>
                <w:rFonts w:hint="eastAsia"/>
                <w:sz w:val="21"/>
                <w:szCs w:val="21"/>
              </w:rPr>
              <w:t>~0.14</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60" w:type="dxa"/>
            <w:vAlign w:val="center"/>
          </w:tcPr>
          <w:p w:rsidR="004B4777" w:rsidRDefault="004B4777">
            <w:pPr>
              <w:pStyle w:val="af"/>
              <w:spacing w:line="240" w:lineRule="auto"/>
              <w:rPr>
                <w:sz w:val="21"/>
                <w:szCs w:val="21"/>
              </w:rPr>
            </w:pPr>
            <w:r>
              <w:rPr>
                <w:rFonts w:hint="eastAsia"/>
                <w:sz w:val="21"/>
                <w:szCs w:val="21"/>
              </w:rPr>
              <w:t>10.5</w:t>
            </w:r>
          </w:p>
        </w:tc>
        <w:tc>
          <w:tcPr>
            <w:tcW w:w="1193" w:type="dxa"/>
            <w:vAlign w:val="center"/>
          </w:tcPr>
          <w:p w:rsidR="004B4777" w:rsidRDefault="004B4777">
            <w:pPr>
              <w:pStyle w:val="af"/>
              <w:spacing w:line="240" w:lineRule="auto"/>
              <w:rPr>
                <w:sz w:val="21"/>
                <w:szCs w:val="21"/>
              </w:rPr>
            </w:pPr>
            <w:r>
              <w:rPr>
                <w:rFonts w:hint="eastAsia"/>
                <w:sz w:val="21"/>
                <w:szCs w:val="21"/>
              </w:rPr>
              <w:t>7.16</w:t>
            </w:r>
          </w:p>
        </w:tc>
        <w:tc>
          <w:tcPr>
            <w:tcW w:w="1150" w:type="dxa"/>
            <w:vAlign w:val="center"/>
          </w:tcPr>
          <w:p w:rsidR="004B4777" w:rsidRDefault="004B4777">
            <w:pPr>
              <w:pStyle w:val="af"/>
              <w:spacing w:line="240" w:lineRule="auto"/>
              <w:rPr>
                <w:sz w:val="21"/>
                <w:szCs w:val="21"/>
              </w:rPr>
            </w:pPr>
            <w:r>
              <w:rPr>
                <w:rFonts w:hint="eastAsia"/>
                <w:sz w:val="21"/>
                <w:szCs w:val="21"/>
              </w:rPr>
              <w:t>5.26</w:t>
            </w:r>
          </w:p>
        </w:tc>
        <w:tc>
          <w:tcPr>
            <w:tcW w:w="1198" w:type="dxa"/>
            <w:vAlign w:val="center"/>
          </w:tcPr>
          <w:p w:rsidR="004B4777" w:rsidRDefault="004B4777">
            <w:pPr>
              <w:pStyle w:val="af"/>
              <w:spacing w:line="240" w:lineRule="auto"/>
              <w:rPr>
                <w:sz w:val="21"/>
                <w:szCs w:val="21"/>
              </w:rPr>
            </w:pPr>
            <w:r>
              <w:rPr>
                <w:rFonts w:hint="eastAsia"/>
                <w:sz w:val="21"/>
                <w:szCs w:val="21"/>
              </w:rPr>
              <w:t>11</w:t>
            </w:r>
          </w:p>
        </w:tc>
        <w:tc>
          <w:tcPr>
            <w:tcW w:w="1198" w:type="dxa"/>
            <w:vAlign w:val="center"/>
          </w:tcPr>
          <w:p w:rsidR="004B4777" w:rsidRDefault="004B4777">
            <w:pPr>
              <w:pStyle w:val="af"/>
              <w:spacing w:line="240" w:lineRule="auto"/>
              <w:rPr>
                <w:sz w:val="21"/>
                <w:szCs w:val="21"/>
              </w:rPr>
            </w:pPr>
            <w:r>
              <w:rPr>
                <w:rFonts w:hint="eastAsia"/>
                <w:sz w:val="21"/>
                <w:szCs w:val="21"/>
              </w:rPr>
              <w:t>2.73</w:t>
            </w:r>
          </w:p>
        </w:tc>
        <w:tc>
          <w:tcPr>
            <w:tcW w:w="1349" w:type="dxa"/>
            <w:vAlign w:val="center"/>
          </w:tcPr>
          <w:p w:rsidR="004B4777" w:rsidRDefault="004B4777">
            <w:pPr>
              <w:pStyle w:val="af"/>
              <w:spacing w:line="240" w:lineRule="auto"/>
              <w:rPr>
                <w:sz w:val="21"/>
                <w:szCs w:val="21"/>
              </w:rPr>
            </w:pPr>
            <w:r>
              <w:rPr>
                <w:rFonts w:hint="eastAsia"/>
                <w:sz w:val="21"/>
                <w:szCs w:val="21"/>
              </w:rPr>
              <w:t>0.439</w:t>
            </w:r>
          </w:p>
        </w:tc>
        <w:tc>
          <w:tcPr>
            <w:tcW w:w="1346" w:type="dxa"/>
            <w:vAlign w:val="center"/>
          </w:tcPr>
          <w:p w:rsidR="004B4777" w:rsidRDefault="004B4777">
            <w:pPr>
              <w:pStyle w:val="af"/>
              <w:spacing w:line="240" w:lineRule="auto"/>
              <w:rPr>
                <w:sz w:val="21"/>
                <w:szCs w:val="21"/>
              </w:rPr>
            </w:pPr>
            <w:r>
              <w:rPr>
                <w:rFonts w:hint="eastAsia"/>
                <w:sz w:val="21"/>
                <w:szCs w:val="21"/>
              </w:rPr>
              <w:t>0.741</w:t>
            </w:r>
          </w:p>
        </w:tc>
        <w:tc>
          <w:tcPr>
            <w:tcW w:w="1065" w:type="dxa"/>
            <w:vAlign w:val="center"/>
          </w:tcPr>
          <w:p w:rsidR="004B4777" w:rsidRDefault="004B4777">
            <w:pPr>
              <w:pStyle w:val="af"/>
              <w:spacing w:line="240" w:lineRule="auto"/>
              <w:rPr>
                <w:sz w:val="21"/>
                <w:szCs w:val="21"/>
              </w:rPr>
            </w:pPr>
            <w:r>
              <w:rPr>
                <w:rFonts w:hint="eastAsia"/>
                <w:sz w:val="21"/>
                <w:szCs w:val="21"/>
              </w:rPr>
              <w:t>0.133</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2017" w:type="dxa"/>
            <w:vMerge w:val="restart"/>
            <w:vAlign w:val="center"/>
          </w:tcPr>
          <w:p w:rsidR="004B4777" w:rsidRDefault="004B4777">
            <w:pPr>
              <w:pStyle w:val="62"/>
              <w:adjustRightInd w:val="0"/>
              <w:snapToGrid w:val="0"/>
              <w:rPr>
                <w:rFonts w:eastAsia="宋体"/>
                <w:b w:val="0"/>
                <w:sz w:val="21"/>
                <w:szCs w:val="21"/>
              </w:rPr>
            </w:pPr>
            <w:r>
              <w:rPr>
                <w:rFonts w:eastAsia="宋体" w:hint="eastAsia"/>
                <w:b w:val="0"/>
                <w:sz w:val="21"/>
                <w:szCs w:val="21"/>
              </w:rPr>
              <w:t>W9</w:t>
            </w:r>
            <w:r>
              <w:rPr>
                <w:rFonts w:eastAsia="宋体" w:hint="eastAsia"/>
                <w:b w:val="0"/>
                <w:sz w:val="21"/>
                <w:szCs w:val="21"/>
              </w:rPr>
              <w:t>湘江西支斗米咀采区上游</w:t>
            </w:r>
            <w:r>
              <w:rPr>
                <w:rFonts w:eastAsia="宋体" w:hint="eastAsia"/>
                <w:b w:val="0"/>
                <w:sz w:val="21"/>
                <w:szCs w:val="21"/>
              </w:rPr>
              <w:t>500m</w:t>
            </w: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60" w:type="dxa"/>
            <w:vAlign w:val="center"/>
          </w:tcPr>
          <w:p w:rsidR="004B4777" w:rsidRDefault="004B4777">
            <w:pPr>
              <w:pStyle w:val="af"/>
              <w:spacing w:line="240" w:lineRule="auto"/>
              <w:rPr>
                <w:sz w:val="21"/>
                <w:szCs w:val="21"/>
              </w:rPr>
            </w:pPr>
            <w:r>
              <w:rPr>
                <w:sz w:val="21"/>
                <w:szCs w:val="21"/>
              </w:rPr>
              <w:t>10.3</w:t>
            </w:r>
            <w:r>
              <w:rPr>
                <w:rFonts w:hint="eastAsia"/>
                <w:sz w:val="21"/>
                <w:szCs w:val="21"/>
              </w:rPr>
              <w:t>~</w:t>
            </w:r>
            <w:r>
              <w:rPr>
                <w:sz w:val="21"/>
                <w:szCs w:val="21"/>
              </w:rPr>
              <w:t>10.5</w:t>
            </w:r>
          </w:p>
        </w:tc>
        <w:tc>
          <w:tcPr>
            <w:tcW w:w="1193" w:type="dxa"/>
            <w:vAlign w:val="center"/>
          </w:tcPr>
          <w:p w:rsidR="004B4777" w:rsidRDefault="004B4777">
            <w:pPr>
              <w:pStyle w:val="af"/>
              <w:spacing w:line="240" w:lineRule="auto"/>
              <w:rPr>
                <w:sz w:val="21"/>
                <w:szCs w:val="21"/>
              </w:rPr>
            </w:pPr>
            <w:r>
              <w:rPr>
                <w:sz w:val="21"/>
                <w:szCs w:val="21"/>
              </w:rPr>
              <w:t>7.19</w:t>
            </w:r>
            <w:r>
              <w:rPr>
                <w:rFonts w:hint="eastAsia"/>
                <w:sz w:val="21"/>
                <w:szCs w:val="21"/>
              </w:rPr>
              <w:t>~</w:t>
            </w:r>
            <w:r>
              <w:rPr>
                <w:sz w:val="21"/>
                <w:szCs w:val="21"/>
              </w:rPr>
              <w:t>7.23</w:t>
            </w:r>
          </w:p>
        </w:tc>
        <w:tc>
          <w:tcPr>
            <w:tcW w:w="1150" w:type="dxa"/>
            <w:vAlign w:val="center"/>
          </w:tcPr>
          <w:p w:rsidR="004B4777" w:rsidRDefault="004B4777">
            <w:pPr>
              <w:pStyle w:val="af"/>
              <w:spacing w:line="240" w:lineRule="auto"/>
              <w:rPr>
                <w:sz w:val="21"/>
                <w:szCs w:val="21"/>
              </w:rPr>
            </w:pPr>
            <w:r>
              <w:rPr>
                <w:sz w:val="21"/>
                <w:szCs w:val="21"/>
              </w:rPr>
              <w:t>5.08</w:t>
            </w:r>
            <w:r>
              <w:rPr>
                <w:rFonts w:hint="eastAsia"/>
                <w:sz w:val="21"/>
                <w:szCs w:val="21"/>
              </w:rPr>
              <w:t>~</w:t>
            </w:r>
            <w:r>
              <w:rPr>
                <w:sz w:val="21"/>
                <w:szCs w:val="21"/>
              </w:rPr>
              <w:t>5.16</w:t>
            </w:r>
          </w:p>
        </w:tc>
        <w:tc>
          <w:tcPr>
            <w:tcW w:w="1198" w:type="dxa"/>
            <w:vAlign w:val="center"/>
          </w:tcPr>
          <w:p w:rsidR="004B4777" w:rsidRDefault="004B4777">
            <w:pPr>
              <w:pStyle w:val="af"/>
              <w:spacing w:line="240" w:lineRule="auto"/>
              <w:rPr>
                <w:sz w:val="21"/>
                <w:szCs w:val="21"/>
              </w:rPr>
            </w:pPr>
            <w:r>
              <w:rPr>
                <w:sz w:val="21"/>
                <w:szCs w:val="21"/>
              </w:rPr>
              <w:t>6</w:t>
            </w:r>
            <w:r>
              <w:rPr>
                <w:rFonts w:hint="eastAsia"/>
                <w:sz w:val="21"/>
                <w:szCs w:val="21"/>
              </w:rPr>
              <w:t>~8</w:t>
            </w:r>
          </w:p>
        </w:tc>
        <w:tc>
          <w:tcPr>
            <w:tcW w:w="1198" w:type="dxa"/>
            <w:vAlign w:val="center"/>
          </w:tcPr>
          <w:p w:rsidR="004B4777" w:rsidRDefault="004B4777">
            <w:pPr>
              <w:pStyle w:val="af"/>
              <w:spacing w:line="240" w:lineRule="auto"/>
              <w:rPr>
                <w:sz w:val="21"/>
                <w:szCs w:val="21"/>
              </w:rPr>
            </w:pPr>
            <w:r>
              <w:rPr>
                <w:sz w:val="21"/>
                <w:szCs w:val="21"/>
              </w:rPr>
              <w:t>2.1</w:t>
            </w:r>
            <w:r>
              <w:rPr>
                <w:rFonts w:hint="eastAsia"/>
                <w:sz w:val="21"/>
                <w:szCs w:val="21"/>
              </w:rPr>
              <w:t>~</w:t>
            </w:r>
            <w:r>
              <w:rPr>
                <w:sz w:val="21"/>
                <w:szCs w:val="21"/>
              </w:rPr>
              <w:t>2.</w:t>
            </w:r>
            <w:r>
              <w:rPr>
                <w:rFonts w:hint="eastAsia"/>
                <w:sz w:val="21"/>
                <w:szCs w:val="21"/>
              </w:rPr>
              <w:t>5</w:t>
            </w:r>
          </w:p>
        </w:tc>
        <w:tc>
          <w:tcPr>
            <w:tcW w:w="1349" w:type="dxa"/>
            <w:vAlign w:val="center"/>
          </w:tcPr>
          <w:p w:rsidR="004B4777" w:rsidRDefault="004B4777">
            <w:pPr>
              <w:pStyle w:val="af"/>
              <w:spacing w:line="240" w:lineRule="auto"/>
              <w:rPr>
                <w:sz w:val="21"/>
                <w:szCs w:val="21"/>
              </w:rPr>
            </w:pPr>
            <w:r>
              <w:rPr>
                <w:sz w:val="21"/>
                <w:szCs w:val="21"/>
              </w:rPr>
              <w:t>0.589</w:t>
            </w:r>
            <w:r>
              <w:rPr>
                <w:rFonts w:hint="eastAsia"/>
                <w:sz w:val="21"/>
                <w:szCs w:val="21"/>
              </w:rPr>
              <w:t>~</w:t>
            </w:r>
            <w:r>
              <w:rPr>
                <w:sz w:val="21"/>
                <w:szCs w:val="21"/>
              </w:rPr>
              <w:t>0.611</w:t>
            </w:r>
          </w:p>
        </w:tc>
        <w:tc>
          <w:tcPr>
            <w:tcW w:w="1346" w:type="dxa"/>
            <w:vAlign w:val="center"/>
          </w:tcPr>
          <w:p w:rsidR="004B4777" w:rsidRDefault="004B4777">
            <w:pPr>
              <w:pStyle w:val="af"/>
              <w:spacing w:line="240" w:lineRule="auto"/>
              <w:rPr>
                <w:sz w:val="21"/>
                <w:szCs w:val="21"/>
              </w:rPr>
            </w:pPr>
            <w:r>
              <w:rPr>
                <w:sz w:val="21"/>
                <w:szCs w:val="21"/>
              </w:rPr>
              <w:t>0.798</w:t>
            </w:r>
            <w:r>
              <w:rPr>
                <w:rFonts w:hint="eastAsia"/>
                <w:sz w:val="21"/>
                <w:szCs w:val="21"/>
              </w:rPr>
              <w:t>~</w:t>
            </w:r>
            <w:r>
              <w:rPr>
                <w:sz w:val="21"/>
                <w:szCs w:val="21"/>
              </w:rPr>
              <w:t>0.821</w:t>
            </w:r>
          </w:p>
        </w:tc>
        <w:tc>
          <w:tcPr>
            <w:tcW w:w="1065" w:type="dxa"/>
            <w:vAlign w:val="center"/>
          </w:tcPr>
          <w:p w:rsidR="004B4777" w:rsidRDefault="004B4777">
            <w:pPr>
              <w:pStyle w:val="af"/>
              <w:spacing w:line="240" w:lineRule="auto"/>
              <w:rPr>
                <w:sz w:val="21"/>
                <w:szCs w:val="21"/>
              </w:rPr>
            </w:pPr>
            <w:r>
              <w:rPr>
                <w:sz w:val="21"/>
                <w:szCs w:val="21"/>
              </w:rPr>
              <w:t>0.04</w:t>
            </w:r>
            <w:r>
              <w:rPr>
                <w:rFonts w:hint="eastAsia"/>
                <w:sz w:val="21"/>
                <w:szCs w:val="21"/>
              </w:rPr>
              <w:t>~</w:t>
            </w:r>
            <w:r>
              <w:rPr>
                <w:sz w:val="21"/>
                <w:szCs w:val="21"/>
              </w:rPr>
              <w:t>0.06</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trHeight w:val="90"/>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60" w:type="dxa"/>
            <w:vAlign w:val="center"/>
          </w:tcPr>
          <w:p w:rsidR="004B4777" w:rsidRDefault="004B4777">
            <w:pPr>
              <w:pStyle w:val="af"/>
              <w:spacing w:line="240" w:lineRule="auto"/>
              <w:rPr>
                <w:sz w:val="21"/>
                <w:szCs w:val="21"/>
              </w:rPr>
            </w:pPr>
            <w:r>
              <w:rPr>
                <w:rFonts w:hint="eastAsia"/>
                <w:sz w:val="21"/>
                <w:szCs w:val="21"/>
              </w:rPr>
              <w:t>10.43</w:t>
            </w:r>
          </w:p>
        </w:tc>
        <w:tc>
          <w:tcPr>
            <w:tcW w:w="1193" w:type="dxa"/>
            <w:vAlign w:val="center"/>
          </w:tcPr>
          <w:p w:rsidR="004B4777" w:rsidRDefault="004B4777">
            <w:pPr>
              <w:pStyle w:val="af"/>
              <w:spacing w:line="240" w:lineRule="auto"/>
              <w:rPr>
                <w:sz w:val="21"/>
                <w:szCs w:val="21"/>
              </w:rPr>
            </w:pPr>
            <w:r>
              <w:rPr>
                <w:rFonts w:hint="eastAsia"/>
                <w:sz w:val="21"/>
                <w:szCs w:val="21"/>
              </w:rPr>
              <w:t>7.21</w:t>
            </w:r>
          </w:p>
        </w:tc>
        <w:tc>
          <w:tcPr>
            <w:tcW w:w="1150" w:type="dxa"/>
            <w:vAlign w:val="center"/>
          </w:tcPr>
          <w:p w:rsidR="004B4777" w:rsidRDefault="004B4777">
            <w:pPr>
              <w:pStyle w:val="af"/>
              <w:spacing w:line="240" w:lineRule="auto"/>
              <w:rPr>
                <w:sz w:val="21"/>
                <w:szCs w:val="21"/>
              </w:rPr>
            </w:pPr>
            <w:r>
              <w:rPr>
                <w:rFonts w:hint="eastAsia"/>
                <w:sz w:val="21"/>
                <w:szCs w:val="21"/>
              </w:rPr>
              <w:t>5.11</w:t>
            </w:r>
          </w:p>
        </w:tc>
        <w:tc>
          <w:tcPr>
            <w:tcW w:w="1198" w:type="dxa"/>
            <w:vAlign w:val="center"/>
          </w:tcPr>
          <w:p w:rsidR="004B4777" w:rsidRDefault="004B4777">
            <w:pPr>
              <w:pStyle w:val="af"/>
              <w:spacing w:line="240" w:lineRule="auto"/>
              <w:rPr>
                <w:sz w:val="21"/>
                <w:szCs w:val="21"/>
              </w:rPr>
            </w:pPr>
            <w:r>
              <w:rPr>
                <w:rFonts w:hint="eastAsia"/>
                <w:sz w:val="21"/>
                <w:szCs w:val="21"/>
              </w:rPr>
              <w:t>7.3</w:t>
            </w:r>
          </w:p>
        </w:tc>
        <w:tc>
          <w:tcPr>
            <w:tcW w:w="1198" w:type="dxa"/>
            <w:vAlign w:val="center"/>
          </w:tcPr>
          <w:p w:rsidR="004B4777" w:rsidRDefault="004B4777">
            <w:pPr>
              <w:pStyle w:val="af"/>
              <w:spacing w:line="240" w:lineRule="auto"/>
              <w:rPr>
                <w:sz w:val="21"/>
                <w:szCs w:val="21"/>
              </w:rPr>
            </w:pPr>
            <w:r>
              <w:rPr>
                <w:rFonts w:hint="eastAsia"/>
                <w:sz w:val="21"/>
                <w:szCs w:val="21"/>
              </w:rPr>
              <w:t>2.3</w:t>
            </w:r>
          </w:p>
        </w:tc>
        <w:tc>
          <w:tcPr>
            <w:tcW w:w="1349" w:type="dxa"/>
            <w:vAlign w:val="center"/>
          </w:tcPr>
          <w:p w:rsidR="004B4777" w:rsidRDefault="004B4777">
            <w:pPr>
              <w:pStyle w:val="af"/>
              <w:spacing w:line="240" w:lineRule="auto"/>
              <w:rPr>
                <w:sz w:val="21"/>
                <w:szCs w:val="21"/>
              </w:rPr>
            </w:pPr>
            <w:r>
              <w:rPr>
                <w:rFonts w:hint="eastAsia"/>
                <w:sz w:val="21"/>
                <w:szCs w:val="21"/>
              </w:rPr>
              <w:t>0.599</w:t>
            </w:r>
          </w:p>
        </w:tc>
        <w:tc>
          <w:tcPr>
            <w:tcW w:w="1346" w:type="dxa"/>
            <w:vAlign w:val="center"/>
          </w:tcPr>
          <w:p w:rsidR="004B4777" w:rsidRDefault="004B4777">
            <w:pPr>
              <w:pStyle w:val="af"/>
              <w:spacing w:line="240" w:lineRule="auto"/>
              <w:rPr>
                <w:sz w:val="21"/>
                <w:szCs w:val="21"/>
              </w:rPr>
            </w:pPr>
            <w:r>
              <w:rPr>
                <w:rFonts w:hint="eastAsia"/>
                <w:sz w:val="21"/>
                <w:szCs w:val="21"/>
              </w:rPr>
              <w:t>0.808</w:t>
            </w:r>
          </w:p>
        </w:tc>
        <w:tc>
          <w:tcPr>
            <w:tcW w:w="1065" w:type="dxa"/>
            <w:vAlign w:val="center"/>
          </w:tcPr>
          <w:p w:rsidR="004B4777" w:rsidRDefault="004B4777">
            <w:pPr>
              <w:pStyle w:val="af"/>
              <w:spacing w:line="240" w:lineRule="auto"/>
              <w:rPr>
                <w:sz w:val="21"/>
                <w:szCs w:val="21"/>
              </w:rPr>
            </w:pPr>
            <w:r>
              <w:rPr>
                <w:sz w:val="21"/>
                <w:szCs w:val="21"/>
              </w:rPr>
              <w:t>0.05</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2017" w:type="dxa"/>
            <w:vMerge w:val="restart"/>
            <w:vAlign w:val="center"/>
          </w:tcPr>
          <w:p w:rsidR="004B4777" w:rsidRDefault="004B4777">
            <w:pPr>
              <w:pStyle w:val="62"/>
              <w:adjustRightInd w:val="0"/>
              <w:snapToGrid w:val="0"/>
              <w:rPr>
                <w:rFonts w:eastAsia="宋体"/>
                <w:b w:val="0"/>
                <w:sz w:val="21"/>
                <w:szCs w:val="21"/>
              </w:rPr>
            </w:pPr>
            <w:r>
              <w:rPr>
                <w:rFonts w:eastAsia="宋体" w:hint="eastAsia"/>
                <w:b w:val="0"/>
                <w:sz w:val="21"/>
                <w:szCs w:val="21"/>
              </w:rPr>
              <w:t>W10</w:t>
            </w:r>
            <w:r>
              <w:rPr>
                <w:rFonts w:eastAsia="宋体" w:hint="eastAsia"/>
                <w:b w:val="0"/>
                <w:sz w:val="21"/>
                <w:szCs w:val="21"/>
              </w:rPr>
              <w:t>湘江斗米咀采区下游</w:t>
            </w:r>
            <w:r>
              <w:rPr>
                <w:rFonts w:eastAsia="宋体" w:hint="eastAsia"/>
                <w:b w:val="0"/>
                <w:sz w:val="21"/>
                <w:szCs w:val="21"/>
              </w:rPr>
              <w:t>500m</w:t>
            </w: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60" w:type="dxa"/>
            <w:vAlign w:val="center"/>
          </w:tcPr>
          <w:p w:rsidR="004B4777" w:rsidRDefault="004B4777">
            <w:pPr>
              <w:pStyle w:val="af"/>
              <w:spacing w:line="240" w:lineRule="auto"/>
              <w:rPr>
                <w:sz w:val="21"/>
                <w:szCs w:val="21"/>
              </w:rPr>
            </w:pPr>
            <w:r>
              <w:rPr>
                <w:sz w:val="21"/>
                <w:szCs w:val="21"/>
              </w:rPr>
              <w:t>10.3</w:t>
            </w:r>
            <w:r>
              <w:rPr>
                <w:rFonts w:hint="eastAsia"/>
                <w:sz w:val="21"/>
                <w:szCs w:val="21"/>
              </w:rPr>
              <w:t>~</w:t>
            </w:r>
            <w:r>
              <w:rPr>
                <w:sz w:val="21"/>
                <w:szCs w:val="21"/>
              </w:rPr>
              <w:t>10.5</w:t>
            </w:r>
          </w:p>
        </w:tc>
        <w:tc>
          <w:tcPr>
            <w:tcW w:w="1193" w:type="dxa"/>
            <w:vAlign w:val="center"/>
          </w:tcPr>
          <w:p w:rsidR="004B4777" w:rsidRDefault="004B4777">
            <w:pPr>
              <w:pStyle w:val="af"/>
              <w:spacing w:line="240" w:lineRule="auto"/>
              <w:rPr>
                <w:sz w:val="21"/>
                <w:szCs w:val="21"/>
              </w:rPr>
            </w:pPr>
            <w:r>
              <w:rPr>
                <w:sz w:val="21"/>
                <w:szCs w:val="21"/>
              </w:rPr>
              <w:t>7.11</w:t>
            </w:r>
            <w:r>
              <w:rPr>
                <w:rFonts w:hint="eastAsia"/>
                <w:sz w:val="21"/>
                <w:szCs w:val="21"/>
              </w:rPr>
              <w:t>~</w:t>
            </w:r>
            <w:r>
              <w:rPr>
                <w:sz w:val="21"/>
                <w:szCs w:val="21"/>
              </w:rPr>
              <w:t>7.16</w:t>
            </w:r>
          </w:p>
        </w:tc>
        <w:tc>
          <w:tcPr>
            <w:tcW w:w="1150" w:type="dxa"/>
            <w:vAlign w:val="center"/>
          </w:tcPr>
          <w:p w:rsidR="004B4777" w:rsidRDefault="004B4777">
            <w:pPr>
              <w:pStyle w:val="af"/>
              <w:spacing w:line="240" w:lineRule="auto"/>
              <w:rPr>
                <w:sz w:val="21"/>
                <w:szCs w:val="21"/>
              </w:rPr>
            </w:pPr>
            <w:r>
              <w:rPr>
                <w:sz w:val="21"/>
                <w:szCs w:val="21"/>
              </w:rPr>
              <w:t>5.48</w:t>
            </w:r>
            <w:r>
              <w:rPr>
                <w:rFonts w:hint="eastAsia"/>
                <w:sz w:val="21"/>
                <w:szCs w:val="21"/>
              </w:rPr>
              <w:t>~</w:t>
            </w:r>
            <w:r>
              <w:rPr>
                <w:sz w:val="21"/>
                <w:szCs w:val="21"/>
              </w:rPr>
              <w:t>5.61</w:t>
            </w:r>
          </w:p>
        </w:tc>
        <w:tc>
          <w:tcPr>
            <w:tcW w:w="1198" w:type="dxa"/>
            <w:vAlign w:val="center"/>
          </w:tcPr>
          <w:p w:rsidR="004B4777" w:rsidRDefault="004B4777">
            <w:pPr>
              <w:pStyle w:val="af"/>
              <w:spacing w:line="240" w:lineRule="auto"/>
              <w:rPr>
                <w:sz w:val="21"/>
                <w:szCs w:val="21"/>
              </w:rPr>
            </w:pPr>
            <w:r>
              <w:rPr>
                <w:sz w:val="21"/>
                <w:szCs w:val="21"/>
              </w:rPr>
              <w:t>10</w:t>
            </w:r>
            <w:r>
              <w:rPr>
                <w:rFonts w:hint="eastAsia"/>
                <w:sz w:val="21"/>
                <w:szCs w:val="21"/>
              </w:rPr>
              <w:t>~12</w:t>
            </w:r>
          </w:p>
        </w:tc>
        <w:tc>
          <w:tcPr>
            <w:tcW w:w="1198" w:type="dxa"/>
            <w:vAlign w:val="center"/>
          </w:tcPr>
          <w:p w:rsidR="004B4777" w:rsidRDefault="004B4777">
            <w:pPr>
              <w:pStyle w:val="af"/>
              <w:spacing w:line="240" w:lineRule="auto"/>
              <w:rPr>
                <w:sz w:val="21"/>
                <w:szCs w:val="21"/>
              </w:rPr>
            </w:pPr>
            <w:r>
              <w:rPr>
                <w:sz w:val="21"/>
                <w:szCs w:val="21"/>
              </w:rPr>
              <w:t>2.8</w:t>
            </w:r>
            <w:r>
              <w:rPr>
                <w:rFonts w:hint="eastAsia"/>
                <w:sz w:val="21"/>
                <w:szCs w:val="21"/>
              </w:rPr>
              <w:t>~</w:t>
            </w:r>
            <w:r>
              <w:rPr>
                <w:sz w:val="21"/>
                <w:szCs w:val="21"/>
              </w:rPr>
              <w:t>3.3</w:t>
            </w:r>
          </w:p>
        </w:tc>
        <w:tc>
          <w:tcPr>
            <w:tcW w:w="1349" w:type="dxa"/>
            <w:vAlign w:val="center"/>
          </w:tcPr>
          <w:p w:rsidR="004B4777" w:rsidRDefault="004B4777">
            <w:pPr>
              <w:pStyle w:val="af"/>
              <w:spacing w:line="240" w:lineRule="auto"/>
              <w:rPr>
                <w:sz w:val="21"/>
                <w:szCs w:val="21"/>
              </w:rPr>
            </w:pPr>
            <w:r>
              <w:rPr>
                <w:sz w:val="21"/>
                <w:szCs w:val="21"/>
              </w:rPr>
              <w:t>0.652</w:t>
            </w:r>
            <w:r>
              <w:rPr>
                <w:rFonts w:hint="eastAsia"/>
                <w:sz w:val="21"/>
                <w:szCs w:val="21"/>
              </w:rPr>
              <w:t>~</w:t>
            </w:r>
            <w:r>
              <w:rPr>
                <w:sz w:val="21"/>
                <w:szCs w:val="21"/>
              </w:rPr>
              <w:t>0.673</w:t>
            </w:r>
          </w:p>
        </w:tc>
        <w:tc>
          <w:tcPr>
            <w:tcW w:w="1346" w:type="dxa"/>
            <w:vAlign w:val="center"/>
          </w:tcPr>
          <w:p w:rsidR="004B4777" w:rsidRDefault="004B4777">
            <w:pPr>
              <w:pStyle w:val="af"/>
              <w:spacing w:line="240" w:lineRule="auto"/>
              <w:rPr>
                <w:sz w:val="21"/>
                <w:szCs w:val="21"/>
              </w:rPr>
            </w:pPr>
            <w:r>
              <w:rPr>
                <w:sz w:val="21"/>
                <w:szCs w:val="21"/>
              </w:rPr>
              <w:t>0.928</w:t>
            </w:r>
            <w:r>
              <w:rPr>
                <w:rFonts w:hint="eastAsia"/>
                <w:sz w:val="21"/>
                <w:szCs w:val="21"/>
              </w:rPr>
              <w:t>~</w:t>
            </w:r>
            <w:r>
              <w:rPr>
                <w:sz w:val="21"/>
                <w:szCs w:val="21"/>
              </w:rPr>
              <w:t>0.973</w:t>
            </w:r>
          </w:p>
        </w:tc>
        <w:tc>
          <w:tcPr>
            <w:tcW w:w="1065" w:type="dxa"/>
            <w:vAlign w:val="center"/>
          </w:tcPr>
          <w:p w:rsidR="004B4777" w:rsidRDefault="004B4777">
            <w:pPr>
              <w:pStyle w:val="af"/>
              <w:spacing w:line="240" w:lineRule="auto"/>
              <w:rPr>
                <w:sz w:val="21"/>
                <w:szCs w:val="21"/>
              </w:rPr>
            </w:pPr>
            <w:r>
              <w:rPr>
                <w:sz w:val="21"/>
                <w:szCs w:val="21"/>
              </w:rPr>
              <w:t>0.09</w:t>
            </w:r>
            <w:r>
              <w:rPr>
                <w:rFonts w:hint="eastAsia"/>
                <w:sz w:val="21"/>
                <w:szCs w:val="21"/>
              </w:rPr>
              <w:t>~</w:t>
            </w:r>
            <w:r>
              <w:rPr>
                <w:sz w:val="21"/>
                <w:szCs w:val="21"/>
              </w:rPr>
              <w:t>0.12</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60" w:type="dxa"/>
            <w:vAlign w:val="center"/>
          </w:tcPr>
          <w:p w:rsidR="004B4777" w:rsidRDefault="004B4777">
            <w:pPr>
              <w:pStyle w:val="af"/>
              <w:spacing w:line="240" w:lineRule="auto"/>
              <w:rPr>
                <w:sz w:val="21"/>
                <w:szCs w:val="21"/>
              </w:rPr>
            </w:pPr>
            <w:r>
              <w:rPr>
                <w:rFonts w:hint="eastAsia"/>
                <w:sz w:val="21"/>
                <w:szCs w:val="21"/>
              </w:rPr>
              <w:t>10.43</w:t>
            </w:r>
          </w:p>
        </w:tc>
        <w:tc>
          <w:tcPr>
            <w:tcW w:w="1193" w:type="dxa"/>
            <w:vAlign w:val="center"/>
          </w:tcPr>
          <w:p w:rsidR="004B4777" w:rsidRDefault="004B4777">
            <w:pPr>
              <w:pStyle w:val="af"/>
              <w:spacing w:line="240" w:lineRule="auto"/>
              <w:rPr>
                <w:sz w:val="21"/>
                <w:szCs w:val="21"/>
              </w:rPr>
            </w:pPr>
            <w:r>
              <w:rPr>
                <w:rFonts w:hint="eastAsia"/>
                <w:sz w:val="21"/>
                <w:szCs w:val="21"/>
              </w:rPr>
              <w:t>7.14</w:t>
            </w:r>
          </w:p>
        </w:tc>
        <w:tc>
          <w:tcPr>
            <w:tcW w:w="1150" w:type="dxa"/>
            <w:vAlign w:val="center"/>
          </w:tcPr>
          <w:p w:rsidR="004B4777" w:rsidRDefault="004B4777">
            <w:pPr>
              <w:pStyle w:val="af"/>
              <w:spacing w:line="240" w:lineRule="auto"/>
              <w:rPr>
                <w:sz w:val="21"/>
                <w:szCs w:val="21"/>
              </w:rPr>
            </w:pPr>
            <w:r>
              <w:rPr>
                <w:rFonts w:hint="eastAsia"/>
                <w:sz w:val="21"/>
                <w:szCs w:val="21"/>
              </w:rPr>
              <w:t>5.55</w:t>
            </w:r>
          </w:p>
        </w:tc>
        <w:tc>
          <w:tcPr>
            <w:tcW w:w="1198" w:type="dxa"/>
            <w:vAlign w:val="center"/>
          </w:tcPr>
          <w:p w:rsidR="004B4777" w:rsidRDefault="004B4777">
            <w:pPr>
              <w:pStyle w:val="af"/>
              <w:spacing w:line="240" w:lineRule="auto"/>
              <w:rPr>
                <w:sz w:val="21"/>
                <w:szCs w:val="21"/>
              </w:rPr>
            </w:pPr>
            <w:r>
              <w:rPr>
                <w:rFonts w:hint="eastAsia"/>
                <w:sz w:val="21"/>
                <w:szCs w:val="21"/>
              </w:rPr>
              <w:t>11</w:t>
            </w:r>
          </w:p>
        </w:tc>
        <w:tc>
          <w:tcPr>
            <w:tcW w:w="1198" w:type="dxa"/>
            <w:vAlign w:val="center"/>
          </w:tcPr>
          <w:p w:rsidR="004B4777" w:rsidRDefault="004B4777">
            <w:pPr>
              <w:pStyle w:val="af"/>
              <w:spacing w:line="240" w:lineRule="auto"/>
              <w:rPr>
                <w:sz w:val="21"/>
                <w:szCs w:val="21"/>
              </w:rPr>
            </w:pPr>
            <w:r>
              <w:rPr>
                <w:rFonts w:hint="eastAsia"/>
                <w:sz w:val="21"/>
                <w:szCs w:val="21"/>
              </w:rPr>
              <w:t>3</w:t>
            </w:r>
          </w:p>
        </w:tc>
        <w:tc>
          <w:tcPr>
            <w:tcW w:w="1349" w:type="dxa"/>
            <w:vAlign w:val="center"/>
          </w:tcPr>
          <w:p w:rsidR="004B4777" w:rsidRDefault="004B4777">
            <w:pPr>
              <w:pStyle w:val="af"/>
              <w:spacing w:line="240" w:lineRule="auto"/>
              <w:rPr>
                <w:sz w:val="21"/>
                <w:szCs w:val="21"/>
              </w:rPr>
            </w:pPr>
            <w:r>
              <w:rPr>
                <w:rFonts w:hint="eastAsia"/>
                <w:sz w:val="21"/>
                <w:szCs w:val="21"/>
              </w:rPr>
              <w:t>0.665</w:t>
            </w:r>
          </w:p>
        </w:tc>
        <w:tc>
          <w:tcPr>
            <w:tcW w:w="1346" w:type="dxa"/>
            <w:vAlign w:val="center"/>
          </w:tcPr>
          <w:p w:rsidR="004B4777" w:rsidRDefault="004B4777">
            <w:pPr>
              <w:pStyle w:val="af"/>
              <w:spacing w:line="240" w:lineRule="auto"/>
              <w:rPr>
                <w:sz w:val="21"/>
                <w:szCs w:val="21"/>
              </w:rPr>
            </w:pPr>
            <w:r>
              <w:rPr>
                <w:rFonts w:hint="eastAsia"/>
                <w:sz w:val="21"/>
                <w:szCs w:val="21"/>
              </w:rPr>
              <w:t>0.955</w:t>
            </w:r>
          </w:p>
        </w:tc>
        <w:tc>
          <w:tcPr>
            <w:tcW w:w="1065" w:type="dxa"/>
            <w:vAlign w:val="center"/>
          </w:tcPr>
          <w:p w:rsidR="004B4777" w:rsidRDefault="004B4777">
            <w:pPr>
              <w:pStyle w:val="af"/>
              <w:spacing w:line="240" w:lineRule="auto"/>
              <w:rPr>
                <w:sz w:val="21"/>
                <w:szCs w:val="21"/>
              </w:rPr>
            </w:pPr>
            <w:r>
              <w:rPr>
                <w:rFonts w:hint="eastAsia"/>
                <w:sz w:val="21"/>
                <w:szCs w:val="21"/>
              </w:rPr>
              <w:t>0.107</w:t>
            </w:r>
          </w:p>
        </w:tc>
        <w:tc>
          <w:tcPr>
            <w:tcW w:w="892" w:type="dxa"/>
            <w:vAlign w:val="center"/>
          </w:tcPr>
          <w:p w:rsidR="004B4777" w:rsidRDefault="004B4777">
            <w:pPr>
              <w:pStyle w:val="af"/>
              <w:spacing w:line="240" w:lineRule="auto"/>
              <w:rPr>
                <w:sz w:val="21"/>
                <w:szCs w:val="21"/>
              </w:rPr>
            </w:pPr>
            <w:r>
              <w:rPr>
                <w:sz w:val="21"/>
                <w:szCs w:val="21"/>
              </w:rPr>
              <w:t>0.001L</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2017" w:type="dxa"/>
            <w:vMerge/>
            <w:vAlign w:val="center"/>
          </w:tcPr>
          <w:p w:rsidR="004B4777" w:rsidRDefault="004B4777">
            <w:pPr>
              <w:pStyle w:val="62"/>
              <w:adjustRightInd w:val="0"/>
              <w:snapToGrid w:val="0"/>
              <w:rPr>
                <w:rFonts w:eastAsia="宋体"/>
                <w:b w:val="0"/>
                <w:sz w:val="21"/>
                <w:szCs w:val="21"/>
              </w:rPr>
            </w:pPr>
          </w:p>
        </w:tc>
        <w:tc>
          <w:tcPr>
            <w:tcW w:w="1606"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60" w:type="dxa"/>
            <w:vAlign w:val="center"/>
          </w:tcPr>
          <w:p w:rsidR="004B4777" w:rsidRDefault="004B4777">
            <w:pPr>
              <w:pStyle w:val="af"/>
              <w:spacing w:line="240" w:lineRule="auto"/>
              <w:rPr>
                <w:sz w:val="21"/>
                <w:szCs w:val="21"/>
              </w:rPr>
            </w:pPr>
            <w:r>
              <w:rPr>
                <w:rFonts w:hint="eastAsia"/>
                <w:sz w:val="21"/>
                <w:szCs w:val="21"/>
              </w:rPr>
              <w:t>0</w:t>
            </w:r>
          </w:p>
        </w:tc>
        <w:tc>
          <w:tcPr>
            <w:tcW w:w="1193" w:type="dxa"/>
            <w:vAlign w:val="center"/>
          </w:tcPr>
          <w:p w:rsidR="004B4777" w:rsidRDefault="004B4777">
            <w:pPr>
              <w:pStyle w:val="af"/>
              <w:spacing w:line="240" w:lineRule="auto"/>
              <w:rPr>
                <w:sz w:val="21"/>
                <w:szCs w:val="21"/>
              </w:rPr>
            </w:pPr>
            <w:r>
              <w:rPr>
                <w:rFonts w:hint="eastAsia"/>
                <w:sz w:val="21"/>
                <w:szCs w:val="21"/>
              </w:rPr>
              <w:t>0</w:t>
            </w:r>
          </w:p>
        </w:tc>
        <w:tc>
          <w:tcPr>
            <w:tcW w:w="1150"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198" w:type="dxa"/>
            <w:vAlign w:val="center"/>
          </w:tcPr>
          <w:p w:rsidR="004B4777" w:rsidRDefault="004B4777">
            <w:pPr>
              <w:pStyle w:val="af"/>
              <w:spacing w:line="240" w:lineRule="auto"/>
              <w:rPr>
                <w:sz w:val="21"/>
                <w:szCs w:val="21"/>
              </w:rPr>
            </w:pPr>
            <w:r>
              <w:rPr>
                <w:rFonts w:hint="eastAsia"/>
                <w:sz w:val="21"/>
                <w:szCs w:val="21"/>
              </w:rPr>
              <w:t>0</w:t>
            </w:r>
          </w:p>
        </w:tc>
        <w:tc>
          <w:tcPr>
            <w:tcW w:w="1349" w:type="dxa"/>
            <w:vAlign w:val="center"/>
          </w:tcPr>
          <w:p w:rsidR="004B4777" w:rsidRDefault="004B4777">
            <w:pPr>
              <w:pStyle w:val="af"/>
              <w:spacing w:line="240" w:lineRule="auto"/>
              <w:rPr>
                <w:sz w:val="21"/>
                <w:szCs w:val="21"/>
              </w:rPr>
            </w:pPr>
            <w:r>
              <w:rPr>
                <w:rFonts w:hint="eastAsia"/>
                <w:sz w:val="21"/>
                <w:szCs w:val="21"/>
              </w:rPr>
              <w:t>0</w:t>
            </w:r>
          </w:p>
        </w:tc>
        <w:tc>
          <w:tcPr>
            <w:tcW w:w="1346" w:type="dxa"/>
            <w:vAlign w:val="center"/>
          </w:tcPr>
          <w:p w:rsidR="004B4777" w:rsidRDefault="004B4777">
            <w:pPr>
              <w:pStyle w:val="af"/>
              <w:spacing w:line="240" w:lineRule="auto"/>
              <w:rPr>
                <w:sz w:val="21"/>
                <w:szCs w:val="21"/>
              </w:rPr>
            </w:pPr>
            <w:r>
              <w:rPr>
                <w:rFonts w:hint="eastAsia"/>
                <w:sz w:val="21"/>
                <w:szCs w:val="21"/>
              </w:rPr>
              <w:t>0</w:t>
            </w:r>
          </w:p>
        </w:tc>
        <w:tc>
          <w:tcPr>
            <w:tcW w:w="1065" w:type="dxa"/>
            <w:vAlign w:val="center"/>
          </w:tcPr>
          <w:p w:rsidR="004B4777" w:rsidRDefault="004B4777">
            <w:pPr>
              <w:pStyle w:val="af"/>
              <w:spacing w:line="240" w:lineRule="auto"/>
              <w:rPr>
                <w:sz w:val="21"/>
                <w:szCs w:val="21"/>
              </w:rPr>
            </w:pPr>
            <w:r>
              <w:rPr>
                <w:rFonts w:hint="eastAsia"/>
                <w:sz w:val="21"/>
                <w:szCs w:val="21"/>
              </w:rPr>
              <w:t>0</w:t>
            </w:r>
          </w:p>
        </w:tc>
        <w:tc>
          <w:tcPr>
            <w:tcW w:w="892"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3623" w:type="dxa"/>
            <w:gridSpan w:val="2"/>
            <w:vAlign w:val="center"/>
          </w:tcPr>
          <w:p w:rsidR="004B4777" w:rsidRDefault="004B4777">
            <w:pPr>
              <w:pStyle w:val="62"/>
              <w:adjustRightInd w:val="0"/>
              <w:snapToGrid w:val="0"/>
              <w:rPr>
                <w:rFonts w:eastAsia="宋体"/>
                <w:b w:val="0"/>
                <w:sz w:val="21"/>
                <w:szCs w:val="21"/>
              </w:rPr>
            </w:pPr>
            <w:r>
              <w:rPr>
                <w:rFonts w:eastAsia="宋体" w:hint="eastAsia"/>
                <w:b w:val="0"/>
                <w:sz w:val="21"/>
                <w:szCs w:val="21"/>
              </w:rPr>
              <w:t>GB3838-2002</w:t>
            </w:r>
            <w:r>
              <w:rPr>
                <w:rFonts w:eastAsia="宋体" w:hint="eastAsia"/>
                <w:b w:val="0"/>
                <w:sz w:val="21"/>
                <w:szCs w:val="21"/>
              </w:rPr>
              <w:t>中Ⅲ类</w:t>
            </w:r>
          </w:p>
        </w:tc>
        <w:tc>
          <w:tcPr>
            <w:tcW w:w="1160" w:type="dxa"/>
            <w:vAlign w:val="center"/>
          </w:tcPr>
          <w:p w:rsidR="004B4777" w:rsidRDefault="004B4777">
            <w:pPr>
              <w:pStyle w:val="af"/>
              <w:spacing w:line="240" w:lineRule="auto"/>
              <w:rPr>
                <w:sz w:val="21"/>
                <w:szCs w:val="21"/>
              </w:rPr>
            </w:pPr>
          </w:p>
        </w:tc>
        <w:tc>
          <w:tcPr>
            <w:tcW w:w="1193" w:type="dxa"/>
            <w:vAlign w:val="center"/>
          </w:tcPr>
          <w:p w:rsidR="004B4777" w:rsidRDefault="004B4777">
            <w:pPr>
              <w:pStyle w:val="af"/>
              <w:spacing w:line="240" w:lineRule="auto"/>
              <w:rPr>
                <w:sz w:val="21"/>
                <w:szCs w:val="21"/>
                <w:lang/>
              </w:rPr>
            </w:pPr>
            <w:r>
              <w:rPr>
                <w:sz w:val="21"/>
                <w:szCs w:val="21"/>
                <w:lang/>
              </w:rPr>
              <w:t>6</w:t>
            </w:r>
            <w:r>
              <w:rPr>
                <w:rFonts w:hint="eastAsia"/>
                <w:sz w:val="21"/>
                <w:szCs w:val="21"/>
                <w:lang/>
              </w:rPr>
              <w:t>～</w:t>
            </w:r>
            <w:r>
              <w:rPr>
                <w:sz w:val="21"/>
                <w:szCs w:val="21"/>
                <w:lang/>
              </w:rPr>
              <w:t>9</w:t>
            </w:r>
          </w:p>
        </w:tc>
        <w:tc>
          <w:tcPr>
            <w:tcW w:w="1150"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5</w:t>
            </w:r>
          </w:p>
        </w:tc>
        <w:tc>
          <w:tcPr>
            <w:tcW w:w="1198"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20</w:t>
            </w:r>
          </w:p>
        </w:tc>
        <w:tc>
          <w:tcPr>
            <w:tcW w:w="1198"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4</w:t>
            </w:r>
          </w:p>
        </w:tc>
        <w:tc>
          <w:tcPr>
            <w:tcW w:w="1349"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1.0</w:t>
            </w:r>
          </w:p>
        </w:tc>
        <w:tc>
          <w:tcPr>
            <w:tcW w:w="1346"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1.0</w:t>
            </w:r>
          </w:p>
        </w:tc>
        <w:tc>
          <w:tcPr>
            <w:tcW w:w="1065"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0.2</w:t>
            </w:r>
          </w:p>
        </w:tc>
        <w:tc>
          <w:tcPr>
            <w:tcW w:w="892" w:type="dxa"/>
            <w:vAlign w:val="center"/>
          </w:tcPr>
          <w:p w:rsidR="004B4777" w:rsidRDefault="004B4777">
            <w:pPr>
              <w:pStyle w:val="af"/>
              <w:spacing w:line="240" w:lineRule="auto"/>
              <w:rPr>
                <w:sz w:val="21"/>
                <w:szCs w:val="21"/>
                <w:lang/>
              </w:rPr>
            </w:pPr>
            <w:r>
              <w:rPr>
                <w:sz w:val="21"/>
                <w:szCs w:val="21"/>
                <w:lang/>
              </w:rPr>
              <w:t>≤</w:t>
            </w:r>
            <w:r>
              <w:rPr>
                <w:rFonts w:hint="eastAsia"/>
                <w:sz w:val="21"/>
                <w:szCs w:val="21"/>
                <w:lang/>
              </w:rPr>
              <w:t>1.0</w:t>
            </w:r>
          </w:p>
        </w:tc>
      </w:tr>
    </w:tbl>
    <w:p w:rsidR="004B4777" w:rsidRDefault="004B4777">
      <w:pPr>
        <w:pStyle w:val="af"/>
        <w:spacing w:line="240" w:lineRule="auto"/>
        <w:jc w:val="both"/>
      </w:pPr>
    </w:p>
    <w:p w:rsidR="004B4777" w:rsidRDefault="004B4777">
      <w:pPr>
        <w:pStyle w:val="af"/>
        <w:spacing w:line="240" w:lineRule="auto"/>
        <w:ind w:firstLineChars="1400" w:firstLine="3373"/>
        <w:jc w:val="both"/>
        <w:rPr>
          <w:rFonts w:hint="eastAsia"/>
          <w:b/>
        </w:rPr>
      </w:pPr>
    </w:p>
    <w:p w:rsidR="004B4777" w:rsidRDefault="004B4777">
      <w:pPr>
        <w:pStyle w:val="af"/>
        <w:spacing w:line="240" w:lineRule="auto"/>
        <w:ind w:firstLineChars="1400" w:firstLine="3373"/>
        <w:jc w:val="both"/>
        <w:rPr>
          <w:rFonts w:hint="eastAsia"/>
          <w:b/>
        </w:rPr>
      </w:pPr>
    </w:p>
    <w:p w:rsidR="004B4777" w:rsidRDefault="004B4777">
      <w:pPr>
        <w:pStyle w:val="af"/>
        <w:spacing w:line="240" w:lineRule="auto"/>
        <w:ind w:firstLineChars="1400" w:firstLine="3373"/>
        <w:jc w:val="both"/>
        <w:rPr>
          <w:b/>
        </w:rPr>
      </w:pPr>
      <w:r>
        <w:rPr>
          <w:rFonts w:hint="eastAsia"/>
          <w:b/>
        </w:rPr>
        <w:lastRenderedPageBreak/>
        <w:t>表</w:t>
      </w:r>
      <w:r>
        <w:rPr>
          <w:rFonts w:hint="eastAsia"/>
          <w:b/>
        </w:rPr>
        <w:t>5.2-5</w:t>
      </w:r>
      <w:r>
        <w:rPr>
          <w:rFonts w:hint="eastAsia"/>
          <w:b/>
        </w:rPr>
        <w:t>（续表</w:t>
      </w:r>
      <w:r>
        <w:rPr>
          <w:rFonts w:hint="eastAsia"/>
          <w:b/>
        </w:rPr>
        <w:t>2</w:t>
      </w:r>
      <w:r>
        <w:rPr>
          <w:rFonts w:hint="eastAsia"/>
          <w:b/>
        </w:rPr>
        <w:t>）</w:t>
      </w:r>
      <w:r>
        <w:rPr>
          <w:rFonts w:hint="eastAsia"/>
          <w:b/>
        </w:rPr>
        <w:t xml:space="preserve">   </w:t>
      </w:r>
      <w:r>
        <w:rPr>
          <w:rFonts w:hint="eastAsia"/>
          <w:b/>
        </w:rPr>
        <w:t>项目采区地表水环境现状监测及评价结果表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39"/>
        <w:gridCol w:w="1559"/>
        <w:gridCol w:w="1276"/>
        <w:gridCol w:w="1418"/>
        <w:gridCol w:w="1417"/>
        <w:gridCol w:w="1276"/>
        <w:gridCol w:w="1250"/>
        <w:gridCol w:w="1197"/>
        <w:gridCol w:w="1323"/>
        <w:gridCol w:w="1295"/>
      </w:tblGrid>
      <w:tr w:rsidR="004B4777">
        <w:trPr>
          <w:jc w:val="center"/>
        </w:trPr>
        <w:tc>
          <w:tcPr>
            <w:tcW w:w="3298" w:type="dxa"/>
            <w:gridSpan w:val="2"/>
            <w:tcBorders>
              <w:tl2br w:val="single" w:sz="6" w:space="0" w:color="auto"/>
            </w:tcBorders>
            <w:vAlign w:val="center"/>
          </w:tcPr>
          <w:p w:rsidR="004B4777" w:rsidRDefault="004B4777">
            <w:pPr>
              <w:pStyle w:val="af"/>
              <w:spacing w:line="240" w:lineRule="auto"/>
              <w:rPr>
                <w:sz w:val="21"/>
                <w:szCs w:val="21"/>
              </w:rPr>
            </w:pPr>
            <w:r>
              <w:rPr>
                <w:sz w:val="21"/>
                <w:szCs w:val="21"/>
              </w:rPr>
              <w:t xml:space="preserve">                  </w:t>
            </w:r>
            <w:r>
              <w:rPr>
                <w:sz w:val="21"/>
                <w:szCs w:val="21"/>
              </w:rPr>
              <w:t>评价因子</w:t>
            </w:r>
          </w:p>
          <w:p w:rsidR="004B4777" w:rsidRDefault="004B4777">
            <w:pPr>
              <w:pStyle w:val="af"/>
              <w:spacing w:line="240" w:lineRule="auto"/>
              <w:ind w:firstLineChars="50" w:firstLine="105"/>
              <w:jc w:val="both"/>
              <w:rPr>
                <w:szCs w:val="21"/>
              </w:rPr>
            </w:pPr>
            <w:r>
              <w:rPr>
                <w:sz w:val="21"/>
                <w:szCs w:val="21"/>
              </w:rPr>
              <w:t>监测断面</w:t>
            </w:r>
          </w:p>
        </w:tc>
        <w:tc>
          <w:tcPr>
            <w:tcW w:w="1276" w:type="dxa"/>
            <w:vAlign w:val="center"/>
          </w:tcPr>
          <w:p w:rsidR="004B4777" w:rsidRDefault="004B4777">
            <w:pPr>
              <w:pStyle w:val="affff8"/>
              <w:rPr>
                <w:rFonts w:eastAsia="宋体"/>
              </w:rPr>
            </w:pPr>
            <w:r>
              <w:rPr>
                <w:rFonts w:eastAsia="宋体" w:cs="宋体" w:hint="eastAsia"/>
                <w:bCs/>
              </w:rPr>
              <w:t>砷</w:t>
            </w:r>
          </w:p>
        </w:tc>
        <w:tc>
          <w:tcPr>
            <w:tcW w:w="1418" w:type="dxa"/>
            <w:vAlign w:val="center"/>
          </w:tcPr>
          <w:p w:rsidR="004B4777" w:rsidRDefault="004B4777">
            <w:pPr>
              <w:pStyle w:val="affff8"/>
              <w:rPr>
                <w:rFonts w:eastAsia="宋体"/>
              </w:rPr>
            </w:pPr>
            <w:r>
              <w:rPr>
                <w:rFonts w:eastAsia="宋体" w:cs="宋体" w:hint="eastAsia"/>
                <w:bCs/>
              </w:rPr>
              <w:t>镉</w:t>
            </w:r>
          </w:p>
        </w:tc>
        <w:tc>
          <w:tcPr>
            <w:tcW w:w="1417" w:type="dxa"/>
            <w:vAlign w:val="center"/>
          </w:tcPr>
          <w:p w:rsidR="004B4777" w:rsidRDefault="004B4777">
            <w:pPr>
              <w:pStyle w:val="affff8"/>
              <w:rPr>
                <w:rFonts w:eastAsia="宋体"/>
              </w:rPr>
            </w:pPr>
            <w:r>
              <w:rPr>
                <w:rFonts w:eastAsia="宋体" w:cs="宋体" w:hint="eastAsia"/>
                <w:bCs/>
              </w:rPr>
              <w:t>六价铬</w:t>
            </w:r>
          </w:p>
        </w:tc>
        <w:tc>
          <w:tcPr>
            <w:tcW w:w="1276" w:type="dxa"/>
            <w:vAlign w:val="center"/>
          </w:tcPr>
          <w:p w:rsidR="004B4777" w:rsidRDefault="004B4777">
            <w:pPr>
              <w:pStyle w:val="affff8"/>
              <w:rPr>
                <w:rFonts w:eastAsia="宋体"/>
              </w:rPr>
            </w:pPr>
            <w:r>
              <w:rPr>
                <w:rFonts w:eastAsia="宋体" w:cs="宋体" w:hint="eastAsia"/>
                <w:bCs/>
              </w:rPr>
              <w:t>硒</w:t>
            </w:r>
          </w:p>
        </w:tc>
        <w:tc>
          <w:tcPr>
            <w:tcW w:w="1250" w:type="dxa"/>
            <w:vAlign w:val="center"/>
          </w:tcPr>
          <w:p w:rsidR="004B4777" w:rsidRDefault="004B4777">
            <w:pPr>
              <w:pStyle w:val="af"/>
              <w:spacing w:line="240" w:lineRule="auto"/>
              <w:rPr>
                <w:sz w:val="21"/>
                <w:szCs w:val="21"/>
              </w:rPr>
            </w:pPr>
            <w:r>
              <w:rPr>
                <w:rFonts w:cs="宋体" w:hint="eastAsia"/>
                <w:bCs/>
              </w:rPr>
              <w:t>铅</w:t>
            </w:r>
          </w:p>
        </w:tc>
        <w:tc>
          <w:tcPr>
            <w:tcW w:w="1197" w:type="dxa"/>
            <w:vAlign w:val="center"/>
          </w:tcPr>
          <w:p w:rsidR="004B4777" w:rsidRDefault="004B4777">
            <w:pPr>
              <w:pStyle w:val="affff8"/>
              <w:rPr>
                <w:rFonts w:eastAsia="宋体"/>
              </w:rPr>
            </w:pPr>
            <w:r>
              <w:rPr>
                <w:rFonts w:eastAsia="宋体" w:cs="宋体" w:hint="eastAsia"/>
                <w:bCs/>
              </w:rPr>
              <w:t>氰化物</w:t>
            </w:r>
          </w:p>
        </w:tc>
        <w:tc>
          <w:tcPr>
            <w:tcW w:w="1323" w:type="dxa"/>
            <w:vAlign w:val="center"/>
          </w:tcPr>
          <w:p w:rsidR="004B4777" w:rsidRDefault="004B4777">
            <w:pPr>
              <w:pStyle w:val="affff8"/>
              <w:rPr>
                <w:rFonts w:eastAsia="宋体"/>
              </w:rPr>
            </w:pPr>
            <w:r>
              <w:rPr>
                <w:rFonts w:eastAsia="宋体" w:cs="宋体" w:hint="eastAsia"/>
                <w:bCs/>
              </w:rPr>
              <w:t>挥发酚</w:t>
            </w:r>
          </w:p>
        </w:tc>
        <w:tc>
          <w:tcPr>
            <w:tcW w:w="1295" w:type="dxa"/>
            <w:vAlign w:val="center"/>
          </w:tcPr>
          <w:p w:rsidR="004B4777" w:rsidRDefault="004B4777">
            <w:pPr>
              <w:pStyle w:val="affff8"/>
              <w:rPr>
                <w:rFonts w:eastAsia="宋体"/>
              </w:rPr>
            </w:pPr>
            <w:r>
              <w:rPr>
                <w:rFonts w:eastAsia="宋体" w:cs="宋体" w:hint="eastAsia"/>
              </w:rPr>
              <w:t>石油类</w:t>
            </w:r>
          </w:p>
        </w:tc>
      </w:tr>
      <w:tr w:rsidR="004B4777">
        <w:trPr>
          <w:jc w:val="center"/>
        </w:trPr>
        <w:tc>
          <w:tcPr>
            <w:tcW w:w="1739"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W7</w:t>
            </w:r>
            <w:r>
              <w:rPr>
                <w:rFonts w:eastAsia="宋体" w:hint="eastAsia"/>
                <w:b w:val="0"/>
                <w:sz w:val="21"/>
                <w:szCs w:val="21"/>
              </w:rPr>
              <w:t>资水北支流易婆塘采区上游</w:t>
            </w:r>
            <w:r>
              <w:rPr>
                <w:rFonts w:eastAsia="宋体" w:hint="eastAsia"/>
                <w:b w:val="0"/>
                <w:sz w:val="21"/>
                <w:szCs w:val="21"/>
              </w:rPr>
              <w:t>500m</w:t>
            </w: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276" w:type="dxa"/>
            <w:vAlign w:val="center"/>
          </w:tcPr>
          <w:p w:rsidR="004B4777" w:rsidRDefault="004B4777">
            <w:pPr>
              <w:pStyle w:val="af"/>
              <w:spacing w:line="240" w:lineRule="auto"/>
              <w:rPr>
                <w:sz w:val="21"/>
                <w:szCs w:val="21"/>
              </w:rPr>
            </w:pPr>
            <w:r>
              <w:rPr>
                <w:sz w:val="21"/>
                <w:szCs w:val="21"/>
              </w:rPr>
              <w:t>0.007L</w:t>
            </w:r>
          </w:p>
        </w:tc>
        <w:tc>
          <w:tcPr>
            <w:tcW w:w="1418" w:type="dxa"/>
            <w:vAlign w:val="center"/>
          </w:tcPr>
          <w:p w:rsidR="004B4777" w:rsidRDefault="004B4777">
            <w:pPr>
              <w:pStyle w:val="af"/>
              <w:spacing w:line="240" w:lineRule="auto"/>
              <w:rPr>
                <w:sz w:val="21"/>
                <w:szCs w:val="21"/>
              </w:rPr>
            </w:pPr>
            <w:r>
              <w:rPr>
                <w:sz w:val="21"/>
                <w:szCs w:val="21"/>
              </w:rPr>
              <w:t>0.001L</w:t>
            </w:r>
          </w:p>
        </w:tc>
        <w:tc>
          <w:tcPr>
            <w:tcW w:w="1417" w:type="dxa"/>
            <w:vAlign w:val="center"/>
          </w:tcPr>
          <w:p w:rsidR="004B4777" w:rsidRDefault="004B4777">
            <w:pPr>
              <w:pStyle w:val="affff8"/>
              <w:rPr>
                <w:rFonts w:eastAsia="宋体"/>
                <w:snapToGrid/>
              </w:rPr>
            </w:pPr>
            <w:r>
              <w:rPr>
                <w:rFonts w:eastAsia="宋体"/>
                <w:snapToGrid/>
              </w:rPr>
              <w:t>0.004L</w:t>
            </w:r>
          </w:p>
        </w:tc>
        <w:tc>
          <w:tcPr>
            <w:tcW w:w="1276" w:type="dxa"/>
            <w:vAlign w:val="center"/>
          </w:tcPr>
          <w:p w:rsidR="004B4777" w:rsidRDefault="004B4777">
            <w:pPr>
              <w:pStyle w:val="af"/>
              <w:spacing w:line="240" w:lineRule="auto"/>
              <w:rPr>
                <w:sz w:val="21"/>
                <w:szCs w:val="21"/>
              </w:rPr>
            </w:pPr>
            <w:r>
              <w:rPr>
                <w:sz w:val="21"/>
                <w:szCs w:val="21"/>
              </w:rPr>
              <w:t>0.4×10-3L</w:t>
            </w:r>
          </w:p>
        </w:tc>
        <w:tc>
          <w:tcPr>
            <w:tcW w:w="1250" w:type="dxa"/>
            <w:vAlign w:val="center"/>
          </w:tcPr>
          <w:p w:rsidR="004B4777" w:rsidRDefault="004B4777">
            <w:pPr>
              <w:pStyle w:val="af"/>
              <w:spacing w:line="240" w:lineRule="auto"/>
              <w:rPr>
                <w:sz w:val="21"/>
                <w:szCs w:val="21"/>
              </w:rPr>
            </w:pPr>
            <w:r>
              <w:rPr>
                <w:sz w:val="21"/>
                <w:szCs w:val="21"/>
              </w:rPr>
              <w:t>0.01L</w:t>
            </w:r>
          </w:p>
        </w:tc>
        <w:tc>
          <w:tcPr>
            <w:tcW w:w="1197" w:type="dxa"/>
            <w:vAlign w:val="center"/>
          </w:tcPr>
          <w:p w:rsidR="004B4777" w:rsidRDefault="004B4777">
            <w:pPr>
              <w:pStyle w:val="af"/>
              <w:spacing w:line="240" w:lineRule="auto"/>
              <w:rPr>
                <w:sz w:val="21"/>
                <w:szCs w:val="21"/>
              </w:rPr>
            </w:pPr>
            <w:r>
              <w:rPr>
                <w:sz w:val="21"/>
                <w:szCs w:val="21"/>
              </w:rPr>
              <w:t>0.004L</w:t>
            </w:r>
          </w:p>
        </w:tc>
        <w:tc>
          <w:tcPr>
            <w:tcW w:w="1323" w:type="dxa"/>
            <w:vAlign w:val="center"/>
          </w:tcPr>
          <w:p w:rsidR="004B4777" w:rsidRDefault="004B4777">
            <w:pPr>
              <w:pStyle w:val="af"/>
              <w:spacing w:line="240" w:lineRule="auto"/>
              <w:rPr>
                <w:sz w:val="21"/>
                <w:szCs w:val="21"/>
              </w:rPr>
            </w:pPr>
            <w:r>
              <w:rPr>
                <w:sz w:val="21"/>
                <w:szCs w:val="21"/>
              </w:rPr>
              <w:t>0.002L</w:t>
            </w:r>
          </w:p>
        </w:tc>
        <w:tc>
          <w:tcPr>
            <w:tcW w:w="1295" w:type="dxa"/>
            <w:vAlign w:val="center"/>
          </w:tcPr>
          <w:p w:rsidR="004B4777" w:rsidRDefault="004B4777">
            <w:pPr>
              <w:pStyle w:val="af"/>
              <w:spacing w:line="240" w:lineRule="auto"/>
              <w:rPr>
                <w:sz w:val="21"/>
                <w:szCs w:val="21"/>
              </w:rPr>
            </w:pPr>
            <w:r>
              <w:rPr>
                <w:sz w:val="21"/>
                <w:szCs w:val="21"/>
              </w:rPr>
              <w:t>0.02</w:t>
            </w:r>
            <w:r>
              <w:rPr>
                <w:rFonts w:hint="eastAsia"/>
                <w:sz w:val="21"/>
                <w:szCs w:val="21"/>
              </w:rPr>
              <w:t>~</w:t>
            </w:r>
            <w:r>
              <w:rPr>
                <w:sz w:val="21"/>
                <w:szCs w:val="21"/>
              </w:rPr>
              <w:t>0.03</w:t>
            </w:r>
          </w:p>
        </w:tc>
      </w:tr>
      <w:tr w:rsidR="004B4777">
        <w:trPr>
          <w:jc w:val="center"/>
        </w:trPr>
        <w:tc>
          <w:tcPr>
            <w:tcW w:w="1739" w:type="dxa"/>
            <w:vMerge/>
            <w:vAlign w:val="center"/>
          </w:tcPr>
          <w:p w:rsidR="004B4777" w:rsidRDefault="004B4777">
            <w:pPr>
              <w:pStyle w:val="62"/>
              <w:adjustRightInd w:val="0"/>
              <w:snapToGrid w:val="0"/>
              <w:rPr>
                <w:rFonts w:eastAsia="宋体"/>
                <w:b w:val="0"/>
                <w:sz w:val="21"/>
                <w:szCs w:val="21"/>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418" w:type="dxa"/>
            <w:vAlign w:val="center"/>
          </w:tcPr>
          <w:p w:rsidR="004B4777" w:rsidRDefault="004B4777">
            <w:pPr>
              <w:pStyle w:val="af"/>
              <w:spacing w:line="240" w:lineRule="auto"/>
              <w:rPr>
                <w:sz w:val="21"/>
                <w:szCs w:val="21"/>
              </w:rPr>
            </w:pPr>
            <w:r>
              <w:rPr>
                <w:rFonts w:hint="eastAsia"/>
                <w:sz w:val="21"/>
                <w:szCs w:val="21"/>
              </w:rPr>
              <w:t>/</w:t>
            </w:r>
          </w:p>
        </w:tc>
        <w:tc>
          <w:tcPr>
            <w:tcW w:w="1417" w:type="dxa"/>
            <w:vAlign w:val="center"/>
          </w:tcPr>
          <w:p w:rsidR="004B4777" w:rsidRDefault="004B4777">
            <w:pPr>
              <w:pStyle w:val="af"/>
              <w:spacing w:line="240" w:lineRule="auto"/>
              <w:rPr>
                <w:sz w:val="21"/>
                <w:szCs w:val="21"/>
              </w:rPr>
            </w:pPr>
            <w:r>
              <w:rPr>
                <w:rFonts w:hint="eastAsia"/>
                <w:sz w:val="21"/>
                <w:szCs w:val="21"/>
              </w:rPr>
              <w:t>/</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250" w:type="dxa"/>
            <w:vAlign w:val="center"/>
          </w:tcPr>
          <w:p w:rsidR="004B4777" w:rsidRDefault="004B4777">
            <w:pPr>
              <w:pStyle w:val="af"/>
              <w:spacing w:line="240" w:lineRule="auto"/>
              <w:rPr>
                <w:sz w:val="21"/>
                <w:szCs w:val="21"/>
              </w:rPr>
            </w:pPr>
            <w:r>
              <w:rPr>
                <w:rFonts w:hint="eastAsia"/>
                <w:sz w:val="21"/>
                <w:szCs w:val="21"/>
              </w:rPr>
              <w:t>/</w:t>
            </w:r>
          </w:p>
        </w:tc>
        <w:tc>
          <w:tcPr>
            <w:tcW w:w="1197" w:type="dxa"/>
            <w:vAlign w:val="center"/>
          </w:tcPr>
          <w:p w:rsidR="004B4777" w:rsidRDefault="004B4777">
            <w:pPr>
              <w:pStyle w:val="af"/>
              <w:spacing w:line="240" w:lineRule="auto"/>
              <w:rPr>
                <w:sz w:val="21"/>
                <w:szCs w:val="21"/>
              </w:rPr>
            </w:pPr>
            <w:r>
              <w:rPr>
                <w:rFonts w:hint="eastAsia"/>
                <w:sz w:val="21"/>
                <w:szCs w:val="21"/>
              </w:rPr>
              <w:t>/</w:t>
            </w:r>
          </w:p>
        </w:tc>
        <w:tc>
          <w:tcPr>
            <w:tcW w:w="1323" w:type="dxa"/>
            <w:vAlign w:val="center"/>
          </w:tcPr>
          <w:p w:rsidR="004B4777" w:rsidRDefault="004B4777">
            <w:pPr>
              <w:pStyle w:val="af"/>
              <w:spacing w:line="240" w:lineRule="auto"/>
              <w:rPr>
                <w:sz w:val="21"/>
                <w:szCs w:val="21"/>
              </w:rPr>
            </w:pPr>
            <w:r>
              <w:rPr>
                <w:rFonts w:hint="eastAsia"/>
                <w:sz w:val="21"/>
                <w:szCs w:val="21"/>
              </w:rPr>
              <w:t>/</w:t>
            </w:r>
          </w:p>
        </w:tc>
        <w:tc>
          <w:tcPr>
            <w:tcW w:w="1295" w:type="dxa"/>
            <w:vAlign w:val="center"/>
          </w:tcPr>
          <w:p w:rsidR="004B4777" w:rsidRDefault="004B4777">
            <w:pPr>
              <w:pStyle w:val="af"/>
              <w:spacing w:line="240" w:lineRule="auto"/>
              <w:rPr>
                <w:sz w:val="21"/>
                <w:szCs w:val="21"/>
              </w:rPr>
            </w:pPr>
            <w:r>
              <w:rPr>
                <w:rFonts w:hint="eastAsia"/>
                <w:sz w:val="21"/>
                <w:szCs w:val="21"/>
              </w:rPr>
              <w:t>0.23</w:t>
            </w:r>
          </w:p>
        </w:tc>
      </w:tr>
      <w:tr w:rsidR="004B4777">
        <w:trPr>
          <w:jc w:val="center"/>
        </w:trPr>
        <w:tc>
          <w:tcPr>
            <w:tcW w:w="1739" w:type="dxa"/>
            <w:vMerge/>
            <w:vAlign w:val="center"/>
          </w:tcPr>
          <w:p w:rsidR="004B4777" w:rsidRDefault="004B4777">
            <w:pPr>
              <w:pStyle w:val="62"/>
              <w:adjustRightInd w:val="0"/>
              <w:snapToGrid w:val="0"/>
              <w:rPr>
                <w:rFonts w:eastAsia="宋体"/>
                <w:b w:val="0"/>
                <w:sz w:val="21"/>
                <w:szCs w:val="21"/>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rPr>
            </w:pPr>
            <w:r>
              <w:rPr>
                <w:rFonts w:eastAsia="宋体"/>
                <w:b w:val="0"/>
                <w:sz w:val="21"/>
                <w:szCs w:val="21"/>
              </w:rPr>
              <w:t>最大超标倍数</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restart"/>
            <w:vAlign w:val="center"/>
          </w:tcPr>
          <w:p w:rsidR="004B4777" w:rsidRDefault="004B4777">
            <w:pPr>
              <w:pStyle w:val="62"/>
              <w:adjustRightInd w:val="0"/>
              <w:snapToGrid w:val="0"/>
              <w:jc w:val="both"/>
              <w:rPr>
                <w:rFonts w:eastAsia="宋体"/>
              </w:rPr>
            </w:pPr>
            <w:r>
              <w:rPr>
                <w:rFonts w:eastAsia="宋体" w:hint="eastAsia"/>
                <w:b w:val="0"/>
                <w:sz w:val="21"/>
                <w:szCs w:val="21"/>
              </w:rPr>
              <w:t>W8</w:t>
            </w:r>
            <w:r>
              <w:rPr>
                <w:rFonts w:eastAsia="宋体" w:hint="eastAsia"/>
                <w:b w:val="0"/>
                <w:sz w:val="21"/>
                <w:szCs w:val="21"/>
              </w:rPr>
              <w:t>资水北支流易婆塘采区下游</w:t>
            </w:r>
            <w:r>
              <w:rPr>
                <w:rFonts w:eastAsia="宋体" w:hint="eastAsia"/>
                <w:b w:val="0"/>
                <w:sz w:val="21"/>
                <w:szCs w:val="21"/>
              </w:rPr>
              <w:t>500m</w:t>
            </w: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276" w:type="dxa"/>
            <w:vAlign w:val="center"/>
          </w:tcPr>
          <w:p w:rsidR="004B4777" w:rsidRDefault="004B4777">
            <w:pPr>
              <w:pStyle w:val="af"/>
              <w:spacing w:line="240" w:lineRule="auto"/>
              <w:rPr>
                <w:sz w:val="21"/>
                <w:szCs w:val="21"/>
              </w:rPr>
            </w:pPr>
            <w:r>
              <w:rPr>
                <w:sz w:val="21"/>
                <w:szCs w:val="21"/>
              </w:rPr>
              <w:t>0.007L</w:t>
            </w:r>
          </w:p>
        </w:tc>
        <w:tc>
          <w:tcPr>
            <w:tcW w:w="1418" w:type="dxa"/>
            <w:vAlign w:val="center"/>
          </w:tcPr>
          <w:p w:rsidR="004B4777" w:rsidRDefault="004B4777">
            <w:pPr>
              <w:pStyle w:val="af"/>
              <w:spacing w:line="240" w:lineRule="auto"/>
              <w:rPr>
                <w:sz w:val="21"/>
                <w:szCs w:val="21"/>
              </w:rPr>
            </w:pPr>
            <w:r>
              <w:rPr>
                <w:sz w:val="21"/>
                <w:szCs w:val="21"/>
              </w:rPr>
              <w:t>0.001L</w:t>
            </w:r>
          </w:p>
        </w:tc>
        <w:tc>
          <w:tcPr>
            <w:tcW w:w="1417" w:type="dxa"/>
            <w:vAlign w:val="center"/>
          </w:tcPr>
          <w:p w:rsidR="004B4777" w:rsidRDefault="004B4777">
            <w:pPr>
              <w:pStyle w:val="af"/>
              <w:tabs>
                <w:tab w:val="left" w:pos="454"/>
              </w:tabs>
              <w:spacing w:line="240" w:lineRule="auto"/>
              <w:ind w:firstLineChars="100" w:firstLine="210"/>
              <w:jc w:val="left"/>
              <w:rPr>
                <w:sz w:val="21"/>
                <w:szCs w:val="21"/>
              </w:rPr>
            </w:pPr>
            <w:r>
              <w:rPr>
                <w:sz w:val="21"/>
                <w:szCs w:val="21"/>
              </w:rPr>
              <w:t>0.004L</w:t>
            </w:r>
          </w:p>
        </w:tc>
        <w:tc>
          <w:tcPr>
            <w:tcW w:w="1276" w:type="dxa"/>
            <w:vAlign w:val="center"/>
          </w:tcPr>
          <w:p w:rsidR="004B4777" w:rsidRDefault="004B4777">
            <w:pPr>
              <w:pStyle w:val="af"/>
              <w:spacing w:line="240" w:lineRule="auto"/>
              <w:rPr>
                <w:sz w:val="21"/>
                <w:szCs w:val="21"/>
              </w:rPr>
            </w:pPr>
            <w:r>
              <w:rPr>
                <w:sz w:val="21"/>
                <w:szCs w:val="21"/>
              </w:rPr>
              <w:t>0.4×10-3L</w:t>
            </w:r>
          </w:p>
        </w:tc>
        <w:tc>
          <w:tcPr>
            <w:tcW w:w="1250" w:type="dxa"/>
            <w:vAlign w:val="center"/>
          </w:tcPr>
          <w:p w:rsidR="004B4777" w:rsidRDefault="004B4777">
            <w:pPr>
              <w:pStyle w:val="af"/>
              <w:spacing w:line="240" w:lineRule="auto"/>
              <w:rPr>
                <w:sz w:val="21"/>
                <w:szCs w:val="21"/>
              </w:rPr>
            </w:pPr>
            <w:r>
              <w:rPr>
                <w:sz w:val="21"/>
                <w:szCs w:val="21"/>
              </w:rPr>
              <w:t>0.01L</w:t>
            </w:r>
          </w:p>
        </w:tc>
        <w:tc>
          <w:tcPr>
            <w:tcW w:w="1197" w:type="dxa"/>
            <w:vAlign w:val="center"/>
          </w:tcPr>
          <w:p w:rsidR="004B4777" w:rsidRDefault="004B4777">
            <w:pPr>
              <w:pStyle w:val="af"/>
              <w:spacing w:line="240" w:lineRule="auto"/>
              <w:rPr>
                <w:sz w:val="21"/>
                <w:szCs w:val="21"/>
              </w:rPr>
            </w:pPr>
            <w:r>
              <w:rPr>
                <w:sz w:val="21"/>
                <w:szCs w:val="21"/>
              </w:rPr>
              <w:t>0.004L</w:t>
            </w:r>
          </w:p>
        </w:tc>
        <w:tc>
          <w:tcPr>
            <w:tcW w:w="1323" w:type="dxa"/>
            <w:vAlign w:val="center"/>
          </w:tcPr>
          <w:p w:rsidR="004B4777" w:rsidRDefault="004B4777">
            <w:pPr>
              <w:pStyle w:val="af"/>
              <w:spacing w:line="240" w:lineRule="auto"/>
              <w:rPr>
                <w:sz w:val="21"/>
                <w:szCs w:val="21"/>
              </w:rPr>
            </w:pPr>
            <w:r>
              <w:rPr>
                <w:sz w:val="21"/>
                <w:szCs w:val="21"/>
              </w:rPr>
              <w:t>0.002L</w:t>
            </w:r>
          </w:p>
        </w:tc>
        <w:tc>
          <w:tcPr>
            <w:tcW w:w="1295" w:type="dxa"/>
            <w:vAlign w:val="center"/>
          </w:tcPr>
          <w:p w:rsidR="004B4777" w:rsidRDefault="004B4777">
            <w:pPr>
              <w:pStyle w:val="af"/>
              <w:spacing w:line="240" w:lineRule="auto"/>
              <w:rPr>
                <w:sz w:val="21"/>
                <w:szCs w:val="21"/>
              </w:rPr>
            </w:pPr>
            <w:r>
              <w:rPr>
                <w:sz w:val="21"/>
                <w:szCs w:val="21"/>
              </w:rPr>
              <w:t>0.03</w:t>
            </w:r>
            <w:r>
              <w:rPr>
                <w:rFonts w:hint="eastAsia"/>
                <w:sz w:val="21"/>
                <w:szCs w:val="21"/>
              </w:rPr>
              <w:t>~</w:t>
            </w:r>
            <w:r>
              <w:rPr>
                <w:sz w:val="21"/>
                <w:szCs w:val="21"/>
              </w:rPr>
              <w:t>0.04</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418" w:type="dxa"/>
            <w:vAlign w:val="center"/>
          </w:tcPr>
          <w:p w:rsidR="004B4777" w:rsidRDefault="004B4777">
            <w:pPr>
              <w:pStyle w:val="af"/>
              <w:spacing w:line="240" w:lineRule="auto"/>
              <w:rPr>
                <w:sz w:val="21"/>
                <w:szCs w:val="21"/>
              </w:rPr>
            </w:pPr>
            <w:r>
              <w:rPr>
                <w:rFonts w:hint="eastAsia"/>
                <w:sz w:val="21"/>
                <w:szCs w:val="21"/>
              </w:rPr>
              <w:t>/</w:t>
            </w:r>
          </w:p>
        </w:tc>
        <w:tc>
          <w:tcPr>
            <w:tcW w:w="1417" w:type="dxa"/>
            <w:vAlign w:val="center"/>
          </w:tcPr>
          <w:p w:rsidR="004B4777" w:rsidRDefault="004B4777">
            <w:pPr>
              <w:pStyle w:val="af"/>
              <w:spacing w:line="240" w:lineRule="auto"/>
              <w:rPr>
                <w:sz w:val="21"/>
                <w:szCs w:val="21"/>
              </w:rPr>
            </w:pPr>
            <w:r>
              <w:rPr>
                <w:rFonts w:hint="eastAsia"/>
                <w:sz w:val="21"/>
                <w:szCs w:val="21"/>
              </w:rPr>
              <w:t>/</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250" w:type="dxa"/>
            <w:vAlign w:val="center"/>
          </w:tcPr>
          <w:p w:rsidR="004B4777" w:rsidRDefault="004B4777">
            <w:pPr>
              <w:pStyle w:val="af"/>
              <w:spacing w:line="240" w:lineRule="auto"/>
              <w:rPr>
                <w:sz w:val="21"/>
                <w:szCs w:val="21"/>
              </w:rPr>
            </w:pPr>
            <w:r>
              <w:rPr>
                <w:rFonts w:hint="eastAsia"/>
                <w:sz w:val="21"/>
                <w:szCs w:val="21"/>
              </w:rPr>
              <w:t>/</w:t>
            </w:r>
          </w:p>
        </w:tc>
        <w:tc>
          <w:tcPr>
            <w:tcW w:w="1197" w:type="dxa"/>
            <w:vAlign w:val="center"/>
          </w:tcPr>
          <w:p w:rsidR="004B4777" w:rsidRDefault="004B4777">
            <w:pPr>
              <w:pStyle w:val="af"/>
              <w:spacing w:line="240" w:lineRule="auto"/>
              <w:rPr>
                <w:sz w:val="21"/>
                <w:szCs w:val="21"/>
              </w:rPr>
            </w:pPr>
            <w:r>
              <w:rPr>
                <w:rFonts w:hint="eastAsia"/>
                <w:sz w:val="21"/>
                <w:szCs w:val="21"/>
              </w:rPr>
              <w:t>/</w:t>
            </w:r>
          </w:p>
        </w:tc>
        <w:tc>
          <w:tcPr>
            <w:tcW w:w="1323" w:type="dxa"/>
            <w:vAlign w:val="center"/>
          </w:tcPr>
          <w:p w:rsidR="004B4777" w:rsidRDefault="004B4777">
            <w:pPr>
              <w:pStyle w:val="af"/>
              <w:spacing w:line="240" w:lineRule="auto"/>
              <w:rPr>
                <w:sz w:val="21"/>
                <w:szCs w:val="21"/>
              </w:rPr>
            </w:pPr>
            <w:r>
              <w:rPr>
                <w:rFonts w:hint="eastAsia"/>
                <w:sz w:val="21"/>
                <w:szCs w:val="21"/>
              </w:rPr>
              <w:t>/</w:t>
            </w:r>
          </w:p>
        </w:tc>
        <w:tc>
          <w:tcPr>
            <w:tcW w:w="1295" w:type="dxa"/>
            <w:vAlign w:val="center"/>
          </w:tcPr>
          <w:p w:rsidR="004B4777" w:rsidRDefault="004B4777">
            <w:pPr>
              <w:pStyle w:val="af"/>
              <w:spacing w:line="240" w:lineRule="auto"/>
              <w:rPr>
                <w:sz w:val="21"/>
                <w:szCs w:val="21"/>
              </w:rPr>
            </w:pPr>
            <w:r>
              <w:rPr>
                <w:rFonts w:hint="eastAsia"/>
                <w:sz w:val="21"/>
                <w:szCs w:val="21"/>
              </w:rPr>
              <w:t>0.33</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restart"/>
            <w:vAlign w:val="center"/>
          </w:tcPr>
          <w:p w:rsidR="004B4777" w:rsidRDefault="004B4777">
            <w:pPr>
              <w:pStyle w:val="62"/>
              <w:adjustRightInd w:val="0"/>
              <w:snapToGrid w:val="0"/>
              <w:rPr>
                <w:rFonts w:eastAsia="宋体"/>
              </w:rPr>
            </w:pPr>
            <w:r>
              <w:rPr>
                <w:rFonts w:eastAsia="宋体" w:hint="eastAsia"/>
                <w:b w:val="0"/>
                <w:sz w:val="21"/>
                <w:szCs w:val="21"/>
              </w:rPr>
              <w:t>W9</w:t>
            </w:r>
            <w:r>
              <w:rPr>
                <w:rFonts w:eastAsia="宋体" w:hint="eastAsia"/>
                <w:b w:val="0"/>
                <w:sz w:val="21"/>
                <w:szCs w:val="21"/>
              </w:rPr>
              <w:t>湘江西支斗米咀采区上游</w:t>
            </w:r>
            <w:r>
              <w:rPr>
                <w:rFonts w:eastAsia="宋体" w:hint="eastAsia"/>
                <w:b w:val="0"/>
                <w:sz w:val="21"/>
                <w:szCs w:val="21"/>
              </w:rPr>
              <w:t>500m</w:t>
            </w: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276" w:type="dxa"/>
            <w:vAlign w:val="center"/>
          </w:tcPr>
          <w:p w:rsidR="004B4777" w:rsidRDefault="004B4777">
            <w:pPr>
              <w:pStyle w:val="af"/>
              <w:spacing w:line="240" w:lineRule="auto"/>
              <w:rPr>
                <w:sz w:val="21"/>
                <w:szCs w:val="21"/>
              </w:rPr>
            </w:pPr>
            <w:r>
              <w:rPr>
                <w:sz w:val="21"/>
                <w:szCs w:val="21"/>
              </w:rPr>
              <w:t>0.007L</w:t>
            </w:r>
          </w:p>
        </w:tc>
        <w:tc>
          <w:tcPr>
            <w:tcW w:w="1418" w:type="dxa"/>
            <w:vAlign w:val="center"/>
          </w:tcPr>
          <w:p w:rsidR="004B4777" w:rsidRDefault="004B4777">
            <w:pPr>
              <w:pStyle w:val="af"/>
              <w:spacing w:line="240" w:lineRule="auto"/>
              <w:rPr>
                <w:sz w:val="21"/>
                <w:szCs w:val="21"/>
              </w:rPr>
            </w:pPr>
            <w:r>
              <w:rPr>
                <w:sz w:val="21"/>
                <w:szCs w:val="21"/>
              </w:rPr>
              <w:t>0.001L</w:t>
            </w:r>
          </w:p>
        </w:tc>
        <w:tc>
          <w:tcPr>
            <w:tcW w:w="1417" w:type="dxa"/>
            <w:vAlign w:val="center"/>
          </w:tcPr>
          <w:p w:rsidR="004B4777" w:rsidRDefault="004B4777">
            <w:pPr>
              <w:pStyle w:val="af"/>
              <w:spacing w:line="240" w:lineRule="auto"/>
              <w:rPr>
                <w:sz w:val="21"/>
                <w:szCs w:val="21"/>
              </w:rPr>
            </w:pPr>
            <w:r>
              <w:rPr>
                <w:sz w:val="21"/>
                <w:szCs w:val="21"/>
              </w:rPr>
              <w:t>0.004L</w:t>
            </w:r>
          </w:p>
        </w:tc>
        <w:tc>
          <w:tcPr>
            <w:tcW w:w="1276" w:type="dxa"/>
            <w:vAlign w:val="center"/>
          </w:tcPr>
          <w:p w:rsidR="004B4777" w:rsidRDefault="004B4777">
            <w:pPr>
              <w:pStyle w:val="af"/>
              <w:spacing w:line="240" w:lineRule="auto"/>
              <w:rPr>
                <w:sz w:val="21"/>
                <w:szCs w:val="21"/>
              </w:rPr>
            </w:pPr>
            <w:r>
              <w:rPr>
                <w:sz w:val="21"/>
                <w:szCs w:val="21"/>
              </w:rPr>
              <w:t>0.4×10-3L</w:t>
            </w:r>
          </w:p>
        </w:tc>
        <w:tc>
          <w:tcPr>
            <w:tcW w:w="1250" w:type="dxa"/>
            <w:vAlign w:val="center"/>
          </w:tcPr>
          <w:p w:rsidR="004B4777" w:rsidRDefault="004B4777">
            <w:pPr>
              <w:pStyle w:val="af"/>
              <w:spacing w:line="240" w:lineRule="auto"/>
              <w:rPr>
                <w:sz w:val="21"/>
                <w:szCs w:val="21"/>
              </w:rPr>
            </w:pPr>
            <w:r>
              <w:rPr>
                <w:sz w:val="21"/>
                <w:szCs w:val="21"/>
              </w:rPr>
              <w:t>0.01L</w:t>
            </w:r>
          </w:p>
        </w:tc>
        <w:tc>
          <w:tcPr>
            <w:tcW w:w="1197" w:type="dxa"/>
            <w:vAlign w:val="center"/>
          </w:tcPr>
          <w:p w:rsidR="004B4777" w:rsidRDefault="004B4777">
            <w:pPr>
              <w:pStyle w:val="af"/>
              <w:spacing w:line="240" w:lineRule="auto"/>
              <w:rPr>
                <w:sz w:val="21"/>
                <w:szCs w:val="21"/>
              </w:rPr>
            </w:pPr>
            <w:r>
              <w:rPr>
                <w:sz w:val="21"/>
                <w:szCs w:val="21"/>
              </w:rPr>
              <w:t>0.004L</w:t>
            </w:r>
          </w:p>
        </w:tc>
        <w:tc>
          <w:tcPr>
            <w:tcW w:w="1323" w:type="dxa"/>
            <w:vAlign w:val="center"/>
          </w:tcPr>
          <w:p w:rsidR="004B4777" w:rsidRDefault="004B4777">
            <w:pPr>
              <w:pStyle w:val="af"/>
              <w:spacing w:line="240" w:lineRule="auto"/>
              <w:rPr>
                <w:sz w:val="21"/>
                <w:szCs w:val="21"/>
              </w:rPr>
            </w:pPr>
            <w:r>
              <w:rPr>
                <w:sz w:val="21"/>
                <w:szCs w:val="21"/>
              </w:rPr>
              <w:t>0.002L</w:t>
            </w:r>
          </w:p>
        </w:tc>
        <w:tc>
          <w:tcPr>
            <w:tcW w:w="1295" w:type="dxa"/>
            <w:vAlign w:val="center"/>
          </w:tcPr>
          <w:p w:rsidR="004B4777" w:rsidRDefault="004B4777">
            <w:pPr>
              <w:pStyle w:val="af"/>
              <w:spacing w:line="240" w:lineRule="auto"/>
              <w:rPr>
                <w:sz w:val="21"/>
                <w:szCs w:val="21"/>
              </w:rPr>
            </w:pPr>
            <w:r>
              <w:rPr>
                <w:sz w:val="21"/>
                <w:szCs w:val="21"/>
              </w:rPr>
              <w:t>0.03</w:t>
            </w:r>
            <w:r>
              <w:rPr>
                <w:rFonts w:hint="eastAsia"/>
                <w:sz w:val="21"/>
                <w:szCs w:val="21"/>
              </w:rPr>
              <w:t>~</w:t>
            </w:r>
            <w:r>
              <w:rPr>
                <w:sz w:val="21"/>
                <w:szCs w:val="21"/>
              </w:rPr>
              <w:t>0.04</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418" w:type="dxa"/>
            <w:vAlign w:val="center"/>
          </w:tcPr>
          <w:p w:rsidR="004B4777" w:rsidRDefault="004B4777">
            <w:pPr>
              <w:pStyle w:val="af"/>
              <w:spacing w:line="240" w:lineRule="auto"/>
              <w:rPr>
                <w:sz w:val="21"/>
                <w:szCs w:val="21"/>
              </w:rPr>
            </w:pPr>
            <w:r>
              <w:rPr>
                <w:rFonts w:hint="eastAsia"/>
                <w:sz w:val="21"/>
                <w:szCs w:val="21"/>
              </w:rPr>
              <w:t>/</w:t>
            </w:r>
          </w:p>
        </w:tc>
        <w:tc>
          <w:tcPr>
            <w:tcW w:w="1417" w:type="dxa"/>
            <w:vAlign w:val="center"/>
          </w:tcPr>
          <w:p w:rsidR="004B4777" w:rsidRDefault="004B4777">
            <w:pPr>
              <w:pStyle w:val="af"/>
              <w:spacing w:line="240" w:lineRule="auto"/>
              <w:rPr>
                <w:sz w:val="21"/>
                <w:szCs w:val="21"/>
              </w:rPr>
            </w:pPr>
            <w:r>
              <w:rPr>
                <w:rFonts w:hint="eastAsia"/>
                <w:sz w:val="21"/>
                <w:szCs w:val="21"/>
              </w:rPr>
              <w:t>/</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250" w:type="dxa"/>
            <w:vAlign w:val="center"/>
          </w:tcPr>
          <w:p w:rsidR="004B4777" w:rsidRDefault="004B4777">
            <w:pPr>
              <w:pStyle w:val="af"/>
              <w:spacing w:line="240" w:lineRule="auto"/>
              <w:rPr>
                <w:sz w:val="21"/>
                <w:szCs w:val="21"/>
              </w:rPr>
            </w:pPr>
            <w:r>
              <w:rPr>
                <w:rFonts w:hint="eastAsia"/>
                <w:sz w:val="21"/>
                <w:szCs w:val="21"/>
              </w:rPr>
              <w:t>/</w:t>
            </w:r>
          </w:p>
        </w:tc>
        <w:tc>
          <w:tcPr>
            <w:tcW w:w="1197" w:type="dxa"/>
            <w:vAlign w:val="center"/>
          </w:tcPr>
          <w:p w:rsidR="004B4777" w:rsidRDefault="004B4777">
            <w:pPr>
              <w:pStyle w:val="af"/>
              <w:spacing w:line="240" w:lineRule="auto"/>
              <w:rPr>
                <w:sz w:val="21"/>
                <w:szCs w:val="21"/>
              </w:rPr>
            </w:pPr>
            <w:r>
              <w:rPr>
                <w:rFonts w:hint="eastAsia"/>
                <w:sz w:val="21"/>
                <w:szCs w:val="21"/>
              </w:rPr>
              <w:t>/</w:t>
            </w:r>
          </w:p>
        </w:tc>
        <w:tc>
          <w:tcPr>
            <w:tcW w:w="1323" w:type="dxa"/>
            <w:vAlign w:val="center"/>
          </w:tcPr>
          <w:p w:rsidR="004B4777" w:rsidRDefault="004B4777">
            <w:pPr>
              <w:pStyle w:val="af"/>
              <w:spacing w:line="240" w:lineRule="auto"/>
              <w:rPr>
                <w:sz w:val="21"/>
                <w:szCs w:val="21"/>
              </w:rPr>
            </w:pPr>
            <w:r>
              <w:rPr>
                <w:rFonts w:hint="eastAsia"/>
                <w:sz w:val="21"/>
                <w:szCs w:val="21"/>
              </w:rPr>
              <w:t>/</w:t>
            </w:r>
          </w:p>
        </w:tc>
        <w:tc>
          <w:tcPr>
            <w:tcW w:w="1295" w:type="dxa"/>
            <w:vAlign w:val="center"/>
          </w:tcPr>
          <w:p w:rsidR="004B4777" w:rsidRDefault="004B4777">
            <w:pPr>
              <w:pStyle w:val="af"/>
              <w:spacing w:line="240" w:lineRule="auto"/>
              <w:rPr>
                <w:sz w:val="21"/>
                <w:szCs w:val="21"/>
              </w:rPr>
            </w:pPr>
            <w:r>
              <w:rPr>
                <w:rFonts w:hint="eastAsia"/>
                <w:sz w:val="21"/>
                <w:szCs w:val="21"/>
              </w:rPr>
              <w:t>0.33</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restart"/>
            <w:vAlign w:val="center"/>
          </w:tcPr>
          <w:p w:rsidR="004B4777" w:rsidRDefault="004B4777">
            <w:pPr>
              <w:pStyle w:val="62"/>
              <w:adjustRightInd w:val="0"/>
              <w:snapToGrid w:val="0"/>
              <w:rPr>
                <w:rFonts w:eastAsia="宋体"/>
              </w:rPr>
            </w:pPr>
            <w:r>
              <w:rPr>
                <w:rFonts w:eastAsia="宋体" w:hint="eastAsia"/>
                <w:b w:val="0"/>
                <w:sz w:val="21"/>
                <w:szCs w:val="21"/>
              </w:rPr>
              <w:t>W10</w:t>
            </w:r>
            <w:r>
              <w:rPr>
                <w:rFonts w:eastAsia="宋体" w:hint="eastAsia"/>
                <w:b w:val="0"/>
                <w:sz w:val="21"/>
                <w:szCs w:val="21"/>
              </w:rPr>
              <w:t>湘江斗米咀采区下游</w:t>
            </w:r>
            <w:r>
              <w:rPr>
                <w:rFonts w:eastAsia="宋体" w:hint="eastAsia"/>
                <w:b w:val="0"/>
                <w:sz w:val="21"/>
                <w:szCs w:val="21"/>
              </w:rPr>
              <w:t>500m</w:t>
            </w: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276" w:type="dxa"/>
            <w:vAlign w:val="center"/>
          </w:tcPr>
          <w:p w:rsidR="004B4777" w:rsidRDefault="004B4777">
            <w:pPr>
              <w:pStyle w:val="af"/>
              <w:spacing w:line="240" w:lineRule="auto"/>
              <w:rPr>
                <w:sz w:val="21"/>
                <w:szCs w:val="21"/>
              </w:rPr>
            </w:pPr>
            <w:r>
              <w:rPr>
                <w:sz w:val="21"/>
                <w:szCs w:val="21"/>
              </w:rPr>
              <w:t>0.007L</w:t>
            </w:r>
          </w:p>
        </w:tc>
        <w:tc>
          <w:tcPr>
            <w:tcW w:w="1418" w:type="dxa"/>
            <w:vAlign w:val="center"/>
          </w:tcPr>
          <w:p w:rsidR="004B4777" w:rsidRDefault="004B4777">
            <w:pPr>
              <w:pStyle w:val="af"/>
              <w:spacing w:line="240" w:lineRule="auto"/>
              <w:rPr>
                <w:sz w:val="21"/>
                <w:szCs w:val="21"/>
              </w:rPr>
            </w:pPr>
            <w:r>
              <w:rPr>
                <w:sz w:val="21"/>
                <w:szCs w:val="21"/>
              </w:rPr>
              <w:t>0.001L</w:t>
            </w:r>
          </w:p>
        </w:tc>
        <w:tc>
          <w:tcPr>
            <w:tcW w:w="1417" w:type="dxa"/>
            <w:vAlign w:val="center"/>
          </w:tcPr>
          <w:p w:rsidR="004B4777" w:rsidRDefault="004B4777">
            <w:pPr>
              <w:pStyle w:val="af"/>
              <w:spacing w:line="240" w:lineRule="auto"/>
              <w:rPr>
                <w:sz w:val="21"/>
                <w:szCs w:val="21"/>
              </w:rPr>
            </w:pPr>
            <w:r>
              <w:rPr>
                <w:sz w:val="21"/>
                <w:szCs w:val="21"/>
              </w:rPr>
              <w:t>0.004L</w:t>
            </w:r>
          </w:p>
        </w:tc>
        <w:tc>
          <w:tcPr>
            <w:tcW w:w="1276" w:type="dxa"/>
            <w:vAlign w:val="center"/>
          </w:tcPr>
          <w:p w:rsidR="004B4777" w:rsidRDefault="004B4777">
            <w:pPr>
              <w:pStyle w:val="af"/>
              <w:spacing w:line="240" w:lineRule="auto"/>
              <w:rPr>
                <w:sz w:val="21"/>
                <w:szCs w:val="21"/>
              </w:rPr>
            </w:pPr>
            <w:r>
              <w:rPr>
                <w:sz w:val="21"/>
                <w:szCs w:val="21"/>
              </w:rPr>
              <w:t>0.4×10-3L</w:t>
            </w:r>
          </w:p>
        </w:tc>
        <w:tc>
          <w:tcPr>
            <w:tcW w:w="1250" w:type="dxa"/>
            <w:vAlign w:val="center"/>
          </w:tcPr>
          <w:p w:rsidR="004B4777" w:rsidRDefault="004B4777">
            <w:pPr>
              <w:pStyle w:val="af"/>
              <w:spacing w:line="240" w:lineRule="auto"/>
              <w:rPr>
                <w:sz w:val="21"/>
                <w:szCs w:val="21"/>
              </w:rPr>
            </w:pPr>
            <w:r>
              <w:rPr>
                <w:sz w:val="21"/>
                <w:szCs w:val="21"/>
              </w:rPr>
              <w:t>0.01L</w:t>
            </w:r>
          </w:p>
        </w:tc>
        <w:tc>
          <w:tcPr>
            <w:tcW w:w="1197" w:type="dxa"/>
            <w:vAlign w:val="center"/>
          </w:tcPr>
          <w:p w:rsidR="004B4777" w:rsidRDefault="004B4777">
            <w:pPr>
              <w:pStyle w:val="af"/>
              <w:spacing w:line="240" w:lineRule="auto"/>
              <w:rPr>
                <w:sz w:val="21"/>
                <w:szCs w:val="21"/>
              </w:rPr>
            </w:pPr>
            <w:r>
              <w:rPr>
                <w:sz w:val="21"/>
                <w:szCs w:val="21"/>
              </w:rPr>
              <w:t>0.004L</w:t>
            </w:r>
          </w:p>
        </w:tc>
        <w:tc>
          <w:tcPr>
            <w:tcW w:w="1323" w:type="dxa"/>
            <w:vAlign w:val="center"/>
          </w:tcPr>
          <w:p w:rsidR="004B4777" w:rsidRDefault="004B4777">
            <w:pPr>
              <w:spacing w:line="240" w:lineRule="auto"/>
              <w:ind w:firstLineChars="100" w:firstLine="210"/>
              <w:rPr>
                <w:rFonts w:ascii="Times New Roman" w:hAnsi="Times New Roman"/>
                <w:kern w:val="0"/>
                <w:sz w:val="21"/>
                <w:szCs w:val="21"/>
              </w:rPr>
            </w:pPr>
            <w:r>
              <w:rPr>
                <w:rFonts w:ascii="Times New Roman" w:hAnsi="Times New Roman"/>
                <w:kern w:val="0"/>
                <w:sz w:val="21"/>
                <w:szCs w:val="21"/>
              </w:rPr>
              <w:t>0.002L</w:t>
            </w:r>
          </w:p>
        </w:tc>
        <w:tc>
          <w:tcPr>
            <w:tcW w:w="1295" w:type="dxa"/>
            <w:vAlign w:val="center"/>
          </w:tcPr>
          <w:p w:rsidR="004B4777" w:rsidRDefault="004B4777">
            <w:pPr>
              <w:pStyle w:val="af"/>
              <w:spacing w:line="240" w:lineRule="auto"/>
              <w:rPr>
                <w:sz w:val="21"/>
                <w:szCs w:val="21"/>
              </w:rPr>
            </w:pPr>
            <w:r>
              <w:rPr>
                <w:sz w:val="21"/>
                <w:szCs w:val="21"/>
              </w:rPr>
              <w:t>0.03</w:t>
            </w:r>
            <w:r>
              <w:rPr>
                <w:rFonts w:hint="eastAsia"/>
                <w:sz w:val="21"/>
                <w:szCs w:val="21"/>
              </w:rPr>
              <w:t>~</w:t>
            </w:r>
            <w:r>
              <w:rPr>
                <w:sz w:val="21"/>
                <w:szCs w:val="21"/>
              </w:rPr>
              <w:t>0.04</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418" w:type="dxa"/>
            <w:vAlign w:val="center"/>
          </w:tcPr>
          <w:p w:rsidR="004B4777" w:rsidRDefault="004B4777">
            <w:pPr>
              <w:pStyle w:val="af"/>
              <w:spacing w:line="240" w:lineRule="auto"/>
              <w:rPr>
                <w:sz w:val="21"/>
                <w:szCs w:val="21"/>
              </w:rPr>
            </w:pPr>
            <w:r>
              <w:rPr>
                <w:rFonts w:hint="eastAsia"/>
                <w:sz w:val="21"/>
                <w:szCs w:val="21"/>
              </w:rPr>
              <w:t>/</w:t>
            </w:r>
          </w:p>
        </w:tc>
        <w:tc>
          <w:tcPr>
            <w:tcW w:w="1417" w:type="dxa"/>
            <w:vAlign w:val="center"/>
          </w:tcPr>
          <w:p w:rsidR="004B4777" w:rsidRDefault="004B4777">
            <w:pPr>
              <w:pStyle w:val="af"/>
              <w:spacing w:line="240" w:lineRule="auto"/>
              <w:rPr>
                <w:sz w:val="21"/>
                <w:szCs w:val="21"/>
              </w:rPr>
            </w:pPr>
            <w:r>
              <w:rPr>
                <w:rFonts w:hint="eastAsia"/>
                <w:sz w:val="21"/>
                <w:szCs w:val="21"/>
              </w:rPr>
              <w:t>/</w:t>
            </w:r>
          </w:p>
        </w:tc>
        <w:tc>
          <w:tcPr>
            <w:tcW w:w="1276" w:type="dxa"/>
            <w:vAlign w:val="center"/>
          </w:tcPr>
          <w:p w:rsidR="004B4777" w:rsidRDefault="004B4777">
            <w:pPr>
              <w:pStyle w:val="af"/>
              <w:spacing w:line="240" w:lineRule="auto"/>
              <w:rPr>
                <w:sz w:val="21"/>
                <w:szCs w:val="21"/>
              </w:rPr>
            </w:pPr>
            <w:r>
              <w:rPr>
                <w:rFonts w:hint="eastAsia"/>
                <w:sz w:val="21"/>
                <w:szCs w:val="21"/>
              </w:rPr>
              <w:t>/</w:t>
            </w:r>
          </w:p>
        </w:tc>
        <w:tc>
          <w:tcPr>
            <w:tcW w:w="1250" w:type="dxa"/>
            <w:vAlign w:val="center"/>
          </w:tcPr>
          <w:p w:rsidR="004B4777" w:rsidRDefault="004B4777">
            <w:pPr>
              <w:pStyle w:val="af"/>
              <w:spacing w:line="240" w:lineRule="auto"/>
              <w:rPr>
                <w:sz w:val="21"/>
                <w:szCs w:val="21"/>
              </w:rPr>
            </w:pPr>
            <w:r>
              <w:rPr>
                <w:rFonts w:hint="eastAsia"/>
                <w:sz w:val="21"/>
                <w:szCs w:val="21"/>
              </w:rPr>
              <w:t>/</w:t>
            </w:r>
          </w:p>
        </w:tc>
        <w:tc>
          <w:tcPr>
            <w:tcW w:w="1197" w:type="dxa"/>
            <w:vAlign w:val="center"/>
          </w:tcPr>
          <w:p w:rsidR="004B4777" w:rsidRDefault="004B4777">
            <w:pPr>
              <w:pStyle w:val="af"/>
              <w:spacing w:line="240" w:lineRule="auto"/>
              <w:rPr>
                <w:sz w:val="21"/>
                <w:szCs w:val="21"/>
              </w:rPr>
            </w:pPr>
            <w:r>
              <w:rPr>
                <w:rFonts w:hint="eastAsia"/>
                <w:sz w:val="21"/>
                <w:szCs w:val="21"/>
              </w:rPr>
              <w:t>/</w:t>
            </w:r>
          </w:p>
        </w:tc>
        <w:tc>
          <w:tcPr>
            <w:tcW w:w="1323" w:type="dxa"/>
            <w:vAlign w:val="center"/>
          </w:tcPr>
          <w:p w:rsidR="004B4777" w:rsidRDefault="004B4777">
            <w:pPr>
              <w:spacing w:line="240" w:lineRule="auto"/>
              <w:ind w:firstLineChars="100" w:firstLine="210"/>
              <w:rPr>
                <w:rFonts w:ascii="Times New Roman" w:hAnsi="Times New Roman"/>
                <w:kern w:val="0"/>
                <w:sz w:val="21"/>
                <w:szCs w:val="21"/>
              </w:rPr>
            </w:pPr>
            <w:r>
              <w:rPr>
                <w:rFonts w:ascii="Times New Roman" w:hAnsi="Times New Roman" w:hint="eastAsia"/>
                <w:kern w:val="0"/>
                <w:sz w:val="21"/>
                <w:szCs w:val="21"/>
              </w:rPr>
              <w:t>/</w:t>
            </w:r>
          </w:p>
        </w:tc>
        <w:tc>
          <w:tcPr>
            <w:tcW w:w="1295" w:type="dxa"/>
            <w:vAlign w:val="center"/>
          </w:tcPr>
          <w:p w:rsidR="004B4777" w:rsidRDefault="004B4777">
            <w:pPr>
              <w:pStyle w:val="af"/>
              <w:spacing w:line="240" w:lineRule="auto"/>
              <w:rPr>
                <w:sz w:val="21"/>
                <w:szCs w:val="21"/>
              </w:rPr>
            </w:pPr>
            <w:r>
              <w:rPr>
                <w:rFonts w:hint="eastAsia"/>
                <w:sz w:val="21"/>
                <w:szCs w:val="21"/>
              </w:rPr>
              <w:t>0.33</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1739" w:type="dxa"/>
            <w:vMerge/>
            <w:vAlign w:val="center"/>
          </w:tcPr>
          <w:p w:rsidR="004B4777" w:rsidRDefault="004B4777">
            <w:pPr>
              <w:pStyle w:val="62"/>
              <w:adjustRightInd w:val="0"/>
              <w:snapToGrid w:val="0"/>
              <w:rPr>
                <w:rFonts w:eastAsia="宋体"/>
              </w:rPr>
            </w:pPr>
          </w:p>
        </w:tc>
        <w:tc>
          <w:tcPr>
            <w:tcW w:w="1559"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418" w:type="dxa"/>
            <w:vAlign w:val="center"/>
          </w:tcPr>
          <w:p w:rsidR="004B4777" w:rsidRDefault="004B4777">
            <w:pPr>
              <w:pStyle w:val="af"/>
              <w:spacing w:line="240" w:lineRule="auto"/>
              <w:rPr>
                <w:sz w:val="21"/>
                <w:szCs w:val="21"/>
              </w:rPr>
            </w:pPr>
            <w:r>
              <w:rPr>
                <w:rFonts w:hint="eastAsia"/>
                <w:sz w:val="21"/>
                <w:szCs w:val="21"/>
              </w:rPr>
              <w:t>0</w:t>
            </w:r>
          </w:p>
        </w:tc>
        <w:tc>
          <w:tcPr>
            <w:tcW w:w="1417" w:type="dxa"/>
            <w:vAlign w:val="center"/>
          </w:tcPr>
          <w:p w:rsidR="004B4777" w:rsidRDefault="004B4777">
            <w:pPr>
              <w:pStyle w:val="af"/>
              <w:spacing w:line="240" w:lineRule="auto"/>
              <w:rPr>
                <w:sz w:val="21"/>
                <w:szCs w:val="21"/>
              </w:rPr>
            </w:pPr>
            <w:r>
              <w:rPr>
                <w:rFonts w:hint="eastAsia"/>
                <w:sz w:val="21"/>
                <w:szCs w:val="21"/>
              </w:rPr>
              <w:t>0</w:t>
            </w:r>
          </w:p>
        </w:tc>
        <w:tc>
          <w:tcPr>
            <w:tcW w:w="1276" w:type="dxa"/>
            <w:vAlign w:val="center"/>
          </w:tcPr>
          <w:p w:rsidR="004B4777" w:rsidRDefault="004B4777">
            <w:pPr>
              <w:pStyle w:val="af"/>
              <w:spacing w:line="240" w:lineRule="auto"/>
              <w:rPr>
                <w:sz w:val="21"/>
                <w:szCs w:val="21"/>
              </w:rPr>
            </w:pPr>
            <w:r>
              <w:rPr>
                <w:rFonts w:hint="eastAsia"/>
                <w:sz w:val="21"/>
                <w:szCs w:val="21"/>
              </w:rPr>
              <w:t>0</w:t>
            </w:r>
          </w:p>
        </w:tc>
        <w:tc>
          <w:tcPr>
            <w:tcW w:w="1250" w:type="dxa"/>
            <w:vAlign w:val="center"/>
          </w:tcPr>
          <w:p w:rsidR="004B4777" w:rsidRDefault="004B4777">
            <w:pPr>
              <w:pStyle w:val="af"/>
              <w:spacing w:line="240" w:lineRule="auto"/>
              <w:rPr>
                <w:sz w:val="21"/>
                <w:szCs w:val="21"/>
              </w:rPr>
            </w:pPr>
            <w:r>
              <w:rPr>
                <w:rFonts w:hint="eastAsia"/>
                <w:sz w:val="21"/>
                <w:szCs w:val="21"/>
              </w:rPr>
              <w:t>0</w:t>
            </w:r>
          </w:p>
        </w:tc>
        <w:tc>
          <w:tcPr>
            <w:tcW w:w="1197" w:type="dxa"/>
            <w:vAlign w:val="center"/>
          </w:tcPr>
          <w:p w:rsidR="004B4777" w:rsidRDefault="004B4777">
            <w:pPr>
              <w:pStyle w:val="af"/>
              <w:spacing w:line="240" w:lineRule="auto"/>
              <w:rPr>
                <w:sz w:val="21"/>
                <w:szCs w:val="21"/>
              </w:rPr>
            </w:pPr>
            <w:r>
              <w:rPr>
                <w:rFonts w:hint="eastAsia"/>
                <w:sz w:val="21"/>
                <w:szCs w:val="21"/>
              </w:rPr>
              <w:t>0</w:t>
            </w:r>
          </w:p>
        </w:tc>
        <w:tc>
          <w:tcPr>
            <w:tcW w:w="1323" w:type="dxa"/>
            <w:vAlign w:val="center"/>
          </w:tcPr>
          <w:p w:rsidR="004B4777" w:rsidRDefault="004B4777">
            <w:pPr>
              <w:pStyle w:val="af"/>
              <w:spacing w:line="240" w:lineRule="auto"/>
              <w:rPr>
                <w:sz w:val="21"/>
                <w:szCs w:val="21"/>
              </w:rPr>
            </w:pPr>
            <w:r>
              <w:rPr>
                <w:rFonts w:hint="eastAsia"/>
                <w:sz w:val="21"/>
                <w:szCs w:val="21"/>
              </w:rPr>
              <w:t>0</w:t>
            </w:r>
          </w:p>
        </w:tc>
        <w:tc>
          <w:tcPr>
            <w:tcW w:w="1295" w:type="dxa"/>
            <w:vAlign w:val="center"/>
          </w:tcPr>
          <w:p w:rsidR="004B4777" w:rsidRDefault="004B4777">
            <w:pPr>
              <w:pStyle w:val="af"/>
              <w:spacing w:line="240" w:lineRule="auto"/>
              <w:rPr>
                <w:sz w:val="21"/>
                <w:szCs w:val="21"/>
              </w:rPr>
            </w:pPr>
            <w:r>
              <w:rPr>
                <w:rFonts w:hint="eastAsia"/>
                <w:sz w:val="21"/>
                <w:szCs w:val="21"/>
              </w:rPr>
              <w:t>0</w:t>
            </w:r>
          </w:p>
        </w:tc>
      </w:tr>
      <w:tr w:rsidR="004B4777">
        <w:trPr>
          <w:jc w:val="center"/>
        </w:trPr>
        <w:tc>
          <w:tcPr>
            <w:tcW w:w="3298" w:type="dxa"/>
            <w:gridSpan w:val="2"/>
            <w:vAlign w:val="center"/>
          </w:tcPr>
          <w:p w:rsidR="004B4777" w:rsidRDefault="004B4777">
            <w:pPr>
              <w:pStyle w:val="62"/>
              <w:adjustRightInd w:val="0"/>
              <w:snapToGrid w:val="0"/>
              <w:rPr>
                <w:rFonts w:eastAsia="宋体"/>
                <w:b w:val="0"/>
                <w:sz w:val="21"/>
                <w:szCs w:val="21"/>
              </w:rPr>
            </w:pPr>
            <w:r>
              <w:rPr>
                <w:rFonts w:eastAsia="宋体" w:hint="eastAsia"/>
                <w:b w:val="0"/>
                <w:sz w:val="21"/>
                <w:szCs w:val="21"/>
              </w:rPr>
              <w:t>GB3838-2002</w:t>
            </w:r>
            <w:r>
              <w:rPr>
                <w:rFonts w:eastAsia="宋体" w:hint="eastAsia"/>
                <w:b w:val="0"/>
                <w:sz w:val="21"/>
                <w:szCs w:val="21"/>
              </w:rPr>
              <w:t>中Ⅲ类</w:t>
            </w:r>
          </w:p>
        </w:tc>
        <w:tc>
          <w:tcPr>
            <w:tcW w:w="1276"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0.01</w:t>
            </w:r>
          </w:p>
        </w:tc>
        <w:tc>
          <w:tcPr>
            <w:tcW w:w="1418"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0.005</w:t>
            </w:r>
          </w:p>
        </w:tc>
        <w:tc>
          <w:tcPr>
            <w:tcW w:w="1417"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0.05</w:t>
            </w:r>
          </w:p>
        </w:tc>
        <w:tc>
          <w:tcPr>
            <w:tcW w:w="1276"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0.05</w:t>
            </w:r>
          </w:p>
        </w:tc>
        <w:tc>
          <w:tcPr>
            <w:tcW w:w="1250"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0.05</w:t>
            </w:r>
          </w:p>
        </w:tc>
        <w:tc>
          <w:tcPr>
            <w:tcW w:w="1197"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0.02</w:t>
            </w:r>
          </w:p>
        </w:tc>
        <w:tc>
          <w:tcPr>
            <w:tcW w:w="1323"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0.005</w:t>
            </w:r>
          </w:p>
        </w:tc>
        <w:tc>
          <w:tcPr>
            <w:tcW w:w="1295" w:type="dxa"/>
            <w:vAlign w:val="center"/>
          </w:tcPr>
          <w:p w:rsidR="004B4777" w:rsidRDefault="004B4777">
            <w:pPr>
              <w:pStyle w:val="af"/>
              <w:spacing w:line="240" w:lineRule="auto"/>
              <w:rPr>
                <w:sz w:val="21"/>
                <w:szCs w:val="21"/>
              </w:rPr>
            </w:pPr>
            <w:r>
              <w:rPr>
                <w:color w:val="393939"/>
                <w:sz w:val="21"/>
                <w:szCs w:val="21"/>
                <w:shd w:val="clear" w:color="auto" w:fill="FFFFFF"/>
              </w:rPr>
              <w:t>≤</w:t>
            </w:r>
            <w:r>
              <w:rPr>
                <w:rFonts w:hint="eastAsia"/>
                <w:color w:val="393939"/>
                <w:sz w:val="21"/>
                <w:szCs w:val="21"/>
                <w:shd w:val="clear" w:color="auto" w:fill="FFFFFF"/>
              </w:rPr>
              <w:t>0.05</w:t>
            </w:r>
          </w:p>
        </w:tc>
      </w:tr>
    </w:tbl>
    <w:p w:rsidR="004B4777" w:rsidRDefault="004B4777">
      <w:pPr>
        <w:pStyle w:val="af"/>
        <w:spacing w:line="240" w:lineRule="auto"/>
        <w:rPr>
          <w:b/>
        </w:rPr>
      </w:pPr>
      <w:r>
        <w:rPr>
          <w:sz w:val="21"/>
          <w:szCs w:val="21"/>
        </w:rPr>
        <w:br w:type="page"/>
      </w:r>
      <w:r>
        <w:rPr>
          <w:rFonts w:hint="eastAsia"/>
          <w:b/>
        </w:rPr>
        <w:lastRenderedPageBreak/>
        <w:t>表</w:t>
      </w:r>
      <w:r>
        <w:rPr>
          <w:rFonts w:hint="eastAsia"/>
          <w:b/>
        </w:rPr>
        <w:t>5.2-5</w:t>
      </w:r>
      <w:r>
        <w:rPr>
          <w:rFonts w:hint="eastAsia"/>
          <w:b/>
        </w:rPr>
        <w:t>（续表</w:t>
      </w:r>
      <w:r>
        <w:rPr>
          <w:rFonts w:hint="eastAsia"/>
          <w:b/>
        </w:rPr>
        <w:t>3</w:t>
      </w:r>
      <w:r>
        <w:rPr>
          <w:rFonts w:hint="eastAsia"/>
          <w:b/>
        </w:rPr>
        <w:t>）</w:t>
      </w:r>
      <w:r>
        <w:rPr>
          <w:rFonts w:hint="eastAsia"/>
          <w:b/>
        </w:rPr>
        <w:t xml:space="preserve">   </w:t>
      </w:r>
      <w:r>
        <w:rPr>
          <w:rFonts w:hint="eastAsia"/>
          <w:b/>
        </w:rPr>
        <w:t>项目采区地表水环境现状监测及评价结果表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940"/>
        <w:gridCol w:w="1547"/>
        <w:gridCol w:w="1127"/>
        <w:gridCol w:w="1554"/>
        <w:gridCol w:w="1407"/>
        <w:gridCol w:w="1373"/>
        <w:gridCol w:w="1144"/>
        <w:gridCol w:w="1407"/>
        <w:gridCol w:w="1551"/>
        <w:gridCol w:w="1073"/>
      </w:tblGrid>
      <w:tr w:rsidR="004B4777">
        <w:trPr>
          <w:jc w:val="center"/>
        </w:trPr>
        <w:tc>
          <w:tcPr>
            <w:tcW w:w="3487" w:type="dxa"/>
            <w:gridSpan w:val="2"/>
            <w:tcBorders>
              <w:tl2br w:val="single" w:sz="6" w:space="0" w:color="auto"/>
            </w:tcBorders>
            <w:vAlign w:val="center"/>
          </w:tcPr>
          <w:p w:rsidR="004B4777" w:rsidRDefault="004B4777">
            <w:pPr>
              <w:pStyle w:val="af"/>
              <w:spacing w:line="240" w:lineRule="auto"/>
              <w:rPr>
                <w:sz w:val="21"/>
                <w:szCs w:val="21"/>
              </w:rPr>
            </w:pPr>
            <w:r>
              <w:rPr>
                <w:sz w:val="21"/>
                <w:szCs w:val="21"/>
              </w:rPr>
              <w:t xml:space="preserve">                  </w:t>
            </w:r>
            <w:r>
              <w:rPr>
                <w:sz w:val="21"/>
                <w:szCs w:val="21"/>
              </w:rPr>
              <w:t>评价因子</w:t>
            </w:r>
          </w:p>
          <w:p w:rsidR="004B4777" w:rsidRDefault="004B4777">
            <w:pPr>
              <w:pStyle w:val="af"/>
              <w:spacing w:line="240" w:lineRule="auto"/>
              <w:ind w:firstLineChars="50" w:firstLine="105"/>
              <w:jc w:val="both"/>
              <w:rPr>
                <w:szCs w:val="21"/>
              </w:rPr>
            </w:pPr>
            <w:r>
              <w:rPr>
                <w:sz w:val="21"/>
                <w:szCs w:val="21"/>
              </w:rPr>
              <w:t>监测断面</w:t>
            </w:r>
          </w:p>
        </w:tc>
        <w:tc>
          <w:tcPr>
            <w:tcW w:w="1127" w:type="dxa"/>
            <w:vAlign w:val="center"/>
          </w:tcPr>
          <w:p w:rsidR="004B4777" w:rsidRDefault="004B4777">
            <w:pPr>
              <w:pStyle w:val="affff8"/>
              <w:rPr>
                <w:rFonts w:eastAsia="宋体"/>
              </w:rPr>
            </w:pPr>
            <w:r>
              <w:rPr>
                <w:rFonts w:eastAsia="宋体" w:cs="宋体" w:hint="eastAsia"/>
                <w:bCs/>
              </w:rPr>
              <w:t>硫化物</w:t>
            </w:r>
          </w:p>
        </w:tc>
        <w:tc>
          <w:tcPr>
            <w:tcW w:w="1554" w:type="dxa"/>
            <w:vAlign w:val="center"/>
          </w:tcPr>
          <w:p w:rsidR="004B4777" w:rsidRDefault="004B4777">
            <w:pPr>
              <w:pStyle w:val="affff8"/>
              <w:rPr>
                <w:rFonts w:eastAsia="宋体"/>
              </w:rPr>
            </w:pPr>
            <w:r>
              <w:rPr>
                <w:rFonts w:eastAsia="宋体" w:cs="宋体" w:hint="eastAsia"/>
                <w:bCs/>
              </w:rPr>
              <w:t>阴离子表面活性剂</w:t>
            </w:r>
          </w:p>
        </w:tc>
        <w:tc>
          <w:tcPr>
            <w:tcW w:w="1407" w:type="dxa"/>
            <w:vAlign w:val="center"/>
          </w:tcPr>
          <w:p w:rsidR="004B4777" w:rsidRDefault="004B4777">
            <w:pPr>
              <w:pStyle w:val="affff8"/>
              <w:rPr>
                <w:rFonts w:eastAsia="宋体"/>
              </w:rPr>
            </w:pPr>
            <w:r>
              <w:rPr>
                <w:rFonts w:eastAsia="宋体" w:cs="宋体" w:hint="eastAsia"/>
                <w:bCs/>
              </w:rPr>
              <w:t>粪大肠菌群</w:t>
            </w:r>
          </w:p>
        </w:tc>
        <w:tc>
          <w:tcPr>
            <w:tcW w:w="1373" w:type="dxa"/>
            <w:tcBorders>
              <w:right w:val="single" w:sz="6" w:space="0" w:color="auto"/>
            </w:tcBorders>
            <w:vAlign w:val="center"/>
          </w:tcPr>
          <w:p w:rsidR="004B4777" w:rsidRDefault="004B4777">
            <w:pPr>
              <w:pStyle w:val="affff8"/>
              <w:rPr>
                <w:rFonts w:eastAsia="宋体"/>
                <w:u w:val="single"/>
              </w:rPr>
            </w:pPr>
            <w:r>
              <w:rPr>
                <w:rFonts w:eastAsia="宋体" w:cs="宋体" w:hint="eastAsia"/>
                <w:bCs/>
                <w:u w:val="single"/>
              </w:rPr>
              <w:t>锌</w:t>
            </w:r>
          </w:p>
        </w:tc>
        <w:tc>
          <w:tcPr>
            <w:tcW w:w="1144" w:type="dxa"/>
            <w:tcBorders>
              <w:right w:val="single" w:sz="6" w:space="0" w:color="auto"/>
            </w:tcBorders>
            <w:vAlign w:val="center"/>
          </w:tcPr>
          <w:p w:rsidR="004B4777" w:rsidRDefault="004B4777">
            <w:pPr>
              <w:pStyle w:val="affff8"/>
              <w:rPr>
                <w:rFonts w:eastAsia="宋体" w:cs="宋体"/>
                <w:bCs/>
                <w:u w:val="single"/>
              </w:rPr>
            </w:pPr>
            <w:r>
              <w:rPr>
                <w:rFonts w:eastAsia="宋体"/>
                <w:u w:val="single"/>
                <w:lang/>
              </w:rPr>
              <w:t>SS</w:t>
            </w:r>
          </w:p>
        </w:tc>
        <w:tc>
          <w:tcPr>
            <w:tcW w:w="1407" w:type="dxa"/>
            <w:tcBorders>
              <w:left w:val="single" w:sz="6" w:space="0" w:color="auto"/>
            </w:tcBorders>
            <w:vAlign w:val="center"/>
          </w:tcPr>
          <w:p w:rsidR="004B4777" w:rsidRDefault="004B4777">
            <w:pPr>
              <w:pStyle w:val="affff8"/>
              <w:rPr>
                <w:rFonts w:eastAsia="宋体"/>
              </w:rPr>
            </w:pPr>
            <w:r>
              <w:rPr>
                <w:rFonts w:eastAsia="宋体" w:cs="宋体" w:hint="eastAsia"/>
                <w:bCs/>
              </w:rPr>
              <w:t>硫酸盐</w:t>
            </w:r>
          </w:p>
        </w:tc>
        <w:tc>
          <w:tcPr>
            <w:tcW w:w="1551" w:type="dxa"/>
            <w:vAlign w:val="center"/>
          </w:tcPr>
          <w:p w:rsidR="004B4777" w:rsidRDefault="004B4777">
            <w:pPr>
              <w:pStyle w:val="affff8"/>
              <w:rPr>
                <w:rFonts w:eastAsia="宋体"/>
              </w:rPr>
            </w:pPr>
            <w:r>
              <w:rPr>
                <w:rFonts w:eastAsia="宋体" w:cs="宋体" w:hint="eastAsia"/>
                <w:bCs/>
              </w:rPr>
              <w:t>硝酸盐</w:t>
            </w:r>
          </w:p>
        </w:tc>
        <w:tc>
          <w:tcPr>
            <w:tcW w:w="1073" w:type="dxa"/>
            <w:vAlign w:val="center"/>
          </w:tcPr>
          <w:p w:rsidR="004B4777" w:rsidRDefault="004B4777">
            <w:pPr>
              <w:pStyle w:val="affff8"/>
              <w:rPr>
                <w:rFonts w:eastAsia="宋体"/>
              </w:rPr>
            </w:pPr>
            <w:r>
              <w:rPr>
                <w:rFonts w:eastAsia="宋体" w:cs="宋体" w:hint="eastAsia"/>
                <w:bCs/>
              </w:rPr>
              <w:t>镍</w:t>
            </w:r>
          </w:p>
        </w:tc>
      </w:tr>
      <w:tr w:rsidR="004B4777">
        <w:trPr>
          <w:trHeight w:val="390"/>
          <w:jc w:val="center"/>
        </w:trPr>
        <w:tc>
          <w:tcPr>
            <w:tcW w:w="1940"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W7</w:t>
            </w:r>
            <w:r>
              <w:rPr>
                <w:rFonts w:eastAsia="宋体" w:hint="eastAsia"/>
                <w:b w:val="0"/>
                <w:sz w:val="21"/>
                <w:szCs w:val="21"/>
              </w:rPr>
              <w:t>资水北支流易婆塘采区上游</w:t>
            </w:r>
            <w:r>
              <w:rPr>
                <w:rFonts w:eastAsia="宋体" w:hint="eastAsia"/>
                <w:b w:val="0"/>
                <w:sz w:val="21"/>
                <w:szCs w:val="21"/>
              </w:rPr>
              <w:t>500m</w:t>
            </w: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27" w:type="dxa"/>
            <w:vAlign w:val="center"/>
          </w:tcPr>
          <w:p w:rsidR="004B4777" w:rsidRDefault="004B4777">
            <w:pPr>
              <w:pStyle w:val="af"/>
              <w:spacing w:line="240" w:lineRule="auto"/>
              <w:rPr>
                <w:sz w:val="21"/>
                <w:szCs w:val="21"/>
                <w:lang/>
              </w:rPr>
            </w:pPr>
            <w:r>
              <w:rPr>
                <w:sz w:val="21"/>
                <w:szCs w:val="21"/>
                <w:lang/>
              </w:rPr>
              <w:t>0.005L</w:t>
            </w:r>
          </w:p>
        </w:tc>
        <w:tc>
          <w:tcPr>
            <w:tcW w:w="1554" w:type="dxa"/>
            <w:vAlign w:val="center"/>
          </w:tcPr>
          <w:p w:rsidR="004B4777" w:rsidRDefault="004B4777">
            <w:pPr>
              <w:pStyle w:val="af"/>
              <w:spacing w:line="240" w:lineRule="auto"/>
              <w:rPr>
                <w:sz w:val="21"/>
                <w:szCs w:val="21"/>
                <w:lang/>
              </w:rPr>
            </w:pPr>
            <w:r>
              <w:rPr>
                <w:sz w:val="21"/>
                <w:szCs w:val="21"/>
                <w:lang/>
              </w:rPr>
              <w:t>0.05L</w:t>
            </w:r>
          </w:p>
        </w:tc>
        <w:tc>
          <w:tcPr>
            <w:tcW w:w="1407" w:type="dxa"/>
            <w:vAlign w:val="center"/>
          </w:tcPr>
          <w:p w:rsidR="004B4777" w:rsidRDefault="004B4777">
            <w:pPr>
              <w:pStyle w:val="af"/>
              <w:spacing w:line="240" w:lineRule="auto"/>
              <w:rPr>
                <w:sz w:val="21"/>
                <w:szCs w:val="21"/>
                <w:lang/>
              </w:rPr>
            </w:pPr>
            <w:r>
              <w:rPr>
                <w:sz w:val="21"/>
                <w:szCs w:val="21"/>
                <w:lang/>
              </w:rPr>
              <w:t>1900</w:t>
            </w:r>
            <w:r>
              <w:rPr>
                <w:rFonts w:hint="eastAsia"/>
                <w:sz w:val="21"/>
                <w:szCs w:val="21"/>
                <w:lang/>
              </w:rPr>
              <w:t>~2300</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sz w:val="21"/>
                <w:szCs w:val="21"/>
                <w:u w:val="single"/>
                <w:lang/>
              </w:rPr>
              <w:t>6</w:t>
            </w:r>
            <w:r>
              <w:rPr>
                <w:rFonts w:hint="eastAsia"/>
                <w:sz w:val="21"/>
                <w:szCs w:val="21"/>
                <w:u w:val="single"/>
                <w:lang/>
              </w:rPr>
              <w:t>~9</w:t>
            </w:r>
          </w:p>
        </w:tc>
        <w:tc>
          <w:tcPr>
            <w:tcW w:w="1407" w:type="dxa"/>
            <w:tcBorders>
              <w:left w:val="single" w:sz="6" w:space="0" w:color="auto"/>
            </w:tcBorders>
            <w:vAlign w:val="center"/>
          </w:tcPr>
          <w:p w:rsidR="004B4777" w:rsidRDefault="004B4777">
            <w:pPr>
              <w:pStyle w:val="af"/>
              <w:spacing w:line="240" w:lineRule="auto"/>
              <w:rPr>
                <w:sz w:val="21"/>
                <w:szCs w:val="21"/>
                <w:lang/>
              </w:rPr>
            </w:pPr>
            <w:r>
              <w:rPr>
                <w:sz w:val="21"/>
                <w:szCs w:val="21"/>
                <w:lang/>
              </w:rPr>
              <w:t>28.9</w:t>
            </w:r>
            <w:r>
              <w:rPr>
                <w:rFonts w:hint="eastAsia"/>
                <w:sz w:val="21"/>
                <w:szCs w:val="21"/>
                <w:lang/>
              </w:rPr>
              <w:t>~</w:t>
            </w:r>
            <w:r>
              <w:rPr>
                <w:sz w:val="21"/>
                <w:szCs w:val="21"/>
                <w:lang/>
              </w:rPr>
              <w:t>31.3</w:t>
            </w:r>
          </w:p>
        </w:tc>
        <w:tc>
          <w:tcPr>
            <w:tcW w:w="1551" w:type="dxa"/>
            <w:vAlign w:val="center"/>
          </w:tcPr>
          <w:p w:rsidR="004B4777" w:rsidRDefault="004B4777">
            <w:pPr>
              <w:adjustRightInd w:val="0"/>
              <w:ind w:firstLine="420"/>
              <w:jc w:val="center"/>
              <w:rPr>
                <w:rFonts w:ascii="Times New Roman" w:hAnsi="Times New Roman"/>
                <w:kern w:val="0"/>
                <w:sz w:val="21"/>
                <w:szCs w:val="21"/>
                <w:lang/>
              </w:rPr>
            </w:pPr>
            <w:r>
              <w:rPr>
                <w:rFonts w:ascii="Times New Roman" w:hAnsi="Times New Roman"/>
                <w:kern w:val="0"/>
                <w:sz w:val="21"/>
                <w:szCs w:val="21"/>
                <w:lang/>
              </w:rPr>
              <w:t>6.8</w:t>
            </w:r>
            <w:r>
              <w:rPr>
                <w:rFonts w:ascii="Times New Roman" w:hAnsi="Times New Roman" w:hint="eastAsia"/>
                <w:kern w:val="0"/>
                <w:sz w:val="21"/>
                <w:szCs w:val="21"/>
                <w:lang/>
              </w:rPr>
              <w:t>~</w:t>
            </w:r>
            <w:r>
              <w:rPr>
                <w:rFonts w:ascii="Times New Roman" w:hAnsi="Times New Roman"/>
                <w:kern w:val="0"/>
                <w:sz w:val="21"/>
                <w:szCs w:val="21"/>
                <w:lang/>
              </w:rPr>
              <w:t>7.3</w:t>
            </w:r>
          </w:p>
        </w:tc>
        <w:tc>
          <w:tcPr>
            <w:tcW w:w="1073" w:type="dxa"/>
            <w:vAlign w:val="center"/>
          </w:tcPr>
          <w:p w:rsidR="004B4777" w:rsidRDefault="004B4777">
            <w:pPr>
              <w:pStyle w:val="af"/>
              <w:spacing w:line="240" w:lineRule="auto"/>
              <w:rPr>
                <w:sz w:val="21"/>
                <w:szCs w:val="21"/>
                <w:lang/>
              </w:rPr>
            </w:pPr>
            <w:r>
              <w:rPr>
                <w:sz w:val="21"/>
                <w:szCs w:val="21"/>
                <w:lang/>
              </w:rPr>
              <w:t>0.002L</w:t>
            </w:r>
          </w:p>
        </w:tc>
      </w:tr>
      <w:tr w:rsidR="004B4777">
        <w:trPr>
          <w:jc w:val="center"/>
        </w:trPr>
        <w:tc>
          <w:tcPr>
            <w:tcW w:w="1940" w:type="dxa"/>
            <w:vMerge/>
            <w:vAlign w:val="center"/>
          </w:tcPr>
          <w:p w:rsidR="004B4777" w:rsidRDefault="004B4777">
            <w:pPr>
              <w:pStyle w:val="62"/>
              <w:adjustRightInd w:val="0"/>
              <w:snapToGrid w:val="0"/>
              <w:rPr>
                <w:rFonts w:eastAsia="宋体"/>
                <w:b w:val="0"/>
                <w:sz w:val="21"/>
                <w:szCs w:val="21"/>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27" w:type="dxa"/>
            <w:vAlign w:val="center"/>
          </w:tcPr>
          <w:p w:rsidR="004B4777" w:rsidRDefault="004B4777">
            <w:pPr>
              <w:pStyle w:val="af"/>
              <w:spacing w:line="240" w:lineRule="auto"/>
              <w:rPr>
                <w:sz w:val="21"/>
                <w:szCs w:val="21"/>
                <w:lang/>
              </w:rPr>
            </w:pPr>
            <w:r>
              <w:rPr>
                <w:rFonts w:hint="eastAsia"/>
                <w:sz w:val="21"/>
                <w:szCs w:val="21"/>
                <w:lang/>
              </w:rPr>
              <w:t>/</w:t>
            </w:r>
          </w:p>
        </w:tc>
        <w:tc>
          <w:tcPr>
            <w:tcW w:w="1554" w:type="dxa"/>
            <w:vAlign w:val="center"/>
          </w:tcPr>
          <w:p w:rsidR="004B4777" w:rsidRDefault="004B4777">
            <w:pPr>
              <w:pStyle w:val="af"/>
              <w:spacing w:line="240" w:lineRule="auto"/>
              <w:rPr>
                <w:sz w:val="21"/>
                <w:szCs w:val="21"/>
                <w:lang/>
              </w:rPr>
            </w:pPr>
            <w:r>
              <w:rPr>
                <w:rFonts w:hint="eastAsia"/>
                <w:sz w:val="21"/>
                <w:szCs w:val="21"/>
                <w:lang/>
              </w:rPr>
              <w:t>/</w:t>
            </w:r>
          </w:p>
        </w:tc>
        <w:tc>
          <w:tcPr>
            <w:tcW w:w="1407" w:type="dxa"/>
            <w:vAlign w:val="center"/>
          </w:tcPr>
          <w:p w:rsidR="004B4777" w:rsidRDefault="004B4777">
            <w:pPr>
              <w:pStyle w:val="af"/>
              <w:spacing w:line="240" w:lineRule="auto"/>
              <w:rPr>
                <w:sz w:val="21"/>
                <w:szCs w:val="21"/>
                <w:lang/>
              </w:rPr>
            </w:pPr>
            <w:r>
              <w:rPr>
                <w:rFonts w:hint="eastAsia"/>
                <w:sz w:val="21"/>
                <w:szCs w:val="21"/>
                <w:lang/>
              </w:rPr>
              <w:t>2033.33</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7.33</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30.2</w:t>
            </w:r>
          </w:p>
        </w:tc>
        <w:tc>
          <w:tcPr>
            <w:tcW w:w="1551" w:type="dxa"/>
            <w:vAlign w:val="center"/>
          </w:tcPr>
          <w:p w:rsidR="004B4777" w:rsidRDefault="004B4777">
            <w:pPr>
              <w:pStyle w:val="af"/>
              <w:spacing w:line="240" w:lineRule="auto"/>
              <w:rPr>
                <w:sz w:val="21"/>
                <w:szCs w:val="21"/>
                <w:lang/>
              </w:rPr>
            </w:pPr>
            <w:r>
              <w:rPr>
                <w:rFonts w:hint="eastAsia"/>
                <w:sz w:val="21"/>
                <w:szCs w:val="21"/>
                <w:lang/>
              </w:rPr>
              <w:t>7.07</w:t>
            </w:r>
          </w:p>
        </w:tc>
        <w:tc>
          <w:tcPr>
            <w:tcW w:w="1073" w:type="dxa"/>
            <w:vAlign w:val="center"/>
          </w:tcPr>
          <w:p w:rsidR="004B4777" w:rsidRDefault="004B4777">
            <w:pPr>
              <w:pStyle w:val="af"/>
              <w:spacing w:line="240" w:lineRule="auto"/>
              <w:rPr>
                <w:sz w:val="21"/>
                <w:szCs w:val="21"/>
                <w:lang/>
              </w:rPr>
            </w:pPr>
            <w:r>
              <w:rPr>
                <w:rFonts w:hint="eastAsia"/>
                <w:sz w:val="21"/>
                <w:szCs w:val="21"/>
                <w:lang/>
              </w:rPr>
              <w:t>/</w:t>
            </w:r>
          </w:p>
        </w:tc>
      </w:tr>
      <w:tr w:rsidR="004B4777">
        <w:trPr>
          <w:jc w:val="center"/>
        </w:trPr>
        <w:tc>
          <w:tcPr>
            <w:tcW w:w="1940" w:type="dxa"/>
            <w:vMerge/>
            <w:vAlign w:val="center"/>
          </w:tcPr>
          <w:p w:rsidR="004B4777" w:rsidRDefault="004B4777">
            <w:pPr>
              <w:pStyle w:val="62"/>
              <w:adjustRightInd w:val="0"/>
              <w:snapToGrid w:val="0"/>
              <w:rPr>
                <w:rFonts w:eastAsia="宋体"/>
                <w:b w:val="0"/>
                <w:sz w:val="21"/>
                <w:szCs w:val="21"/>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rPr>
            </w:pPr>
            <w:r>
              <w:rPr>
                <w:rFonts w:eastAsia="宋体"/>
                <w:b w:val="0"/>
                <w:sz w:val="21"/>
                <w:szCs w:val="21"/>
              </w:rPr>
              <w:t>最大超标倍数</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restart"/>
            <w:vAlign w:val="center"/>
          </w:tcPr>
          <w:p w:rsidR="004B4777" w:rsidRDefault="004B4777">
            <w:pPr>
              <w:pStyle w:val="62"/>
              <w:adjustRightInd w:val="0"/>
              <w:snapToGrid w:val="0"/>
              <w:jc w:val="both"/>
              <w:rPr>
                <w:rFonts w:eastAsia="宋体"/>
              </w:rPr>
            </w:pPr>
            <w:r>
              <w:rPr>
                <w:rFonts w:eastAsia="宋体" w:hint="eastAsia"/>
                <w:b w:val="0"/>
                <w:sz w:val="21"/>
                <w:szCs w:val="21"/>
              </w:rPr>
              <w:t>W8</w:t>
            </w:r>
            <w:r>
              <w:rPr>
                <w:rFonts w:eastAsia="宋体" w:hint="eastAsia"/>
                <w:b w:val="0"/>
                <w:sz w:val="21"/>
                <w:szCs w:val="21"/>
              </w:rPr>
              <w:t>资水北支流易婆塘采区下游</w:t>
            </w:r>
            <w:r>
              <w:rPr>
                <w:rFonts w:eastAsia="宋体" w:hint="eastAsia"/>
                <w:b w:val="0"/>
                <w:sz w:val="21"/>
                <w:szCs w:val="21"/>
              </w:rPr>
              <w:t>500m</w:t>
            </w: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27" w:type="dxa"/>
            <w:vAlign w:val="center"/>
          </w:tcPr>
          <w:p w:rsidR="004B4777" w:rsidRDefault="004B4777">
            <w:pPr>
              <w:pStyle w:val="af"/>
              <w:spacing w:line="240" w:lineRule="auto"/>
              <w:rPr>
                <w:sz w:val="21"/>
                <w:szCs w:val="21"/>
                <w:lang/>
              </w:rPr>
            </w:pPr>
            <w:r>
              <w:rPr>
                <w:sz w:val="21"/>
                <w:szCs w:val="21"/>
                <w:lang/>
              </w:rPr>
              <w:t>0.005L</w:t>
            </w:r>
          </w:p>
        </w:tc>
        <w:tc>
          <w:tcPr>
            <w:tcW w:w="1554" w:type="dxa"/>
            <w:vAlign w:val="center"/>
          </w:tcPr>
          <w:p w:rsidR="004B4777" w:rsidRDefault="004B4777">
            <w:pPr>
              <w:pStyle w:val="af"/>
              <w:spacing w:line="240" w:lineRule="auto"/>
              <w:rPr>
                <w:sz w:val="21"/>
                <w:szCs w:val="21"/>
                <w:lang/>
              </w:rPr>
            </w:pPr>
            <w:r>
              <w:rPr>
                <w:sz w:val="21"/>
                <w:szCs w:val="21"/>
                <w:lang/>
              </w:rPr>
              <w:t>0.05L</w:t>
            </w:r>
          </w:p>
        </w:tc>
        <w:tc>
          <w:tcPr>
            <w:tcW w:w="1407" w:type="dxa"/>
            <w:vAlign w:val="center"/>
          </w:tcPr>
          <w:p w:rsidR="004B4777" w:rsidRDefault="004B4777">
            <w:pPr>
              <w:pStyle w:val="af"/>
              <w:spacing w:line="240" w:lineRule="auto"/>
              <w:rPr>
                <w:sz w:val="21"/>
                <w:szCs w:val="21"/>
                <w:lang/>
              </w:rPr>
            </w:pPr>
            <w:r>
              <w:rPr>
                <w:sz w:val="21"/>
                <w:szCs w:val="21"/>
                <w:lang/>
              </w:rPr>
              <w:t>3100</w:t>
            </w:r>
            <w:r>
              <w:rPr>
                <w:rFonts w:hint="eastAsia"/>
                <w:sz w:val="21"/>
                <w:szCs w:val="21"/>
                <w:lang/>
              </w:rPr>
              <w:t>~3400</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tabs>
                <w:tab w:val="center" w:pos="631"/>
              </w:tabs>
              <w:spacing w:line="240" w:lineRule="auto"/>
              <w:rPr>
                <w:sz w:val="21"/>
                <w:szCs w:val="21"/>
                <w:u w:val="single"/>
                <w:lang/>
              </w:rPr>
            </w:pPr>
            <w:r>
              <w:rPr>
                <w:sz w:val="21"/>
                <w:szCs w:val="21"/>
                <w:u w:val="single"/>
                <w:lang/>
              </w:rPr>
              <w:t>10</w:t>
            </w:r>
            <w:r>
              <w:rPr>
                <w:rFonts w:hint="eastAsia"/>
                <w:sz w:val="21"/>
                <w:szCs w:val="21"/>
                <w:u w:val="single"/>
                <w:lang/>
              </w:rPr>
              <w:t>~12</w:t>
            </w:r>
          </w:p>
        </w:tc>
        <w:tc>
          <w:tcPr>
            <w:tcW w:w="1407" w:type="dxa"/>
            <w:tcBorders>
              <w:left w:val="single" w:sz="6" w:space="0" w:color="auto"/>
            </w:tcBorders>
            <w:vAlign w:val="center"/>
          </w:tcPr>
          <w:p w:rsidR="004B4777" w:rsidRDefault="004B4777">
            <w:pPr>
              <w:pStyle w:val="af"/>
              <w:spacing w:line="240" w:lineRule="auto"/>
              <w:rPr>
                <w:sz w:val="21"/>
                <w:szCs w:val="21"/>
                <w:lang/>
              </w:rPr>
            </w:pPr>
            <w:r>
              <w:rPr>
                <w:sz w:val="21"/>
                <w:szCs w:val="21"/>
                <w:lang/>
              </w:rPr>
              <w:t>32.5</w:t>
            </w:r>
            <w:r>
              <w:rPr>
                <w:rFonts w:hint="eastAsia"/>
                <w:sz w:val="21"/>
                <w:szCs w:val="21"/>
                <w:lang/>
              </w:rPr>
              <w:t>~</w:t>
            </w:r>
            <w:r>
              <w:rPr>
                <w:sz w:val="21"/>
                <w:szCs w:val="21"/>
                <w:lang/>
              </w:rPr>
              <w:t>34.1</w:t>
            </w:r>
          </w:p>
        </w:tc>
        <w:tc>
          <w:tcPr>
            <w:tcW w:w="1551" w:type="dxa"/>
            <w:vAlign w:val="center"/>
          </w:tcPr>
          <w:p w:rsidR="004B4777" w:rsidRDefault="004B4777">
            <w:pPr>
              <w:pStyle w:val="af"/>
              <w:spacing w:line="240" w:lineRule="auto"/>
              <w:rPr>
                <w:sz w:val="21"/>
                <w:szCs w:val="21"/>
                <w:lang/>
              </w:rPr>
            </w:pPr>
            <w:r>
              <w:rPr>
                <w:sz w:val="21"/>
                <w:szCs w:val="21"/>
                <w:lang/>
              </w:rPr>
              <w:t>7.6</w:t>
            </w:r>
            <w:r>
              <w:rPr>
                <w:rFonts w:hint="eastAsia"/>
                <w:sz w:val="21"/>
                <w:szCs w:val="21"/>
                <w:lang/>
              </w:rPr>
              <w:t>~</w:t>
            </w:r>
            <w:r>
              <w:rPr>
                <w:sz w:val="21"/>
                <w:szCs w:val="21"/>
                <w:lang/>
              </w:rPr>
              <w:t>8.1</w:t>
            </w:r>
          </w:p>
        </w:tc>
        <w:tc>
          <w:tcPr>
            <w:tcW w:w="1073" w:type="dxa"/>
            <w:vAlign w:val="center"/>
          </w:tcPr>
          <w:p w:rsidR="004B4777" w:rsidRDefault="004B4777">
            <w:pPr>
              <w:pStyle w:val="af"/>
              <w:spacing w:line="240" w:lineRule="auto"/>
              <w:rPr>
                <w:sz w:val="21"/>
                <w:szCs w:val="21"/>
                <w:lang/>
              </w:rPr>
            </w:pPr>
            <w:r>
              <w:rPr>
                <w:sz w:val="21"/>
                <w:szCs w:val="21"/>
                <w:lang/>
              </w:rPr>
              <w:t>0.002L</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27" w:type="dxa"/>
            <w:vAlign w:val="center"/>
          </w:tcPr>
          <w:p w:rsidR="004B4777" w:rsidRDefault="004B4777">
            <w:pPr>
              <w:pStyle w:val="af"/>
              <w:spacing w:line="240" w:lineRule="auto"/>
              <w:rPr>
                <w:sz w:val="21"/>
                <w:szCs w:val="21"/>
                <w:lang/>
              </w:rPr>
            </w:pPr>
            <w:r>
              <w:rPr>
                <w:rFonts w:hint="eastAsia"/>
                <w:sz w:val="21"/>
                <w:szCs w:val="21"/>
                <w:lang/>
              </w:rPr>
              <w:t>/</w:t>
            </w:r>
          </w:p>
        </w:tc>
        <w:tc>
          <w:tcPr>
            <w:tcW w:w="1554" w:type="dxa"/>
            <w:vAlign w:val="center"/>
          </w:tcPr>
          <w:p w:rsidR="004B4777" w:rsidRDefault="004B4777">
            <w:pPr>
              <w:pStyle w:val="af"/>
              <w:spacing w:line="240" w:lineRule="auto"/>
              <w:rPr>
                <w:sz w:val="21"/>
                <w:szCs w:val="21"/>
                <w:lang/>
              </w:rPr>
            </w:pPr>
            <w:r>
              <w:rPr>
                <w:rFonts w:hint="eastAsia"/>
                <w:sz w:val="21"/>
                <w:szCs w:val="21"/>
                <w:lang/>
              </w:rPr>
              <w:t>/</w:t>
            </w:r>
          </w:p>
        </w:tc>
        <w:tc>
          <w:tcPr>
            <w:tcW w:w="1407" w:type="dxa"/>
            <w:vAlign w:val="center"/>
          </w:tcPr>
          <w:p w:rsidR="004B4777" w:rsidRDefault="004B4777">
            <w:pPr>
              <w:pStyle w:val="af"/>
              <w:spacing w:line="240" w:lineRule="auto"/>
              <w:rPr>
                <w:sz w:val="21"/>
                <w:szCs w:val="21"/>
                <w:lang/>
              </w:rPr>
            </w:pPr>
            <w:r>
              <w:rPr>
                <w:rFonts w:hint="eastAsia"/>
                <w:sz w:val="21"/>
                <w:szCs w:val="21"/>
                <w:lang/>
              </w:rPr>
              <w:t>3266.67</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11</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33.3</w:t>
            </w:r>
          </w:p>
        </w:tc>
        <w:tc>
          <w:tcPr>
            <w:tcW w:w="1551" w:type="dxa"/>
            <w:vAlign w:val="center"/>
          </w:tcPr>
          <w:p w:rsidR="004B4777" w:rsidRDefault="004B4777">
            <w:pPr>
              <w:pStyle w:val="af"/>
              <w:spacing w:line="240" w:lineRule="auto"/>
              <w:rPr>
                <w:sz w:val="21"/>
                <w:szCs w:val="21"/>
                <w:lang/>
              </w:rPr>
            </w:pPr>
            <w:r>
              <w:rPr>
                <w:rFonts w:hint="eastAsia"/>
                <w:sz w:val="21"/>
                <w:szCs w:val="21"/>
                <w:lang/>
              </w:rPr>
              <w:t>7.87</w:t>
            </w:r>
          </w:p>
        </w:tc>
        <w:tc>
          <w:tcPr>
            <w:tcW w:w="1073" w:type="dxa"/>
            <w:vAlign w:val="center"/>
          </w:tcPr>
          <w:p w:rsidR="004B4777" w:rsidRDefault="004B4777">
            <w:pPr>
              <w:pStyle w:val="af"/>
              <w:spacing w:line="240" w:lineRule="auto"/>
              <w:rPr>
                <w:sz w:val="21"/>
                <w:szCs w:val="21"/>
                <w:lang/>
              </w:rPr>
            </w:pPr>
            <w:r>
              <w:rPr>
                <w:rFonts w:hint="eastAsia"/>
                <w:sz w:val="21"/>
                <w:szCs w:val="21"/>
                <w:lang/>
              </w:rPr>
              <w:t>/</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restart"/>
            <w:vAlign w:val="center"/>
          </w:tcPr>
          <w:p w:rsidR="004B4777" w:rsidRDefault="004B4777">
            <w:pPr>
              <w:pStyle w:val="62"/>
              <w:adjustRightInd w:val="0"/>
              <w:snapToGrid w:val="0"/>
              <w:rPr>
                <w:rFonts w:eastAsia="宋体"/>
              </w:rPr>
            </w:pPr>
            <w:r>
              <w:rPr>
                <w:rFonts w:eastAsia="宋体" w:hint="eastAsia"/>
                <w:b w:val="0"/>
                <w:sz w:val="21"/>
                <w:szCs w:val="21"/>
              </w:rPr>
              <w:t>W9</w:t>
            </w:r>
            <w:r>
              <w:rPr>
                <w:rFonts w:eastAsia="宋体" w:hint="eastAsia"/>
                <w:b w:val="0"/>
                <w:sz w:val="21"/>
                <w:szCs w:val="21"/>
              </w:rPr>
              <w:t>湘江西支斗米咀采区上游</w:t>
            </w:r>
            <w:r>
              <w:rPr>
                <w:rFonts w:eastAsia="宋体" w:hint="eastAsia"/>
                <w:b w:val="0"/>
                <w:sz w:val="21"/>
                <w:szCs w:val="21"/>
              </w:rPr>
              <w:t>500m</w:t>
            </w: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27" w:type="dxa"/>
            <w:vAlign w:val="center"/>
          </w:tcPr>
          <w:p w:rsidR="004B4777" w:rsidRDefault="004B4777">
            <w:pPr>
              <w:pStyle w:val="af"/>
              <w:spacing w:line="240" w:lineRule="auto"/>
              <w:rPr>
                <w:sz w:val="21"/>
                <w:szCs w:val="21"/>
                <w:lang/>
              </w:rPr>
            </w:pPr>
            <w:r>
              <w:rPr>
                <w:sz w:val="21"/>
                <w:szCs w:val="21"/>
                <w:lang/>
              </w:rPr>
              <w:t>0.005L</w:t>
            </w:r>
          </w:p>
        </w:tc>
        <w:tc>
          <w:tcPr>
            <w:tcW w:w="1554" w:type="dxa"/>
            <w:vAlign w:val="center"/>
          </w:tcPr>
          <w:p w:rsidR="004B4777" w:rsidRDefault="004B4777">
            <w:pPr>
              <w:adjustRightInd w:val="0"/>
              <w:spacing w:line="240" w:lineRule="auto"/>
              <w:ind w:firstLine="420"/>
              <w:jc w:val="center"/>
              <w:rPr>
                <w:rFonts w:ascii="Times New Roman" w:hAnsi="Times New Roman"/>
                <w:kern w:val="0"/>
                <w:sz w:val="21"/>
                <w:szCs w:val="21"/>
                <w:lang/>
              </w:rPr>
            </w:pPr>
            <w:r>
              <w:rPr>
                <w:rFonts w:ascii="Times New Roman" w:hAnsi="Times New Roman"/>
                <w:kern w:val="0"/>
                <w:sz w:val="21"/>
                <w:szCs w:val="21"/>
                <w:lang/>
              </w:rPr>
              <w:t>0.05L</w:t>
            </w:r>
          </w:p>
        </w:tc>
        <w:tc>
          <w:tcPr>
            <w:tcW w:w="1407" w:type="dxa"/>
            <w:vAlign w:val="center"/>
          </w:tcPr>
          <w:p w:rsidR="004B4777" w:rsidRDefault="004B4777">
            <w:pPr>
              <w:pStyle w:val="af"/>
              <w:tabs>
                <w:tab w:val="left" w:pos="327"/>
                <w:tab w:val="center" w:pos="589"/>
              </w:tabs>
              <w:spacing w:line="240" w:lineRule="auto"/>
              <w:rPr>
                <w:sz w:val="21"/>
                <w:szCs w:val="21"/>
                <w:lang/>
              </w:rPr>
            </w:pPr>
            <w:r>
              <w:rPr>
                <w:sz w:val="21"/>
                <w:szCs w:val="21"/>
                <w:lang/>
              </w:rPr>
              <w:t>2700</w:t>
            </w:r>
            <w:r>
              <w:rPr>
                <w:rFonts w:hint="eastAsia"/>
                <w:sz w:val="21"/>
                <w:szCs w:val="21"/>
                <w:lang/>
              </w:rPr>
              <w:t>~</w:t>
            </w:r>
            <w:r>
              <w:rPr>
                <w:sz w:val="21"/>
                <w:szCs w:val="21"/>
                <w:lang/>
              </w:rPr>
              <w:t>2900</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tabs>
                <w:tab w:val="left" w:pos="419"/>
                <w:tab w:val="center" w:pos="631"/>
              </w:tabs>
              <w:spacing w:line="240" w:lineRule="auto"/>
              <w:rPr>
                <w:sz w:val="21"/>
                <w:szCs w:val="21"/>
                <w:u w:val="single"/>
                <w:lang/>
              </w:rPr>
            </w:pPr>
            <w:r>
              <w:rPr>
                <w:sz w:val="21"/>
                <w:szCs w:val="21"/>
                <w:u w:val="single"/>
                <w:lang/>
              </w:rPr>
              <w:t>8</w:t>
            </w:r>
            <w:r>
              <w:rPr>
                <w:rFonts w:hint="eastAsia"/>
                <w:sz w:val="21"/>
                <w:szCs w:val="21"/>
                <w:u w:val="single"/>
                <w:lang/>
              </w:rPr>
              <w:t>~9</w:t>
            </w:r>
          </w:p>
        </w:tc>
        <w:tc>
          <w:tcPr>
            <w:tcW w:w="1407" w:type="dxa"/>
            <w:tcBorders>
              <w:left w:val="single" w:sz="6" w:space="0" w:color="auto"/>
            </w:tcBorders>
            <w:vAlign w:val="center"/>
          </w:tcPr>
          <w:p w:rsidR="004B4777" w:rsidRDefault="004B4777">
            <w:pPr>
              <w:pStyle w:val="af"/>
              <w:tabs>
                <w:tab w:val="left" w:pos="325"/>
                <w:tab w:val="center" w:pos="601"/>
              </w:tabs>
              <w:spacing w:line="240" w:lineRule="auto"/>
              <w:rPr>
                <w:sz w:val="21"/>
                <w:szCs w:val="21"/>
                <w:lang/>
              </w:rPr>
            </w:pPr>
            <w:r>
              <w:rPr>
                <w:sz w:val="21"/>
                <w:szCs w:val="21"/>
                <w:lang/>
              </w:rPr>
              <w:t>17.4</w:t>
            </w:r>
            <w:r>
              <w:rPr>
                <w:rFonts w:hint="eastAsia"/>
                <w:sz w:val="21"/>
                <w:szCs w:val="21"/>
                <w:lang/>
              </w:rPr>
              <w:t>~</w:t>
            </w:r>
            <w:r>
              <w:rPr>
                <w:sz w:val="21"/>
                <w:szCs w:val="21"/>
                <w:lang/>
              </w:rPr>
              <w:t>18.8</w:t>
            </w:r>
          </w:p>
        </w:tc>
        <w:tc>
          <w:tcPr>
            <w:tcW w:w="1551" w:type="dxa"/>
            <w:vAlign w:val="center"/>
          </w:tcPr>
          <w:p w:rsidR="004B4777" w:rsidRDefault="004B4777">
            <w:pPr>
              <w:pStyle w:val="af"/>
              <w:spacing w:line="240" w:lineRule="auto"/>
              <w:rPr>
                <w:sz w:val="21"/>
                <w:szCs w:val="21"/>
                <w:lang/>
              </w:rPr>
            </w:pPr>
            <w:r>
              <w:rPr>
                <w:sz w:val="21"/>
                <w:szCs w:val="21"/>
                <w:lang/>
              </w:rPr>
              <w:t>2.4</w:t>
            </w:r>
            <w:r>
              <w:rPr>
                <w:rFonts w:hint="eastAsia"/>
                <w:sz w:val="21"/>
                <w:szCs w:val="21"/>
                <w:lang/>
              </w:rPr>
              <w:t>~</w:t>
            </w:r>
            <w:r>
              <w:rPr>
                <w:sz w:val="21"/>
                <w:szCs w:val="21"/>
                <w:lang/>
              </w:rPr>
              <w:t>3.1</w:t>
            </w:r>
          </w:p>
        </w:tc>
        <w:tc>
          <w:tcPr>
            <w:tcW w:w="1073" w:type="dxa"/>
            <w:vAlign w:val="center"/>
          </w:tcPr>
          <w:p w:rsidR="004B4777" w:rsidRDefault="004B4777">
            <w:pPr>
              <w:adjustRightInd w:val="0"/>
              <w:spacing w:line="240" w:lineRule="auto"/>
              <w:ind w:firstLine="420"/>
              <w:jc w:val="center"/>
              <w:rPr>
                <w:rFonts w:ascii="Times New Roman" w:hAnsi="Times New Roman"/>
                <w:kern w:val="0"/>
                <w:sz w:val="21"/>
                <w:szCs w:val="21"/>
                <w:lang/>
              </w:rPr>
            </w:pPr>
            <w:r>
              <w:rPr>
                <w:rFonts w:ascii="Times New Roman" w:hAnsi="Times New Roman"/>
                <w:kern w:val="0"/>
                <w:sz w:val="21"/>
                <w:szCs w:val="21"/>
                <w:lang/>
              </w:rPr>
              <w:t>0.002L</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27" w:type="dxa"/>
            <w:vAlign w:val="center"/>
          </w:tcPr>
          <w:p w:rsidR="004B4777" w:rsidRDefault="004B4777">
            <w:pPr>
              <w:pStyle w:val="af"/>
              <w:spacing w:line="240" w:lineRule="auto"/>
              <w:rPr>
                <w:sz w:val="21"/>
                <w:szCs w:val="21"/>
                <w:lang/>
              </w:rPr>
            </w:pPr>
            <w:r>
              <w:rPr>
                <w:rFonts w:hint="eastAsia"/>
                <w:sz w:val="21"/>
                <w:szCs w:val="21"/>
                <w:lang/>
              </w:rPr>
              <w:t>/</w:t>
            </w:r>
          </w:p>
        </w:tc>
        <w:tc>
          <w:tcPr>
            <w:tcW w:w="1554" w:type="dxa"/>
            <w:vAlign w:val="center"/>
          </w:tcPr>
          <w:p w:rsidR="004B4777" w:rsidRDefault="004B4777">
            <w:pPr>
              <w:adjustRightInd w:val="0"/>
              <w:spacing w:line="240" w:lineRule="auto"/>
              <w:ind w:firstLine="420"/>
              <w:jc w:val="center"/>
              <w:rPr>
                <w:rFonts w:ascii="Times New Roman" w:hAnsi="Times New Roman"/>
                <w:kern w:val="0"/>
                <w:sz w:val="21"/>
                <w:szCs w:val="21"/>
                <w:lang/>
              </w:rPr>
            </w:pPr>
            <w:r>
              <w:rPr>
                <w:rFonts w:ascii="Times New Roman" w:hAnsi="Times New Roman" w:hint="eastAsia"/>
                <w:kern w:val="0"/>
                <w:sz w:val="21"/>
                <w:szCs w:val="21"/>
                <w:lang/>
              </w:rPr>
              <w:t>/</w:t>
            </w:r>
          </w:p>
        </w:tc>
        <w:tc>
          <w:tcPr>
            <w:tcW w:w="1407" w:type="dxa"/>
            <w:vAlign w:val="center"/>
          </w:tcPr>
          <w:p w:rsidR="004B4777" w:rsidRDefault="004B4777">
            <w:pPr>
              <w:pStyle w:val="af"/>
              <w:spacing w:line="240" w:lineRule="auto"/>
              <w:rPr>
                <w:sz w:val="21"/>
                <w:szCs w:val="21"/>
                <w:lang/>
              </w:rPr>
            </w:pPr>
            <w:r>
              <w:rPr>
                <w:rFonts w:hint="eastAsia"/>
                <w:sz w:val="21"/>
                <w:szCs w:val="21"/>
                <w:lang/>
              </w:rPr>
              <w:t>2833.33</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8.33</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18.27</w:t>
            </w:r>
          </w:p>
        </w:tc>
        <w:tc>
          <w:tcPr>
            <w:tcW w:w="1551" w:type="dxa"/>
            <w:vAlign w:val="center"/>
          </w:tcPr>
          <w:p w:rsidR="004B4777" w:rsidRDefault="004B4777">
            <w:pPr>
              <w:pStyle w:val="af"/>
              <w:spacing w:line="240" w:lineRule="auto"/>
              <w:rPr>
                <w:sz w:val="21"/>
                <w:szCs w:val="21"/>
                <w:lang/>
              </w:rPr>
            </w:pPr>
            <w:r>
              <w:rPr>
                <w:rFonts w:hint="eastAsia"/>
                <w:sz w:val="21"/>
                <w:szCs w:val="21"/>
                <w:lang/>
              </w:rPr>
              <w:t>2.77</w:t>
            </w:r>
          </w:p>
        </w:tc>
        <w:tc>
          <w:tcPr>
            <w:tcW w:w="1073" w:type="dxa"/>
            <w:vAlign w:val="center"/>
          </w:tcPr>
          <w:p w:rsidR="004B4777" w:rsidRDefault="004B4777">
            <w:pPr>
              <w:adjustRightInd w:val="0"/>
              <w:spacing w:line="240" w:lineRule="auto"/>
              <w:ind w:firstLine="420"/>
              <w:jc w:val="center"/>
              <w:rPr>
                <w:rFonts w:ascii="Times New Roman" w:hAnsi="Times New Roman"/>
                <w:kern w:val="0"/>
                <w:sz w:val="21"/>
                <w:szCs w:val="21"/>
                <w:lang/>
              </w:rPr>
            </w:pPr>
            <w:r>
              <w:rPr>
                <w:rFonts w:ascii="Times New Roman" w:hAnsi="Times New Roman" w:hint="eastAsia"/>
                <w:kern w:val="0"/>
                <w:sz w:val="21"/>
                <w:szCs w:val="21"/>
                <w:lang/>
              </w:rPr>
              <w:t>/</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restart"/>
            <w:vAlign w:val="center"/>
          </w:tcPr>
          <w:p w:rsidR="004B4777" w:rsidRDefault="004B4777">
            <w:pPr>
              <w:pStyle w:val="62"/>
              <w:adjustRightInd w:val="0"/>
              <w:snapToGrid w:val="0"/>
              <w:rPr>
                <w:rFonts w:eastAsia="宋体"/>
              </w:rPr>
            </w:pPr>
            <w:r>
              <w:rPr>
                <w:rFonts w:eastAsia="宋体" w:hint="eastAsia"/>
                <w:b w:val="0"/>
                <w:sz w:val="21"/>
                <w:szCs w:val="21"/>
              </w:rPr>
              <w:t>W10</w:t>
            </w:r>
            <w:r>
              <w:rPr>
                <w:rFonts w:eastAsia="宋体" w:hint="eastAsia"/>
                <w:b w:val="0"/>
                <w:sz w:val="21"/>
                <w:szCs w:val="21"/>
              </w:rPr>
              <w:t>湘江斗米咀采区下游</w:t>
            </w:r>
            <w:r>
              <w:rPr>
                <w:rFonts w:eastAsia="宋体" w:hint="eastAsia"/>
                <w:b w:val="0"/>
                <w:sz w:val="21"/>
                <w:szCs w:val="21"/>
              </w:rPr>
              <w:t>500m</w:t>
            </w: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127" w:type="dxa"/>
            <w:vAlign w:val="center"/>
          </w:tcPr>
          <w:p w:rsidR="004B4777" w:rsidRDefault="004B4777">
            <w:pPr>
              <w:pStyle w:val="af"/>
              <w:spacing w:line="240" w:lineRule="auto"/>
              <w:rPr>
                <w:sz w:val="21"/>
                <w:szCs w:val="21"/>
                <w:lang/>
              </w:rPr>
            </w:pPr>
            <w:r>
              <w:rPr>
                <w:sz w:val="21"/>
                <w:szCs w:val="21"/>
                <w:lang/>
              </w:rPr>
              <w:t>0.005L</w:t>
            </w:r>
          </w:p>
        </w:tc>
        <w:tc>
          <w:tcPr>
            <w:tcW w:w="1554" w:type="dxa"/>
            <w:vAlign w:val="center"/>
          </w:tcPr>
          <w:p w:rsidR="004B4777" w:rsidRDefault="004B4777">
            <w:pPr>
              <w:pStyle w:val="af"/>
              <w:spacing w:line="240" w:lineRule="auto"/>
              <w:rPr>
                <w:sz w:val="21"/>
                <w:szCs w:val="21"/>
                <w:lang/>
              </w:rPr>
            </w:pPr>
            <w:r>
              <w:rPr>
                <w:sz w:val="21"/>
                <w:szCs w:val="21"/>
                <w:lang/>
              </w:rPr>
              <w:t>0.05L</w:t>
            </w:r>
          </w:p>
        </w:tc>
        <w:tc>
          <w:tcPr>
            <w:tcW w:w="1407" w:type="dxa"/>
            <w:vAlign w:val="center"/>
          </w:tcPr>
          <w:p w:rsidR="004B4777" w:rsidRDefault="004B4777">
            <w:pPr>
              <w:pStyle w:val="af"/>
              <w:spacing w:line="240" w:lineRule="auto"/>
              <w:rPr>
                <w:sz w:val="21"/>
                <w:szCs w:val="21"/>
                <w:lang/>
              </w:rPr>
            </w:pPr>
            <w:r>
              <w:rPr>
                <w:sz w:val="21"/>
                <w:szCs w:val="21"/>
                <w:lang/>
              </w:rPr>
              <w:t>3700</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9~10</w:t>
            </w:r>
          </w:p>
        </w:tc>
        <w:tc>
          <w:tcPr>
            <w:tcW w:w="1407" w:type="dxa"/>
            <w:tcBorders>
              <w:left w:val="single" w:sz="6" w:space="0" w:color="auto"/>
            </w:tcBorders>
            <w:vAlign w:val="center"/>
          </w:tcPr>
          <w:p w:rsidR="004B4777" w:rsidRDefault="004B4777">
            <w:pPr>
              <w:pStyle w:val="af"/>
              <w:spacing w:line="240" w:lineRule="auto"/>
              <w:rPr>
                <w:sz w:val="21"/>
                <w:szCs w:val="21"/>
                <w:lang/>
              </w:rPr>
            </w:pPr>
            <w:r>
              <w:rPr>
                <w:sz w:val="21"/>
                <w:szCs w:val="21"/>
                <w:lang/>
              </w:rPr>
              <w:t>19.6</w:t>
            </w:r>
            <w:r>
              <w:rPr>
                <w:rFonts w:hint="eastAsia"/>
                <w:sz w:val="21"/>
                <w:szCs w:val="21"/>
                <w:lang/>
              </w:rPr>
              <w:t>~</w:t>
            </w:r>
            <w:r>
              <w:rPr>
                <w:sz w:val="21"/>
                <w:szCs w:val="21"/>
                <w:lang/>
              </w:rPr>
              <w:t>21.1</w:t>
            </w:r>
          </w:p>
        </w:tc>
        <w:tc>
          <w:tcPr>
            <w:tcW w:w="1551" w:type="dxa"/>
            <w:vAlign w:val="center"/>
          </w:tcPr>
          <w:p w:rsidR="004B4777" w:rsidRDefault="004B4777">
            <w:pPr>
              <w:pStyle w:val="af"/>
              <w:spacing w:line="240" w:lineRule="auto"/>
              <w:rPr>
                <w:sz w:val="21"/>
                <w:szCs w:val="21"/>
                <w:lang/>
              </w:rPr>
            </w:pPr>
            <w:r>
              <w:rPr>
                <w:sz w:val="21"/>
                <w:szCs w:val="21"/>
                <w:lang/>
              </w:rPr>
              <w:t>2.9</w:t>
            </w:r>
            <w:r>
              <w:rPr>
                <w:rFonts w:hint="eastAsia"/>
                <w:sz w:val="21"/>
                <w:szCs w:val="21"/>
                <w:lang/>
              </w:rPr>
              <w:t>~</w:t>
            </w:r>
            <w:r>
              <w:rPr>
                <w:sz w:val="21"/>
                <w:szCs w:val="21"/>
                <w:lang/>
              </w:rPr>
              <w:t>3.5</w:t>
            </w:r>
          </w:p>
        </w:tc>
        <w:tc>
          <w:tcPr>
            <w:tcW w:w="1073" w:type="dxa"/>
            <w:vAlign w:val="center"/>
          </w:tcPr>
          <w:p w:rsidR="004B4777" w:rsidRDefault="004B4777">
            <w:pPr>
              <w:pStyle w:val="af"/>
              <w:spacing w:line="240" w:lineRule="auto"/>
              <w:rPr>
                <w:sz w:val="21"/>
                <w:szCs w:val="21"/>
                <w:lang/>
              </w:rPr>
            </w:pPr>
            <w:r>
              <w:rPr>
                <w:sz w:val="21"/>
                <w:szCs w:val="21"/>
                <w:lang/>
              </w:rPr>
              <w:t>0.002L</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127" w:type="dxa"/>
            <w:vAlign w:val="center"/>
          </w:tcPr>
          <w:p w:rsidR="004B4777" w:rsidRDefault="004B4777">
            <w:pPr>
              <w:pStyle w:val="af"/>
              <w:spacing w:line="240" w:lineRule="auto"/>
              <w:rPr>
                <w:sz w:val="21"/>
                <w:szCs w:val="21"/>
                <w:lang/>
              </w:rPr>
            </w:pPr>
            <w:r>
              <w:rPr>
                <w:rFonts w:hint="eastAsia"/>
                <w:sz w:val="21"/>
                <w:szCs w:val="21"/>
                <w:lang/>
              </w:rPr>
              <w:t>/</w:t>
            </w:r>
          </w:p>
        </w:tc>
        <w:tc>
          <w:tcPr>
            <w:tcW w:w="1554" w:type="dxa"/>
            <w:vAlign w:val="center"/>
          </w:tcPr>
          <w:p w:rsidR="004B4777" w:rsidRDefault="004B4777">
            <w:pPr>
              <w:pStyle w:val="af"/>
              <w:spacing w:line="240" w:lineRule="auto"/>
              <w:rPr>
                <w:sz w:val="21"/>
                <w:szCs w:val="21"/>
                <w:lang/>
              </w:rPr>
            </w:pPr>
            <w:r>
              <w:rPr>
                <w:rFonts w:hint="eastAsia"/>
                <w:sz w:val="21"/>
                <w:szCs w:val="21"/>
                <w:lang/>
              </w:rPr>
              <w:t>/</w:t>
            </w:r>
          </w:p>
        </w:tc>
        <w:tc>
          <w:tcPr>
            <w:tcW w:w="1407" w:type="dxa"/>
            <w:vAlign w:val="center"/>
          </w:tcPr>
          <w:p w:rsidR="004B4777" w:rsidRDefault="004B4777">
            <w:pPr>
              <w:pStyle w:val="af"/>
              <w:spacing w:line="240" w:lineRule="auto"/>
              <w:rPr>
                <w:sz w:val="21"/>
                <w:szCs w:val="21"/>
                <w:lang/>
              </w:rPr>
            </w:pPr>
            <w:r>
              <w:rPr>
                <w:sz w:val="21"/>
                <w:szCs w:val="21"/>
                <w:lang/>
              </w:rPr>
              <w:t>3700</w:t>
            </w:r>
          </w:p>
        </w:tc>
        <w:tc>
          <w:tcPr>
            <w:tcW w:w="1373" w:type="dxa"/>
            <w:vAlign w:val="center"/>
          </w:tcPr>
          <w:p w:rsidR="004B4777" w:rsidRDefault="004B4777">
            <w:pPr>
              <w:pStyle w:val="af"/>
              <w:spacing w:line="240" w:lineRule="auto"/>
              <w:rPr>
                <w:sz w:val="21"/>
                <w:szCs w:val="21"/>
                <w:u w:val="single"/>
                <w:lang/>
              </w:rPr>
            </w:pPr>
            <w:r>
              <w:rPr>
                <w:sz w:val="21"/>
                <w:szCs w:val="21"/>
                <w:u w:val="single"/>
                <w:lang/>
              </w:rPr>
              <w:t>0.02L</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9.33</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20.37</w:t>
            </w:r>
          </w:p>
        </w:tc>
        <w:tc>
          <w:tcPr>
            <w:tcW w:w="1551" w:type="dxa"/>
            <w:vAlign w:val="center"/>
          </w:tcPr>
          <w:p w:rsidR="004B4777" w:rsidRDefault="004B4777">
            <w:pPr>
              <w:pStyle w:val="af"/>
              <w:spacing w:line="240" w:lineRule="auto"/>
              <w:rPr>
                <w:sz w:val="21"/>
                <w:szCs w:val="21"/>
                <w:lang/>
              </w:rPr>
            </w:pPr>
            <w:r>
              <w:rPr>
                <w:rFonts w:hint="eastAsia"/>
                <w:sz w:val="21"/>
                <w:szCs w:val="21"/>
                <w:lang/>
              </w:rPr>
              <w:t>2.23</w:t>
            </w:r>
          </w:p>
        </w:tc>
        <w:tc>
          <w:tcPr>
            <w:tcW w:w="1073" w:type="dxa"/>
            <w:vAlign w:val="center"/>
          </w:tcPr>
          <w:p w:rsidR="004B4777" w:rsidRDefault="004B4777">
            <w:pPr>
              <w:pStyle w:val="af"/>
              <w:spacing w:line="240" w:lineRule="auto"/>
              <w:rPr>
                <w:sz w:val="21"/>
                <w:szCs w:val="21"/>
                <w:lang/>
              </w:rPr>
            </w:pPr>
            <w:r>
              <w:rPr>
                <w:rFonts w:hint="eastAsia"/>
                <w:sz w:val="21"/>
                <w:szCs w:val="21"/>
                <w:lang/>
              </w:rPr>
              <w:t>/</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1940" w:type="dxa"/>
            <w:vMerge/>
            <w:vAlign w:val="center"/>
          </w:tcPr>
          <w:p w:rsidR="004B4777" w:rsidRDefault="004B4777">
            <w:pPr>
              <w:pStyle w:val="62"/>
              <w:adjustRightInd w:val="0"/>
              <w:snapToGrid w:val="0"/>
              <w:rPr>
                <w:rFonts w:eastAsia="宋体"/>
              </w:rPr>
            </w:pPr>
          </w:p>
        </w:tc>
        <w:tc>
          <w:tcPr>
            <w:tcW w:w="1547"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127" w:type="dxa"/>
            <w:vAlign w:val="center"/>
          </w:tcPr>
          <w:p w:rsidR="004B4777" w:rsidRDefault="004B4777">
            <w:pPr>
              <w:pStyle w:val="af"/>
              <w:spacing w:line="240" w:lineRule="auto"/>
              <w:rPr>
                <w:sz w:val="21"/>
                <w:szCs w:val="21"/>
                <w:lang/>
              </w:rPr>
            </w:pPr>
            <w:r>
              <w:rPr>
                <w:rFonts w:hint="eastAsia"/>
                <w:sz w:val="21"/>
                <w:szCs w:val="21"/>
                <w:lang/>
              </w:rPr>
              <w:t>0</w:t>
            </w:r>
          </w:p>
        </w:tc>
        <w:tc>
          <w:tcPr>
            <w:tcW w:w="1554" w:type="dxa"/>
            <w:vAlign w:val="center"/>
          </w:tcPr>
          <w:p w:rsidR="004B4777" w:rsidRDefault="004B4777">
            <w:pPr>
              <w:pStyle w:val="af"/>
              <w:spacing w:line="240" w:lineRule="auto"/>
              <w:rPr>
                <w:sz w:val="21"/>
                <w:szCs w:val="21"/>
                <w:lang/>
              </w:rPr>
            </w:pPr>
            <w:r>
              <w:rPr>
                <w:rFonts w:hint="eastAsia"/>
                <w:sz w:val="21"/>
                <w:szCs w:val="21"/>
                <w:lang/>
              </w:rPr>
              <w:t>0</w:t>
            </w:r>
          </w:p>
        </w:tc>
        <w:tc>
          <w:tcPr>
            <w:tcW w:w="1407" w:type="dxa"/>
            <w:vAlign w:val="center"/>
          </w:tcPr>
          <w:p w:rsidR="004B4777" w:rsidRDefault="004B4777">
            <w:pPr>
              <w:pStyle w:val="af"/>
              <w:spacing w:line="240" w:lineRule="auto"/>
              <w:rPr>
                <w:sz w:val="21"/>
                <w:szCs w:val="21"/>
                <w:lang/>
              </w:rPr>
            </w:pPr>
            <w:r>
              <w:rPr>
                <w:rFonts w:hint="eastAsia"/>
                <w:sz w:val="21"/>
                <w:szCs w:val="21"/>
                <w:lang/>
              </w:rPr>
              <w:t>0</w:t>
            </w:r>
          </w:p>
        </w:tc>
        <w:tc>
          <w:tcPr>
            <w:tcW w:w="1373" w:type="dxa"/>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sz w:val="21"/>
                <w:szCs w:val="21"/>
                <w:u w:val="single"/>
                <w:lang/>
              </w:rPr>
              <w:t>0</w:t>
            </w:r>
          </w:p>
        </w:tc>
        <w:tc>
          <w:tcPr>
            <w:tcW w:w="1407" w:type="dxa"/>
            <w:tcBorders>
              <w:left w:val="single" w:sz="6" w:space="0" w:color="auto"/>
            </w:tcBorders>
            <w:vAlign w:val="center"/>
          </w:tcPr>
          <w:p w:rsidR="004B4777" w:rsidRDefault="004B4777">
            <w:pPr>
              <w:pStyle w:val="af"/>
              <w:spacing w:line="240" w:lineRule="auto"/>
              <w:rPr>
                <w:sz w:val="21"/>
                <w:szCs w:val="21"/>
                <w:lang/>
              </w:rPr>
            </w:pPr>
            <w:r>
              <w:rPr>
                <w:rFonts w:hint="eastAsia"/>
                <w:sz w:val="21"/>
                <w:szCs w:val="21"/>
                <w:lang/>
              </w:rPr>
              <w:t>0</w:t>
            </w:r>
          </w:p>
        </w:tc>
        <w:tc>
          <w:tcPr>
            <w:tcW w:w="1551" w:type="dxa"/>
            <w:vAlign w:val="center"/>
          </w:tcPr>
          <w:p w:rsidR="004B4777" w:rsidRDefault="004B4777">
            <w:pPr>
              <w:pStyle w:val="af"/>
              <w:spacing w:line="240" w:lineRule="auto"/>
              <w:rPr>
                <w:sz w:val="21"/>
                <w:szCs w:val="21"/>
                <w:lang/>
              </w:rPr>
            </w:pPr>
            <w:r>
              <w:rPr>
                <w:rFonts w:hint="eastAsia"/>
                <w:sz w:val="21"/>
                <w:szCs w:val="21"/>
                <w:lang/>
              </w:rPr>
              <w:t>0</w:t>
            </w:r>
          </w:p>
        </w:tc>
        <w:tc>
          <w:tcPr>
            <w:tcW w:w="1073" w:type="dxa"/>
            <w:vAlign w:val="center"/>
          </w:tcPr>
          <w:p w:rsidR="004B4777" w:rsidRDefault="004B4777">
            <w:pPr>
              <w:pStyle w:val="af"/>
              <w:spacing w:line="240" w:lineRule="auto"/>
              <w:rPr>
                <w:sz w:val="21"/>
                <w:szCs w:val="21"/>
                <w:lang/>
              </w:rPr>
            </w:pPr>
            <w:r>
              <w:rPr>
                <w:rFonts w:hint="eastAsia"/>
                <w:sz w:val="21"/>
                <w:szCs w:val="21"/>
                <w:lang/>
              </w:rPr>
              <w:t>0</w:t>
            </w:r>
          </w:p>
        </w:tc>
      </w:tr>
      <w:tr w:rsidR="004B4777">
        <w:trPr>
          <w:jc w:val="center"/>
        </w:trPr>
        <w:tc>
          <w:tcPr>
            <w:tcW w:w="3487" w:type="dxa"/>
            <w:gridSpan w:val="2"/>
            <w:vAlign w:val="center"/>
          </w:tcPr>
          <w:p w:rsidR="004B4777" w:rsidRDefault="004B4777">
            <w:pPr>
              <w:pStyle w:val="62"/>
              <w:adjustRightInd w:val="0"/>
              <w:snapToGrid w:val="0"/>
              <w:rPr>
                <w:rFonts w:eastAsia="宋体"/>
                <w:b w:val="0"/>
                <w:sz w:val="21"/>
                <w:szCs w:val="21"/>
              </w:rPr>
            </w:pPr>
            <w:r>
              <w:rPr>
                <w:rFonts w:eastAsia="宋体" w:hint="eastAsia"/>
                <w:b w:val="0"/>
                <w:sz w:val="21"/>
                <w:szCs w:val="21"/>
              </w:rPr>
              <w:t>GB3838-2002</w:t>
            </w:r>
            <w:r>
              <w:rPr>
                <w:rFonts w:eastAsia="宋体" w:hint="eastAsia"/>
                <w:b w:val="0"/>
                <w:sz w:val="21"/>
                <w:szCs w:val="21"/>
              </w:rPr>
              <w:t>中Ⅲ类</w:t>
            </w:r>
          </w:p>
        </w:tc>
        <w:tc>
          <w:tcPr>
            <w:tcW w:w="1127" w:type="dxa"/>
            <w:vAlign w:val="center"/>
          </w:tcPr>
          <w:p w:rsidR="004B4777" w:rsidRDefault="004B4777">
            <w:pPr>
              <w:pStyle w:val="affff8"/>
              <w:rPr>
                <w:rFonts w:eastAsia="宋体"/>
                <w:bCs/>
                <w:snapToGrid/>
              </w:rPr>
            </w:pPr>
            <w:r>
              <w:rPr>
                <w:rFonts w:eastAsia="宋体"/>
                <w:color w:val="393939"/>
                <w:shd w:val="clear" w:color="auto" w:fill="FFFFFF"/>
              </w:rPr>
              <w:t>≤</w:t>
            </w:r>
            <w:r>
              <w:rPr>
                <w:rFonts w:eastAsia="宋体" w:hint="eastAsia"/>
                <w:color w:val="393939"/>
                <w:shd w:val="clear" w:color="auto" w:fill="FFFFFF"/>
              </w:rPr>
              <w:t>0.2</w:t>
            </w:r>
          </w:p>
        </w:tc>
        <w:tc>
          <w:tcPr>
            <w:tcW w:w="1554" w:type="dxa"/>
            <w:vAlign w:val="center"/>
          </w:tcPr>
          <w:p w:rsidR="004B4777" w:rsidRDefault="004B4777">
            <w:pPr>
              <w:pStyle w:val="affff8"/>
              <w:rPr>
                <w:rFonts w:eastAsia="宋体"/>
                <w:bCs/>
                <w:snapToGrid/>
              </w:rPr>
            </w:pPr>
            <w:r>
              <w:rPr>
                <w:rFonts w:eastAsia="宋体"/>
                <w:color w:val="393939"/>
                <w:shd w:val="clear" w:color="auto" w:fill="FFFFFF"/>
              </w:rPr>
              <w:t>≤</w:t>
            </w:r>
            <w:r>
              <w:rPr>
                <w:rFonts w:eastAsia="宋体" w:hint="eastAsia"/>
                <w:color w:val="393939"/>
                <w:shd w:val="clear" w:color="auto" w:fill="FFFFFF"/>
              </w:rPr>
              <w:t>0.2</w:t>
            </w:r>
          </w:p>
        </w:tc>
        <w:tc>
          <w:tcPr>
            <w:tcW w:w="1407" w:type="dxa"/>
            <w:vAlign w:val="center"/>
          </w:tcPr>
          <w:p w:rsidR="004B4777" w:rsidRDefault="004B4777">
            <w:pPr>
              <w:pStyle w:val="affff8"/>
              <w:rPr>
                <w:rFonts w:eastAsia="宋体"/>
                <w:bCs/>
                <w:snapToGrid/>
              </w:rPr>
            </w:pPr>
            <w:r>
              <w:rPr>
                <w:rFonts w:eastAsia="宋体"/>
                <w:color w:val="393939"/>
                <w:shd w:val="clear" w:color="auto" w:fill="FFFFFF"/>
              </w:rPr>
              <w:t>≤</w:t>
            </w:r>
            <w:r>
              <w:rPr>
                <w:rFonts w:eastAsia="宋体" w:hint="eastAsia"/>
                <w:color w:val="393939"/>
                <w:shd w:val="clear" w:color="auto" w:fill="FFFFFF"/>
              </w:rPr>
              <w:t>10000</w:t>
            </w:r>
          </w:p>
        </w:tc>
        <w:tc>
          <w:tcPr>
            <w:tcW w:w="1373" w:type="dxa"/>
            <w:tcBorders>
              <w:right w:val="single" w:sz="6" w:space="0" w:color="auto"/>
            </w:tcBorders>
            <w:vAlign w:val="center"/>
          </w:tcPr>
          <w:p w:rsidR="004B4777" w:rsidRDefault="004B4777">
            <w:pPr>
              <w:pStyle w:val="affff8"/>
              <w:rPr>
                <w:rFonts w:eastAsia="宋体"/>
                <w:bCs/>
                <w:snapToGrid/>
                <w:u w:val="single"/>
              </w:rPr>
            </w:pPr>
            <w:r>
              <w:rPr>
                <w:u w:val="single"/>
                <w:lang/>
              </w:rPr>
              <w:t>≤</w:t>
            </w:r>
            <w:r>
              <w:rPr>
                <w:rFonts w:hint="eastAsia"/>
                <w:u w:val="single"/>
                <w:lang/>
              </w:rPr>
              <w:t>1.0</w:t>
            </w:r>
          </w:p>
        </w:tc>
        <w:tc>
          <w:tcPr>
            <w:tcW w:w="1144" w:type="dxa"/>
            <w:tcBorders>
              <w:right w:val="single" w:sz="6" w:space="0" w:color="auto"/>
            </w:tcBorders>
            <w:vAlign w:val="center"/>
          </w:tcPr>
          <w:p w:rsidR="004B4777" w:rsidRDefault="004B4777">
            <w:pPr>
              <w:pStyle w:val="af"/>
              <w:spacing w:line="240" w:lineRule="auto"/>
              <w:rPr>
                <w:sz w:val="21"/>
                <w:szCs w:val="21"/>
                <w:u w:val="single"/>
                <w:lang/>
              </w:rPr>
            </w:pPr>
            <w:r>
              <w:rPr>
                <w:rFonts w:hint="eastAsia"/>
                <w:bCs/>
                <w:u w:val="single"/>
              </w:rPr>
              <w:t>-</w:t>
            </w:r>
          </w:p>
        </w:tc>
        <w:tc>
          <w:tcPr>
            <w:tcW w:w="1407" w:type="dxa"/>
            <w:tcBorders>
              <w:left w:val="single" w:sz="6" w:space="0" w:color="auto"/>
            </w:tcBorders>
            <w:vAlign w:val="center"/>
          </w:tcPr>
          <w:p w:rsidR="004B4777" w:rsidRDefault="004B4777">
            <w:pPr>
              <w:pStyle w:val="affff8"/>
              <w:rPr>
                <w:rFonts w:eastAsia="宋体"/>
                <w:bCs/>
                <w:snapToGrid/>
              </w:rPr>
            </w:pPr>
            <w:r>
              <w:rPr>
                <w:rFonts w:eastAsia="宋体"/>
                <w:color w:val="393939"/>
                <w:shd w:val="clear" w:color="auto" w:fill="FFFFFF"/>
              </w:rPr>
              <w:t>≤</w:t>
            </w:r>
            <w:r>
              <w:rPr>
                <w:rFonts w:eastAsia="宋体" w:hint="eastAsia"/>
                <w:color w:val="393939"/>
                <w:shd w:val="clear" w:color="auto" w:fill="FFFFFF"/>
              </w:rPr>
              <w:t>250</w:t>
            </w:r>
          </w:p>
        </w:tc>
        <w:tc>
          <w:tcPr>
            <w:tcW w:w="1551" w:type="dxa"/>
            <w:vAlign w:val="center"/>
          </w:tcPr>
          <w:p w:rsidR="004B4777" w:rsidRDefault="004B4777">
            <w:pPr>
              <w:pStyle w:val="affff8"/>
              <w:rPr>
                <w:rFonts w:eastAsia="宋体"/>
                <w:bCs/>
                <w:snapToGrid/>
              </w:rPr>
            </w:pPr>
            <w:r>
              <w:rPr>
                <w:rFonts w:eastAsia="宋体"/>
                <w:color w:val="393939"/>
                <w:shd w:val="clear" w:color="auto" w:fill="FFFFFF"/>
              </w:rPr>
              <w:t>≤</w:t>
            </w:r>
            <w:r>
              <w:rPr>
                <w:rFonts w:eastAsia="宋体" w:hint="eastAsia"/>
                <w:color w:val="393939"/>
                <w:shd w:val="clear" w:color="auto" w:fill="FFFFFF"/>
              </w:rPr>
              <w:t>10</w:t>
            </w:r>
          </w:p>
        </w:tc>
        <w:tc>
          <w:tcPr>
            <w:tcW w:w="1073" w:type="dxa"/>
            <w:vAlign w:val="center"/>
          </w:tcPr>
          <w:p w:rsidR="004B4777" w:rsidRDefault="004B4777">
            <w:pPr>
              <w:pStyle w:val="affff8"/>
              <w:rPr>
                <w:rFonts w:eastAsia="宋体"/>
                <w:bCs/>
                <w:snapToGrid/>
              </w:rPr>
            </w:pPr>
            <w:r>
              <w:rPr>
                <w:rFonts w:eastAsia="宋体"/>
                <w:color w:val="393939"/>
                <w:shd w:val="clear" w:color="auto" w:fill="FFFFFF"/>
              </w:rPr>
              <w:t>≤</w:t>
            </w:r>
            <w:r>
              <w:rPr>
                <w:rFonts w:eastAsia="宋体" w:hint="eastAsia"/>
                <w:color w:val="393939"/>
                <w:shd w:val="clear" w:color="auto" w:fill="FFFFFF"/>
              </w:rPr>
              <w:t>0.02</w:t>
            </w:r>
          </w:p>
        </w:tc>
      </w:tr>
    </w:tbl>
    <w:p w:rsidR="004B4777" w:rsidRDefault="004B4777">
      <w:pPr>
        <w:ind w:firstLine="480"/>
        <w:rPr>
          <w:rFonts w:ascii="Times New Roman" w:hAnsi="Times New Roman"/>
        </w:rPr>
        <w:sectPr w:rsidR="004B4777">
          <w:pgSz w:w="16838" w:h="11906" w:orient="landscape"/>
          <w:pgMar w:top="1803" w:right="1440" w:bottom="1803" w:left="1440" w:header="851" w:footer="992" w:gutter="0"/>
          <w:cols w:space="720"/>
          <w:docGrid w:type="lines" w:linePitch="332"/>
        </w:sectPr>
      </w:pPr>
    </w:p>
    <w:p w:rsidR="004B4777" w:rsidRDefault="004B4777">
      <w:pPr>
        <w:pStyle w:val="4"/>
        <w:spacing w:before="0" w:after="0"/>
        <w:rPr>
          <w:rFonts w:ascii="Times New Roman" w:eastAsia="宋体" w:hAnsi="Times New Roman" w:hint="eastAsia"/>
          <w:b/>
        </w:rPr>
      </w:pPr>
      <w:bookmarkStart w:id="147" w:name="_Toc508791377"/>
      <w:r>
        <w:rPr>
          <w:rFonts w:ascii="Times New Roman" w:eastAsia="宋体" w:hAnsi="Times New Roman" w:hint="eastAsia"/>
          <w:b/>
        </w:rPr>
        <w:lastRenderedPageBreak/>
        <w:t xml:space="preserve">5.2.2.2 </w:t>
      </w:r>
      <w:r>
        <w:rPr>
          <w:rFonts w:ascii="Times New Roman" w:eastAsia="宋体" w:hAnsi="Times New Roman" w:hint="eastAsia"/>
          <w:b/>
        </w:rPr>
        <w:t>岳阳市屈原管理区饮用水工程取水断面</w:t>
      </w:r>
    </w:p>
    <w:p w:rsidR="004B4777" w:rsidRDefault="004B4777">
      <w:pPr>
        <w:pStyle w:val="aff5"/>
        <w:ind w:firstLine="480"/>
        <w:rPr>
          <w:rFonts w:hint="eastAsia"/>
          <w:color w:val="auto"/>
        </w:rPr>
      </w:pPr>
      <w:r>
        <w:rPr>
          <w:rFonts w:hint="eastAsia"/>
          <w:color w:val="auto"/>
        </w:rPr>
        <w:t>岳阳市屈原管理区饮用水工程断面监测数据引用《岳阳市屈原管理区饮用水工程建设项目环境影响报告书》监测数据，该报告环境现状委托湖南永南检测技术有限公司进行监测，监测时间为</w:t>
      </w:r>
      <w:r>
        <w:rPr>
          <w:rFonts w:hint="eastAsia"/>
          <w:color w:val="auto"/>
        </w:rPr>
        <w:t>2018</w:t>
      </w:r>
      <w:r>
        <w:rPr>
          <w:rFonts w:hint="eastAsia"/>
          <w:color w:val="auto"/>
        </w:rPr>
        <w:t>年</w:t>
      </w:r>
      <w:r>
        <w:rPr>
          <w:rFonts w:hint="eastAsia"/>
          <w:color w:val="auto"/>
        </w:rPr>
        <w:t>4</w:t>
      </w:r>
      <w:r>
        <w:rPr>
          <w:rFonts w:hint="eastAsia"/>
          <w:color w:val="auto"/>
        </w:rPr>
        <w:t>月</w:t>
      </w:r>
      <w:r>
        <w:rPr>
          <w:rFonts w:hint="eastAsia"/>
          <w:color w:val="auto"/>
        </w:rPr>
        <w:t>20</w:t>
      </w:r>
      <w:r>
        <w:rPr>
          <w:rFonts w:hint="eastAsia"/>
          <w:color w:val="auto"/>
        </w:rPr>
        <w:t>日</w:t>
      </w:r>
      <w:r>
        <w:rPr>
          <w:rFonts w:hint="eastAsia"/>
          <w:color w:val="auto"/>
        </w:rPr>
        <w:t>~4</w:t>
      </w:r>
      <w:r>
        <w:rPr>
          <w:rFonts w:hint="eastAsia"/>
          <w:color w:val="auto"/>
        </w:rPr>
        <w:t>月</w:t>
      </w:r>
      <w:r>
        <w:rPr>
          <w:rFonts w:hint="eastAsia"/>
          <w:color w:val="auto"/>
        </w:rPr>
        <w:t>22</w:t>
      </w:r>
      <w:r>
        <w:rPr>
          <w:rFonts w:hint="eastAsia"/>
          <w:color w:val="auto"/>
        </w:rPr>
        <w:t>日。该断面位于湘江西支右岸，位于斗米咀采区上游约</w:t>
      </w:r>
      <w:r>
        <w:rPr>
          <w:rFonts w:hint="eastAsia"/>
          <w:color w:val="auto"/>
        </w:rPr>
        <w:t xml:space="preserve">450 </w:t>
      </w:r>
      <w:r>
        <w:rPr>
          <w:rFonts w:hint="eastAsia"/>
          <w:color w:val="auto"/>
        </w:rPr>
        <w:t>米。</w:t>
      </w:r>
    </w:p>
    <w:p w:rsidR="004B4777" w:rsidRDefault="004B4777">
      <w:pPr>
        <w:pStyle w:val="aff2"/>
        <w:ind w:firstLine="480"/>
        <w:rPr>
          <w:rFonts w:ascii="Times New Roman" w:hAnsi="Times New Roman" w:hint="eastAsia"/>
          <w:szCs w:val="24"/>
        </w:rPr>
      </w:pPr>
      <w:r>
        <w:rPr>
          <w:rFonts w:ascii="Times New Roman" w:hAnsi="Times New Roman" w:hint="eastAsia"/>
          <w:szCs w:val="24"/>
        </w:rPr>
        <w:t>该取水口</w:t>
      </w:r>
      <w:r>
        <w:rPr>
          <w:rFonts w:ascii="Times New Roman" w:hAnsi="Times New Roman"/>
          <w:szCs w:val="24"/>
        </w:rPr>
        <w:t>断面水质监测结果见表</w:t>
      </w:r>
      <w:r>
        <w:rPr>
          <w:rFonts w:ascii="Times New Roman" w:hAnsi="Times New Roman"/>
          <w:szCs w:val="24"/>
        </w:rPr>
        <w:t>5</w:t>
      </w:r>
      <w:r>
        <w:rPr>
          <w:rFonts w:ascii="Times New Roman" w:hAnsi="Times New Roman" w:hint="eastAsia"/>
          <w:szCs w:val="24"/>
        </w:rPr>
        <w:t>.2</w:t>
      </w:r>
      <w:r>
        <w:rPr>
          <w:rFonts w:ascii="Times New Roman" w:hAnsi="Times New Roman"/>
          <w:szCs w:val="24"/>
        </w:rPr>
        <w:t>-</w:t>
      </w:r>
      <w:r>
        <w:rPr>
          <w:rFonts w:ascii="Times New Roman" w:hAnsi="Times New Roman" w:hint="eastAsia"/>
          <w:szCs w:val="24"/>
        </w:rPr>
        <w:t>6</w:t>
      </w:r>
      <w:r>
        <w:rPr>
          <w:rFonts w:ascii="Times New Roman" w:hAnsi="Times New Roman" w:hint="eastAsia"/>
          <w:szCs w:val="24"/>
        </w:rPr>
        <w:t>、表</w:t>
      </w:r>
      <w:r>
        <w:rPr>
          <w:rFonts w:ascii="Times New Roman" w:hAnsi="Times New Roman" w:hint="eastAsia"/>
          <w:szCs w:val="24"/>
        </w:rPr>
        <w:t>5.2-7</w:t>
      </w:r>
      <w:r>
        <w:rPr>
          <w:rFonts w:ascii="Times New Roman" w:hAnsi="Times New Roman" w:hint="eastAsia"/>
          <w:szCs w:val="24"/>
        </w:rPr>
        <w:t>和表</w:t>
      </w:r>
      <w:r>
        <w:rPr>
          <w:rFonts w:ascii="Times New Roman" w:hAnsi="Times New Roman" w:hint="eastAsia"/>
          <w:szCs w:val="24"/>
        </w:rPr>
        <w:t>5.2-8</w:t>
      </w:r>
      <w:r>
        <w:rPr>
          <w:rFonts w:ascii="Times New Roman" w:hAnsi="Times New Roman" w:hint="eastAsia"/>
          <w:szCs w:val="24"/>
        </w:rPr>
        <w:t>。</w:t>
      </w:r>
    </w:p>
    <w:p w:rsidR="004B4777" w:rsidRDefault="004B4777">
      <w:pPr>
        <w:pStyle w:val="aff2"/>
        <w:ind w:firstLine="480"/>
        <w:rPr>
          <w:rFonts w:ascii="Times New Roman" w:hAnsi="Times New Roman"/>
          <w:szCs w:val="24"/>
        </w:rPr>
      </w:pPr>
      <w:r>
        <w:rPr>
          <w:rFonts w:ascii="Times New Roman" w:hAnsi="Times New Roman"/>
          <w:szCs w:val="24"/>
        </w:rPr>
        <w:t>从监测结果可知，</w:t>
      </w:r>
      <w:r>
        <w:rPr>
          <w:rFonts w:ascii="Times New Roman" w:hAnsi="Times New Roman" w:hint="eastAsia"/>
          <w:szCs w:val="24"/>
        </w:rPr>
        <w:t>屈原管理区鸡啼湖取水口</w:t>
      </w:r>
      <w:r>
        <w:rPr>
          <w:rFonts w:ascii="Times New Roman" w:hAnsi="Times New Roman"/>
          <w:szCs w:val="24"/>
        </w:rPr>
        <w:t>处</w:t>
      </w:r>
      <w:r>
        <w:rPr>
          <w:rFonts w:ascii="Times New Roman" w:hAnsi="Times New Roman"/>
          <w:szCs w:val="24"/>
        </w:rPr>
        <w:t>24</w:t>
      </w:r>
      <w:r>
        <w:rPr>
          <w:rFonts w:ascii="Times New Roman" w:hAnsi="Times New Roman"/>
          <w:szCs w:val="24"/>
        </w:rPr>
        <w:t>项基本项目水质均符合水《地表水环境质量标准》（</w:t>
      </w:r>
      <w:r>
        <w:rPr>
          <w:rFonts w:ascii="Times New Roman" w:hAnsi="Times New Roman"/>
          <w:szCs w:val="24"/>
        </w:rPr>
        <w:t>GB3838-2002</w:t>
      </w:r>
      <w:r>
        <w:rPr>
          <w:rFonts w:ascii="Times New Roman" w:hAnsi="Times New Roman"/>
          <w:szCs w:val="24"/>
        </w:rPr>
        <w:t>）表</w:t>
      </w:r>
      <w:r>
        <w:rPr>
          <w:rFonts w:ascii="Times New Roman" w:hAnsi="Times New Roman"/>
          <w:szCs w:val="24"/>
        </w:rPr>
        <w:t>1</w:t>
      </w:r>
      <w:r>
        <w:rPr>
          <w:rFonts w:ascii="Times New Roman" w:hAnsi="Times New Roman"/>
          <w:szCs w:val="24"/>
        </w:rPr>
        <w:t>的</w:t>
      </w:r>
      <w:r>
        <w:rPr>
          <w:rFonts w:hAnsi="宋体" w:cs="宋体" w:hint="eastAsia"/>
          <w:szCs w:val="24"/>
        </w:rPr>
        <w:t>Ⅱ</w:t>
      </w:r>
      <w:r>
        <w:rPr>
          <w:rFonts w:ascii="Times New Roman" w:hAnsi="Times New Roman"/>
          <w:szCs w:val="24"/>
        </w:rPr>
        <w:t>类水质标准值要求；</w:t>
      </w:r>
      <w:r>
        <w:rPr>
          <w:rFonts w:ascii="Times New Roman" w:hAnsi="Times New Roman"/>
          <w:szCs w:val="24"/>
        </w:rPr>
        <w:t>5</w:t>
      </w:r>
      <w:r>
        <w:rPr>
          <w:rFonts w:ascii="Times New Roman" w:hAnsi="Times New Roman"/>
          <w:szCs w:val="24"/>
        </w:rPr>
        <w:t>项补充项目符合《地表水环境质量标准》（</w:t>
      </w:r>
      <w:r>
        <w:rPr>
          <w:rFonts w:ascii="Times New Roman" w:hAnsi="Times New Roman"/>
          <w:szCs w:val="24"/>
        </w:rPr>
        <w:t>GB3838-2002</w:t>
      </w:r>
      <w:r>
        <w:rPr>
          <w:rFonts w:ascii="Times New Roman" w:hAnsi="Times New Roman"/>
          <w:szCs w:val="24"/>
        </w:rPr>
        <w:t>）表</w:t>
      </w:r>
      <w:r>
        <w:rPr>
          <w:rFonts w:ascii="Times New Roman" w:hAnsi="Times New Roman"/>
          <w:szCs w:val="24"/>
        </w:rPr>
        <w:t xml:space="preserve">2 </w:t>
      </w:r>
      <w:r>
        <w:rPr>
          <w:rFonts w:ascii="Times New Roman" w:hAnsi="Times New Roman"/>
          <w:szCs w:val="24"/>
        </w:rPr>
        <w:t>集中式生活饮用水地表水源地补充项目标准值要求；</w:t>
      </w:r>
      <w:r>
        <w:rPr>
          <w:rFonts w:ascii="Times New Roman" w:hAnsi="Times New Roman"/>
          <w:szCs w:val="24"/>
        </w:rPr>
        <w:t>8</w:t>
      </w:r>
      <w:r>
        <w:rPr>
          <w:rFonts w:ascii="Times New Roman" w:hAnsi="Times New Roman" w:hint="eastAsia"/>
          <w:szCs w:val="24"/>
        </w:rPr>
        <w:t>0</w:t>
      </w:r>
      <w:r>
        <w:rPr>
          <w:rFonts w:ascii="Times New Roman" w:hAnsi="Times New Roman"/>
          <w:szCs w:val="24"/>
        </w:rPr>
        <w:t>项集特定项目符合《地表水环境质量标准》（</w:t>
      </w:r>
      <w:r>
        <w:rPr>
          <w:rFonts w:ascii="Times New Roman" w:hAnsi="Times New Roman"/>
          <w:szCs w:val="24"/>
        </w:rPr>
        <w:t>GB3838-2002</w:t>
      </w:r>
      <w:r>
        <w:rPr>
          <w:rFonts w:ascii="Times New Roman" w:hAnsi="Times New Roman"/>
          <w:szCs w:val="24"/>
        </w:rPr>
        <w:t>）表</w:t>
      </w:r>
      <w:r>
        <w:rPr>
          <w:rFonts w:ascii="Times New Roman" w:hAnsi="Times New Roman"/>
          <w:szCs w:val="24"/>
        </w:rPr>
        <w:t>3</w:t>
      </w:r>
      <w:r>
        <w:rPr>
          <w:rFonts w:ascii="Times New Roman" w:hAnsi="Times New Roman"/>
          <w:szCs w:val="24"/>
        </w:rPr>
        <w:t>中集中式生活饮用水地表水源地特定项目标准值要求。</w:t>
      </w:r>
    </w:p>
    <w:p w:rsidR="004B4777" w:rsidRDefault="004B4777">
      <w:pPr>
        <w:pStyle w:val="afe"/>
        <w:ind w:firstLine="280"/>
        <w:rPr>
          <w:rFonts w:hAnsi="Times New Roman"/>
          <w:b/>
          <w:snapToGrid w:val="0"/>
          <w:kern w:val="0"/>
          <w:sz w:val="24"/>
          <w:szCs w:val="24"/>
        </w:rPr>
      </w:pPr>
      <w:r>
        <w:rPr>
          <w:rFonts w:hAnsi="Times New Roman"/>
          <w:snapToGrid w:val="0"/>
          <w:color w:val="FF0000"/>
          <w:kern w:val="0"/>
          <w:szCs w:val="21"/>
        </w:rPr>
        <w:t xml:space="preserve">   </w:t>
      </w:r>
      <w:r>
        <w:rPr>
          <w:rFonts w:hAnsi="Times New Roman" w:hint="eastAsia"/>
          <w:snapToGrid w:val="0"/>
          <w:color w:val="FF0000"/>
          <w:kern w:val="0"/>
          <w:szCs w:val="21"/>
        </w:rPr>
        <w:t xml:space="preserve">   </w:t>
      </w:r>
      <w:r>
        <w:rPr>
          <w:rFonts w:hAnsi="Times New Roman" w:hint="eastAsia"/>
          <w:snapToGrid w:val="0"/>
          <w:kern w:val="0"/>
          <w:szCs w:val="21"/>
        </w:rPr>
        <w:t xml:space="preserve"> </w:t>
      </w:r>
      <w:r>
        <w:rPr>
          <w:rFonts w:hAnsi="Times New Roman"/>
          <w:b/>
          <w:snapToGrid w:val="0"/>
          <w:kern w:val="0"/>
          <w:sz w:val="24"/>
          <w:szCs w:val="24"/>
        </w:rPr>
        <w:t>表5.2-6   取水口断面水质基本项目现状监测表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88"/>
        <w:gridCol w:w="1866"/>
        <w:gridCol w:w="918"/>
        <w:gridCol w:w="1144"/>
        <w:gridCol w:w="1122"/>
        <w:gridCol w:w="1098"/>
        <w:gridCol w:w="1392"/>
      </w:tblGrid>
      <w:tr w:rsidR="004B4777">
        <w:trPr>
          <w:trHeight w:val="340"/>
          <w:jc w:val="center"/>
        </w:trPr>
        <w:tc>
          <w:tcPr>
            <w:tcW w:w="988" w:type="dxa"/>
            <w:vMerge w:val="restart"/>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采样位置</w:t>
            </w:r>
          </w:p>
        </w:tc>
        <w:tc>
          <w:tcPr>
            <w:tcW w:w="1866" w:type="dxa"/>
            <w:vMerge w:val="restart"/>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检测项目</w:t>
            </w:r>
          </w:p>
        </w:tc>
        <w:tc>
          <w:tcPr>
            <w:tcW w:w="918" w:type="dxa"/>
            <w:vMerge w:val="restart"/>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单位</w:t>
            </w:r>
          </w:p>
        </w:tc>
        <w:tc>
          <w:tcPr>
            <w:tcW w:w="3364" w:type="dxa"/>
            <w:gridSpan w:val="3"/>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检测结果</w:t>
            </w:r>
          </w:p>
        </w:tc>
        <w:tc>
          <w:tcPr>
            <w:tcW w:w="1392" w:type="dxa"/>
            <w:vMerge w:val="restart"/>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II</w:t>
            </w:r>
            <w:r>
              <w:rPr>
                <w:rFonts w:ascii="Times New Roman" w:hAnsi="Times New Roman"/>
                <w:b/>
                <w:sz w:val="21"/>
                <w:szCs w:val="21"/>
              </w:rPr>
              <w:t>类标准值</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p>
        </w:tc>
        <w:tc>
          <w:tcPr>
            <w:tcW w:w="1866" w:type="dxa"/>
            <w:vMerge/>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p>
        </w:tc>
        <w:tc>
          <w:tcPr>
            <w:tcW w:w="918" w:type="dxa"/>
            <w:vMerge/>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20</w:t>
            </w:r>
            <w:r>
              <w:rPr>
                <w:rFonts w:ascii="Times New Roman" w:hAnsi="Times New Roman"/>
                <w:b/>
                <w:sz w:val="21"/>
                <w:szCs w:val="21"/>
              </w:rPr>
              <w:t>日</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21</w:t>
            </w:r>
            <w:r>
              <w:rPr>
                <w:rFonts w:ascii="Times New Roman" w:hAnsi="Times New Roman"/>
                <w:b/>
                <w:sz w:val="21"/>
                <w:szCs w:val="21"/>
              </w:rPr>
              <w:t>日</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22</w:t>
            </w:r>
            <w:r>
              <w:rPr>
                <w:rFonts w:ascii="Times New Roman" w:hAnsi="Times New Roman"/>
                <w:b/>
                <w:sz w:val="21"/>
                <w:szCs w:val="21"/>
              </w:rPr>
              <w:t>日</w:t>
            </w:r>
          </w:p>
        </w:tc>
        <w:tc>
          <w:tcPr>
            <w:tcW w:w="1392"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r>
      <w:tr w:rsidR="004B4777">
        <w:trPr>
          <w:trHeight w:val="340"/>
          <w:jc w:val="center"/>
        </w:trPr>
        <w:tc>
          <w:tcPr>
            <w:tcW w:w="988" w:type="dxa"/>
            <w:vMerge w:val="restart"/>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岳阳市屈原管理区饮用水取水口</w:t>
            </w:r>
            <w:r>
              <w:rPr>
                <w:rFonts w:ascii="Times New Roman" w:hAnsi="Times New Roman" w:hint="eastAsia"/>
                <w:sz w:val="21"/>
                <w:szCs w:val="21"/>
              </w:rPr>
              <w:t>断面</w:t>
            </w: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水温</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宋体" w:hAnsi="宋体" w:cs="宋体" w:hint="eastAsia"/>
                <w:sz w:val="21"/>
                <w:szCs w:val="21"/>
              </w:rPr>
              <w:t>℃</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12.5</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12.2</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12.8</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人为周平均最大升温</w:t>
            </w:r>
            <w:r>
              <w:rPr>
                <w:rFonts w:ascii="Times New Roman" w:hAnsi="Times New Roman"/>
                <w:sz w:val="21"/>
                <w:szCs w:val="21"/>
              </w:rPr>
              <w:t>≤1</w:t>
            </w:r>
            <w:r>
              <w:rPr>
                <w:rFonts w:ascii="Times New Roman" w:hAnsi="Times New Roman"/>
                <w:sz w:val="21"/>
                <w:szCs w:val="21"/>
              </w:rPr>
              <w:t>，最大降温</w:t>
            </w:r>
            <w:r>
              <w:rPr>
                <w:rFonts w:ascii="Times New Roman" w:hAnsi="Times New Roman"/>
                <w:sz w:val="21"/>
                <w:szCs w:val="21"/>
              </w:rPr>
              <w:t>≤2</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pH</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无量纲</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8.15</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8.12</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8.14</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6</w:t>
            </w:r>
            <w:r>
              <w:rPr>
                <w:rFonts w:ascii="Times New Roman" w:hAnsi="Times New Roman"/>
                <w:sz w:val="21"/>
                <w:szCs w:val="21"/>
              </w:rPr>
              <w:t>～</w:t>
            </w:r>
            <w:r>
              <w:rPr>
                <w:rFonts w:ascii="Times New Roman" w:hAnsi="Times New Roman"/>
                <w:sz w:val="21"/>
                <w:szCs w:val="21"/>
              </w:rPr>
              <w:t>9</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溶解氧</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6.2</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6.5</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6.0</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≥6</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高锰酸盐指数</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2.9</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2.7</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2.9</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≤4</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kern w:val="0"/>
                <w:sz w:val="21"/>
                <w:szCs w:val="21"/>
                <w:lang/>
              </w:rPr>
            </w:pPr>
            <w:r>
              <w:rPr>
                <w:rFonts w:ascii="Times New Roman" w:hAnsi="Times New Roman"/>
                <w:sz w:val="21"/>
                <w:szCs w:val="21"/>
              </w:rPr>
              <w:t>化学需氧量</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9</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9</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五日生化需氧量</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1.8</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2.0</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2.1</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≤3</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氨氮</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0.275</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0.278</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0.271</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总磷</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0.03</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总氮</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0.41</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0.41</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0.43</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铜</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锌</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0.04</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氟化物</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0.19</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0.17</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0.18</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硒</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砷</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汞</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镉</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六价铬</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铅</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氰化物</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挥发酚</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≤0.002</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石油类</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阴离子表面活性剂</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硫化物</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88" w:type="dxa"/>
            <w:vMerge/>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p>
        </w:tc>
        <w:tc>
          <w:tcPr>
            <w:tcW w:w="1866"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粪大肠菌群</w:t>
            </w:r>
          </w:p>
        </w:tc>
        <w:tc>
          <w:tcPr>
            <w:tcW w:w="9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MPN/L</w:t>
            </w:r>
          </w:p>
        </w:tc>
        <w:tc>
          <w:tcPr>
            <w:tcW w:w="1144"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1400</w:t>
            </w:r>
          </w:p>
        </w:tc>
        <w:tc>
          <w:tcPr>
            <w:tcW w:w="112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1700</w:t>
            </w:r>
          </w:p>
        </w:tc>
        <w:tc>
          <w:tcPr>
            <w:tcW w:w="109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1400</w:t>
            </w:r>
          </w:p>
        </w:tc>
        <w:tc>
          <w:tcPr>
            <w:tcW w:w="139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≤2000</w:t>
            </w:r>
          </w:p>
        </w:tc>
      </w:tr>
    </w:tbl>
    <w:p w:rsidR="004B4777" w:rsidRDefault="004B4777">
      <w:pPr>
        <w:pStyle w:val="afe"/>
        <w:ind w:firstLine="241"/>
        <w:rPr>
          <w:rFonts w:hAnsi="Times New Roman" w:hint="eastAsia"/>
          <w:b/>
          <w:snapToGrid w:val="0"/>
          <w:kern w:val="0"/>
          <w:sz w:val="24"/>
          <w:szCs w:val="24"/>
        </w:rPr>
      </w:pPr>
    </w:p>
    <w:p w:rsidR="004B4777" w:rsidRDefault="004B4777">
      <w:pPr>
        <w:pStyle w:val="afe"/>
        <w:ind w:firstLine="241"/>
        <w:jc w:val="center"/>
        <w:rPr>
          <w:rFonts w:hAnsi="Times New Roman"/>
          <w:b/>
          <w:snapToGrid w:val="0"/>
          <w:kern w:val="0"/>
          <w:sz w:val="24"/>
          <w:szCs w:val="24"/>
        </w:rPr>
      </w:pPr>
      <w:r>
        <w:rPr>
          <w:rFonts w:hAnsi="Times New Roman"/>
          <w:b/>
          <w:snapToGrid w:val="0"/>
          <w:kern w:val="0"/>
          <w:sz w:val="24"/>
          <w:szCs w:val="24"/>
        </w:rPr>
        <w:t>表5</w:t>
      </w:r>
      <w:r>
        <w:rPr>
          <w:rFonts w:hAnsi="Times New Roman" w:hint="eastAsia"/>
          <w:b/>
          <w:snapToGrid w:val="0"/>
          <w:kern w:val="0"/>
          <w:sz w:val="24"/>
          <w:szCs w:val="24"/>
        </w:rPr>
        <w:t>.2</w:t>
      </w:r>
      <w:r>
        <w:rPr>
          <w:rFonts w:hAnsi="Times New Roman"/>
          <w:b/>
          <w:snapToGrid w:val="0"/>
          <w:kern w:val="0"/>
          <w:sz w:val="24"/>
          <w:szCs w:val="24"/>
        </w:rPr>
        <w:t>-</w:t>
      </w:r>
      <w:r>
        <w:rPr>
          <w:rFonts w:hAnsi="Times New Roman" w:hint="eastAsia"/>
          <w:b/>
          <w:snapToGrid w:val="0"/>
          <w:kern w:val="0"/>
          <w:sz w:val="24"/>
          <w:szCs w:val="24"/>
        </w:rPr>
        <w:t>7</w:t>
      </w:r>
      <w:r>
        <w:rPr>
          <w:rFonts w:hAnsi="Times New Roman"/>
          <w:b/>
          <w:snapToGrid w:val="0"/>
          <w:kern w:val="0"/>
          <w:sz w:val="24"/>
          <w:szCs w:val="24"/>
        </w:rPr>
        <w:t xml:space="preserve">  取水口集中式生活饮用水地表水源地补充项目现状监测表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11"/>
        <w:gridCol w:w="1745"/>
        <w:gridCol w:w="918"/>
        <w:gridCol w:w="1144"/>
        <w:gridCol w:w="1122"/>
        <w:gridCol w:w="1098"/>
        <w:gridCol w:w="1390"/>
      </w:tblGrid>
      <w:tr w:rsidR="004B4777">
        <w:trPr>
          <w:trHeight w:val="340"/>
          <w:jc w:val="center"/>
        </w:trPr>
        <w:tc>
          <w:tcPr>
            <w:tcW w:w="1111" w:type="dxa"/>
            <w:vMerge w:val="restart"/>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采样位置</w:t>
            </w:r>
          </w:p>
        </w:tc>
        <w:tc>
          <w:tcPr>
            <w:tcW w:w="1745" w:type="dxa"/>
            <w:vMerge w:val="restart"/>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检测项目</w:t>
            </w:r>
          </w:p>
        </w:tc>
        <w:tc>
          <w:tcPr>
            <w:tcW w:w="918" w:type="dxa"/>
            <w:vMerge w:val="restart"/>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单位</w:t>
            </w:r>
          </w:p>
        </w:tc>
        <w:tc>
          <w:tcPr>
            <w:tcW w:w="3364" w:type="dxa"/>
            <w:gridSpan w:val="3"/>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检测结果</w:t>
            </w:r>
          </w:p>
        </w:tc>
        <w:tc>
          <w:tcPr>
            <w:tcW w:w="1390" w:type="dxa"/>
            <w:vMerge w:val="restart"/>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标准值</w:t>
            </w:r>
          </w:p>
        </w:tc>
      </w:tr>
      <w:tr w:rsidR="004B4777">
        <w:trPr>
          <w:trHeight w:val="340"/>
          <w:jc w:val="center"/>
        </w:trPr>
        <w:tc>
          <w:tcPr>
            <w:tcW w:w="1111" w:type="dxa"/>
            <w:vMerge/>
            <w:vAlign w:val="center"/>
          </w:tcPr>
          <w:p w:rsidR="004B4777" w:rsidRDefault="004B4777">
            <w:pPr>
              <w:adjustRightInd w:val="0"/>
              <w:spacing w:line="240" w:lineRule="auto"/>
              <w:ind w:firstLineChars="0" w:firstLine="0"/>
              <w:jc w:val="center"/>
              <w:rPr>
                <w:rFonts w:ascii="Times New Roman" w:hAnsi="Times New Roman"/>
                <w:b/>
                <w:sz w:val="21"/>
                <w:szCs w:val="21"/>
              </w:rPr>
            </w:pPr>
          </w:p>
        </w:tc>
        <w:tc>
          <w:tcPr>
            <w:tcW w:w="1745" w:type="dxa"/>
            <w:vMerge/>
            <w:vAlign w:val="center"/>
          </w:tcPr>
          <w:p w:rsidR="004B4777" w:rsidRDefault="004B4777">
            <w:pPr>
              <w:adjustRightInd w:val="0"/>
              <w:spacing w:line="240" w:lineRule="auto"/>
              <w:ind w:firstLineChars="0" w:firstLine="0"/>
              <w:jc w:val="center"/>
              <w:rPr>
                <w:rFonts w:ascii="Times New Roman" w:hAnsi="Times New Roman"/>
                <w:b/>
                <w:sz w:val="21"/>
                <w:szCs w:val="21"/>
              </w:rPr>
            </w:pPr>
          </w:p>
        </w:tc>
        <w:tc>
          <w:tcPr>
            <w:tcW w:w="918" w:type="dxa"/>
            <w:vMerge/>
            <w:vAlign w:val="center"/>
          </w:tcPr>
          <w:p w:rsidR="004B4777" w:rsidRDefault="004B4777">
            <w:pPr>
              <w:adjustRightInd w:val="0"/>
              <w:spacing w:line="240" w:lineRule="auto"/>
              <w:ind w:firstLineChars="0" w:firstLine="0"/>
              <w:jc w:val="center"/>
              <w:rPr>
                <w:rFonts w:ascii="Times New Roman" w:hAnsi="Times New Roman"/>
                <w:b/>
                <w:sz w:val="21"/>
                <w:szCs w:val="21"/>
              </w:rPr>
            </w:pPr>
          </w:p>
        </w:tc>
        <w:tc>
          <w:tcPr>
            <w:tcW w:w="1144" w:type="dxa"/>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20</w:t>
            </w:r>
            <w:r>
              <w:rPr>
                <w:rFonts w:ascii="Times New Roman" w:hAnsi="Times New Roman"/>
                <w:b/>
                <w:sz w:val="21"/>
                <w:szCs w:val="21"/>
              </w:rPr>
              <w:t>日</w:t>
            </w:r>
          </w:p>
        </w:tc>
        <w:tc>
          <w:tcPr>
            <w:tcW w:w="1122" w:type="dxa"/>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21</w:t>
            </w:r>
            <w:r>
              <w:rPr>
                <w:rFonts w:ascii="Times New Roman" w:hAnsi="Times New Roman"/>
                <w:b/>
                <w:sz w:val="21"/>
                <w:szCs w:val="21"/>
              </w:rPr>
              <w:t>日</w:t>
            </w:r>
          </w:p>
        </w:tc>
        <w:tc>
          <w:tcPr>
            <w:tcW w:w="1098" w:type="dxa"/>
            <w:vAlign w:val="center"/>
          </w:tcPr>
          <w:p w:rsidR="004B4777" w:rsidRDefault="004B4777">
            <w:pPr>
              <w:adjustRightIn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22</w:t>
            </w:r>
            <w:r>
              <w:rPr>
                <w:rFonts w:ascii="Times New Roman" w:hAnsi="Times New Roman"/>
                <w:b/>
                <w:sz w:val="21"/>
                <w:szCs w:val="21"/>
              </w:rPr>
              <w:t>日</w:t>
            </w:r>
          </w:p>
        </w:tc>
        <w:tc>
          <w:tcPr>
            <w:tcW w:w="1390" w:type="dxa"/>
            <w:vMerge/>
            <w:vAlign w:val="center"/>
          </w:tcPr>
          <w:p w:rsidR="004B4777" w:rsidRDefault="004B4777">
            <w:pPr>
              <w:adjustRightInd w:val="0"/>
              <w:spacing w:line="240" w:lineRule="auto"/>
              <w:ind w:firstLineChars="0" w:firstLine="0"/>
              <w:jc w:val="center"/>
              <w:rPr>
                <w:rFonts w:ascii="Times New Roman" w:hAnsi="Times New Roman"/>
                <w:sz w:val="21"/>
                <w:szCs w:val="21"/>
              </w:rPr>
            </w:pPr>
          </w:p>
        </w:tc>
      </w:tr>
      <w:tr w:rsidR="004B4777">
        <w:trPr>
          <w:trHeight w:val="340"/>
          <w:jc w:val="center"/>
        </w:trPr>
        <w:tc>
          <w:tcPr>
            <w:tcW w:w="1111" w:type="dxa"/>
            <w:vMerge w:val="restart"/>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岳阳市屈原管理区饮用水取水口</w:t>
            </w:r>
            <w:r>
              <w:rPr>
                <w:rFonts w:ascii="Times New Roman" w:hAnsi="Times New Roman" w:hint="eastAsia"/>
                <w:sz w:val="21"/>
                <w:szCs w:val="21"/>
              </w:rPr>
              <w:t>断面</w:t>
            </w:r>
          </w:p>
        </w:tc>
        <w:tc>
          <w:tcPr>
            <w:tcW w:w="1745"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硫酸盐</w:t>
            </w:r>
          </w:p>
        </w:tc>
        <w:tc>
          <w:tcPr>
            <w:tcW w:w="91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69</w:t>
            </w:r>
          </w:p>
        </w:tc>
        <w:tc>
          <w:tcPr>
            <w:tcW w:w="1122"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67</w:t>
            </w:r>
          </w:p>
        </w:tc>
        <w:tc>
          <w:tcPr>
            <w:tcW w:w="109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68</w:t>
            </w:r>
          </w:p>
        </w:tc>
        <w:tc>
          <w:tcPr>
            <w:tcW w:w="1390" w:type="dxa"/>
            <w:vAlign w:val="center"/>
          </w:tcPr>
          <w:p w:rsidR="004B4777" w:rsidRDefault="004B4777">
            <w:pPr>
              <w:adjustRightInd w:val="0"/>
              <w:spacing w:line="240" w:lineRule="auto"/>
              <w:ind w:firstLineChars="0" w:firstLine="0"/>
              <w:jc w:val="center"/>
              <w:rPr>
                <w:rFonts w:ascii="Times New Roman" w:hAnsi="Times New Roman"/>
              </w:rPr>
            </w:pPr>
            <w:r>
              <w:rPr>
                <w:rFonts w:ascii="Times New Roman" w:hAnsi="Times New Roman"/>
                <w:sz w:val="21"/>
                <w:szCs w:val="21"/>
              </w:rPr>
              <w:t>≤250</w:t>
            </w:r>
          </w:p>
        </w:tc>
      </w:tr>
      <w:tr w:rsidR="004B4777">
        <w:trPr>
          <w:trHeight w:val="340"/>
          <w:jc w:val="center"/>
        </w:trPr>
        <w:tc>
          <w:tcPr>
            <w:tcW w:w="1111" w:type="dxa"/>
            <w:vMerge/>
            <w:vAlign w:val="center"/>
          </w:tcPr>
          <w:p w:rsidR="004B4777" w:rsidRDefault="004B4777">
            <w:pPr>
              <w:adjustRightInd w:val="0"/>
              <w:spacing w:line="240" w:lineRule="auto"/>
              <w:ind w:firstLineChars="0" w:firstLine="0"/>
              <w:jc w:val="center"/>
              <w:rPr>
                <w:rFonts w:ascii="Times New Roman" w:hAnsi="Times New Roman"/>
                <w:sz w:val="21"/>
                <w:szCs w:val="21"/>
              </w:rPr>
            </w:pPr>
          </w:p>
        </w:tc>
        <w:tc>
          <w:tcPr>
            <w:tcW w:w="1745"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氯化物</w:t>
            </w:r>
          </w:p>
        </w:tc>
        <w:tc>
          <w:tcPr>
            <w:tcW w:w="91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27</w:t>
            </w:r>
          </w:p>
        </w:tc>
        <w:tc>
          <w:tcPr>
            <w:tcW w:w="1122" w:type="dxa"/>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27</w:t>
            </w:r>
          </w:p>
        </w:tc>
        <w:tc>
          <w:tcPr>
            <w:tcW w:w="1098" w:type="dxa"/>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26</w:t>
            </w:r>
          </w:p>
        </w:tc>
        <w:tc>
          <w:tcPr>
            <w:tcW w:w="1390" w:type="dxa"/>
            <w:vAlign w:val="center"/>
          </w:tcPr>
          <w:p w:rsidR="004B4777" w:rsidRDefault="004B4777">
            <w:pPr>
              <w:adjustRightInd w:val="0"/>
              <w:spacing w:line="240" w:lineRule="auto"/>
              <w:ind w:firstLineChars="0" w:firstLine="0"/>
              <w:jc w:val="center"/>
              <w:rPr>
                <w:rFonts w:ascii="Times New Roman" w:hAnsi="Times New Roman"/>
              </w:rPr>
            </w:pPr>
            <w:r>
              <w:rPr>
                <w:rFonts w:ascii="Times New Roman" w:hAnsi="Times New Roman"/>
                <w:sz w:val="21"/>
                <w:szCs w:val="21"/>
              </w:rPr>
              <w:t>≤250</w:t>
            </w:r>
          </w:p>
        </w:tc>
      </w:tr>
      <w:tr w:rsidR="004B4777">
        <w:trPr>
          <w:trHeight w:val="340"/>
          <w:jc w:val="center"/>
        </w:trPr>
        <w:tc>
          <w:tcPr>
            <w:tcW w:w="1111" w:type="dxa"/>
            <w:vMerge/>
            <w:vAlign w:val="center"/>
          </w:tcPr>
          <w:p w:rsidR="004B4777" w:rsidRDefault="004B4777">
            <w:pPr>
              <w:adjustRightInd w:val="0"/>
              <w:spacing w:line="240" w:lineRule="auto"/>
              <w:ind w:firstLineChars="0" w:firstLine="0"/>
              <w:jc w:val="center"/>
              <w:rPr>
                <w:rFonts w:ascii="Times New Roman" w:hAnsi="Times New Roman"/>
                <w:sz w:val="21"/>
                <w:szCs w:val="21"/>
              </w:rPr>
            </w:pPr>
          </w:p>
        </w:tc>
        <w:tc>
          <w:tcPr>
            <w:tcW w:w="1745"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硝酸盐</w:t>
            </w:r>
          </w:p>
        </w:tc>
        <w:tc>
          <w:tcPr>
            <w:tcW w:w="91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0.083</w:t>
            </w:r>
          </w:p>
        </w:tc>
        <w:tc>
          <w:tcPr>
            <w:tcW w:w="1122"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0.080</w:t>
            </w:r>
          </w:p>
        </w:tc>
        <w:tc>
          <w:tcPr>
            <w:tcW w:w="109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0.075</w:t>
            </w:r>
          </w:p>
        </w:tc>
        <w:tc>
          <w:tcPr>
            <w:tcW w:w="1390" w:type="dxa"/>
            <w:vAlign w:val="center"/>
          </w:tcPr>
          <w:p w:rsidR="004B4777" w:rsidRDefault="004B4777">
            <w:pPr>
              <w:adjustRightInd w:val="0"/>
              <w:spacing w:line="240" w:lineRule="auto"/>
              <w:ind w:firstLineChars="0" w:firstLine="0"/>
              <w:jc w:val="center"/>
              <w:rPr>
                <w:rFonts w:ascii="Times New Roman" w:hAnsi="Times New Roman"/>
              </w:rPr>
            </w:pPr>
            <w:r>
              <w:rPr>
                <w:rFonts w:ascii="Times New Roman" w:hAnsi="Times New Roman"/>
                <w:sz w:val="21"/>
                <w:szCs w:val="21"/>
              </w:rPr>
              <w:t>≤10</w:t>
            </w:r>
          </w:p>
        </w:tc>
      </w:tr>
      <w:tr w:rsidR="004B4777">
        <w:trPr>
          <w:trHeight w:val="340"/>
          <w:jc w:val="center"/>
        </w:trPr>
        <w:tc>
          <w:tcPr>
            <w:tcW w:w="1111" w:type="dxa"/>
            <w:vMerge/>
            <w:vAlign w:val="center"/>
          </w:tcPr>
          <w:p w:rsidR="004B4777" w:rsidRDefault="004B4777">
            <w:pPr>
              <w:adjustRightInd w:val="0"/>
              <w:spacing w:line="240" w:lineRule="auto"/>
              <w:ind w:firstLineChars="0" w:firstLine="0"/>
              <w:jc w:val="center"/>
              <w:rPr>
                <w:rFonts w:ascii="Times New Roman" w:hAnsi="Times New Roman"/>
                <w:sz w:val="21"/>
                <w:szCs w:val="21"/>
              </w:rPr>
            </w:pPr>
          </w:p>
        </w:tc>
        <w:tc>
          <w:tcPr>
            <w:tcW w:w="1745"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铁</w:t>
            </w:r>
          </w:p>
        </w:tc>
        <w:tc>
          <w:tcPr>
            <w:tcW w:w="91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0" w:type="dxa"/>
            <w:vAlign w:val="center"/>
          </w:tcPr>
          <w:p w:rsidR="004B4777" w:rsidRDefault="004B4777">
            <w:pPr>
              <w:adjustRightInd w:val="0"/>
              <w:spacing w:line="240" w:lineRule="auto"/>
              <w:ind w:firstLineChars="0" w:firstLine="0"/>
              <w:jc w:val="center"/>
              <w:rPr>
                <w:rFonts w:ascii="Times New Roman" w:hAnsi="Times New Roman"/>
              </w:rPr>
            </w:pPr>
            <w:r>
              <w:rPr>
                <w:rFonts w:ascii="Times New Roman" w:hAnsi="Times New Roman"/>
                <w:sz w:val="21"/>
                <w:szCs w:val="21"/>
              </w:rPr>
              <w:t>≤0.3</w:t>
            </w:r>
          </w:p>
        </w:tc>
      </w:tr>
      <w:tr w:rsidR="004B4777">
        <w:trPr>
          <w:trHeight w:val="340"/>
          <w:jc w:val="center"/>
        </w:trPr>
        <w:tc>
          <w:tcPr>
            <w:tcW w:w="1111" w:type="dxa"/>
            <w:vMerge/>
            <w:tcBorders>
              <w:bottom w:val="single" w:sz="12" w:space="0" w:color="auto"/>
            </w:tcBorders>
            <w:vAlign w:val="center"/>
          </w:tcPr>
          <w:p w:rsidR="004B4777" w:rsidRDefault="004B4777">
            <w:pPr>
              <w:adjustRightInd w:val="0"/>
              <w:spacing w:line="240" w:lineRule="auto"/>
              <w:ind w:firstLineChars="0" w:firstLine="0"/>
              <w:jc w:val="center"/>
              <w:rPr>
                <w:rFonts w:ascii="Times New Roman" w:hAnsi="Times New Roman"/>
                <w:sz w:val="21"/>
                <w:szCs w:val="21"/>
              </w:rPr>
            </w:pPr>
          </w:p>
        </w:tc>
        <w:tc>
          <w:tcPr>
            <w:tcW w:w="1745" w:type="dxa"/>
            <w:tcBorders>
              <w:bottom w:val="single" w:sz="12" w:space="0" w:color="auto"/>
            </w:tcBorders>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锰</w:t>
            </w:r>
          </w:p>
        </w:tc>
        <w:tc>
          <w:tcPr>
            <w:tcW w:w="91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44"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22"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098" w:type="dxa"/>
            <w:vAlign w:val="center"/>
          </w:tcPr>
          <w:p w:rsidR="004B4777" w:rsidRDefault="004B4777">
            <w:pPr>
              <w:adjustRightIn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90" w:type="dxa"/>
            <w:vAlign w:val="center"/>
          </w:tcPr>
          <w:p w:rsidR="004B4777" w:rsidRDefault="004B4777">
            <w:pPr>
              <w:adjustRightInd w:val="0"/>
              <w:spacing w:line="240" w:lineRule="auto"/>
              <w:ind w:firstLineChars="0" w:firstLine="0"/>
              <w:jc w:val="center"/>
              <w:rPr>
                <w:rFonts w:ascii="Times New Roman" w:hAnsi="Times New Roman"/>
              </w:rPr>
            </w:pPr>
            <w:r>
              <w:rPr>
                <w:rFonts w:ascii="Times New Roman" w:hAnsi="Times New Roman"/>
                <w:sz w:val="21"/>
                <w:szCs w:val="21"/>
              </w:rPr>
              <w:t>≤0.1</w:t>
            </w:r>
          </w:p>
        </w:tc>
      </w:tr>
    </w:tbl>
    <w:p w:rsidR="004B4777" w:rsidRDefault="004B4777">
      <w:pPr>
        <w:pStyle w:val="afe"/>
        <w:ind w:firstLine="280"/>
        <w:rPr>
          <w:rFonts w:hAnsi="Times New Roman"/>
          <w:snapToGrid w:val="0"/>
          <w:kern w:val="0"/>
          <w:szCs w:val="21"/>
        </w:rPr>
      </w:pPr>
    </w:p>
    <w:p w:rsidR="004B4777" w:rsidRDefault="004B4777">
      <w:pPr>
        <w:pStyle w:val="afe"/>
        <w:ind w:firstLine="241"/>
        <w:jc w:val="center"/>
        <w:rPr>
          <w:rFonts w:hAnsi="Times New Roman"/>
          <w:b/>
          <w:snapToGrid w:val="0"/>
          <w:kern w:val="0"/>
          <w:sz w:val="24"/>
          <w:szCs w:val="24"/>
        </w:rPr>
      </w:pPr>
      <w:r>
        <w:rPr>
          <w:rFonts w:hAnsi="Times New Roman"/>
          <w:b/>
          <w:snapToGrid w:val="0"/>
          <w:kern w:val="0"/>
          <w:sz w:val="24"/>
          <w:szCs w:val="24"/>
        </w:rPr>
        <w:t>表5</w:t>
      </w:r>
      <w:r>
        <w:rPr>
          <w:rFonts w:hAnsi="Times New Roman" w:hint="eastAsia"/>
          <w:b/>
          <w:snapToGrid w:val="0"/>
          <w:kern w:val="0"/>
          <w:sz w:val="24"/>
          <w:szCs w:val="24"/>
        </w:rPr>
        <w:t xml:space="preserve">.2-8 </w:t>
      </w:r>
      <w:r>
        <w:rPr>
          <w:rFonts w:hAnsi="Times New Roman"/>
          <w:b/>
          <w:snapToGrid w:val="0"/>
          <w:kern w:val="0"/>
          <w:sz w:val="24"/>
          <w:szCs w:val="24"/>
        </w:rPr>
        <w:t>取水口集中式生活饮用水地表水源地特定项目现状监测表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26"/>
        <w:gridCol w:w="1818"/>
        <w:gridCol w:w="1117"/>
        <w:gridCol w:w="1117"/>
        <w:gridCol w:w="1119"/>
        <w:gridCol w:w="1119"/>
        <w:gridCol w:w="1312"/>
      </w:tblGrid>
      <w:tr w:rsidR="004B4777">
        <w:trPr>
          <w:trHeight w:val="340"/>
          <w:tblHeader/>
          <w:jc w:val="center"/>
        </w:trPr>
        <w:tc>
          <w:tcPr>
            <w:tcW w:w="926" w:type="dxa"/>
            <w:vMerge w:val="restart"/>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采样</w:t>
            </w:r>
          </w:p>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位置</w:t>
            </w:r>
          </w:p>
        </w:tc>
        <w:tc>
          <w:tcPr>
            <w:tcW w:w="1818" w:type="dxa"/>
            <w:vMerge w:val="restart"/>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z w:val="21"/>
                <w:szCs w:val="21"/>
              </w:rPr>
              <w:t>检测项目</w:t>
            </w:r>
          </w:p>
        </w:tc>
        <w:tc>
          <w:tcPr>
            <w:tcW w:w="1117" w:type="dxa"/>
            <w:vMerge w:val="restart"/>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单位</w:t>
            </w:r>
          </w:p>
        </w:tc>
        <w:tc>
          <w:tcPr>
            <w:tcW w:w="3355" w:type="dxa"/>
            <w:gridSpan w:val="3"/>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z w:val="21"/>
                <w:szCs w:val="21"/>
              </w:rPr>
              <w:t>检测结果</w:t>
            </w:r>
          </w:p>
        </w:tc>
        <w:tc>
          <w:tcPr>
            <w:tcW w:w="1312" w:type="dxa"/>
            <w:vMerge w:val="restart"/>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z w:val="21"/>
                <w:szCs w:val="21"/>
              </w:rPr>
              <w:t>标准值</w:t>
            </w:r>
          </w:p>
        </w:tc>
      </w:tr>
      <w:tr w:rsidR="004B4777">
        <w:trPr>
          <w:trHeight w:val="340"/>
          <w:tblHeader/>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p>
        </w:tc>
        <w:tc>
          <w:tcPr>
            <w:tcW w:w="1818"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sz w:val="21"/>
                <w:szCs w:val="21"/>
              </w:rPr>
            </w:pPr>
          </w:p>
        </w:tc>
        <w:tc>
          <w:tcPr>
            <w:tcW w:w="1117"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snapToGrid w:val="0"/>
                <w:kern w:val="0"/>
                <w:sz w:val="21"/>
                <w:szCs w:val="21"/>
              </w:rPr>
            </w:pP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20</w:t>
            </w:r>
            <w:r>
              <w:rPr>
                <w:rFonts w:ascii="Times New Roman" w:hAnsi="Times New Roman"/>
                <w:b/>
                <w:sz w:val="21"/>
                <w:szCs w:val="21"/>
              </w:rPr>
              <w:t>日</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21</w:t>
            </w:r>
            <w:r>
              <w:rPr>
                <w:rFonts w:ascii="Times New Roman" w:hAnsi="Times New Roman"/>
                <w:b/>
                <w:sz w:val="21"/>
                <w:szCs w:val="21"/>
              </w:rPr>
              <w:t>日</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4</w:t>
            </w:r>
            <w:r>
              <w:rPr>
                <w:rFonts w:ascii="Times New Roman" w:hAnsi="Times New Roman"/>
                <w:b/>
                <w:sz w:val="21"/>
                <w:szCs w:val="21"/>
              </w:rPr>
              <w:t>月</w:t>
            </w:r>
            <w:r>
              <w:rPr>
                <w:rFonts w:ascii="Times New Roman" w:hAnsi="Times New Roman"/>
                <w:b/>
                <w:sz w:val="21"/>
                <w:szCs w:val="21"/>
              </w:rPr>
              <w:t>22</w:t>
            </w:r>
            <w:r>
              <w:rPr>
                <w:rFonts w:ascii="Times New Roman" w:hAnsi="Times New Roman"/>
                <w:b/>
                <w:sz w:val="21"/>
                <w:szCs w:val="21"/>
              </w:rPr>
              <w:t>日</w:t>
            </w:r>
          </w:p>
        </w:tc>
        <w:tc>
          <w:tcPr>
            <w:tcW w:w="1312"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r>
      <w:tr w:rsidR="004B4777">
        <w:trPr>
          <w:trHeight w:val="340"/>
          <w:jc w:val="center"/>
        </w:trPr>
        <w:tc>
          <w:tcPr>
            <w:tcW w:w="926" w:type="dxa"/>
            <w:vMerge w:val="restart"/>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z w:val="21"/>
                <w:szCs w:val="21"/>
              </w:rPr>
              <w:t>岳阳市屈原管理区饮用水取水口</w:t>
            </w:r>
            <w:r>
              <w:rPr>
                <w:rFonts w:ascii="Times New Roman" w:hAnsi="Times New Roman" w:hint="eastAsia"/>
                <w:b/>
                <w:sz w:val="21"/>
                <w:szCs w:val="21"/>
              </w:rPr>
              <w:t>断面</w:t>
            </w: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三氯甲烷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≤0.06</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四氯化碳</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三溴甲烷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二氯甲烷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1,2</w:t>
            </w:r>
            <w:r>
              <w:rPr>
                <w:rFonts w:ascii="Times New Roman" w:hAnsi="Times New Roman"/>
                <w:sz w:val="21"/>
                <w:szCs w:val="21"/>
              </w:rPr>
              <w:t>二氯乙烷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kern w:val="0"/>
                <w:sz w:val="21"/>
                <w:szCs w:val="21"/>
                <w:lang/>
              </w:rPr>
            </w:pPr>
            <w:r>
              <w:rPr>
                <w:rFonts w:ascii="Times New Roman" w:hAnsi="Times New Roman"/>
                <w:kern w:val="0"/>
                <w:sz w:val="21"/>
                <w:szCs w:val="21"/>
                <w:lang/>
              </w:rPr>
              <w:t>环氧氯丙烷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氯乙烯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1,1</w:t>
            </w:r>
            <w:r>
              <w:rPr>
                <w:rFonts w:ascii="Times New Roman" w:hAnsi="Times New Roman"/>
                <w:sz w:val="21"/>
                <w:szCs w:val="21"/>
              </w:rPr>
              <w:t>二氯乙烯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1,2</w:t>
            </w:r>
            <w:r>
              <w:rPr>
                <w:rFonts w:ascii="Times New Roman" w:hAnsi="Times New Roman"/>
                <w:sz w:val="21"/>
                <w:szCs w:val="21"/>
              </w:rPr>
              <w:t>二氯乙烯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三氯乙烯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≤0.07</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四氯乙烯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≤0.04</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氯丁二烯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六氯丁二烯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≤0.0006</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苯乙烯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甲醛</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≤0.9</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kern w:val="0"/>
                <w:sz w:val="21"/>
                <w:szCs w:val="21"/>
                <w:lang/>
              </w:rPr>
            </w:pPr>
            <w:r>
              <w:rPr>
                <w:rFonts w:ascii="Times New Roman" w:hAnsi="Times New Roman"/>
                <w:kern w:val="0"/>
                <w:sz w:val="21"/>
                <w:szCs w:val="21"/>
                <w:lang/>
              </w:rPr>
              <w:t>乙醛</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kern w:val="0"/>
                <w:sz w:val="21"/>
                <w:szCs w:val="21"/>
                <w:lang/>
              </w:rPr>
            </w:pPr>
            <w:r>
              <w:rPr>
                <w:rFonts w:ascii="Times New Roman" w:hAnsi="Times New Roman"/>
                <w:kern w:val="0"/>
                <w:sz w:val="21"/>
                <w:szCs w:val="21"/>
                <w:lang/>
              </w:rPr>
              <w:t>丙烯醛</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三氯乙醛</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甲苯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≤0.7</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乙苯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二甲苯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异丙苯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1</w:t>
            </w:r>
            <w:r>
              <w:rPr>
                <w:rFonts w:ascii="Times New Roman" w:hAnsi="Times New Roman"/>
                <w:kern w:val="0"/>
                <w:sz w:val="21"/>
                <w:szCs w:val="21"/>
              </w:rPr>
              <w:t>，</w:t>
            </w:r>
            <w:r>
              <w:rPr>
                <w:rFonts w:ascii="Times New Roman" w:hAnsi="Times New Roman"/>
                <w:kern w:val="0"/>
                <w:sz w:val="21"/>
                <w:szCs w:val="21"/>
              </w:rPr>
              <w:t>2-</w:t>
            </w:r>
            <w:r>
              <w:rPr>
                <w:rFonts w:ascii="Times New Roman" w:hAnsi="Times New Roman"/>
                <w:kern w:val="0"/>
                <w:sz w:val="21"/>
                <w:szCs w:val="21"/>
              </w:rPr>
              <w:t>二氯苯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1</w:t>
            </w:r>
            <w:r>
              <w:rPr>
                <w:rFonts w:ascii="Times New Roman" w:hAnsi="Times New Roman"/>
                <w:kern w:val="0"/>
                <w:sz w:val="21"/>
                <w:szCs w:val="21"/>
              </w:rPr>
              <w:t>，</w:t>
            </w:r>
            <w:r>
              <w:rPr>
                <w:rFonts w:ascii="Times New Roman" w:hAnsi="Times New Roman"/>
                <w:kern w:val="0"/>
                <w:sz w:val="21"/>
                <w:szCs w:val="21"/>
              </w:rPr>
              <w:t>4-</w:t>
            </w:r>
            <w:r>
              <w:rPr>
                <w:rFonts w:ascii="Times New Roman" w:hAnsi="Times New Roman"/>
                <w:kern w:val="0"/>
                <w:sz w:val="21"/>
                <w:szCs w:val="21"/>
              </w:rPr>
              <w:t>二氯苯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三氯苯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四氯苯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六氯苯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硝基苯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≤0.017</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二硝基苯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lang/>
              </w:rPr>
              <w:t>2,4-</w:t>
            </w:r>
            <w:r>
              <w:rPr>
                <w:rFonts w:ascii="Times New Roman" w:hAnsi="Times New Roman"/>
                <w:kern w:val="0"/>
                <w:sz w:val="21"/>
                <w:szCs w:val="21"/>
                <w:lang/>
              </w:rPr>
              <w:t>二硝基甲苯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lang/>
              </w:rPr>
              <w:t>2,4</w:t>
            </w:r>
            <w:r>
              <w:rPr>
                <w:rFonts w:ascii="Times New Roman" w:hAnsi="Times New Roman"/>
                <w:kern w:val="0"/>
                <w:sz w:val="21"/>
                <w:szCs w:val="21"/>
                <w:lang/>
              </w:rPr>
              <w:t>，</w:t>
            </w:r>
            <w:r>
              <w:rPr>
                <w:rFonts w:ascii="Times New Roman" w:hAnsi="Times New Roman"/>
                <w:kern w:val="0"/>
                <w:sz w:val="21"/>
                <w:szCs w:val="21"/>
                <w:lang/>
              </w:rPr>
              <w:t>6-</w:t>
            </w:r>
            <w:r>
              <w:rPr>
                <w:rFonts w:ascii="Times New Roman" w:hAnsi="Times New Roman"/>
                <w:kern w:val="0"/>
                <w:sz w:val="21"/>
                <w:szCs w:val="21"/>
                <w:lang/>
              </w:rPr>
              <w:t>三硝基甲苯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硝基氯苯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2,4-</w:t>
            </w:r>
            <w:r>
              <w:rPr>
                <w:rFonts w:ascii="Times New Roman" w:hAnsi="Times New Roman"/>
                <w:kern w:val="0"/>
                <w:sz w:val="21"/>
                <w:szCs w:val="21"/>
                <w:lang/>
              </w:rPr>
              <w:t>二硝基氯苯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2,4-</w:t>
            </w:r>
            <w:r>
              <w:rPr>
                <w:rFonts w:ascii="Times New Roman" w:hAnsi="Times New Roman"/>
                <w:kern w:val="0"/>
                <w:sz w:val="21"/>
                <w:szCs w:val="21"/>
                <w:lang/>
              </w:rPr>
              <w:t>二氯苯酚</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≤0.093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lang/>
              </w:rPr>
              <w:t>2,4,6-</w:t>
            </w:r>
            <w:r>
              <w:rPr>
                <w:rFonts w:ascii="Times New Roman" w:hAnsi="Times New Roman"/>
                <w:kern w:val="0"/>
                <w:sz w:val="21"/>
                <w:szCs w:val="21"/>
                <w:lang/>
              </w:rPr>
              <w:t>三氯苯酚</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五氯酚</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≤0.009</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苯胺</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联苯胺</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丙烯酰胺</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丙烯腈</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邻苯二甲酸二丁酯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邻苯二甲酸二（</w:t>
            </w:r>
            <w:r>
              <w:rPr>
                <w:rFonts w:ascii="Times New Roman" w:hAnsi="Times New Roman"/>
                <w:kern w:val="0"/>
                <w:sz w:val="21"/>
                <w:szCs w:val="21"/>
              </w:rPr>
              <w:t>2-</w:t>
            </w:r>
            <w:r>
              <w:rPr>
                <w:rFonts w:ascii="Times New Roman" w:hAnsi="Times New Roman"/>
                <w:kern w:val="0"/>
                <w:sz w:val="21"/>
                <w:szCs w:val="21"/>
              </w:rPr>
              <w:t>乙基己基）酯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≤0.008</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水合肼</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四乙基铅</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吡啶</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松节油</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苦味酸</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丁基黄原酸</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活性氯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滴滴涕</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林丹</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环氧七氯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对硫磷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甲基对硫磷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马拉硫磷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乐果</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≤0.08</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敌敌畏</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敌百虫</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内吸磷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百菌清</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≤0.01</w:t>
            </w:r>
          </w:p>
        </w:tc>
      </w:tr>
      <w:tr w:rsidR="004B4777">
        <w:trPr>
          <w:trHeight w:val="365"/>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甲萘威</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276"/>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溴清菊酯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阿特拉津</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苯并（</w:t>
            </w:r>
            <w:r>
              <w:rPr>
                <w:rFonts w:ascii="Times New Roman" w:hAnsi="Times New Roman"/>
                <w:kern w:val="0"/>
                <w:sz w:val="21"/>
                <w:szCs w:val="21"/>
              </w:rPr>
              <w:t>a</w:t>
            </w:r>
            <w:r>
              <w:rPr>
                <w:rFonts w:ascii="Times New Roman" w:hAnsi="Times New Roman"/>
                <w:kern w:val="0"/>
                <w:sz w:val="21"/>
                <w:szCs w:val="21"/>
              </w:rPr>
              <w:t>）芘</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≤2.8×10</w:t>
            </w:r>
            <w:r>
              <w:rPr>
                <w:rFonts w:ascii="Times New Roman" w:hAnsi="Times New Roman"/>
                <w:sz w:val="21"/>
                <w:szCs w:val="21"/>
                <w:vertAlign w:val="superscript"/>
              </w:rPr>
              <w:t>-6</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甲基汞</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≤1.0×10</w:t>
            </w:r>
            <w:r>
              <w:rPr>
                <w:rFonts w:ascii="Times New Roman" w:hAnsi="Times New Roman"/>
                <w:sz w:val="21"/>
                <w:szCs w:val="21"/>
                <w:vertAlign w:val="superscript"/>
              </w:rPr>
              <w:t>-6</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多氯联苯</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≤2.0×10</w:t>
            </w:r>
            <w:r>
              <w:rPr>
                <w:rFonts w:ascii="Times New Roman" w:hAnsi="Times New Roman"/>
                <w:sz w:val="21"/>
                <w:szCs w:val="21"/>
                <w:vertAlign w:val="superscript"/>
              </w:rPr>
              <w:t>-5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微嚢藻毒藻</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黄磷</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≤0.003</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钼</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≤0.07</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钴</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铍</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硼</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锑</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镍</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≤0.02</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sz w:val="21"/>
                <w:szCs w:val="21"/>
              </w:rPr>
            </w:pPr>
            <w:r>
              <w:rPr>
                <w:rFonts w:ascii="Times New Roman" w:hAnsi="Times New Roman"/>
                <w:kern w:val="0"/>
                <w:sz w:val="21"/>
                <w:szCs w:val="21"/>
              </w:rPr>
              <w:t>钡</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≤0.7</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sz w:val="21"/>
                <w:szCs w:val="21"/>
              </w:rPr>
              <w:t>钒</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≤0.05</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textAlignment w:val="center"/>
              <w:rPr>
                <w:rFonts w:ascii="Times New Roman" w:hAnsi="Times New Roman"/>
                <w:kern w:val="0"/>
                <w:sz w:val="21"/>
                <w:szCs w:val="21"/>
                <w:lang/>
              </w:rPr>
            </w:pPr>
            <w:r>
              <w:rPr>
                <w:rFonts w:ascii="Times New Roman" w:hAnsi="Times New Roman"/>
                <w:kern w:val="0"/>
                <w:sz w:val="21"/>
                <w:szCs w:val="21"/>
                <w:lang/>
              </w:rPr>
              <w:t>钛</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w:t>
            </w:r>
          </w:p>
        </w:tc>
      </w:tr>
      <w:tr w:rsidR="004B4777">
        <w:trPr>
          <w:trHeight w:val="340"/>
          <w:jc w:val="center"/>
        </w:trPr>
        <w:tc>
          <w:tcPr>
            <w:tcW w:w="926" w:type="dxa"/>
            <w:vMerge/>
            <w:vAlign w:val="center"/>
          </w:tcPr>
          <w:p w:rsidR="004B4777" w:rsidRDefault="004B4777">
            <w:pPr>
              <w:pStyle w:val="afe"/>
              <w:adjustRightInd w:val="0"/>
              <w:snapToGrid w:val="0"/>
              <w:spacing w:line="240" w:lineRule="auto"/>
              <w:ind w:firstLineChars="0" w:firstLine="0"/>
              <w:jc w:val="center"/>
              <w:rPr>
                <w:rFonts w:ascii="Times New Roman" w:hAnsi="Times New Roman"/>
                <w:b/>
                <w:snapToGrid w:val="0"/>
                <w:kern w:val="0"/>
                <w:sz w:val="21"/>
                <w:szCs w:val="21"/>
              </w:rPr>
            </w:pPr>
          </w:p>
        </w:tc>
        <w:tc>
          <w:tcPr>
            <w:tcW w:w="1818" w:type="dxa"/>
            <w:vAlign w:val="center"/>
          </w:tcPr>
          <w:p w:rsidR="004B4777" w:rsidRDefault="004B4777">
            <w:pPr>
              <w:widowControl/>
              <w:adjustRightInd w:val="0"/>
              <w:snapToGrid w:val="0"/>
              <w:spacing w:line="240" w:lineRule="auto"/>
              <w:ind w:firstLineChars="0" w:firstLine="0"/>
              <w:jc w:val="center"/>
              <w:rPr>
                <w:rFonts w:ascii="Times New Roman" w:hAnsi="Times New Roman"/>
                <w:kern w:val="0"/>
                <w:sz w:val="21"/>
                <w:szCs w:val="21"/>
              </w:rPr>
            </w:pPr>
            <w:r>
              <w:rPr>
                <w:rFonts w:ascii="Times New Roman" w:hAnsi="Times New Roman"/>
                <w:kern w:val="0"/>
                <w:sz w:val="21"/>
                <w:szCs w:val="21"/>
              </w:rPr>
              <w:t>铊</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mg/L</w:t>
            </w:r>
          </w:p>
        </w:tc>
        <w:tc>
          <w:tcPr>
            <w:tcW w:w="1117"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119"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ND</w:t>
            </w:r>
          </w:p>
        </w:tc>
        <w:tc>
          <w:tcPr>
            <w:tcW w:w="1312" w:type="dxa"/>
            <w:vAlign w:val="center"/>
          </w:tcPr>
          <w:p w:rsidR="004B4777" w:rsidRDefault="004B4777">
            <w:pPr>
              <w:adjustRightInd w:val="0"/>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≤0.0001</w:t>
            </w:r>
          </w:p>
        </w:tc>
      </w:tr>
    </w:tbl>
    <w:p w:rsidR="004B4777" w:rsidRDefault="004B4777">
      <w:pPr>
        <w:pStyle w:val="3"/>
        <w:spacing w:before="0" w:after="0"/>
        <w:rPr>
          <w:rFonts w:ascii="Times New Roman" w:eastAsia="宋体" w:hAnsi="Times New Roman"/>
          <w:b/>
        </w:rPr>
      </w:pPr>
      <w:r>
        <w:rPr>
          <w:rFonts w:ascii="Times New Roman" w:eastAsia="宋体" w:hAnsi="Times New Roman" w:hint="eastAsia"/>
          <w:b/>
        </w:rPr>
        <w:t>5.2.3</w:t>
      </w:r>
      <w:r>
        <w:rPr>
          <w:rFonts w:ascii="Times New Roman" w:eastAsia="宋体" w:hAnsi="Times New Roman" w:hint="eastAsia"/>
          <w:b/>
        </w:rPr>
        <w:t>地下水环境现状调查与评价</w:t>
      </w:r>
      <w:bookmarkEnd w:id="147"/>
    </w:p>
    <w:p w:rsidR="004B4777" w:rsidRDefault="004B4777">
      <w:pPr>
        <w:pStyle w:val="4"/>
        <w:spacing w:before="0" w:after="0"/>
        <w:rPr>
          <w:rFonts w:ascii="Times New Roman" w:eastAsia="宋体" w:hAnsi="Times New Roman"/>
          <w:b/>
        </w:rPr>
      </w:pPr>
      <w:r>
        <w:rPr>
          <w:rFonts w:ascii="Times New Roman" w:eastAsia="宋体" w:hAnsi="Times New Roman" w:hint="eastAsia"/>
          <w:b/>
        </w:rPr>
        <w:t xml:space="preserve">5.2.3.1  </w:t>
      </w:r>
      <w:r>
        <w:rPr>
          <w:rFonts w:ascii="Times New Roman" w:eastAsia="宋体" w:hAnsi="Times New Roman" w:hint="eastAsia"/>
          <w:b/>
        </w:rPr>
        <w:t>易婆塘采区和斗米咀采区地下水监测断面</w:t>
      </w:r>
    </w:p>
    <w:p w:rsidR="004B4777" w:rsidRDefault="004B4777">
      <w:pPr>
        <w:ind w:firstLineChars="195" w:firstLine="470"/>
        <w:rPr>
          <w:rFonts w:ascii="Times New Roman" w:hAnsi="Times New Roman"/>
          <w:b/>
          <w:szCs w:val="24"/>
        </w:rPr>
      </w:pPr>
      <w:r>
        <w:rPr>
          <w:rFonts w:ascii="Times New Roman" w:hAnsi="Times New Roman"/>
          <w:b/>
          <w:szCs w:val="24"/>
        </w:rPr>
        <w:t>（</w:t>
      </w:r>
      <w:r>
        <w:rPr>
          <w:rFonts w:ascii="Times New Roman" w:hAnsi="Times New Roman"/>
          <w:b/>
          <w:szCs w:val="24"/>
        </w:rPr>
        <w:t>1</w:t>
      </w:r>
      <w:r>
        <w:rPr>
          <w:rFonts w:ascii="Times New Roman" w:hAnsi="Times New Roman"/>
          <w:b/>
          <w:szCs w:val="24"/>
        </w:rPr>
        <w:t>）监测</w:t>
      </w:r>
      <w:r>
        <w:rPr>
          <w:rFonts w:ascii="Times New Roman" w:hAnsi="Times New Roman" w:hint="eastAsia"/>
          <w:b/>
          <w:szCs w:val="24"/>
        </w:rPr>
        <w:t>布点</w:t>
      </w:r>
    </w:p>
    <w:p w:rsidR="004B4777" w:rsidRDefault="004B4777">
      <w:pPr>
        <w:pStyle w:val="aff5"/>
        <w:ind w:firstLine="480"/>
      </w:pPr>
      <w:r>
        <w:t>本次评价</w:t>
      </w:r>
      <w:r>
        <w:rPr>
          <w:rFonts w:hint="eastAsia"/>
        </w:rPr>
        <w:t>选取易婆塘采区和斗米咀采区监测数据，共</w:t>
      </w:r>
      <w:r>
        <w:rPr>
          <w:rFonts w:hint="eastAsia"/>
        </w:rPr>
        <w:t>2</w:t>
      </w:r>
      <w:r>
        <w:rPr>
          <w:rFonts w:hint="eastAsia"/>
        </w:rPr>
        <w:t>个监测断面，监测布点详见表</w:t>
      </w:r>
      <w:r>
        <w:rPr>
          <w:rFonts w:hint="eastAsia"/>
        </w:rPr>
        <w:t>5.2-9</w:t>
      </w:r>
      <w:r>
        <w:rPr>
          <w:rFonts w:hint="eastAsia"/>
        </w:rPr>
        <w:t>。</w:t>
      </w:r>
    </w:p>
    <w:p w:rsidR="004B4777" w:rsidRDefault="004B4777">
      <w:pPr>
        <w:pStyle w:val="af"/>
        <w:spacing w:line="240" w:lineRule="auto"/>
        <w:rPr>
          <w:b/>
        </w:rPr>
      </w:pPr>
      <w:r>
        <w:rPr>
          <w:b/>
        </w:rPr>
        <w:t>表</w:t>
      </w:r>
      <w:r>
        <w:rPr>
          <w:b/>
        </w:rPr>
        <w:t>5.2-</w:t>
      </w:r>
      <w:r>
        <w:rPr>
          <w:rFonts w:hint="eastAsia"/>
          <w:b/>
        </w:rPr>
        <w:t>9</w:t>
      </w:r>
      <w:r>
        <w:rPr>
          <w:b/>
        </w:rPr>
        <w:t xml:space="preserve">  </w:t>
      </w:r>
      <w:r>
        <w:rPr>
          <w:b/>
        </w:rPr>
        <w:t>地下水质量监测方案</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60"/>
        <w:gridCol w:w="2126"/>
        <w:gridCol w:w="2126"/>
        <w:gridCol w:w="1604"/>
      </w:tblGrid>
      <w:tr w:rsidR="004B4777">
        <w:trPr>
          <w:trHeight w:val="397"/>
          <w:jc w:val="center"/>
        </w:trPr>
        <w:tc>
          <w:tcPr>
            <w:tcW w:w="2660" w:type="dxa"/>
            <w:vAlign w:val="center"/>
          </w:tcPr>
          <w:p w:rsidR="004B4777" w:rsidRDefault="004B4777">
            <w:pPr>
              <w:pStyle w:val="affff8"/>
              <w:rPr>
                <w:rFonts w:eastAsia="宋体"/>
              </w:rPr>
            </w:pPr>
            <w:r>
              <w:rPr>
                <w:rFonts w:eastAsia="宋体" w:cs="宋体" w:hint="eastAsia"/>
              </w:rPr>
              <w:t>监测点名称</w:t>
            </w:r>
          </w:p>
        </w:tc>
        <w:tc>
          <w:tcPr>
            <w:tcW w:w="2126" w:type="dxa"/>
            <w:vAlign w:val="center"/>
          </w:tcPr>
          <w:p w:rsidR="004B4777" w:rsidRDefault="004B4777">
            <w:pPr>
              <w:pStyle w:val="affff8"/>
              <w:rPr>
                <w:rFonts w:eastAsia="宋体"/>
              </w:rPr>
            </w:pPr>
            <w:r>
              <w:rPr>
                <w:rFonts w:eastAsia="宋体" w:cs="宋体" w:hint="eastAsia"/>
              </w:rPr>
              <w:t>位置</w:t>
            </w:r>
          </w:p>
        </w:tc>
        <w:tc>
          <w:tcPr>
            <w:tcW w:w="2126" w:type="dxa"/>
            <w:vAlign w:val="center"/>
          </w:tcPr>
          <w:p w:rsidR="004B4777" w:rsidRDefault="004B4777">
            <w:pPr>
              <w:pStyle w:val="affff8"/>
              <w:rPr>
                <w:rFonts w:eastAsia="宋体" w:cs="宋体"/>
                <w:b/>
              </w:rPr>
            </w:pPr>
            <w:r>
              <w:rPr>
                <w:rFonts w:eastAsia="宋体" w:cs="宋体" w:hint="eastAsia"/>
                <w:b/>
              </w:rPr>
              <w:t>执行标准</w:t>
            </w:r>
          </w:p>
        </w:tc>
        <w:tc>
          <w:tcPr>
            <w:tcW w:w="1604" w:type="dxa"/>
            <w:vAlign w:val="center"/>
          </w:tcPr>
          <w:p w:rsidR="004B4777" w:rsidRDefault="004B4777">
            <w:pPr>
              <w:pStyle w:val="affff8"/>
              <w:rPr>
                <w:rFonts w:eastAsia="宋体" w:cs="宋体"/>
                <w:b/>
              </w:rPr>
            </w:pPr>
            <w:r>
              <w:rPr>
                <w:rFonts w:eastAsia="宋体" w:cs="宋体" w:hint="eastAsia"/>
                <w:b/>
              </w:rPr>
              <w:t>监测时间</w:t>
            </w:r>
          </w:p>
        </w:tc>
      </w:tr>
      <w:tr w:rsidR="004B4777">
        <w:trPr>
          <w:trHeight w:val="397"/>
          <w:jc w:val="center"/>
        </w:trPr>
        <w:tc>
          <w:tcPr>
            <w:tcW w:w="2660" w:type="dxa"/>
            <w:vAlign w:val="center"/>
          </w:tcPr>
          <w:p w:rsidR="004B4777" w:rsidRDefault="004B4777">
            <w:pPr>
              <w:pStyle w:val="affff8"/>
              <w:rPr>
                <w:rFonts w:eastAsia="宋体"/>
              </w:rPr>
            </w:pPr>
            <w:r>
              <w:rPr>
                <w:rFonts w:eastAsia="宋体" w:cs="宋体" w:hint="eastAsia"/>
              </w:rPr>
              <w:t>易婆塘采区</w:t>
            </w:r>
            <w:r>
              <w:rPr>
                <w:rFonts w:eastAsia="宋体" w:cs="宋体" w:hint="eastAsia"/>
                <w:color w:val="000000"/>
              </w:rPr>
              <w:t>附近居民区</w:t>
            </w:r>
          </w:p>
        </w:tc>
        <w:tc>
          <w:tcPr>
            <w:tcW w:w="2126" w:type="dxa"/>
            <w:vAlign w:val="center"/>
          </w:tcPr>
          <w:p w:rsidR="004B4777" w:rsidRDefault="004B4777">
            <w:pPr>
              <w:pStyle w:val="affff8"/>
              <w:rPr>
                <w:rFonts w:eastAsia="宋体" w:cs="宋体"/>
                <w:color w:val="000000"/>
              </w:rPr>
            </w:pPr>
            <w:r>
              <w:rPr>
                <w:rFonts w:eastAsia="宋体" w:cs="宋体" w:hint="eastAsia"/>
                <w:color w:val="000000"/>
              </w:rPr>
              <w:t>新坪村</w:t>
            </w:r>
          </w:p>
        </w:tc>
        <w:tc>
          <w:tcPr>
            <w:tcW w:w="2126" w:type="dxa"/>
            <w:vMerge w:val="restart"/>
            <w:vAlign w:val="center"/>
          </w:tcPr>
          <w:p w:rsidR="004B4777" w:rsidRDefault="004B4777">
            <w:pPr>
              <w:pStyle w:val="affff8"/>
              <w:rPr>
                <w:rFonts w:eastAsia="宋体"/>
              </w:rPr>
            </w:pPr>
            <w:r>
              <w:rPr>
                <w:rFonts w:eastAsia="宋体" w:cs="宋体" w:hint="eastAsia"/>
              </w:rPr>
              <w:t>《地下水质量标准》</w:t>
            </w:r>
            <w:r>
              <w:rPr>
                <w:rFonts w:eastAsia="宋体"/>
              </w:rPr>
              <w:lastRenderedPageBreak/>
              <w:t>III</w:t>
            </w:r>
            <w:r>
              <w:rPr>
                <w:rFonts w:eastAsia="宋体" w:cs="宋体" w:hint="eastAsia"/>
              </w:rPr>
              <w:t>类</w:t>
            </w:r>
          </w:p>
        </w:tc>
        <w:tc>
          <w:tcPr>
            <w:tcW w:w="1604" w:type="dxa"/>
            <w:vMerge w:val="restart"/>
            <w:vAlign w:val="center"/>
          </w:tcPr>
          <w:p w:rsidR="004B4777" w:rsidRDefault="004B4777">
            <w:pPr>
              <w:pStyle w:val="affff8"/>
              <w:rPr>
                <w:rFonts w:eastAsia="宋体"/>
              </w:rPr>
            </w:pPr>
            <w:r>
              <w:rPr>
                <w:rFonts w:eastAsia="宋体" w:hint="eastAsia"/>
              </w:rPr>
              <w:lastRenderedPageBreak/>
              <w:t>2018</w:t>
            </w:r>
            <w:r>
              <w:rPr>
                <w:rFonts w:eastAsia="宋体" w:cs="宋体" w:hint="eastAsia"/>
              </w:rPr>
              <w:t>年</w:t>
            </w:r>
            <w:r>
              <w:rPr>
                <w:rFonts w:eastAsia="宋体" w:hint="eastAsia"/>
              </w:rPr>
              <w:t>2</w:t>
            </w:r>
            <w:r>
              <w:rPr>
                <w:rFonts w:eastAsia="宋体" w:cs="宋体" w:hint="eastAsia"/>
              </w:rPr>
              <w:t>月</w:t>
            </w:r>
            <w:r>
              <w:rPr>
                <w:rFonts w:eastAsia="宋体" w:hint="eastAsia"/>
              </w:rPr>
              <w:t>1</w:t>
            </w:r>
            <w:r>
              <w:rPr>
                <w:rFonts w:eastAsia="宋体" w:cs="宋体" w:hint="eastAsia"/>
              </w:rPr>
              <w:lastRenderedPageBreak/>
              <w:t>日</w:t>
            </w:r>
            <w:r>
              <w:rPr>
                <w:rFonts w:eastAsia="宋体" w:hint="eastAsia"/>
              </w:rPr>
              <w:t>-2</w:t>
            </w:r>
            <w:r>
              <w:rPr>
                <w:rFonts w:eastAsia="宋体" w:cs="宋体" w:hint="eastAsia"/>
              </w:rPr>
              <w:t>月</w:t>
            </w:r>
            <w:r>
              <w:rPr>
                <w:rFonts w:eastAsia="宋体" w:hint="eastAsia"/>
              </w:rPr>
              <w:t>3</w:t>
            </w:r>
            <w:r>
              <w:rPr>
                <w:rFonts w:eastAsia="宋体" w:cs="宋体" w:hint="eastAsia"/>
              </w:rPr>
              <w:t>日</w:t>
            </w:r>
          </w:p>
        </w:tc>
      </w:tr>
      <w:tr w:rsidR="004B4777">
        <w:trPr>
          <w:trHeight w:val="397"/>
          <w:jc w:val="center"/>
        </w:trPr>
        <w:tc>
          <w:tcPr>
            <w:tcW w:w="2660" w:type="dxa"/>
            <w:vAlign w:val="center"/>
          </w:tcPr>
          <w:p w:rsidR="004B4777" w:rsidRDefault="004B4777">
            <w:pPr>
              <w:pStyle w:val="affff8"/>
              <w:rPr>
                <w:rFonts w:eastAsia="宋体"/>
              </w:rPr>
            </w:pPr>
            <w:r>
              <w:rPr>
                <w:rFonts w:eastAsia="宋体" w:cs="宋体" w:hint="eastAsia"/>
                <w:color w:val="000000"/>
              </w:rPr>
              <w:lastRenderedPageBreak/>
              <w:t>斗米咀采区附近居民区</w:t>
            </w:r>
          </w:p>
        </w:tc>
        <w:tc>
          <w:tcPr>
            <w:tcW w:w="2126" w:type="dxa"/>
            <w:vAlign w:val="center"/>
          </w:tcPr>
          <w:p w:rsidR="004B4777" w:rsidRDefault="004B4777">
            <w:pPr>
              <w:pStyle w:val="affff8"/>
              <w:rPr>
                <w:rFonts w:eastAsia="宋体" w:cs="宋体"/>
                <w:color w:val="000000"/>
              </w:rPr>
            </w:pPr>
            <w:r>
              <w:rPr>
                <w:rFonts w:eastAsia="宋体" w:cs="宋体" w:hint="eastAsia"/>
                <w:color w:val="000000"/>
              </w:rPr>
              <w:t>裕民村</w:t>
            </w:r>
          </w:p>
        </w:tc>
        <w:tc>
          <w:tcPr>
            <w:tcW w:w="2126" w:type="dxa"/>
            <w:vMerge/>
            <w:vAlign w:val="center"/>
          </w:tcPr>
          <w:p w:rsidR="004B4777" w:rsidRDefault="004B4777">
            <w:pPr>
              <w:pStyle w:val="affff8"/>
              <w:rPr>
                <w:rFonts w:eastAsia="宋体"/>
              </w:rPr>
            </w:pPr>
          </w:p>
        </w:tc>
        <w:tc>
          <w:tcPr>
            <w:tcW w:w="1604" w:type="dxa"/>
            <w:vMerge/>
            <w:vAlign w:val="center"/>
          </w:tcPr>
          <w:p w:rsidR="004B4777" w:rsidRDefault="004B4777">
            <w:pPr>
              <w:pStyle w:val="affff8"/>
              <w:rPr>
                <w:rFonts w:eastAsia="宋体"/>
              </w:rPr>
            </w:pPr>
          </w:p>
        </w:tc>
      </w:tr>
    </w:tbl>
    <w:p w:rsidR="004B4777" w:rsidRDefault="004B4777">
      <w:pPr>
        <w:pStyle w:val="aff5"/>
        <w:ind w:firstLine="480"/>
      </w:pPr>
      <w:r>
        <w:rPr>
          <w:rFonts w:hint="eastAsia"/>
        </w:rPr>
        <w:lastRenderedPageBreak/>
        <w:t xml:space="preserve">                                                                                                                                                                                                                                                                                                                                                                                                                                                                                                                                                                                                                                                                                                                                                       </w:t>
      </w:r>
    </w:p>
    <w:p w:rsidR="004B4777" w:rsidRDefault="004B4777">
      <w:pPr>
        <w:ind w:firstLineChars="195" w:firstLine="470"/>
        <w:rPr>
          <w:rFonts w:ascii="Times New Roman" w:hAnsi="Times New Roman"/>
          <w:b/>
          <w:szCs w:val="24"/>
        </w:rPr>
      </w:pPr>
      <w:r>
        <w:rPr>
          <w:rFonts w:ascii="Times New Roman" w:hAnsi="Times New Roman"/>
          <w:b/>
          <w:szCs w:val="24"/>
        </w:rPr>
        <w:t>（</w:t>
      </w:r>
      <w:r>
        <w:rPr>
          <w:rFonts w:ascii="Times New Roman" w:hAnsi="Times New Roman"/>
          <w:b/>
          <w:szCs w:val="24"/>
        </w:rPr>
        <w:t>2</w:t>
      </w:r>
      <w:r>
        <w:rPr>
          <w:rFonts w:ascii="Times New Roman" w:hAnsi="Times New Roman"/>
          <w:b/>
          <w:szCs w:val="24"/>
        </w:rPr>
        <w:t>）</w:t>
      </w:r>
      <w:r>
        <w:rPr>
          <w:rFonts w:ascii="Times New Roman" w:hAnsi="Times New Roman" w:hint="eastAsia"/>
          <w:b/>
          <w:szCs w:val="24"/>
        </w:rPr>
        <w:t>监测项目</w:t>
      </w:r>
      <w:r>
        <w:rPr>
          <w:rFonts w:ascii="Times New Roman" w:hAnsi="Times New Roman" w:hint="eastAsia"/>
          <w:b/>
          <w:szCs w:val="24"/>
        </w:rPr>
        <w:t xml:space="preserve"> </w:t>
      </w:r>
    </w:p>
    <w:p w:rsidR="004B4777" w:rsidRDefault="004B4777">
      <w:pPr>
        <w:pStyle w:val="aff5"/>
        <w:ind w:firstLine="480"/>
      </w:pPr>
      <w:r>
        <w:t>分析地下水环境中水位、井深、</w:t>
      </w:r>
      <w:r>
        <w:t>pH</w:t>
      </w:r>
      <w:r>
        <w:t>、氟化物、</w:t>
      </w:r>
      <w:r>
        <w:t>COD</w:t>
      </w:r>
      <w:r>
        <w:t>、氨氮、总硬度、铁（</w:t>
      </w:r>
      <w:r>
        <w:t>Fe</w:t>
      </w:r>
      <w:r>
        <w:t>）、锰（</w:t>
      </w:r>
      <w:r>
        <w:t>Mn</w:t>
      </w:r>
      <w:r>
        <w:t>）、铜（</w:t>
      </w:r>
      <w:r>
        <w:t>Cu</w:t>
      </w:r>
      <w:r>
        <w:t>）、锌（</w:t>
      </w:r>
      <w:r>
        <w:t>Zn</w:t>
      </w:r>
      <w:r>
        <w:t>）、镍、砷（</w:t>
      </w:r>
      <w:r>
        <w:t>As</w:t>
      </w:r>
      <w:r>
        <w:t>）、铅（</w:t>
      </w:r>
      <w:r>
        <w:t>Pb</w:t>
      </w:r>
      <w:r>
        <w:t>）、六价铬（</w:t>
      </w:r>
      <w:r>
        <w:t>Cr</w:t>
      </w:r>
      <w:r>
        <w:rPr>
          <w:vertAlign w:val="superscript"/>
        </w:rPr>
        <w:t>6+</w:t>
      </w:r>
      <w:r>
        <w:t>）、汞（</w:t>
      </w:r>
      <w:r>
        <w:t>Hg</w:t>
      </w:r>
      <w:r>
        <w:t>）</w:t>
      </w:r>
      <w:r>
        <w:rPr>
          <w:rFonts w:hint="eastAsia"/>
        </w:rPr>
        <w:t>。</w:t>
      </w:r>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hint="eastAsia"/>
          <w:b/>
          <w:szCs w:val="24"/>
        </w:rPr>
        <w:t>4</w:t>
      </w:r>
      <w:r>
        <w:rPr>
          <w:rFonts w:ascii="Times New Roman" w:hAnsi="Times New Roman"/>
          <w:b/>
          <w:szCs w:val="24"/>
        </w:rPr>
        <w:t>）评价方法</w:t>
      </w:r>
    </w:p>
    <w:p w:rsidR="004B4777" w:rsidRDefault="004B4777">
      <w:pPr>
        <w:ind w:firstLine="480"/>
        <w:rPr>
          <w:rFonts w:ascii="Times New Roman" w:hAnsi="Times New Roman"/>
          <w:b/>
          <w:bCs/>
          <w:szCs w:val="24"/>
        </w:rPr>
      </w:pPr>
      <w:r>
        <w:rPr>
          <w:rFonts w:ascii="Times New Roman" w:hAnsi="Times New Roman"/>
          <w:szCs w:val="24"/>
        </w:rPr>
        <w:t>根据实测结果，按照</w:t>
      </w:r>
      <w:r>
        <w:rPr>
          <w:rFonts w:ascii="Times New Roman" w:hAnsi="Times New Roman" w:hint="eastAsia"/>
          <w:szCs w:val="24"/>
        </w:rPr>
        <w:t>单因子指数</w:t>
      </w:r>
      <w:r>
        <w:rPr>
          <w:rFonts w:ascii="Times New Roman" w:hAnsi="Times New Roman"/>
          <w:szCs w:val="24"/>
        </w:rPr>
        <w:t>评价法进行评价。</w:t>
      </w:r>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hint="eastAsia"/>
          <w:b/>
          <w:szCs w:val="24"/>
        </w:rPr>
        <w:t>6</w:t>
      </w:r>
      <w:r>
        <w:rPr>
          <w:rFonts w:ascii="Times New Roman" w:hAnsi="Times New Roman"/>
          <w:b/>
          <w:szCs w:val="24"/>
        </w:rPr>
        <w:t>）监测结果</w:t>
      </w:r>
    </w:p>
    <w:p w:rsidR="004B4777" w:rsidRDefault="004B4777">
      <w:pPr>
        <w:ind w:firstLine="480"/>
        <w:rPr>
          <w:rFonts w:ascii="Times New Roman" w:hAnsi="Times New Roman"/>
          <w:bCs/>
          <w:szCs w:val="24"/>
        </w:rPr>
      </w:pPr>
      <w:r>
        <w:rPr>
          <w:rFonts w:ascii="Times New Roman" w:hAnsi="Times New Roman"/>
          <w:color w:val="000000"/>
          <w:szCs w:val="24"/>
        </w:rPr>
        <w:t>地下水监测结果详见表</w:t>
      </w:r>
      <w:r>
        <w:rPr>
          <w:rFonts w:ascii="Times New Roman" w:hAnsi="Times New Roman" w:hint="eastAsia"/>
          <w:color w:val="000000"/>
          <w:szCs w:val="24"/>
        </w:rPr>
        <w:t>5.2-10</w:t>
      </w:r>
      <w:r>
        <w:rPr>
          <w:rFonts w:ascii="Times New Roman" w:hAnsi="Times New Roman"/>
          <w:bCs/>
          <w:szCs w:val="24"/>
        </w:rPr>
        <w:t>。</w:t>
      </w:r>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hint="eastAsia"/>
          <w:b/>
          <w:szCs w:val="24"/>
        </w:rPr>
        <w:t>7</w:t>
      </w:r>
      <w:r>
        <w:rPr>
          <w:rFonts w:ascii="Times New Roman" w:hAnsi="Times New Roman"/>
          <w:b/>
          <w:szCs w:val="24"/>
        </w:rPr>
        <w:t>）地下水质量评价</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各个监测点的地下水水质监测因子均满足《地下水质量标准》（</w:t>
      </w:r>
      <w:r>
        <w:rPr>
          <w:rFonts w:ascii="Times New Roman" w:hAnsi="Times New Roman" w:hint="eastAsia"/>
          <w:color w:val="000000"/>
          <w:szCs w:val="24"/>
        </w:rPr>
        <w:t>GBT 14848-2017</w:t>
      </w:r>
      <w:r>
        <w:rPr>
          <w:rFonts w:ascii="Times New Roman" w:hAnsi="Times New Roman" w:hint="eastAsia"/>
          <w:color w:val="000000"/>
          <w:szCs w:val="24"/>
        </w:rPr>
        <w:t>）中Ⅲ类水质标准的要求。</w:t>
      </w:r>
    </w:p>
    <w:p w:rsidR="004B4777" w:rsidRDefault="004B4777">
      <w:pPr>
        <w:ind w:firstLine="480"/>
        <w:rPr>
          <w:rFonts w:ascii="Times New Roman" w:hAnsi="Times New Roman"/>
          <w:bCs/>
          <w:szCs w:val="24"/>
        </w:rPr>
      </w:pPr>
    </w:p>
    <w:p w:rsidR="004B4777" w:rsidRDefault="004B4777">
      <w:pPr>
        <w:ind w:firstLine="480"/>
        <w:rPr>
          <w:rFonts w:ascii="Times New Roman" w:hAnsi="Times New Roman"/>
          <w:bCs/>
          <w:szCs w:val="24"/>
        </w:rPr>
      </w:pPr>
    </w:p>
    <w:p w:rsidR="004B4777" w:rsidRDefault="004B4777">
      <w:pPr>
        <w:ind w:firstLine="480"/>
        <w:rPr>
          <w:rFonts w:ascii="Times New Roman" w:hAnsi="Times New Roman"/>
          <w:bCs/>
          <w:szCs w:val="24"/>
        </w:rPr>
      </w:pPr>
    </w:p>
    <w:p w:rsidR="004B4777" w:rsidRDefault="004B4777">
      <w:pPr>
        <w:ind w:firstLine="480"/>
        <w:rPr>
          <w:rFonts w:ascii="Times New Roman" w:hAnsi="Times New Roman"/>
          <w:bCs/>
          <w:szCs w:val="24"/>
        </w:rPr>
      </w:pPr>
    </w:p>
    <w:p w:rsidR="004B4777" w:rsidRDefault="004B4777">
      <w:pPr>
        <w:ind w:firstLine="480"/>
        <w:rPr>
          <w:rFonts w:ascii="Times New Roman" w:hAnsi="Times New Roman"/>
          <w:bCs/>
          <w:szCs w:val="24"/>
        </w:rPr>
      </w:pPr>
    </w:p>
    <w:p w:rsidR="004B4777" w:rsidRDefault="004B4777">
      <w:pPr>
        <w:ind w:firstLine="480"/>
        <w:rPr>
          <w:rFonts w:ascii="Times New Roman" w:hAnsi="Times New Roman"/>
          <w:bCs/>
          <w:szCs w:val="24"/>
        </w:rPr>
      </w:pPr>
    </w:p>
    <w:p w:rsidR="004B4777" w:rsidRDefault="004B4777">
      <w:pPr>
        <w:ind w:firstLineChars="1200" w:firstLine="2891"/>
        <w:rPr>
          <w:rFonts w:ascii="Times New Roman" w:hAnsi="Times New Roman"/>
          <w:b/>
          <w:szCs w:val="24"/>
        </w:rPr>
        <w:sectPr w:rsidR="004B4777">
          <w:pgSz w:w="11906" w:h="16838"/>
          <w:pgMar w:top="1440" w:right="1803" w:bottom="1440" w:left="1803" w:header="851" w:footer="992" w:gutter="0"/>
          <w:cols w:space="720"/>
          <w:docGrid w:type="lines" w:linePitch="332"/>
        </w:sectPr>
      </w:pPr>
    </w:p>
    <w:p w:rsidR="004B4777" w:rsidRDefault="004B4777">
      <w:pPr>
        <w:pStyle w:val="af"/>
        <w:spacing w:line="240" w:lineRule="auto"/>
        <w:rPr>
          <w:b/>
        </w:rPr>
      </w:pPr>
      <w:r>
        <w:rPr>
          <w:rFonts w:hint="eastAsia"/>
          <w:b/>
        </w:rPr>
        <w:lastRenderedPageBreak/>
        <w:t>表</w:t>
      </w:r>
      <w:r>
        <w:rPr>
          <w:rFonts w:hint="eastAsia"/>
          <w:b/>
        </w:rPr>
        <w:t xml:space="preserve">5.2-10   </w:t>
      </w:r>
      <w:r>
        <w:rPr>
          <w:rFonts w:hint="eastAsia"/>
          <w:b/>
        </w:rPr>
        <w:t>项目采区地下水环境现状监测及评价结果表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350"/>
        <w:gridCol w:w="1658"/>
        <w:gridCol w:w="1488"/>
        <w:gridCol w:w="1415"/>
        <w:gridCol w:w="1718"/>
        <w:gridCol w:w="1358"/>
        <w:gridCol w:w="1417"/>
        <w:gridCol w:w="1253"/>
        <w:gridCol w:w="1517"/>
      </w:tblGrid>
      <w:tr w:rsidR="004B4777">
        <w:trPr>
          <w:jc w:val="center"/>
        </w:trPr>
        <w:tc>
          <w:tcPr>
            <w:tcW w:w="4008" w:type="dxa"/>
            <w:gridSpan w:val="2"/>
            <w:tcBorders>
              <w:tl2br w:val="single" w:sz="6" w:space="0" w:color="auto"/>
            </w:tcBorders>
            <w:vAlign w:val="center"/>
          </w:tcPr>
          <w:p w:rsidR="004B4777" w:rsidRDefault="004B4777">
            <w:pPr>
              <w:pStyle w:val="af"/>
              <w:spacing w:line="240" w:lineRule="auto"/>
              <w:rPr>
                <w:sz w:val="21"/>
                <w:szCs w:val="21"/>
              </w:rPr>
            </w:pPr>
            <w:r>
              <w:rPr>
                <w:sz w:val="21"/>
                <w:szCs w:val="21"/>
              </w:rPr>
              <w:t xml:space="preserve">                  </w:t>
            </w:r>
            <w:r>
              <w:rPr>
                <w:sz w:val="21"/>
                <w:szCs w:val="21"/>
              </w:rPr>
              <w:t>评价因子</w:t>
            </w:r>
          </w:p>
          <w:p w:rsidR="004B4777" w:rsidRDefault="004B4777">
            <w:pPr>
              <w:pStyle w:val="af"/>
              <w:spacing w:line="240" w:lineRule="auto"/>
              <w:ind w:firstLineChars="50" w:firstLine="105"/>
              <w:jc w:val="both"/>
              <w:rPr>
                <w:szCs w:val="21"/>
              </w:rPr>
            </w:pPr>
            <w:r>
              <w:rPr>
                <w:sz w:val="21"/>
                <w:szCs w:val="21"/>
              </w:rPr>
              <w:t>监测断面</w:t>
            </w:r>
          </w:p>
        </w:tc>
        <w:tc>
          <w:tcPr>
            <w:tcW w:w="1488" w:type="dxa"/>
            <w:vAlign w:val="center"/>
          </w:tcPr>
          <w:p w:rsidR="004B4777" w:rsidRDefault="004B4777">
            <w:pPr>
              <w:pStyle w:val="affff8"/>
              <w:rPr>
                <w:rFonts w:eastAsia="宋体"/>
              </w:rPr>
            </w:pPr>
            <w:r>
              <w:rPr>
                <w:rFonts w:eastAsia="宋体" w:hint="eastAsia"/>
              </w:rPr>
              <w:t>pH</w:t>
            </w:r>
          </w:p>
        </w:tc>
        <w:tc>
          <w:tcPr>
            <w:tcW w:w="1415" w:type="dxa"/>
            <w:vAlign w:val="center"/>
          </w:tcPr>
          <w:p w:rsidR="004B4777" w:rsidRDefault="004B4777">
            <w:pPr>
              <w:pStyle w:val="affff8"/>
              <w:rPr>
                <w:rFonts w:eastAsia="宋体"/>
              </w:rPr>
            </w:pPr>
            <w:r>
              <w:rPr>
                <w:rFonts w:eastAsia="宋体" w:hint="eastAsia"/>
              </w:rPr>
              <w:t>氟化物</w:t>
            </w:r>
          </w:p>
        </w:tc>
        <w:tc>
          <w:tcPr>
            <w:tcW w:w="1718" w:type="dxa"/>
            <w:vAlign w:val="center"/>
          </w:tcPr>
          <w:p w:rsidR="004B4777" w:rsidRDefault="004B4777">
            <w:pPr>
              <w:pStyle w:val="affff8"/>
              <w:rPr>
                <w:rFonts w:eastAsia="宋体"/>
              </w:rPr>
            </w:pPr>
            <w:r>
              <w:rPr>
                <w:rFonts w:eastAsia="宋体" w:hint="eastAsia"/>
              </w:rPr>
              <w:t>高锰酸钾指数</w:t>
            </w:r>
          </w:p>
        </w:tc>
        <w:tc>
          <w:tcPr>
            <w:tcW w:w="1358" w:type="dxa"/>
            <w:vAlign w:val="center"/>
          </w:tcPr>
          <w:p w:rsidR="004B4777" w:rsidRDefault="004B4777">
            <w:pPr>
              <w:pStyle w:val="affff8"/>
              <w:rPr>
                <w:rFonts w:eastAsia="宋体"/>
              </w:rPr>
            </w:pPr>
            <w:r>
              <w:rPr>
                <w:rFonts w:eastAsia="宋体" w:hint="eastAsia"/>
              </w:rPr>
              <w:t>氨氮</w:t>
            </w:r>
          </w:p>
        </w:tc>
        <w:tc>
          <w:tcPr>
            <w:tcW w:w="1417" w:type="dxa"/>
            <w:vAlign w:val="center"/>
          </w:tcPr>
          <w:p w:rsidR="004B4777" w:rsidRDefault="004B4777">
            <w:pPr>
              <w:pStyle w:val="affff8"/>
              <w:rPr>
                <w:rFonts w:eastAsia="宋体"/>
              </w:rPr>
            </w:pPr>
            <w:r>
              <w:rPr>
                <w:rFonts w:eastAsia="宋体" w:hint="eastAsia"/>
              </w:rPr>
              <w:t>总硬度</w:t>
            </w:r>
          </w:p>
        </w:tc>
        <w:tc>
          <w:tcPr>
            <w:tcW w:w="1253" w:type="dxa"/>
            <w:vAlign w:val="center"/>
          </w:tcPr>
          <w:p w:rsidR="004B4777" w:rsidRDefault="004B4777">
            <w:pPr>
              <w:pStyle w:val="affff8"/>
              <w:rPr>
                <w:rFonts w:eastAsia="宋体"/>
              </w:rPr>
            </w:pPr>
            <w:r>
              <w:rPr>
                <w:rFonts w:eastAsia="宋体" w:hint="eastAsia"/>
              </w:rPr>
              <w:t>铁</w:t>
            </w:r>
          </w:p>
        </w:tc>
        <w:tc>
          <w:tcPr>
            <w:tcW w:w="1517" w:type="dxa"/>
            <w:vAlign w:val="center"/>
          </w:tcPr>
          <w:p w:rsidR="004B4777" w:rsidRDefault="004B4777">
            <w:pPr>
              <w:pStyle w:val="affff8"/>
              <w:rPr>
                <w:rFonts w:eastAsia="宋体"/>
              </w:rPr>
            </w:pPr>
            <w:r>
              <w:rPr>
                <w:rFonts w:eastAsia="宋体" w:hint="eastAsia"/>
              </w:rPr>
              <w:t>铜</w:t>
            </w:r>
          </w:p>
        </w:tc>
      </w:tr>
      <w:tr w:rsidR="004B4777">
        <w:trPr>
          <w:trHeight w:val="390"/>
          <w:jc w:val="center"/>
        </w:trPr>
        <w:tc>
          <w:tcPr>
            <w:tcW w:w="2350"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易婆塘采区新坪村居民点</w:t>
            </w: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6.89~7.31</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0.034~0.042</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0.9~1.8</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0.02L</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135~182</w:t>
            </w:r>
          </w:p>
        </w:tc>
        <w:tc>
          <w:tcPr>
            <w:tcW w:w="1253" w:type="dxa"/>
            <w:vAlign w:val="center"/>
          </w:tcPr>
          <w:p w:rsidR="004B4777" w:rsidRDefault="004B4777">
            <w:pPr>
              <w:pStyle w:val="af"/>
              <w:tabs>
                <w:tab w:val="left" w:pos="410"/>
              </w:tabs>
              <w:spacing w:line="240" w:lineRule="auto"/>
              <w:rPr>
                <w:bCs/>
                <w:sz w:val="21"/>
                <w:szCs w:val="21"/>
                <w:lang/>
              </w:rPr>
            </w:pPr>
            <w:r>
              <w:rPr>
                <w:bCs/>
                <w:sz w:val="21"/>
                <w:szCs w:val="21"/>
                <w:lang/>
              </w:rPr>
              <w:t>0.01L</w:t>
            </w:r>
          </w:p>
        </w:tc>
        <w:tc>
          <w:tcPr>
            <w:tcW w:w="1517" w:type="dxa"/>
            <w:vAlign w:val="center"/>
          </w:tcPr>
          <w:p w:rsidR="004B4777" w:rsidRDefault="004B4777">
            <w:pPr>
              <w:pStyle w:val="af"/>
              <w:tabs>
                <w:tab w:val="left" w:pos="410"/>
              </w:tabs>
              <w:spacing w:line="240" w:lineRule="auto"/>
              <w:rPr>
                <w:bCs/>
                <w:sz w:val="21"/>
                <w:szCs w:val="21"/>
                <w:lang/>
              </w:rPr>
            </w:pPr>
            <w:r>
              <w:rPr>
                <w:bCs/>
                <w:sz w:val="21"/>
                <w:szCs w:val="21"/>
                <w:lang/>
              </w:rPr>
              <w:t>0.005L</w:t>
            </w:r>
          </w:p>
        </w:tc>
      </w:tr>
      <w:tr w:rsidR="004B4777">
        <w:trPr>
          <w:jc w:val="center"/>
        </w:trPr>
        <w:tc>
          <w:tcPr>
            <w:tcW w:w="2350" w:type="dxa"/>
            <w:vMerge/>
            <w:vAlign w:val="center"/>
          </w:tcPr>
          <w:p w:rsidR="004B4777" w:rsidRDefault="004B4777">
            <w:pPr>
              <w:pStyle w:val="62"/>
              <w:adjustRightInd w:val="0"/>
              <w:snapToGrid w:val="0"/>
              <w:jc w:val="both"/>
              <w:rPr>
                <w:rFonts w:eastAsia="宋体"/>
                <w:b w:val="0"/>
                <w:sz w:val="21"/>
                <w:szCs w:val="21"/>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7.13</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0.038</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1.27</w:t>
            </w:r>
          </w:p>
        </w:tc>
        <w:tc>
          <w:tcPr>
            <w:tcW w:w="135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153.7</w:t>
            </w:r>
          </w:p>
        </w:tc>
        <w:tc>
          <w:tcPr>
            <w:tcW w:w="125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517"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r>
      <w:tr w:rsidR="004B4777">
        <w:trPr>
          <w:jc w:val="center"/>
        </w:trPr>
        <w:tc>
          <w:tcPr>
            <w:tcW w:w="2350" w:type="dxa"/>
            <w:vMerge/>
            <w:vAlign w:val="center"/>
          </w:tcPr>
          <w:p w:rsidR="004B4777" w:rsidRDefault="004B4777">
            <w:pPr>
              <w:pStyle w:val="62"/>
              <w:adjustRightInd w:val="0"/>
              <w:snapToGrid w:val="0"/>
              <w:jc w:val="both"/>
              <w:rPr>
                <w:rFonts w:eastAsia="宋体"/>
                <w:b w:val="0"/>
                <w:sz w:val="21"/>
                <w:szCs w:val="21"/>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5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517"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2350" w:type="dxa"/>
            <w:vMerge/>
            <w:vAlign w:val="center"/>
          </w:tcPr>
          <w:p w:rsidR="004B4777" w:rsidRDefault="004B4777">
            <w:pPr>
              <w:pStyle w:val="62"/>
              <w:adjustRightInd w:val="0"/>
              <w:snapToGrid w:val="0"/>
              <w:jc w:val="both"/>
              <w:rPr>
                <w:rFonts w:eastAsia="宋体"/>
                <w:b w:val="0"/>
                <w:sz w:val="21"/>
                <w:szCs w:val="21"/>
              </w:rPr>
            </w:pPr>
          </w:p>
        </w:tc>
        <w:tc>
          <w:tcPr>
            <w:tcW w:w="1658" w:type="dxa"/>
            <w:vAlign w:val="center"/>
          </w:tcPr>
          <w:p w:rsidR="004B4777" w:rsidRDefault="004B4777">
            <w:pPr>
              <w:pStyle w:val="62"/>
              <w:adjustRightInd w:val="0"/>
              <w:snapToGrid w:val="0"/>
              <w:rPr>
                <w:rFonts w:eastAsia="宋体"/>
              </w:rPr>
            </w:pPr>
            <w:r>
              <w:rPr>
                <w:rFonts w:eastAsia="宋体"/>
                <w:b w:val="0"/>
                <w:sz w:val="21"/>
                <w:szCs w:val="21"/>
              </w:rPr>
              <w:t>最大超标倍数</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5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517"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2350"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斗米咀采区裕民村居民点</w:t>
            </w: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6.88~6.89</w:t>
            </w:r>
          </w:p>
        </w:tc>
        <w:tc>
          <w:tcPr>
            <w:tcW w:w="1415" w:type="dxa"/>
            <w:vAlign w:val="center"/>
          </w:tcPr>
          <w:p w:rsidR="004B4777" w:rsidRDefault="004B4777">
            <w:pPr>
              <w:pStyle w:val="af"/>
              <w:spacing w:line="240" w:lineRule="auto"/>
              <w:rPr>
                <w:bCs/>
                <w:sz w:val="21"/>
                <w:szCs w:val="21"/>
                <w:lang/>
              </w:rPr>
            </w:pPr>
            <w:r>
              <w:rPr>
                <w:bCs/>
                <w:sz w:val="21"/>
                <w:szCs w:val="21"/>
                <w:lang/>
              </w:rPr>
              <w:t>0.032~0.034</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1.8</w:t>
            </w:r>
          </w:p>
        </w:tc>
        <w:tc>
          <w:tcPr>
            <w:tcW w:w="1358" w:type="dxa"/>
            <w:vAlign w:val="center"/>
          </w:tcPr>
          <w:p w:rsidR="004B4777" w:rsidRDefault="004B4777">
            <w:pPr>
              <w:tabs>
                <w:tab w:val="left" w:pos="410"/>
              </w:tabs>
              <w:spacing w:line="240" w:lineRule="auto"/>
              <w:ind w:firstLine="420"/>
              <w:rPr>
                <w:rFonts w:ascii="Times New Roman" w:hAnsi="Times New Roman"/>
                <w:bCs/>
                <w:kern w:val="0"/>
                <w:sz w:val="21"/>
                <w:szCs w:val="21"/>
                <w:lang/>
              </w:rPr>
            </w:pPr>
            <w:r>
              <w:rPr>
                <w:rFonts w:ascii="Times New Roman" w:hAnsi="Times New Roman"/>
                <w:bCs/>
                <w:kern w:val="0"/>
                <w:sz w:val="21"/>
                <w:szCs w:val="21"/>
                <w:lang/>
              </w:rPr>
              <w:t>0.02L</w:t>
            </w:r>
          </w:p>
        </w:tc>
        <w:tc>
          <w:tcPr>
            <w:tcW w:w="1417" w:type="dxa"/>
            <w:vAlign w:val="center"/>
          </w:tcPr>
          <w:p w:rsidR="004B4777" w:rsidRDefault="004B4777">
            <w:pPr>
              <w:tabs>
                <w:tab w:val="left" w:pos="410"/>
              </w:tabs>
              <w:spacing w:line="240" w:lineRule="auto"/>
              <w:ind w:firstLineChars="95" w:firstLine="199"/>
              <w:rPr>
                <w:rFonts w:ascii="Times New Roman" w:hAnsi="Times New Roman"/>
                <w:bCs/>
                <w:kern w:val="0"/>
                <w:sz w:val="21"/>
                <w:szCs w:val="21"/>
                <w:lang/>
              </w:rPr>
            </w:pPr>
            <w:r>
              <w:rPr>
                <w:rFonts w:ascii="Times New Roman" w:hAnsi="Times New Roman"/>
                <w:bCs/>
                <w:kern w:val="0"/>
                <w:sz w:val="21"/>
                <w:szCs w:val="21"/>
                <w:lang/>
              </w:rPr>
              <w:t>177~182</w:t>
            </w:r>
          </w:p>
        </w:tc>
        <w:tc>
          <w:tcPr>
            <w:tcW w:w="1253" w:type="dxa"/>
            <w:vAlign w:val="center"/>
          </w:tcPr>
          <w:p w:rsidR="004B4777" w:rsidRDefault="004B4777">
            <w:pPr>
              <w:tabs>
                <w:tab w:val="left" w:pos="410"/>
              </w:tabs>
              <w:spacing w:line="240" w:lineRule="auto"/>
              <w:ind w:firstLineChars="145" w:firstLine="304"/>
              <w:rPr>
                <w:rFonts w:ascii="Times New Roman" w:hAnsi="Times New Roman"/>
                <w:bCs/>
                <w:kern w:val="0"/>
                <w:sz w:val="21"/>
                <w:szCs w:val="21"/>
                <w:lang/>
              </w:rPr>
            </w:pPr>
            <w:r>
              <w:rPr>
                <w:rFonts w:ascii="Times New Roman" w:hAnsi="Times New Roman"/>
                <w:bCs/>
                <w:kern w:val="0"/>
                <w:sz w:val="21"/>
                <w:szCs w:val="21"/>
                <w:lang/>
              </w:rPr>
              <w:t>0.01L</w:t>
            </w:r>
          </w:p>
        </w:tc>
        <w:tc>
          <w:tcPr>
            <w:tcW w:w="1517" w:type="dxa"/>
            <w:vAlign w:val="center"/>
          </w:tcPr>
          <w:p w:rsidR="004B4777" w:rsidRDefault="004B4777">
            <w:pPr>
              <w:tabs>
                <w:tab w:val="left" w:pos="410"/>
              </w:tabs>
              <w:spacing w:line="240" w:lineRule="auto"/>
              <w:ind w:firstLineChars="145" w:firstLine="304"/>
              <w:rPr>
                <w:rFonts w:ascii="Times New Roman" w:hAnsi="Times New Roman"/>
                <w:bCs/>
                <w:kern w:val="0"/>
                <w:sz w:val="21"/>
                <w:szCs w:val="21"/>
                <w:lang/>
              </w:rPr>
            </w:pPr>
            <w:r>
              <w:rPr>
                <w:rFonts w:ascii="Times New Roman" w:hAnsi="Times New Roman"/>
                <w:bCs/>
                <w:kern w:val="0"/>
                <w:sz w:val="21"/>
                <w:szCs w:val="21"/>
                <w:lang/>
              </w:rPr>
              <w:t>0.005L</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6.88</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0.327</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1.8</w:t>
            </w:r>
          </w:p>
        </w:tc>
        <w:tc>
          <w:tcPr>
            <w:tcW w:w="135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178.7</w:t>
            </w:r>
          </w:p>
        </w:tc>
        <w:tc>
          <w:tcPr>
            <w:tcW w:w="125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517"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5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517"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5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517"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4008" w:type="dxa"/>
            <w:gridSpan w:val="2"/>
            <w:vAlign w:val="center"/>
          </w:tcPr>
          <w:p w:rsidR="004B4777" w:rsidRDefault="004B4777">
            <w:pPr>
              <w:pStyle w:val="62"/>
              <w:adjustRightInd w:val="0"/>
              <w:snapToGrid w:val="0"/>
              <w:rPr>
                <w:rFonts w:eastAsia="宋体"/>
                <w:b w:val="0"/>
                <w:sz w:val="21"/>
                <w:szCs w:val="21"/>
                <w:u w:val="single"/>
              </w:rPr>
            </w:pPr>
            <w:r>
              <w:rPr>
                <w:rFonts w:eastAsia="宋体" w:hint="eastAsia"/>
                <w:b w:val="0"/>
                <w:sz w:val="21"/>
                <w:szCs w:val="21"/>
                <w:u w:val="single"/>
              </w:rPr>
              <w:t>GB T 14848-2017</w:t>
            </w:r>
            <w:r>
              <w:rPr>
                <w:rFonts w:eastAsia="宋体" w:hint="eastAsia"/>
                <w:b w:val="0"/>
                <w:sz w:val="21"/>
                <w:szCs w:val="21"/>
                <w:u w:val="single"/>
              </w:rPr>
              <w:t>中Ⅲ类</w:t>
            </w:r>
          </w:p>
        </w:tc>
        <w:tc>
          <w:tcPr>
            <w:tcW w:w="1488"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6.5≤pH≤8.5</w:t>
            </w:r>
          </w:p>
        </w:tc>
        <w:tc>
          <w:tcPr>
            <w:tcW w:w="1415"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≤1.0</w:t>
            </w:r>
          </w:p>
        </w:tc>
        <w:tc>
          <w:tcPr>
            <w:tcW w:w="1718"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w:t>
            </w:r>
            <w:r>
              <w:rPr>
                <w:rFonts w:hint="eastAsia"/>
                <w:bCs/>
                <w:sz w:val="21"/>
                <w:szCs w:val="21"/>
                <w:u w:val="single"/>
                <w:lang/>
              </w:rPr>
              <w:t>3.0</w:t>
            </w:r>
          </w:p>
        </w:tc>
        <w:tc>
          <w:tcPr>
            <w:tcW w:w="1358"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≤0.</w:t>
            </w:r>
            <w:r>
              <w:rPr>
                <w:rFonts w:hint="eastAsia"/>
                <w:bCs/>
                <w:sz w:val="21"/>
                <w:szCs w:val="21"/>
                <w:u w:val="single"/>
                <w:lang/>
              </w:rPr>
              <w:t>5</w:t>
            </w:r>
            <w:r>
              <w:rPr>
                <w:bCs/>
                <w:sz w:val="21"/>
                <w:szCs w:val="21"/>
                <w:u w:val="single"/>
                <w:lang/>
              </w:rPr>
              <w:t>0</w:t>
            </w:r>
          </w:p>
        </w:tc>
        <w:tc>
          <w:tcPr>
            <w:tcW w:w="1417"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w:t>
            </w:r>
            <w:r>
              <w:rPr>
                <w:rFonts w:hint="eastAsia"/>
                <w:bCs/>
                <w:sz w:val="21"/>
                <w:szCs w:val="21"/>
                <w:u w:val="single"/>
                <w:lang/>
              </w:rPr>
              <w:t>450</w:t>
            </w:r>
          </w:p>
        </w:tc>
        <w:tc>
          <w:tcPr>
            <w:tcW w:w="1253"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≤0.</w:t>
            </w:r>
            <w:r>
              <w:rPr>
                <w:rFonts w:hint="eastAsia"/>
                <w:bCs/>
                <w:sz w:val="21"/>
                <w:szCs w:val="21"/>
                <w:u w:val="single"/>
                <w:lang/>
              </w:rPr>
              <w:t>3</w:t>
            </w:r>
          </w:p>
        </w:tc>
        <w:tc>
          <w:tcPr>
            <w:tcW w:w="1517" w:type="dxa"/>
            <w:vAlign w:val="center"/>
          </w:tcPr>
          <w:p w:rsidR="004B4777" w:rsidRDefault="004B4777">
            <w:pPr>
              <w:pStyle w:val="af"/>
              <w:tabs>
                <w:tab w:val="left" w:pos="410"/>
              </w:tabs>
              <w:spacing w:line="240" w:lineRule="auto"/>
              <w:rPr>
                <w:bCs/>
                <w:sz w:val="21"/>
                <w:szCs w:val="21"/>
                <w:u w:val="single"/>
                <w:lang/>
              </w:rPr>
            </w:pPr>
            <w:r>
              <w:rPr>
                <w:bCs/>
                <w:sz w:val="21"/>
                <w:szCs w:val="21"/>
                <w:u w:val="single"/>
                <w:lang/>
              </w:rPr>
              <w:t>≤</w:t>
            </w:r>
            <w:r>
              <w:rPr>
                <w:rFonts w:hint="eastAsia"/>
                <w:bCs/>
                <w:sz w:val="21"/>
                <w:szCs w:val="21"/>
                <w:u w:val="single"/>
                <w:lang/>
              </w:rPr>
              <w:t>1.0</w:t>
            </w:r>
          </w:p>
        </w:tc>
      </w:tr>
      <w:tr w:rsidR="004B4777">
        <w:trPr>
          <w:jc w:val="center"/>
        </w:trPr>
        <w:tc>
          <w:tcPr>
            <w:tcW w:w="4008" w:type="dxa"/>
            <w:gridSpan w:val="2"/>
            <w:tcBorders>
              <w:tl2br w:val="single" w:sz="6" w:space="0" w:color="auto"/>
            </w:tcBorders>
            <w:vAlign w:val="center"/>
          </w:tcPr>
          <w:p w:rsidR="004B4777" w:rsidRDefault="004B4777">
            <w:pPr>
              <w:pStyle w:val="af"/>
              <w:spacing w:line="240" w:lineRule="auto"/>
              <w:rPr>
                <w:sz w:val="21"/>
                <w:szCs w:val="21"/>
              </w:rPr>
            </w:pPr>
            <w:r>
              <w:rPr>
                <w:sz w:val="21"/>
                <w:szCs w:val="21"/>
              </w:rPr>
              <w:t xml:space="preserve">                  </w:t>
            </w:r>
            <w:r>
              <w:rPr>
                <w:sz w:val="21"/>
                <w:szCs w:val="21"/>
              </w:rPr>
              <w:t>评价因子</w:t>
            </w:r>
          </w:p>
          <w:p w:rsidR="004B4777" w:rsidRDefault="004B4777">
            <w:pPr>
              <w:pStyle w:val="af"/>
              <w:spacing w:line="240" w:lineRule="auto"/>
              <w:ind w:firstLineChars="50" w:firstLine="105"/>
              <w:jc w:val="both"/>
              <w:rPr>
                <w:szCs w:val="21"/>
              </w:rPr>
            </w:pPr>
            <w:r>
              <w:rPr>
                <w:sz w:val="21"/>
                <w:szCs w:val="21"/>
              </w:rPr>
              <w:t>监测断面</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锌</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镍</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砷</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铅</w:t>
            </w:r>
          </w:p>
        </w:tc>
        <w:tc>
          <w:tcPr>
            <w:tcW w:w="1417"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锰</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六价铬</w:t>
            </w:r>
          </w:p>
        </w:tc>
      </w:tr>
      <w:tr w:rsidR="004B4777">
        <w:trPr>
          <w:trHeight w:val="390"/>
          <w:jc w:val="center"/>
        </w:trPr>
        <w:tc>
          <w:tcPr>
            <w:tcW w:w="2350" w:type="dxa"/>
            <w:vMerge w:val="restart"/>
            <w:vAlign w:val="center"/>
          </w:tcPr>
          <w:p w:rsidR="004B4777" w:rsidRDefault="004B4777">
            <w:pPr>
              <w:pStyle w:val="62"/>
              <w:adjustRightInd w:val="0"/>
              <w:snapToGrid w:val="0"/>
              <w:jc w:val="both"/>
              <w:rPr>
                <w:rFonts w:eastAsia="宋体"/>
                <w:b w:val="0"/>
                <w:sz w:val="21"/>
                <w:szCs w:val="21"/>
              </w:rPr>
            </w:pPr>
            <w:r>
              <w:rPr>
                <w:rFonts w:eastAsia="宋体" w:hint="eastAsia"/>
                <w:b w:val="0"/>
                <w:sz w:val="21"/>
                <w:szCs w:val="21"/>
              </w:rPr>
              <w:t>易婆塘采区新坪村居民点</w:t>
            </w: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0.01L</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0.005L</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0.007L</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2.5×10-3L</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0.018~0.022</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0.004L</w:t>
            </w:r>
          </w:p>
        </w:tc>
      </w:tr>
      <w:tr w:rsidR="004B4777">
        <w:trPr>
          <w:jc w:val="center"/>
        </w:trPr>
        <w:tc>
          <w:tcPr>
            <w:tcW w:w="2350" w:type="dxa"/>
            <w:vMerge/>
            <w:vAlign w:val="center"/>
          </w:tcPr>
          <w:p w:rsidR="004B4777" w:rsidRDefault="004B4777">
            <w:pPr>
              <w:pStyle w:val="62"/>
              <w:adjustRightInd w:val="0"/>
              <w:snapToGrid w:val="0"/>
              <w:rPr>
                <w:rFonts w:eastAsia="宋体"/>
                <w:b w:val="0"/>
                <w:sz w:val="21"/>
                <w:szCs w:val="21"/>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48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415" w:type="dxa"/>
            <w:vAlign w:val="center"/>
          </w:tcPr>
          <w:p w:rsidR="004B4777" w:rsidRDefault="004B4777">
            <w:pPr>
              <w:tabs>
                <w:tab w:val="left" w:pos="410"/>
              </w:tabs>
              <w:spacing w:line="240" w:lineRule="auto"/>
              <w:ind w:firstLine="420"/>
              <w:jc w:val="center"/>
              <w:rPr>
                <w:rFonts w:ascii="Times New Roman" w:hAnsi="Times New Roman"/>
                <w:bCs/>
                <w:kern w:val="0"/>
                <w:sz w:val="21"/>
                <w:szCs w:val="21"/>
                <w:lang/>
              </w:rPr>
            </w:pPr>
            <w:r>
              <w:rPr>
                <w:rFonts w:ascii="Times New Roman" w:hAnsi="Times New Roman" w:hint="eastAsia"/>
                <w:bCs/>
                <w:kern w:val="0"/>
                <w:sz w:val="21"/>
                <w:szCs w:val="21"/>
                <w:lang/>
              </w:rPr>
              <w:t>/</w:t>
            </w:r>
          </w:p>
        </w:tc>
        <w:tc>
          <w:tcPr>
            <w:tcW w:w="1718" w:type="dxa"/>
            <w:vAlign w:val="center"/>
          </w:tcPr>
          <w:p w:rsidR="004B4777" w:rsidRDefault="004B4777">
            <w:pPr>
              <w:tabs>
                <w:tab w:val="left" w:pos="410"/>
              </w:tabs>
              <w:spacing w:line="240" w:lineRule="auto"/>
              <w:ind w:firstLine="420"/>
              <w:jc w:val="center"/>
              <w:rPr>
                <w:rFonts w:ascii="Times New Roman" w:hAnsi="Times New Roman"/>
                <w:bCs/>
                <w:kern w:val="0"/>
                <w:sz w:val="21"/>
                <w:szCs w:val="21"/>
                <w:lang/>
              </w:rPr>
            </w:pPr>
            <w:r>
              <w:rPr>
                <w:rFonts w:ascii="Times New Roman" w:hAnsi="Times New Roman" w:hint="eastAsia"/>
                <w:bCs/>
                <w:kern w:val="0"/>
                <w:sz w:val="21"/>
                <w:szCs w:val="21"/>
                <w:lang/>
              </w:rPr>
              <w:t>/</w:t>
            </w:r>
          </w:p>
        </w:tc>
        <w:tc>
          <w:tcPr>
            <w:tcW w:w="1358" w:type="dxa"/>
            <w:vAlign w:val="center"/>
          </w:tcPr>
          <w:p w:rsidR="004B4777" w:rsidRDefault="004B4777">
            <w:pPr>
              <w:tabs>
                <w:tab w:val="left" w:pos="410"/>
              </w:tabs>
              <w:spacing w:line="240" w:lineRule="auto"/>
              <w:ind w:firstLine="420"/>
              <w:jc w:val="center"/>
              <w:rPr>
                <w:rFonts w:ascii="Times New Roman" w:hAnsi="Times New Roman"/>
                <w:bCs/>
                <w:kern w:val="0"/>
                <w:sz w:val="21"/>
                <w:szCs w:val="21"/>
                <w:lang/>
              </w:rPr>
            </w:pPr>
            <w:r>
              <w:rPr>
                <w:rFonts w:ascii="Times New Roman" w:hAnsi="Times New Roman" w:hint="eastAsia"/>
                <w:bCs/>
                <w:kern w:val="0"/>
                <w:sz w:val="21"/>
                <w:szCs w:val="21"/>
                <w:lang/>
              </w:rPr>
              <w:t>/</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0.0193</w:t>
            </w:r>
          </w:p>
        </w:tc>
        <w:tc>
          <w:tcPr>
            <w:tcW w:w="2770" w:type="dxa"/>
            <w:gridSpan w:val="2"/>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r>
      <w:tr w:rsidR="004B4777">
        <w:trPr>
          <w:jc w:val="center"/>
        </w:trPr>
        <w:tc>
          <w:tcPr>
            <w:tcW w:w="2350" w:type="dxa"/>
            <w:vMerge/>
            <w:vAlign w:val="center"/>
          </w:tcPr>
          <w:p w:rsidR="004B4777" w:rsidRDefault="004B4777">
            <w:pPr>
              <w:pStyle w:val="62"/>
              <w:adjustRightInd w:val="0"/>
              <w:snapToGrid w:val="0"/>
              <w:rPr>
                <w:rFonts w:eastAsia="宋体"/>
                <w:b w:val="0"/>
                <w:sz w:val="21"/>
                <w:szCs w:val="21"/>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rPr>
            </w:pPr>
            <w:r>
              <w:rPr>
                <w:rFonts w:eastAsia="宋体"/>
                <w:b w:val="0"/>
                <w:sz w:val="21"/>
                <w:szCs w:val="21"/>
              </w:rPr>
              <w:t>最大超标倍数</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2350" w:type="dxa"/>
            <w:vMerge w:val="restart"/>
            <w:vAlign w:val="center"/>
          </w:tcPr>
          <w:p w:rsidR="004B4777" w:rsidRDefault="004B4777">
            <w:pPr>
              <w:pStyle w:val="62"/>
              <w:adjustRightInd w:val="0"/>
              <w:snapToGrid w:val="0"/>
              <w:jc w:val="both"/>
              <w:rPr>
                <w:rFonts w:eastAsia="宋体"/>
              </w:rPr>
            </w:pPr>
            <w:r>
              <w:rPr>
                <w:rFonts w:eastAsia="宋体" w:hint="eastAsia"/>
                <w:b w:val="0"/>
                <w:sz w:val="21"/>
                <w:szCs w:val="21"/>
              </w:rPr>
              <w:t>斗米咀采区裕民村居民点</w:t>
            </w: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浓度范围</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0.01L</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0.005L</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0.007L</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2.5×10-3L</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0.019~0.022</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0.004L</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平均值</w:t>
            </w:r>
          </w:p>
        </w:tc>
        <w:tc>
          <w:tcPr>
            <w:tcW w:w="148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415"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71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35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0.02</w:t>
            </w:r>
          </w:p>
        </w:tc>
        <w:tc>
          <w:tcPr>
            <w:tcW w:w="2770" w:type="dxa"/>
            <w:gridSpan w:val="2"/>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超标率</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2350" w:type="dxa"/>
            <w:vMerge/>
            <w:vAlign w:val="center"/>
          </w:tcPr>
          <w:p w:rsidR="004B4777" w:rsidRDefault="004B4777">
            <w:pPr>
              <w:pStyle w:val="62"/>
              <w:adjustRightInd w:val="0"/>
              <w:snapToGrid w:val="0"/>
              <w:rPr>
                <w:rFonts w:eastAsia="宋体"/>
              </w:rPr>
            </w:pPr>
          </w:p>
        </w:tc>
        <w:tc>
          <w:tcPr>
            <w:tcW w:w="1658" w:type="dxa"/>
            <w:vAlign w:val="center"/>
          </w:tcPr>
          <w:p w:rsidR="004B4777" w:rsidRDefault="004B4777">
            <w:pPr>
              <w:pStyle w:val="62"/>
              <w:adjustRightInd w:val="0"/>
              <w:snapToGrid w:val="0"/>
              <w:rPr>
                <w:rFonts w:eastAsia="宋体"/>
                <w:b w:val="0"/>
                <w:sz w:val="21"/>
                <w:szCs w:val="21"/>
              </w:rPr>
            </w:pPr>
            <w:r>
              <w:rPr>
                <w:rFonts w:eastAsia="宋体"/>
                <w:b w:val="0"/>
                <w:sz w:val="21"/>
                <w:szCs w:val="21"/>
              </w:rPr>
              <w:t>最大超标倍数</w:t>
            </w:r>
          </w:p>
        </w:tc>
        <w:tc>
          <w:tcPr>
            <w:tcW w:w="148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5"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1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58"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417"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2770" w:type="dxa"/>
            <w:gridSpan w:val="2"/>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rPr>
          <w:jc w:val="center"/>
        </w:trPr>
        <w:tc>
          <w:tcPr>
            <w:tcW w:w="4008" w:type="dxa"/>
            <w:gridSpan w:val="2"/>
            <w:vAlign w:val="center"/>
          </w:tcPr>
          <w:p w:rsidR="004B4777" w:rsidRDefault="004B4777">
            <w:pPr>
              <w:pStyle w:val="62"/>
              <w:adjustRightInd w:val="0"/>
              <w:snapToGrid w:val="0"/>
              <w:rPr>
                <w:rFonts w:eastAsia="宋体"/>
                <w:b w:val="0"/>
                <w:sz w:val="21"/>
                <w:szCs w:val="21"/>
                <w:u w:val="single"/>
              </w:rPr>
            </w:pPr>
            <w:r>
              <w:rPr>
                <w:rFonts w:eastAsia="宋体" w:hint="eastAsia"/>
                <w:b w:val="0"/>
                <w:sz w:val="21"/>
                <w:szCs w:val="21"/>
                <w:u w:val="single"/>
              </w:rPr>
              <w:t>GB T 14848-2017</w:t>
            </w:r>
            <w:r>
              <w:rPr>
                <w:rFonts w:eastAsia="宋体" w:hint="eastAsia"/>
                <w:b w:val="0"/>
                <w:sz w:val="21"/>
                <w:szCs w:val="21"/>
                <w:u w:val="single"/>
              </w:rPr>
              <w:t>中Ⅲ类</w:t>
            </w:r>
          </w:p>
        </w:tc>
        <w:tc>
          <w:tcPr>
            <w:tcW w:w="1488" w:type="dxa"/>
            <w:vAlign w:val="center"/>
          </w:tcPr>
          <w:p w:rsidR="004B4777" w:rsidRDefault="004B4777">
            <w:pPr>
              <w:pStyle w:val="affff8"/>
              <w:tabs>
                <w:tab w:val="left" w:pos="378"/>
              </w:tabs>
              <w:rPr>
                <w:rFonts w:eastAsia="宋体"/>
                <w:bCs/>
                <w:snapToGrid/>
                <w:u w:val="single"/>
              </w:rPr>
            </w:pPr>
            <w:r>
              <w:rPr>
                <w:rFonts w:eastAsia="宋体"/>
                <w:bCs/>
                <w:snapToGrid/>
                <w:u w:val="single"/>
              </w:rPr>
              <w:t>≤</w:t>
            </w:r>
            <w:r>
              <w:rPr>
                <w:rFonts w:eastAsia="宋体" w:hint="eastAsia"/>
                <w:bCs/>
                <w:snapToGrid/>
                <w:u w:val="single"/>
              </w:rPr>
              <w:t>1.0</w:t>
            </w:r>
          </w:p>
        </w:tc>
        <w:tc>
          <w:tcPr>
            <w:tcW w:w="1415" w:type="dxa"/>
            <w:vAlign w:val="center"/>
          </w:tcPr>
          <w:p w:rsidR="004B4777" w:rsidRDefault="004B4777">
            <w:pPr>
              <w:pStyle w:val="affff8"/>
              <w:rPr>
                <w:rFonts w:eastAsia="宋体"/>
                <w:bCs/>
                <w:snapToGrid/>
                <w:u w:val="single"/>
              </w:rPr>
            </w:pPr>
            <w:r>
              <w:rPr>
                <w:rFonts w:eastAsia="宋体"/>
                <w:bCs/>
                <w:snapToGrid/>
                <w:u w:val="single"/>
              </w:rPr>
              <w:t>≤0.02</w:t>
            </w:r>
          </w:p>
        </w:tc>
        <w:tc>
          <w:tcPr>
            <w:tcW w:w="1718" w:type="dxa"/>
            <w:vAlign w:val="center"/>
          </w:tcPr>
          <w:p w:rsidR="004B4777" w:rsidRDefault="004B4777">
            <w:pPr>
              <w:pStyle w:val="affff8"/>
              <w:rPr>
                <w:rFonts w:eastAsia="宋体"/>
                <w:bCs/>
                <w:snapToGrid/>
                <w:u w:val="single"/>
              </w:rPr>
            </w:pPr>
            <w:r>
              <w:rPr>
                <w:rFonts w:eastAsia="宋体"/>
                <w:bCs/>
                <w:snapToGrid/>
                <w:u w:val="single"/>
              </w:rPr>
              <w:t>≤0.01</w:t>
            </w:r>
          </w:p>
        </w:tc>
        <w:tc>
          <w:tcPr>
            <w:tcW w:w="1358" w:type="dxa"/>
            <w:vAlign w:val="center"/>
          </w:tcPr>
          <w:p w:rsidR="004B4777" w:rsidRDefault="004B4777">
            <w:pPr>
              <w:pStyle w:val="affff8"/>
              <w:rPr>
                <w:rFonts w:eastAsia="宋体"/>
                <w:bCs/>
                <w:snapToGrid/>
                <w:u w:val="single"/>
              </w:rPr>
            </w:pPr>
            <w:r>
              <w:rPr>
                <w:rFonts w:eastAsia="宋体"/>
                <w:bCs/>
                <w:snapToGrid/>
                <w:u w:val="single"/>
              </w:rPr>
              <w:t>≤0.</w:t>
            </w:r>
            <w:r>
              <w:rPr>
                <w:rFonts w:eastAsia="宋体" w:hint="eastAsia"/>
                <w:bCs/>
                <w:snapToGrid/>
                <w:u w:val="single"/>
              </w:rPr>
              <w:t>01</w:t>
            </w:r>
          </w:p>
        </w:tc>
        <w:tc>
          <w:tcPr>
            <w:tcW w:w="1417" w:type="dxa"/>
            <w:vAlign w:val="center"/>
          </w:tcPr>
          <w:p w:rsidR="004B4777" w:rsidRDefault="004B4777">
            <w:pPr>
              <w:pStyle w:val="affff8"/>
              <w:rPr>
                <w:rFonts w:eastAsia="宋体"/>
                <w:bCs/>
                <w:snapToGrid/>
                <w:u w:val="single"/>
              </w:rPr>
            </w:pPr>
            <w:r>
              <w:rPr>
                <w:rFonts w:eastAsia="宋体"/>
                <w:bCs/>
                <w:snapToGrid/>
                <w:u w:val="single"/>
              </w:rPr>
              <w:t>≤0.</w:t>
            </w:r>
            <w:r>
              <w:rPr>
                <w:rFonts w:eastAsia="宋体" w:hint="eastAsia"/>
                <w:bCs/>
                <w:snapToGrid/>
                <w:u w:val="single"/>
              </w:rPr>
              <w:t>1</w:t>
            </w:r>
          </w:p>
        </w:tc>
        <w:tc>
          <w:tcPr>
            <w:tcW w:w="2770" w:type="dxa"/>
            <w:gridSpan w:val="2"/>
            <w:vAlign w:val="center"/>
          </w:tcPr>
          <w:p w:rsidR="004B4777" w:rsidRDefault="004B4777">
            <w:pPr>
              <w:pStyle w:val="affff8"/>
              <w:rPr>
                <w:rFonts w:eastAsia="宋体"/>
                <w:bCs/>
                <w:snapToGrid/>
                <w:u w:val="single"/>
              </w:rPr>
            </w:pPr>
            <w:r>
              <w:rPr>
                <w:rFonts w:eastAsia="宋体"/>
                <w:bCs/>
                <w:snapToGrid/>
                <w:u w:val="single"/>
              </w:rPr>
              <w:t>≤0.0</w:t>
            </w:r>
            <w:r>
              <w:rPr>
                <w:rFonts w:eastAsia="宋体" w:hint="eastAsia"/>
                <w:bCs/>
                <w:snapToGrid/>
                <w:u w:val="single"/>
              </w:rPr>
              <w:t>5</w:t>
            </w:r>
          </w:p>
        </w:tc>
      </w:tr>
    </w:tbl>
    <w:p w:rsidR="004B4777" w:rsidRDefault="004B4777">
      <w:pPr>
        <w:ind w:firstLine="480"/>
        <w:jc w:val="left"/>
        <w:rPr>
          <w:rFonts w:ascii="Times New Roman" w:hAnsi="Times New Roman"/>
        </w:rPr>
        <w:sectPr w:rsidR="004B4777">
          <w:pgSz w:w="16838" w:h="11906" w:orient="landscape"/>
          <w:pgMar w:top="1803" w:right="1440" w:bottom="1803" w:left="1440" w:header="851" w:footer="992" w:gutter="0"/>
          <w:cols w:space="720"/>
          <w:docGrid w:type="lines" w:linePitch="332"/>
        </w:sectPr>
      </w:pPr>
    </w:p>
    <w:p w:rsidR="004B4777" w:rsidRDefault="004B4777">
      <w:pPr>
        <w:pStyle w:val="4"/>
        <w:spacing w:before="0" w:after="0"/>
        <w:rPr>
          <w:rFonts w:ascii="Times New Roman" w:eastAsia="宋体" w:hAnsi="Times New Roman"/>
          <w:b/>
        </w:rPr>
      </w:pPr>
      <w:r>
        <w:rPr>
          <w:rFonts w:ascii="Times New Roman" w:eastAsia="宋体" w:hAnsi="Times New Roman" w:hint="eastAsia"/>
          <w:b/>
        </w:rPr>
        <w:lastRenderedPageBreak/>
        <w:t>5.2.3.2</w:t>
      </w:r>
      <w:r>
        <w:rPr>
          <w:rFonts w:ascii="Times New Roman" w:eastAsia="宋体" w:hAnsi="Times New Roman" w:hint="eastAsia"/>
          <w:b/>
        </w:rPr>
        <w:t>赛头水厂、柳潭水厂地下饮用水监测</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项目易婆塘采区位于资水河段，其开采范围涉及柳潭村和赛头口村。柳潭村及赛头口村现均设有水厂用于村镇居民供水。湘阴县疾病预防控制中心于</w:t>
      </w:r>
      <w:r>
        <w:rPr>
          <w:rFonts w:ascii="Times New Roman" w:hAnsi="Times New Roman" w:hint="eastAsia"/>
          <w:color w:val="000000"/>
          <w:szCs w:val="24"/>
        </w:rPr>
        <w:t>2018</w:t>
      </w:r>
      <w:r>
        <w:rPr>
          <w:rFonts w:ascii="Times New Roman" w:hAnsi="Times New Roman" w:hint="eastAsia"/>
          <w:color w:val="000000"/>
          <w:szCs w:val="24"/>
        </w:rPr>
        <w:t>年</w:t>
      </w:r>
      <w:r>
        <w:rPr>
          <w:rFonts w:ascii="Times New Roman" w:hAnsi="Times New Roman" w:hint="eastAsia"/>
          <w:color w:val="000000"/>
          <w:szCs w:val="24"/>
        </w:rPr>
        <w:t>4</w:t>
      </w:r>
      <w:r>
        <w:rPr>
          <w:rFonts w:ascii="Times New Roman" w:hAnsi="Times New Roman" w:hint="eastAsia"/>
          <w:color w:val="000000"/>
          <w:szCs w:val="24"/>
        </w:rPr>
        <w:t>月</w:t>
      </w:r>
      <w:r>
        <w:rPr>
          <w:rFonts w:ascii="Times New Roman" w:hAnsi="Times New Roman" w:hint="eastAsia"/>
          <w:color w:val="000000"/>
          <w:szCs w:val="24"/>
        </w:rPr>
        <w:t>26</w:t>
      </w:r>
      <w:r>
        <w:rPr>
          <w:rFonts w:ascii="Times New Roman" w:hAnsi="Times New Roman" w:hint="eastAsia"/>
          <w:color w:val="000000"/>
          <w:szCs w:val="24"/>
        </w:rPr>
        <w:t>日对柳潭水厂及赛头水厂出水水质进行了检测，其水质监测结果详见表</w:t>
      </w:r>
      <w:r>
        <w:rPr>
          <w:rFonts w:ascii="Times New Roman" w:hAnsi="Times New Roman" w:hint="eastAsia"/>
          <w:color w:val="000000"/>
          <w:szCs w:val="24"/>
        </w:rPr>
        <w:t>5.2-11</w:t>
      </w:r>
      <w:r>
        <w:rPr>
          <w:rFonts w:ascii="Times New Roman" w:hAnsi="Times New Roman" w:hint="eastAsia"/>
          <w:color w:val="000000"/>
          <w:szCs w:val="24"/>
        </w:rPr>
        <w:t>。</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根据提供的出水检测报告，柳潭水厂及赛头水厂其地下水水质监测因子均满足《地下水质量标准》（</w:t>
      </w:r>
      <w:r>
        <w:rPr>
          <w:rFonts w:ascii="Times New Roman" w:hAnsi="Times New Roman" w:hint="eastAsia"/>
          <w:color w:val="000000"/>
          <w:szCs w:val="24"/>
        </w:rPr>
        <w:t>GB/T 14848-2017</w:t>
      </w:r>
      <w:r>
        <w:rPr>
          <w:rFonts w:ascii="Times New Roman" w:hAnsi="Times New Roman" w:hint="eastAsia"/>
          <w:color w:val="000000"/>
          <w:szCs w:val="24"/>
        </w:rPr>
        <w:t>）中Ⅲ类水质标准的要求。</w:t>
      </w:r>
    </w:p>
    <w:p w:rsidR="004B4777" w:rsidRDefault="004B4777">
      <w:pPr>
        <w:adjustRightInd w:val="0"/>
        <w:spacing w:line="240" w:lineRule="auto"/>
        <w:ind w:firstLineChars="150" w:firstLine="360"/>
        <w:jc w:val="left"/>
        <w:rPr>
          <w:rFonts w:ascii="Times New Roman" w:hAnsi="Times New Roman"/>
          <w:bCs/>
          <w:szCs w:val="24"/>
        </w:rPr>
      </w:pPr>
    </w:p>
    <w:p w:rsidR="004B4777" w:rsidRDefault="004B4777">
      <w:pPr>
        <w:adjustRightInd w:val="0"/>
        <w:spacing w:line="240" w:lineRule="auto"/>
        <w:ind w:firstLineChars="150" w:firstLine="315"/>
        <w:jc w:val="left"/>
        <w:rPr>
          <w:rFonts w:ascii="Times New Roman" w:hAnsi="Times New Roman"/>
          <w:sz w:val="21"/>
          <w:szCs w:val="21"/>
        </w:rPr>
        <w:sectPr w:rsidR="004B4777">
          <w:pgSz w:w="11906" w:h="16838"/>
          <w:pgMar w:top="1440" w:right="1803" w:bottom="1440" w:left="1803" w:header="851" w:footer="992" w:gutter="0"/>
          <w:cols w:space="720"/>
          <w:docGrid w:type="linesAndChars" w:linePitch="332"/>
        </w:sectPr>
      </w:pPr>
    </w:p>
    <w:p w:rsidR="004B4777" w:rsidRDefault="004B4777">
      <w:pPr>
        <w:pStyle w:val="af"/>
        <w:spacing w:line="240" w:lineRule="auto"/>
        <w:rPr>
          <w:b/>
        </w:rPr>
      </w:pPr>
      <w:r>
        <w:rPr>
          <w:rFonts w:hint="eastAsia"/>
          <w:b/>
        </w:rPr>
        <w:lastRenderedPageBreak/>
        <w:t>表</w:t>
      </w:r>
      <w:r>
        <w:rPr>
          <w:rFonts w:hint="eastAsia"/>
          <w:b/>
        </w:rPr>
        <w:t>5.2-11</w:t>
      </w:r>
      <w:r>
        <w:rPr>
          <w:rFonts w:hint="eastAsia"/>
          <w:b/>
        </w:rPr>
        <w:t>（续表</w:t>
      </w:r>
      <w:r>
        <w:rPr>
          <w:rFonts w:hint="eastAsia"/>
          <w:b/>
        </w:rPr>
        <w:t>1</w:t>
      </w:r>
      <w:r>
        <w:rPr>
          <w:rFonts w:hint="eastAsia"/>
          <w:b/>
        </w:rPr>
        <w:t>）</w:t>
      </w:r>
      <w:r>
        <w:rPr>
          <w:rFonts w:hint="eastAsia"/>
          <w:b/>
        </w:rPr>
        <w:t xml:space="preserve">   </w:t>
      </w:r>
      <w:r>
        <w:rPr>
          <w:rFonts w:hint="eastAsia"/>
          <w:b/>
        </w:rPr>
        <w:t>柳潭水厂及赛头水厂地下水环境现状监测及评价结果表</w:t>
      </w:r>
    </w:p>
    <w:tbl>
      <w:tblPr>
        <w:tblpPr w:leftFromText="180" w:rightFromText="180" w:vertAnchor="text" w:horzAnchor="page" w:tblpX="1764" w:tblpY="141"/>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70"/>
        <w:gridCol w:w="1831"/>
        <w:gridCol w:w="1372"/>
        <w:gridCol w:w="1372"/>
        <w:gridCol w:w="1372"/>
        <w:gridCol w:w="1372"/>
        <w:gridCol w:w="1372"/>
        <w:gridCol w:w="1372"/>
        <w:gridCol w:w="1372"/>
        <w:gridCol w:w="1369"/>
      </w:tblGrid>
      <w:tr w:rsidR="004B4777">
        <w:tc>
          <w:tcPr>
            <w:tcW w:w="3201" w:type="dxa"/>
            <w:gridSpan w:val="2"/>
            <w:tcBorders>
              <w:tl2br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 xml:space="preserve">                    </w:t>
            </w:r>
            <w:r>
              <w:rPr>
                <w:rFonts w:hint="eastAsia"/>
                <w:bCs/>
                <w:sz w:val="21"/>
                <w:szCs w:val="21"/>
                <w:lang/>
              </w:rPr>
              <w:t>评价因子</w:t>
            </w:r>
          </w:p>
          <w:p w:rsidR="004B4777" w:rsidRDefault="004B4777">
            <w:pPr>
              <w:pStyle w:val="af"/>
              <w:tabs>
                <w:tab w:val="left" w:pos="410"/>
              </w:tabs>
              <w:spacing w:line="240" w:lineRule="auto"/>
              <w:rPr>
                <w:bCs/>
                <w:sz w:val="21"/>
                <w:szCs w:val="21"/>
                <w:lang/>
              </w:rPr>
            </w:pPr>
            <w:r>
              <w:rPr>
                <w:rFonts w:hint="eastAsia"/>
                <w:bCs/>
                <w:sz w:val="21"/>
                <w:szCs w:val="21"/>
                <w:lang/>
              </w:rPr>
              <w:t>采样点</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色度（度）</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浊度（</w:t>
            </w:r>
            <w:r>
              <w:rPr>
                <w:rFonts w:hint="eastAsia"/>
                <w:bCs/>
                <w:sz w:val="21"/>
                <w:szCs w:val="21"/>
                <w:lang/>
              </w:rPr>
              <w:t>NTU</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臭和味</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肉眼可见物</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铬（六价）（</w:t>
            </w:r>
            <w:r>
              <w:rPr>
                <w:rFonts w:hint="eastAsia"/>
                <w:bCs/>
                <w:sz w:val="21"/>
                <w:szCs w:val="21"/>
                <w:lang/>
              </w:rPr>
              <w:t>mg/L</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pH</w:t>
            </w:r>
            <w:r>
              <w:rPr>
                <w:rFonts w:hint="eastAsia"/>
                <w:bCs/>
                <w:sz w:val="21"/>
                <w:szCs w:val="21"/>
                <w:lang/>
              </w:rPr>
              <w:t>值</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铁（</w:t>
            </w:r>
            <w:r>
              <w:rPr>
                <w:rFonts w:hint="eastAsia"/>
                <w:bCs/>
                <w:sz w:val="21"/>
                <w:szCs w:val="21"/>
                <w:lang/>
              </w:rPr>
              <w:t>mg/L</w:t>
            </w:r>
            <w:r>
              <w:rPr>
                <w:rFonts w:hint="eastAsia"/>
                <w:bCs/>
                <w:sz w:val="21"/>
                <w:szCs w:val="21"/>
                <w:lang/>
              </w:rPr>
              <w:t>）</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锰（</w:t>
            </w:r>
            <w:r>
              <w:rPr>
                <w:rFonts w:hint="eastAsia"/>
                <w:bCs/>
                <w:sz w:val="21"/>
                <w:szCs w:val="21"/>
                <w:lang/>
              </w:rPr>
              <w:t>mg/L</w:t>
            </w:r>
            <w:r>
              <w:rPr>
                <w:rFonts w:hint="eastAsia"/>
                <w:bCs/>
                <w:sz w:val="21"/>
                <w:szCs w:val="21"/>
                <w:lang/>
              </w:rPr>
              <w:t>）</w:t>
            </w:r>
          </w:p>
        </w:tc>
      </w:tr>
      <w:tr w:rsidR="004B4777">
        <w:tc>
          <w:tcPr>
            <w:tcW w:w="1370"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赛头水厂</w:t>
            </w: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&lt;5</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&lt;0.5</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无异臭异味</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无肉眼可见物</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&lt;0.004</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7.3</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0.02</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0.01</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370"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柳潭水厂</w:t>
            </w: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&lt;5</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&lt;0.5</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无异臭异味</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无肉眼可见物</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&lt;0.004</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7.7</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&lt;0.01</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&lt;0.01</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3201" w:type="dxa"/>
            <w:gridSpan w:val="2"/>
            <w:vAlign w:val="center"/>
          </w:tcPr>
          <w:p w:rsidR="004B4777" w:rsidRDefault="004B4777">
            <w:pPr>
              <w:pStyle w:val="af"/>
              <w:tabs>
                <w:tab w:val="left" w:pos="410"/>
              </w:tabs>
              <w:spacing w:line="240" w:lineRule="auto"/>
              <w:rPr>
                <w:bCs/>
                <w:sz w:val="21"/>
                <w:szCs w:val="21"/>
                <w:lang/>
              </w:rPr>
            </w:pPr>
            <w:r>
              <w:rPr>
                <w:rFonts w:hint="eastAsia"/>
                <w:bCs/>
                <w:sz w:val="21"/>
                <w:szCs w:val="21"/>
                <w:lang/>
              </w:rPr>
              <w:t>标准值</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15</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3</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不得有异臭异味</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不得含有</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0.05</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6.5~8.5</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0.3</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0.1</w:t>
            </w:r>
          </w:p>
        </w:tc>
      </w:tr>
      <w:tr w:rsidR="004B4777">
        <w:trPr>
          <w:trHeight w:val="689"/>
        </w:trPr>
        <w:tc>
          <w:tcPr>
            <w:tcW w:w="3201" w:type="dxa"/>
            <w:gridSpan w:val="2"/>
            <w:tcBorders>
              <w:tl2br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 xml:space="preserve">                    </w:t>
            </w:r>
            <w:r>
              <w:rPr>
                <w:rFonts w:hint="eastAsia"/>
                <w:bCs/>
                <w:sz w:val="21"/>
                <w:szCs w:val="21"/>
                <w:lang/>
              </w:rPr>
              <w:t>评价因子</w:t>
            </w:r>
          </w:p>
          <w:p w:rsidR="004B4777" w:rsidRDefault="004B4777">
            <w:pPr>
              <w:pStyle w:val="af"/>
              <w:tabs>
                <w:tab w:val="left" w:pos="410"/>
              </w:tabs>
              <w:spacing w:line="240" w:lineRule="auto"/>
              <w:rPr>
                <w:bCs/>
                <w:sz w:val="21"/>
                <w:szCs w:val="21"/>
                <w:lang/>
              </w:rPr>
            </w:pPr>
            <w:r>
              <w:rPr>
                <w:rFonts w:hint="eastAsia"/>
                <w:bCs/>
                <w:sz w:val="21"/>
                <w:szCs w:val="21"/>
                <w:lang/>
              </w:rPr>
              <w:t>采样点</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氯化物（</w:t>
            </w:r>
            <w:r>
              <w:rPr>
                <w:rFonts w:hint="eastAsia"/>
                <w:bCs/>
                <w:sz w:val="21"/>
                <w:szCs w:val="21"/>
                <w:lang/>
              </w:rPr>
              <w:t>mg/L</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硫酸盐（</w:t>
            </w:r>
            <w:r>
              <w:rPr>
                <w:rFonts w:hint="eastAsia"/>
                <w:bCs/>
                <w:sz w:val="21"/>
                <w:szCs w:val="21"/>
                <w:lang/>
              </w:rPr>
              <w:t>mg/L</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总硬度（</w:t>
            </w:r>
            <w:r>
              <w:rPr>
                <w:rFonts w:hint="eastAsia"/>
                <w:bCs/>
                <w:sz w:val="21"/>
                <w:szCs w:val="21"/>
                <w:lang/>
              </w:rPr>
              <w:t>mg/L</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耗氧量（</w:t>
            </w:r>
            <w:r>
              <w:rPr>
                <w:rFonts w:hint="eastAsia"/>
                <w:bCs/>
                <w:sz w:val="21"/>
                <w:szCs w:val="21"/>
                <w:lang/>
              </w:rPr>
              <w:t>mg/L</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氨氮（</w:t>
            </w:r>
            <w:r>
              <w:rPr>
                <w:rFonts w:hint="eastAsia"/>
                <w:bCs/>
                <w:sz w:val="21"/>
                <w:szCs w:val="21"/>
                <w:lang/>
              </w:rPr>
              <w:t>mg/L</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氟化物（</w:t>
            </w:r>
            <w:r>
              <w:rPr>
                <w:rFonts w:hint="eastAsia"/>
                <w:bCs/>
                <w:sz w:val="21"/>
                <w:szCs w:val="21"/>
                <w:lang/>
              </w:rPr>
              <w:t>mg/L</w:t>
            </w:r>
            <w:r>
              <w:rPr>
                <w:rFonts w:hint="eastAsia"/>
                <w:bCs/>
                <w:sz w:val="21"/>
                <w:szCs w:val="21"/>
                <w:lang/>
              </w:rPr>
              <w:t>）</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砷（</w:t>
            </w:r>
            <w:r>
              <w:rPr>
                <w:rFonts w:hint="eastAsia"/>
                <w:bCs/>
                <w:sz w:val="21"/>
                <w:szCs w:val="21"/>
                <w:lang/>
              </w:rPr>
              <w:t>mg/L</w:t>
            </w:r>
            <w:r>
              <w:rPr>
                <w:rFonts w:hint="eastAsia"/>
                <w:bCs/>
                <w:sz w:val="21"/>
                <w:szCs w:val="21"/>
                <w:lang/>
              </w:rPr>
              <w:t>）</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汞（</w:t>
            </w:r>
            <w:r>
              <w:rPr>
                <w:rFonts w:hint="eastAsia"/>
                <w:bCs/>
                <w:sz w:val="21"/>
                <w:szCs w:val="21"/>
                <w:lang/>
              </w:rPr>
              <w:t>mg/L</w:t>
            </w:r>
            <w:r>
              <w:rPr>
                <w:rFonts w:hint="eastAsia"/>
                <w:bCs/>
                <w:sz w:val="21"/>
                <w:szCs w:val="21"/>
                <w:lang/>
              </w:rPr>
              <w:t>）</w:t>
            </w:r>
          </w:p>
        </w:tc>
      </w:tr>
      <w:tr w:rsidR="004B4777">
        <w:tc>
          <w:tcPr>
            <w:tcW w:w="1370"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赛头水厂</w:t>
            </w: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21.1</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25.1</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53.6</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0.80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0.11</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0.13</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&lt;0.001</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&lt;0.0001</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ab/>
              <w:t>0</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370"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柳潭水厂</w:t>
            </w: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12.9</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12.4</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58.4</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0.79</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0.04</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0.10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&lt;0.001</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&lt;0.0001</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370" w:type="dxa"/>
            <w:vMerge/>
            <w:vAlign w:val="center"/>
          </w:tcPr>
          <w:p w:rsidR="004B4777" w:rsidRDefault="004B4777">
            <w:pPr>
              <w:pStyle w:val="af"/>
              <w:tabs>
                <w:tab w:val="left" w:pos="410"/>
              </w:tabs>
              <w:spacing w:line="240" w:lineRule="auto"/>
              <w:rPr>
                <w:bCs/>
                <w:sz w:val="21"/>
                <w:szCs w:val="21"/>
                <w:lang/>
              </w:rPr>
            </w:pPr>
          </w:p>
        </w:tc>
        <w:tc>
          <w:tcPr>
            <w:tcW w:w="183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3201" w:type="dxa"/>
            <w:gridSpan w:val="2"/>
            <w:vAlign w:val="center"/>
          </w:tcPr>
          <w:p w:rsidR="004B4777" w:rsidRDefault="004B4777">
            <w:pPr>
              <w:pStyle w:val="af"/>
              <w:tabs>
                <w:tab w:val="left" w:pos="410"/>
              </w:tabs>
              <w:spacing w:line="240" w:lineRule="auto"/>
              <w:rPr>
                <w:bCs/>
                <w:sz w:val="21"/>
                <w:szCs w:val="21"/>
                <w:lang/>
              </w:rPr>
            </w:pPr>
            <w:r>
              <w:rPr>
                <w:rFonts w:hint="eastAsia"/>
                <w:bCs/>
                <w:sz w:val="21"/>
                <w:szCs w:val="21"/>
                <w:lang/>
              </w:rPr>
              <w:t>标准值</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250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250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450</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3</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0.2</w:t>
            </w:r>
          </w:p>
        </w:tc>
        <w:tc>
          <w:tcPr>
            <w:tcW w:w="137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1.0</w:t>
            </w:r>
          </w:p>
        </w:tc>
        <w:tc>
          <w:tcPr>
            <w:tcW w:w="1372" w:type="dxa"/>
            <w:tcBorders>
              <w:righ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0.05</w:t>
            </w:r>
          </w:p>
        </w:tc>
        <w:tc>
          <w:tcPr>
            <w:tcW w:w="1369" w:type="dxa"/>
            <w:tcBorders>
              <w:left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w:t>
            </w:r>
            <w:r>
              <w:rPr>
                <w:rFonts w:hint="eastAsia"/>
                <w:bCs/>
                <w:sz w:val="21"/>
                <w:szCs w:val="21"/>
                <w:lang/>
              </w:rPr>
              <w:t>0.001</w:t>
            </w:r>
          </w:p>
        </w:tc>
      </w:tr>
    </w:tbl>
    <w:p w:rsidR="004B4777" w:rsidRDefault="004B4777">
      <w:pPr>
        <w:pStyle w:val="af"/>
        <w:spacing w:line="240" w:lineRule="auto"/>
        <w:rPr>
          <w:rFonts w:hint="eastAsia"/>
          <w:b/>
        </w:rPr>
      </w:pPr>
    </w:p>
    <w:p w:rsidR="004B4777" w:rsidRDefault="004B4777">
      <w:pPr>
        <w:pStyle w:val="af"/>
        <w:spacing w:line="240" w:lineRule="auto"/>
        <w:rPr>
          <w:b/>
        </w:rPr>
      </w:pPr>
      <w:r>
        <w:rPr>
          <w:rFonts w:hint="eastAsia"/>
          <w:b/>
        </w:rPr>
        <w:lastRenderedPageBreak/>
        <w:t>表</w:t>
      </w:r>
      <w:r>
        <w:rPr>
          <w:rFonts w:hint="eastAsia"/>
          <w:b/>
        </w:rPr>
        <w:t>5.2-11</w:t>
      </w:r>
      <w:r>
        <w:rPr>
          <w:rFonts w:hint="eastAsia"/>
          <w:b/>
        </w:rPr>
        <w:t>（续表</w:t>
      </w:r>
      <w:r>
        <w:rPr>
          <w:rFonts w:hint="eastAsia"/>
          <w:b/>
        </w:rPr>
        <w:t>2</w:t>
      </w:r>
      <w:r>
        <w:rPr>
          <w:rFonts w:hint="eastAsia"/>
          <w:b/>
        </w:rPr>
        <w:t>）</w:t>
      </w:r>
      <w:r>
        <w:rPr>
          <w:rFonts w:hint="eastAsia"/>
          <w:b/>
        </w:rPr>
        <w:t xml:space="preserve">   </w:t>
      </w:r>
      <w:r>
        <w:rPr>
          <w:rFonts w:hint="eastAsia"/>
          <w:b/>
        </w:rPr>
        <w:t>柳潭水厂及赛头水厂地下水环境现状监测及评价结果表</w:t>
      </w:r>
    </w:p>
    <w:tbl>
      <w:tblPr>
        <w:tblpPr w:leftFromText="180" w:rightFromText="180" w:vertAnchor="text" w:horzAnchor="page" w:tblpX="1764" w:tblpY="141"/>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51"/>
        <w:gridCol w:w="1891"/>
        <w:gridCol w:w="1528"/>
        <w:gridCol w:w="1290"/>
        <w:gridCol w:w="1766"/>
        <w:gridCol w:w="1913"/>
        <w:gridCol w:w="1290"/>
        <w:gridCol w:w="1332"/>
        <w:gridCol w:w="1313"/>
      </w:tblGrid>
      <w:tr w:rsidR="004B4777">
        <w:tc>
          <w:tcPr>
            <w:tcW w:w="3742" w:type="dxa"/>
            <w:gridSpan w:val="2"/>
            <w:tcBorders>
              <w:tl2br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 xml:space="preserve">                        </w:t>
            </w:r>
            <w:r>
              <w:rPr>
                <w:rFonts w:hint="eastAsia"/>
                <w:bCs/>
                <w:sz w:val="21"/>
                <w:szCs w:val="21"/>
                <w:lang/>
              </w:rPr>
              <w:t>评价因子</w:t>
            </w:r>
          </w:p>
          <w:p w:rsidR="004B4777" w:rsidRDefault="004B4777">
            <w:pPr>
              <w:pStyle w:val="af"/>
              <w:tabs>
                <w:tab w:val="left" w:pos="410"/>
              </w:tabs>
              <w:spacing w:line="240" w:lineRule="auto"/>
              <w:rPr>
                <w:bCs/>
                <w:sz w:val="21"/>
                <w:szCs w:val="21"/>
                <w:lang/>
              </w:rPr>
            </w:pPr>
            <w:r>
              <w:rPr>
                <w:rFonts w:hint="eastAsia"/>
                <w:bCs/>
                <w:sz w:val="21"/>
                <w:szCs w:val="21"/>
                <w:lang/>
              </w:rPr>
              <w:t>采样点</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硝酸盐</w:t>
            </w:r>
          </w:p>
          <w:p w:rsidR="004B4777" w:rsidRDefault="004B4777">
            <w:pPr>
              <w:pStyle w:val="af"/>
              <w:tabs>
                <w:tab w:val="left" w:pos="410"/>
              </w:tabs>
              <w:spacing w:line="240" w:lineRule="auto"/>
              <w:rPr>
                <w:bCs/>
                <w:sz w:val="21"/>
                <w:szCs w:val="21"/>
                <w:lang/>
              </w:rPr>
            </w:pPr>
            <w:r>
              <w:rPr>
                <w:rFonts w:hint="eastAsia"/>
                <w:bCs/>
                <w:sz w:val="21"/>
                <w:szCs w:val="21"/>
                <w:lang/>
              </w:rPr>
              <w:t>（以</w:t>
            </w:r>
            <w:r>
              <w:rPr>
                <w:rFonts w:hint="eastAsia"/>
                <w:bCs/>
                <w:sz w:val="21"/>
                <w:szCs w:val="21"/>
                <w:lang/>
              </w:rPr>
              <w:t>N</w:t>
            </w:r>
            <w:r>
              <w:rPr>
                <w:rFonts w:hint="eastAsia"/>
                <w:bCs/>
                <w:sz w:val="21"/>
                <w:szCs w:val="21"/>
                <w:lang/>
              </w:rPr>
              <w:t>计）（</w:t>
            </w:r>
            <w:r>
              <w:rPr>
                <w:rFonts w:hint="eastAsia"/>
                <w:bCs/>
                <w:sz w:val="21"/>
                <w:szCs w:val="21"/>
                <w:lang/>
              </w:rPr>
              <w:t>mg/L</w:t>
            </w:r>
            <w:r>
              <w:rPr>
                <w:rFonts w:hint="eastAsia"/>
                <w:bCs/>
                <w:sz w:val="21"/>
                <w:szCs w:val="21"/>
                <w:lang/>
              </w:rPr>
              <w:t>）</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铅（</w:t>
            </w:r>
            <w:r>
              <w:rPr>
                <w:rFonts w:hint="eastAsia"/>
                <w:bCs/>
                <w:sz w:val="21"/>
                <w:szCs w:val="21"/>
                <w:lang/>
              </w:rPr>
              <w:t>mg/L</w:t>
            </w:r>
            <w:r>
              <w:rPr>
                <w:rFonts w:hint="eastAsia"/>
                <w:bCs/>
                <w:sz w:val="21"/>
                <w:szCs w:val="21"/>
                <w:lang/>
              </w:rPr>
              <w:t>）</w:t>
            </w:r>
          </w:p>
        </w:tc>
        <w:tc>
          <w:tcPr>
            <w:tcW w:w="1766"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镉（</w:t>
            </w:r>
            <w:r>
              <w:rPr>
                <w:rFonts w:hint="eastAsia"/>
                <w:bCs/>
                <w:sz w:val="21"/>
                <w:szCs w:val="21"/>
                <w:lang/>
              </w:rPr>
              <w:t>mg/L</w:t>
            </w:r>
            <w:r>
              <w:rPr>
                <w:rFonts w:hint="eastAsia"/>
                <w:bCs/>
                <w:sz w:val="21"/>
                <w:szCs w:val="21"/>
                <w:lang/>
              </w:rPr>
              <w:t>）</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铜（</w:t>
            </w:r>
            <w:r>
              <w:rPr>
                <w:rFonts w:hint="eastAsia"/>
                <w:bCs/>
                <w:sz w:val="21"/>
                <w:szCs w:val="21"/>
                <w:lang/>
              </w:rPr>
              <w:t>mg/L</w:t>
            </w:r>
            <w:r>
              <w:rPr>
                <w:rFonts w:hint="eastAsia"/>
                <w:bCs/>
                <w:sz w:val="21"/>
                <w:szCs w:val="21"/>
                <w:lang/>
              </w:rPr>
              <w:t>）</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锌（</w:t>
            </w:r>
            <w:r>
              <w:rPr>
                <w:rFonts w:hint="eastAsia"/>
                <w:bCs/>
                <w:sz w:val="21"/>
                <w:szCs w:val="21"/>
                <w:lang/>
              </w:rPr>
              <w:t>mg/L</w:t>
            </w:r>
            <w:r>
              <w:rPr>
                <w:rFonts w:hint="eastAsia"/>
                <w:bCs/>
                <w:sz w:val="21"/>
                <w:szCs w:val="21"/>
                <w:lang/>
              </w:rPr>
              <w:t>）</w:t>
            </w:r>
          </w:p>
        </w:tc>
        <w:tc>
          <w:tcPr>
            <w:tcW w:w="133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溶解性总固体（</w:t>
            </w:r>
            <w:r>
              <w:rPr>
                <w:rFonts w:hint="eastAsia"/>
                <w:bCs/>
                <w:sz w:val="21"/>
                <w:szCs w:val="21"/>
                <w:lang/>
              </w:rPr>
              <w:t>mg/L</w:t>
            </w:r>
            <w:r>
              <w:rPr>
                <w:rFonts w:hint="eastAsia"/>
                <w:bCs/>
                <w:sz w:val="21"/>
                <w:szCs w:val="21"/>
                <w:lang/>
              </w:rPr>
              <w:t>）</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铝（</w:t>
            </w:r>
            <w:r>
              <w:rPr>
                <w:rFonts w:hint="eastAsia"/>
                <w:bCs/>
                <w:sz w:val="21"/>
                <w:szCs w:val="21"/>
                <w:lang/>
              </w:rPr>
              <w:t>mg/L</w:t>
            </w:r>
            <w:r>
              <w:rPr>
                <w:rFonts w:hint="eastAsia"/>
                <w:bCs/>
                <w:sz w:val="21"/>
                <w:szCs w:val="21"/>
                <w:lang/>
              </w:rPr>
              <w:t>）</w:t>
            </w:r>
          </w:p>
        </w:tc>
      </w:tr>
      <w:tr w:rsidR="004B4777">
        <w:tc>
          <w:tcPr>
            <w:tcW w:w="1851"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赛头水厂</w:t>
            </w: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0.68</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&lt;0.0025</w:t>
            </w:r>
          </w:p>
        </w:tc>
        <w:tc>
          <w:tcPr>
            <w:tcW w:w="1766"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&lt;0.0005</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&lt;0.10</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&lt;0.10</w:t>
            </w:r>
          </w:p>
        </w:tc>
        <w:tc>
          <w:tcPr>
            <w:tcW w:w="133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190</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&lt;0.008</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c>
          <w:tcPr>
            <w:tcW w:w="1851"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柳潭水厂</w:t>
            </w: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0.79</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&lt;0.0025</w:t>
            </w:r>
          </w:p>
        </w:tc>
        <w:tc>
          <w:tcPr>
            <w:tcW w:w="1766"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&lt;0.0005</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&lt;0.10</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&lt;0.10</w:t>
            </w:r>
          </w:p>
        </w:tc>
        <w:tc>
          <w:tcPr>
            <w:tcW w:w="133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151</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&lt;0.008</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bCs/>
                <w:sz w:val="21"/>
                <w:szCs w:val="21"/>
                <w:lang/>
              </w:rPr>
              <w:t>0</w:t>
            </w:r>
          </w:p>
        </w:tc>
      </w:tr>
      <w:tr w:rsidR="004B4777">
        <w:tc>
          <w:tcPr>
            <w:tcW w:w="3742" w:type="dxa"/>
            <w:gridSpan w:val="2"/>
            <w:vAlign w:val="center"/>
          </w:tcPr>
          <w:p w:rsidR="004B4777" w:rsidRDefault="004B4777">
            <w:pPr>
              <w:pStyle w:val="af"/>
              <w:tabs>
                <w:tab w:val="left" w:pos="410"/>
              </w:tabs>
              <w:spacing w:line="240" w:lineRule="auto"/>
              <w:rPr>
                <w:bCs/>
                <w:sz w:val="21"/>
                <w:szCs w:val="21"/>
                <w:lang/>
              </w:rPr>
            </w:pPr>
            <w:r>
              <w:rPr>
                <w:rFonts w:hint="eastAsia"/>
                <w:bCs/>
                <w:sz w:val="21"/>
                <w:szCs w:val="21"/>
                <w:lang/>
              </w:rPr>
              <w:t>标准值</w:t>
            </w:r>
          </w:p>
        </w:tc>
        <w:tc>
          <w:tcPr>
            <w:tcW w:w="1528"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20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0.05</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0.01</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1.0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1.0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1000</w:t>
            </w:r>
          </w:p>
        </w:tc>
        <w:tc>
          <w:tcPr>
            <w:tcW w:w="1313"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0.2</w:t>
            </w:r>
          </w:p>
        </w:tc>
      </w:tr>
      <w:tr w:rsidR="004B4777">
        <w:trPr>
          <w:trHeight w:val="689"/>
        </w:trPr>
        <w:tc>
          <w:tcPr>
            <w:tcW w:w="3742" w:type="dxa"/>
            <w:gridSpan w:val="2"/>
            <w:tcBorders>
              <w:tl2br w:val="single" w:sz="4" w:space="0" w:color="auto"/>
            </w:tcBorders>
            <w:vAlign w:val="center"/>
          </w:tcPr>
          <w:p w:rsidR="004B4777" w:rsidRDefault="004B4777">
            <w:pPr>
              <w:pStyle w:val="af"/>
              <w:tabs>
                <w:tab w:val="left" w:pos="410"/>
              </w:tabs>
              <w:spacing w:line="240" w:lineRule="auto"/>
              <w:rPr>
                <w:bCs/>
                <w:sz w:val="21"/>
                <w:szCs w:val="21"/>
                <w:lang/>
              </w:rPr>
            </w:pPr>
            <w:r>
              <w:rPr>
                <w:rFonts w:hint="eastAsia"/>
                <w:bCs/>
                <w:sz w:val="21"/>
                <w:szCs w:val="21"/>
                <w:lang/>
              </w:rPr>
              <w:t xml:space="preserve">                      </w:t>
            </w:r>
            <w:r>
              <w:rPr>
                <w:rFonts w:hint="eastAsia"/>
                <w:bCs/>
                <w:sz w:val="21"/>
                <w:szCs w:val="21"/>
                <w:lang/>
              </w:rPr>
              <w:t>评价因子</w:t>
            </w:r>
          </w:p>
          <w:p w:rsidR="004B4777" w:rsidRDefault="004B4777">
            <w:pPr>
              <w:pStyle w:val="af"/>
              <w:tabs>
                <w:tab w:val="left" w:pos="410"/>
              </w:tabs>
              <w:spacing w:line="240" w:lineRule="auto"/>
              <w:rPr>
                <w:bCs/>
                <w:sz w:val="21"/>
                <w:szCs w:val="21"/>
                <w:lang/>
              </w:rPr>
            </w:pPr>
            <w:r>
              <w:rPr>
                <w:rFonts w:hint="eastAsia"/>
                <w:bCs/>
                <w:sz w:val="21"/>
                <w:szCs w:val="21"/>
                <w:lang/>
              </w:rPr>
              <w:t>采样点</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氰化物（</w:t>
            </w:r>
            <w:r>
              <w:rPr>
                <w:rFonts w:hint="eastAsia"/>
                <w:bCs/>
                <w:sz w:val="21"/>
                <w:szCs w:val="21"/>
                <w:lang/>
              </w:rPr>
              <w:t>mg/L</w:t>
            </w:r>
            <w:r>
              <w:rPr>
                <w:rFonts w:hint="eastAsia"/>
                <w:bCs/>
                <w:sz w:val="21"/>
                <w:szCs w:val="21"/>
                <w:lang/>
              </w:rPr>
              <w:t>）</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阴离子合成洗涤剂（</w:t>
            </w:r>
            <w:r>
              <w:rPr>
                <w:rFonts w:hint="eastAsia"/>
                <w:bCs/>
                <w:sz w:val="21"/>
                <w:szCs w:val="21"/>
                <w:lang/>
              </w:rPr>
              <w:t>mg/L</w:t>
            </w:r>
            <w:r>
              <w:rPr>
                <w:rFonts w:hint="eastAsia"/>
                <w:bCs/>
                <w:sz w:val="21"/>
                <w:szCs w:val="21"/>
                <w:lang/>
              </w:rPr>
              <w:t>）</w:t>
            </w:r>
          </w:p>
        </w:tc>
        <w:tc>
          <w:tcPr>
            <w:tcW w:w="1766"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硒（</w:t>
            </w:r>
            <w:r>
              <w:rPr>
                <w:rFonts w:hint="eastAsia"/>
                <w:bCs/>
                <w:sz w:val="21"/>
                <w:szCs w:val="21"/>
                <w:lang/>
              </w:rPr>
              <w:t>mg/L</w:t>
            </w:r>
            <w:r>
              <w:rPr>
                <w:rFonts w:hint="eastAsia"/>
                <w:bCs/>
                <w:sz w:val="21"/>
                <w:szCs w:val="21"/>
                <w:lang/>
              </w:rPr>
              <w:t>）</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三氯甲烷（</w:t>
            </w:r>
            <w:r>
              <w:rPr>
                <w:rFonts w:hint="eastAsia"/>
                <w:bCs/>
                <w:sz w:val="21"/>
                <w:szCs w:val="21"/>
                <w:lang/>
              </w:rPr>
              <w:t>mg/L</w:t>
            </w:r>
            <w:r>
              <w:rPr>
                <w:rFonts w:hint="eastAsia"/>
                <w:bCs/>
                <w:sz w:val="21"/>
                <w:szCs w:val="21"/>
                <w:lang/>
              </w:rPr>
              <w:t>）</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四氯化碳（</w:t>
            </w:r>
            <w:r>
              <w:rPr>
                <w:rFonts w:hint="eastAsia"/>
                <w:bCs/>
                <w:sz w:val="21"/>
                <w:szCs w:val="21"/>
                <w:lang/>
              </w:rPr>
              <w:t>mg/L</w:t>
            </w:r>
            <w:r>
              <w:rPr>
                <w:rFonts w:hint="eastAsia"/>
                <w:bCs/>
                <w:sz w:val="21"/>
                <w:szCs w:val="21"/>
                <w:lang/>
              </w:rPr>
              <w:t>）</w:t>
            </w:r>
          </w:p>
        </w:tc>
        <w:tc>
          <w:tcPr>
            <w:tcW w:w="133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亚氯酸盐（</w:t>
            </w:r>
            <w:r>
              <w:rPr>
                <w:rFonts w:hint="eastAsia"/>
                <w:bCs/>
                <w:sz w:val="21"/>
                <w:szCs w:val="21"/>
                <w:lang/>
              </w:rPr>
              <w:t>mg/L</w:t>
            </w:r>
            <w:r>
              <w:rPr>
                <w:rFonts w:hint="eastAsia"/>
                <w:bCs/>
                <w:sz w:val="21"/>
                <w:szCs w:val="21"/>
                <w:lang/>
              </w:rPr>
              <w:t>）</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挥发酚</w:t>
            </w:r>
          </w:p>
          <w:p w:rsidR="004B4777" w:rsidRDefault="004B4777">
            <w:pPr>
              <w:pStyle w:val="af"/>
              <w:tabs>
                <w:tab w:val="left" w:pos="410"/>
              </w:tabs>
              <w:spacing w:line="240" w:lineRule="auto"/>
              <w:rPr>
                <w:bCs/>
                <w:sz w:val="21"/>
                <w:szCs w:val="21"/>
                <w:lang/>
              </w:rPr>
            </w:pPr>
            <w:r>
              <w:rPr>
                <w:rFonts w:hint="eastAsia"/>
                <w:bCs/>
                <w:sz w:val="21"/>
                <w:szCs w:val="21"/>
                <w:lang/>
              </w:rPr>
              <w:t>（以苯酚计）（</w:t>
            </w:r>
            <w:r>
              <w:rPr>
                <w:rFonts w:hint="eastAsia"/>
                <w:bCs/>
                <w:sz w:val="21"/>
                <w:szCs w:val="21"/>
                <w:lang/>
              </w:rPr>
              <w:t>mg/L</w:t>
            </w:r>
            <w:r>
              <w:rPr>
                <w:rFonts w:hint="eastAsia"/>
                <w:bCs/>
                <w:sz w:val="21"/>
                <w:szCs w:val="21"/>
                <w:lang/>
              </w:rPr>
              <w:t>）</w:t>
            </w:r>
          </w:p>
        </w:tc>
      </w:tr>
      <w:tr w:rsidR="004B4777">
        <w:tc>
          <w:tcPr>
            <w:tcW w:w="1851"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赛头水厂</w:t>
            </w: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&lt;0.050</w:t>
            </w:r>
          </w:p>
        </w:tc>
        <w:tc>
          <w:tcPr>
            <w:tcW w:w="1766"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&lt;0.0005</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&lt;0.0002</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&lt;0.0001</w:t>
            </w:r>
          </w:p>
        </w:tc>
        <w:tc>
          <w:tcPr>
            <w:tcW w:w="133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&lt;0.001</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851" w:type="dxa"/>
            <w:vMerge w:val="restart"/>
            <w:vAlign w:val="center"/>
          </w:tcPr>
          <w:p w:rsidR="004B4777" w:rsidRDefault="004B4777">
            <w:pPr>
              <w:pStyle w:val="af"/>
              <w:tabs>
                <w:tab w:val="left" w:pos="410"/>
              </w:tabs>
              <w:spacing w:line="240" w:lineRule="auto"/>
              <w:rPr>
                <w:bCs/>
                <w:sz w:val="21"/>
                <w:szCs w:val="21"/>
                <w:lang/>
              </w:rPr>
            </w:pPr>
            <w:r>
              <w:rPr>
                <w:rFonts w:hint="eastAsia"/>
                <w:bCs/>
                <w:sz w:val="21"/>
                <w:szCs w:val="21"/>
                <w:lang/>
              </w:rPr>
              <w:t>柳潭水厂</w:t>
            </w: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监测值</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&lt;0.050</w:t>
            </w:r>
          </w:p>
        </w:tc>
        <w:tc>
          <w:tcPr>
            <w:tcW w:w="1766"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&lt;0.0005</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&lt;0.0002</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&lt;0.0001</w:t>
            </w:r>
          </w:p>
        </w:tc>
        <w:tc>
          <w:tcPr>
            <w:tcW w:w="1332"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&lt;0.001</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超标率（</w:t>
            </w:r>
            <w:r>
              <w:rPr>
                <w:rFonts w:hint="eastAsia"/>
                <w:bCs/>
                <w:sz w:val="21"/>
                <w:szCs w:val="21"/>
                <w:lang/>
              </w:rPr>
              <w:t>%</w:t>
            </w:r>
            <w:r>
              <w:rPr>
                <w:rFonts w:hint="eastAsia"/>
                <w:bCs/>
                <w:sz w:val="21"/>
                <w:szCs w:val="21"/>
                <w:lang/>
              </w:rPr>
              <w:t>）</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1851" w:type="dxa"/>
            <w:vMerge/>
            <w:vAlign w:val="center"/>
          </w:tcPr>
          <w:p w:rsidR="004B4777" w:rsidRDefault="004B4777">
            <w:pPr>
              <w:pStyle w:val="af"/>
              <w:tabs>
                <w:tab w:val="left" w:pos="410"/>
              </w:tabs>
              <w:spacing w:line="240" w:lineRule="auto"/>
              <w:rPr>
                <w:bCs/>
                <w:sz w:val="21"/>
                <w:szCs w:val="21"/>
                <w:lang/>
              </w:rPr>
            </w:pPr>
          </w:p>
        </w:tc>
        <w:tc>
          <w:tcPr>
            <w:tcW w:w="1891"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最大超标倍数</w:t>
            </w:r>
          </w:p>
        </w:tc>
        <w:tc>
          <w:tcPr>
            <w:tcW w:w="1528"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913"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0</w:t>
            </w:r>
          </w:p>
        </w:tc>
        <w:tc>
          <w:tcPr>
            <w:tcW w:w="13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0</w:t>
            </w:r>
          </w:p>
        </w:tc>
      </w:tr>
      <w:tr w:rsidR="004B4777">
        <w:tc>
          <w:tcPr>
            <w:tcW w:w="3742" w:type="dxa"/>
            <w:gridSpan w:val="2"/>
            <w:vAlign w:val="center"/>
          </w:tcPr>
          <w:p w:rsidR="004B4777" w:rsidRDefault="004B4777">
            <w:pPr>
              <w:pStyle w:val="af"/>
              <w:tabs>
                <w:tab w:val="left" w:pos="410"/>
              </w:tabs>
              <w:spacing w:line="240" w:lineRule="auto"/>
              <w:rPr>
                <w:bCs/>
                <w:sz w:val="21"/>
                <w:szCs w:val="21"/>
                <w:lang/>
              </w:rPr>
            </w:pPr>
            <w:r>
              <w:rPr>
                <w:rFonts w:hint="eastAsia"/>
                <w:bCs/>
                <w:sz w:val="21"/>
                <w:szCs w:val="21"/>
                <w:lang/>
              </w:rPr>
              <w:t>标准值</w:t>
            </w:r>
          </w:p>
        </w:tc>
        <w:tc>
          <w:tcPr>
            <w:tcW w:w="1528"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0.05</w:t>
            </w:r>
          </w:p>
        </w:tc>
        <w:tc>
          <w:tcPr>
            <w:tcW w:w="1290"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0.3</w:t>
            </w:r>
          </w:p>
        </w:tc>
        <w:tc>
          <w:tcPr>
            <w:tcW w:w="1766"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0.01</w:t>
            </w:r>
          </w:p>
        </w:tc>
        <w:tc>
          <w:tcPr>
            <w:tcW w:w="1913"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&lt;0.06</w:t>
            </w:r>
          </w:p>
        </w:tc>
        <w:tc>
          <w:tcPr>
            <w:tcW w:w="1290" w:type="dxa"/>
            <w:vAlign w:val="center"/>
          </w:tcPr>
          <w:p w:rsidR="004B4777" w:rsidRDefault="004B4777">
            <w:pPr>
              <w:pStyle w:val="af"/>
              <w:tabs>
                <w:tab w:val="left" w:pos="410"/>
              </w:tabs>
              <w:spacing w:line="240" w:lineRule="auto"/>
              <w:rPr>
                <w:bCs/>
                <w:sz w:val="21"/>
                <w:szCs w:val="21"/>
                <w:lang/>
              </w:rPr>
            </w:pPr>
            <w:r>
              <w:rPr>
                <w:rFonts w:hint="eastAsia"/>
                <w:bCs/>
                <w:sz w:val="21"/>
                <w:szCs w:val="21"/>
                <w:lang/>
              </w:rPr>
              <w:t>&lt;0.002</w:t>
            </w:r>
          </w:p>
        </w:tc>
        <w:tc>
          <w:tcPr>
            <w:tcW w:w="1332"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0.7</w:t>
            </w:r>
          </w:p>
        </w:tc>
        <w:tc>
          <w:tcPr>
            <w:tcW w:w="1313" w:type="dxa"/>
            <w:vAlign w:val="center"/>
          </w:tcPr>
          <w:p w:rsidR="004B4777" w:rsidRDefault="004B4777">
            <w:pPr>
              <w:pStyle w:val="af"/>
              <w:tabs>
                <w:tab w:val="left" w:pos="410"/>
              </w:tabs>
              <w:spacing w:line="240" w:lineRule="auto"/>
              <w:rPr>
                <w:bCs/>
                <w:sz w:val="21"/>
                <w:szCs w:val="21"/>
                <w:lang/>
              </w:rPr>
            </w:pPr>
            <w:r>
              <w:rPr>
                <w:bCs/>
                <w:sz w:val="21"/>
                <w:szCs w:val="21"/>
                <w:lang/>
              </w:rPr>
              <w:t>≤</w:t>
            </w:r>
            <w:r>
              <w:rPr>
                <w:rFonts w:hint="eastAsia"/>
                <w:bCs/>
                <w:sz w:val="21"/>
                <w:szCs w:val="21"/>
                <w:lang/>
              </w:rPr>
              <w:t>0.002</w:t>
            </w:r>
          </w:p>
        </w:tc>
      </w:tr>
    </w:tbl>
    <w:p w:rsidR="004B4777" w:rsidRDefault="004B4777">
      <w:pPr>
        <w:ind w:firstLine="480"/>
        <w:jc w:val="left"/>
        <w:rPr>
          <w:rFonts w:ascii="Times New Roman" w:hAnsi="Times New Roman"/>
        </w:rPr>
      </w:pPr>
    </w:p>
    <w:p w:rsidR="004B4777" w:rsidRDefault="004B4777">
      <w:pPr>
        <w:ind w:firstLine="480"/>
        <w:jc w:val="left"/>
        <w:rPr>
          <w:rFonts w:ascii="Times New Roman" w:hAnsi="Times New Roman"/>
        </w:rPr>
        <w:sectPr w:rsidR="004B4777">
          <w:pgSz w:w="16838" w:h="11906" w:orient="landscape"/>
          <w:pgMar w:top="1803" w:right="1440" w:bottom="1803" w:left="1440" w:header="851" w:footer="992" w:gutter="0"/>
          <w:cols w:space="720"/>
          <w:docGrid w:type="lines" w:linePitch="332"/>
        </w:sectPr>
      </w:pPr>
    </w:p>
    <w:p w:rsidR="004B4777" w:rsidRDefault="004B4777">
      <w:pPr>
        <w:pStyle w:val="3"/>
        <w:spacing w:before="0" w:after="0"/>
        <w:rPr>
          <w:rFonts w:ascii="Times New Roman" w:eastAsia="宋体" w:hAnsi="Times New Roman"/>
          <w:b/>
        </w:rPr>
      </w:pPr>
      <w:bookmarkStart w:id="148" w:name="_Toc508791378"/>
      <w:r>
        <w:rPr>
          <w:rFonts w:ascii="Times New Roman" w:eastAsia="宋体" w:hAnsi="Times New Roman" w:hint="eastAsia"/>
          <w:b/>
        </w:rPr>
        <w:lastRenderedPageBreak/>
        <w:t>5.2.4</w:t>
      </w:r>
      <w:r>
        <w:rPr>
          <w:rFonts w:ascii="Times New Roman" w:eastAsia="宋体" w:hAnsi="Times New Roman" w:hint="eastAsia"/>
          <w:b/>
        </w:rPr>
        <w:t>声环境质量现状调查与评价</w:t>
      </w:r>
      <w:bookmarkEnd w:id="148"/>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b/>
          <w:szCs w:val="24"/>
        </w:rPr>
        <w:t>1</w:t>
      </w:r>
      <w:r>
        <w:rPr>
          <w:rFonts w:ascii="Times New Roman" w:hAnsi="Times New Roman"/>
          <w:b/>
          <w:szCs w:val="24"/>
        </w:rPr>
        <w:t>）监测</w:t>
      </w:r>
      <w:r>
        <w:rPr>
          <w:rFonts w:ascii="Times New Roman" w:hAnsi="Times New Roman" w:hint="eastAsia"/>
          <w:b/>
          <w:szCs w:val="24"/>
        </w:rPr>
        <w:t>布点</w:t>
      </w:r>
    </w:p>
    <w:p w:rsidR="004B4777" w:rsidRDefault="004B4777">
      <w:pPr>
        <w:ind w:firstLine="480"/>
        <w:rPr>
          <w:rFonts w:ascii="Times New Roman" w:hAnsi="Times New Roman"/>
          <w:color w:val="000000"/>
          <w:szCs w:val="24"/>
        </w:rPr>
      </w:pPr>
      <w:r>
        <w:rPr>
          <w:rFonts w:ascii="Times New Roman" w:hAnsi="Times New Roman"/>
          <w:color w:val="000000"/>
          <w:szCs w:val="24"/>
        </w:rPr>
        <w:t>本次评价</w:t>
      </w:r>
      <w:r>
        <w:rPr>
          <w:rFonts w:ascii="Times New Roman" w:hAnsi="Times New Roman" w:hint="eastAsia"/>
          <w:color w:val="000000"/>
          <w:szCs w:val="24"/>
        </w:rPr>
        <w:t>选取易婆塘采区和斗米咀采区监测数据</w:t>
      </w:r>
      <w:r>
        <w:rPr>
          <w:rFonts w:ascii="Times New Roman" w:hAnsi="Times New Roman"/>
          <w:color w:val="000000"/>
          <w:szCs w:val="24"/>
        </w:rPr>
        <w:t>，</w:t>
      </w:r>
      <w:r>
        <w:rPr>
          <w:rFonts w:ascii="Times New Roman" w:hAnsi="Times New Roman" w:hint="eastAsia"/>
          <w:color w:val="000000"/>
          <w:szCs w:val="24"/>
        </w:rPr>
        <w:t>见表</w:t>
      </w:r>
      <w:r>
        <w:rPr>
          <w:rFonts w:ascii="Times New Roman" w:hAnsi="Times New Roman" w:hint="eastAsia"/>
          <w:color w:val="000000"/>
          <w:szCs w:val="24"/>
        </w:rPr>
        <w:t>5.2-12</w:t>
      </w:r>
      <w:r>
        <w:rPr>
          <w:rFonts w:ascii="Times New Roman" w:hAnsi="Times New Roman" w:hint="eastAsia"/>
          <w:color w:val="000000"/>
          <w:szCs w:val="24"/>
        </w:rPr>
        <w:t>。</w:t>
      </w:r>
    </w:p>
    <w:p w:rsidR="004B4777" w:rsidRDefault="004B4777">
      <w:pPr>
        <w:pStyle w:val="af"/>
        <w:spacing w:line="240" w:lineRule="auto"/>
        <w:rPr>
          <w:b/>
        </w:rPr>
      </w:pPr>
      <w:r>
        <w:rPr>
          <w:b/>
        </w:rPr>
        <w:t>表</w:t>
      </w:r>
      <w:r>
        <w:rPr>
          <w:b/>
        </w:rPr>
        <w:t>5.2-</w:t>
      </w:r>
      <w:r>
        <w:rPr>
          <w:rFonts w:hint="eastAsia"/>
          <w:b/>
        </w:rPr>
        <w:t>12</w:t>
      </w:r>
      <w:r>
        <w:rPr>
          <w:b/>
        </w:rPr>
        <w:t xml:space="preserve">   </w:t>
      </w:r>
      <w:r>
        <w:rPr>
          <w:rFonts w:hint="eastAsia"/>
          <w:b/>
        </w:rPr>
        <w:t>声环境质量监测点位</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865"/>
        <w:gridCol w:w="1984"/>
        <w:gridCol w:w="1842"/>
        <w:gridCol w:w="1665"/>
      </w:tblGrid>
      <w:tr w:rsidR="004B4777">
        <w:trPr>
          <w:cantSplit/>
          <w:trHeight w:val="402"/>
          <w:jc w:val="center"/>
        </w:trPr>
        <w:tc>
          <w:tcPr>
            <w:tcW w:w="2865" w:type="dxa"/>
            <w:vAlign w:val="center"/>
          </w:tcPr>
          <w:p w:rsidR="004B4777" w:rsidRDefault="004B4777">
            <w:pPr>
              <w:pStyle w:val="affff8"/>
              <w:rPr>
                <w:rFonts w:eastAsia="宋体"/>
              </w:rPr>
            </w:pPr>
            <w:r>
              <w:rPr>
                <w:rFonts w:eastAsia="宋体" w:cs="宋体" w:hint="eastAsia"/>
              </w:rPr>
              <w:t>监测点名称</w:t>
            </w:r>
          </w:p>
        </w:tc>
        <w:tc>
          <w:tcPr>
            <w:tcW w:w="1984" w:type="dxa"/>
            <w:vAlign w:val="center"/>
          </w:tcPr>
          <w:p w:rsidR="004B4777" w:rsidRDefault="004B4777">
            <w:pPr>
              <w:pStyle w:val="affff8"/>
              <w:rPr>
                <w:rFonts w:eastAsia="宋体"/>
              </w:rPr>
            </w:pPr>
            <w:r>
              <w:rPr>
                <w:rFonts w:eastAsia="宋体" w:cs="宋体" w:hint="eastAsia"/>
              </w:rPr>
              <w:t>位置</w:t>
            </w:r>
          </w:p>
        </w:tc>
        <w:tc>
          <w:tcPr>
            <w:tcW w:w="1842" w:type="dxa"/>
            <w:tcBorders>
              <w:right w:val="single" w:sz="6" w:space="0" w:color="auto"/>
            </w:tcBorders>
            <w:vAlign w:val="center"/>
          </w:tcPr>
          <w:p w:rsidR="004B4777" w:rsidRDefault="004B4777">
            <w:pPr>
              <w:pStyle w:val="affff8"/>
              <w:rPr>
                <w:rFonts w:eastAsia="宋体"/>
              </w:rPr>
            </w:pPr>
            <w:r>
              <w:rPr>
                <w:rFonts w:eastAsia="宋体" w:hint="eastAsia"/>
              </w:rPr>
              <w:t>监测因子</w:t>
            </w:r>
          </w:p>
        </w:tc>
        <w:tc>
          <w:tcPr>
            <w:tcW w:w="1665" w:type="dxa"/>
            <w:tcBorders>
              <w:right w:val="single" w:sz="6" w:space="0" w:color="auto"/>
            </w:tcBorders>
            <w:vAlign w:val="center"/>
          </w:tcPr>
          <w:p w:rsidR="004B4777" w:rsidRDefault="004B4777">
            <w:pPr>
              <w:pStyle w:val="affff8"/>
              <w:rPr>
                <w:rFonts w:eastAsia="宋体"/>
              </w:rPr>
            </w:pPr>
            <w:r>
              <w:rPr>
                <w:rFonts w:eastAsia="宋体" w:hint="eastAsia"/>
              </w:rPr>
              <w:t>监测频次</w:t>
            </w:r>
          </w:p>
        </w:tc>
      </w:tr>
      <w:tr w:rsidR="004B4777">
        <w:trPr>
          <w:cantSplit/>
          <w:trHeight w:val="402"/>
          <w:jc w:val="center"/>
        </w:trPr>
        <w:tc>
          <w:tcPr>
            <w:tcW w:w="2865" w:type="dxa"/>
            <w:vAlign w:val="center"/>
          </w:tcPr>
          <w:p w:rsidR="004B4777" w:rsidRDefault="004B4777">
            <w:pPr>
              <w:pStyle w:val="affff8"/>
              <w:rPr>
                <w:rFonts w:eastAsia="宋体"/>
              </w:rPr>
            </w:pPr>
            <w:r>
              <w:rPr>
                <w:rFonts w:eastAsia="宋体" w:cs="宋体" w:hint="eastAsia"/>
              </w:rPr>
              <w:t>易婆塘采区</w:t>
            </w:r>
            <w:r>
              <w:rPr>
                <w:rFonts w:eastAsia="宋体" w:cs="宋体" w:hint="eastAsia"/>
                <w:color w:val="000000"/>
              </w:rPr>
              <w:t>附近居民区</w:t>
            </w:r>
          </w:p>
        </w:tc>
        <w:tc>
          <w:tcPr>
            <w:tcW w:w="1984" w:type="dxa"/>
            <w:vAlign w:val="center"/>
          </w:tcPr>
          <w:p w:rsidR="004B4777" w:rsidRDefault="004B4777">
            <w:pPr>
              <w:pStyle w:val="affff8"/>
              <w:rPr>
                <w:rFonts w:eastAsia="宋体" w:cs="宋体"/>
                <w:color w:val="000000"/>
              </w:rPr>
            </w:pPr>
            <w:r>
              <w:rPr>
                <w:rFonts w:eastAsia="宋体" w:cs="宋体" w:hint="eastAsia"/>
                <w:color w:val="000000"/>
              </w:rPr>
              <w:t>新坪村</w:t>
            </w:r>
          </w:p>
        </w:tc>
        <w:tc>
          <w:tcPr>
            <w:tcW w:w="1842" w:type="dxa"/>
            <w:vMerge w:val="restart"/>
            <w:tcBorders>
              <w:right w:val="single" w:sz="6" w:space="0" w:color="auto"/>
            </w:tcBorders>
            <w:vAlign w:val="center"/>
          </w:tcPr>
          <w:p w:rsidR="004B4777" w:rsidRDefault="004B4777">
            <w:pPr>
              <w:pStyle w:val="affff8"/>
              <w:rPr>
                <w:rFonts w:eastAsia="宋体" w:cs="宋体"/>
                <w:color w:val="000000"/>
                <w:sz w:val="20"/>
                <w:szCs w:val="20"/>
              </w:rPr>
            </w:pPr>
            <w:r>
              <w:rPr>
                <w:rFonts w:eastAsia="宋体" w:cs="宋体" w:hint="eastAsia"/>
                <w:szCs w:val="24"/>
              </w:rPr>
              <w:t>连续等效</w:t>
            </w:r>
            <w:r>
              <w:rPr>
                <w:rFonts w:eastAsia="宋体"/>
                <w:szCs w:val="24"/>
              </w:rPr>
              <w:t>A</w:t>
            </w:r>
            <w:r>
              <w:rPr>
                <w:rFonts w:eastAsia="宋体" w:cs="宋体" w:hint="eastAsia"/>
                <w:szCs w:val="24"/>
              </w:rPr>
              <w:t>声级</w:t>
            </w:r>
          </w:p>
        </w:tc>
        <w:tc>
          <w:tcPr>
            <w:tcW w:w="1665" w:type="dxa"/>
            <w:vMerge w:val="restart"/>
            <w:tcBorders>
              <w:right w:val="single" w:sz="6" w:space="0" w:color="auto"/>
            </w:tcBorders>
            <w:vAlign w:val="center"/>
          </w:tcPr>
          <w:p w:rsidR="004B4777" w:rsidRDefault="004B4777">
            <w:pPr>
              <w:pStyle w:val="affff8"/>
              <w:rPr>
                <w:rFonts w:eastAsia="宋体" w:cs="宋体"/>
                <w:color w:val="000000"/>
                <w:sz w:val="20"/>
                <w:szCs w:val="20"/>
              </w:rPr>
            </w:pPr>
            <w:r>
              <w:rPr>
                <w:rFonts w:eastAsia="宋体" w:cs="宋体" w:hint="eastAsia"/>
                <w:szCs w:val="24"/>
              </w:rPr>
              <w:t>监测</w:t>
            </w:r>
            <w:r>
              <w:rPr>
                <w:rFonts w:eastAsia="宋体"/>
                <w:szCs w:val="24"/>
              </w:rPr>
              <w:t>2</w:t>
            </w:r>
            <w:r>
              <w:rPr>
                <w:rFonts w:eastAsia="宋体" w:cs="宋体" w:hint="eastAsia"/>
                <w:szCs w:val="24"/>
              </w:rPr>
              <w:t>天，每天昼夜各</w:t>
            </w:r>
            <w:r>
              <w:rPr>
                <w:rFonts w:eastAsia="宋体"/>
                <w:szCs w:val="24"/>
              </w:rPr>
              <w:t>1</w:t>
            </w:r>
            <w:r>
              <w:rPr>
                <w:rFonts w:eastAsia="宋体" w:cs="宋体" w:hint="eastAsia"/>
                <w:szCs w:val="24"/>
              </w:rPr>
              <w:t>次</w:t>
            </w:r>
          </w:p>
        </w:tc>
      </w:tr>
      <w:tr w:rsidR="004B4777">
        <w:trPr>
          <w:cantSplit/>
          <w:trHeight w:val="402"/>
          <w:jc w:val="center"/>
        </w:trPr>
        <w:tc>
          <w:tcPr>
            <w:tcW w:w="2865" w:type="dxa"/>
            <w:vAlign w:val="center"/>
          </w:tcPr>
          <w:p w:rsidR="004B4777" w:rsidRDefault="004B4777">
            <w:pPr>
              <w:pStyle w:val="affff8"/>
              <w:rPr>
                <w:rFonts w:eastAsia="宋体"/>
              </w:rPr>
            </w:pPr>
            <w:r>
              <w:rPr>
                <w:rFonts w:eastAsia="宋体" w:cs="宋体" w:hint="eastAsia"/>
                <w:color w:val="000000"/>
              </w:rPr>
              <w:t>斗米咀采区附近居民区</w:t>
            </w:r>
          </w:p>
        </w:tc>
        <w:tc>
          <w:tcPr>
            <w:tcW w:w="1984" w:type="dxa"/>
            <w:vAlign w:val="center"/>
          </w:tcPr>
          <w:p w:rsidR="004B4777" w:rsidRDefault="004B4777">
            <w:pPr>
              <w:pStyle w:val="affff8"/>
              <w:rPr>
                <w:rFonts w:eastAsia="宋体" w:cs="宋体"/>
                <w:color w:val="000000"/>
              </w:rPr>
            </w:pPr>
            <w:r>
              <w:rPr>
                <w:rFonts w:eastAsia="宋体" w:cs="宋体" w:hint="eastAsia"/>
                <w:color w:val="000000"/>
              </w:rPr>
              <w:t>裕民村</w:t>
            </w:r>
          </w:p>
        </w:tc>
        <w:tc>
          <w:tcPr>
            <w:tcW w:w="1842" w:type="dxa"/>
            <w:vMerge/>
            <w:tcBorders>
              <w:right w:val="single" w:sz="6" w:space="0" w:color="auto"/>
            </w:tcBorders>
            <w:vAlign w:val="center"/>
          </w:tcPr>
          <w:p w:rsidR="004B4777" w:rsidRDefault="004B4777">
            <w:pPr>
              <w:pStyle w:val="affff8"/>
              <w:rPr>
                <w:rFonts w:eastAsia="宋体" w:cs="宋体"/>
                <w:color w:val="000000"/>
                <w:sz w:val="20"/>
                <w:szCs w:val="20"/>
              </w:rPr>
            </w:pPr>
          </w:p>
        </w:tc>
        <w:tc>
          <w:tcPr>
            <w:tcW w:w="1665" w:type="dxa"/>
            <w:vMerge/>
            <w:tcBorders>
              <w:right w:val="single" w:sz="6" w:space="0" w:color="auto"/>
            </w:tcBorders>
            <w:vAlign w:val="center"/>
          </w:tcPr>
          <w:p w:rsidR="004B4777" w:rsidRDefault="004B4777">
            <w:pPr>
              <w:pStyle w:val="affff8"/>
              <w:rPr>
                <w:rFonts w:eastAsia="宋体" w:cs="宋体"/>
                <w:color w:val="000000"/>
                <w:sz w:val="20"/>
                <w:szCs w:val="20"/>
              </w:rPr>
            </w:pPr>
          </w:p>
        </w:tc>
      </w:tr>
    </w:tbl>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hint="eastAsia"/>
          <w:b/>
          <w:szCs w:val="24"/>
        </w:rPr>
        <w:t>2</w:t>
      </w:r>
      <w:r>
        <w:rPr>
          <w:rFonts w:ascii="Times New Roman" w:hAnsi="Times New Roman"/>
          <w:b/>
          <w:szCs w:val="24"/>
        </w:rPr>
        <w:t>）评价标准</w:t>
      </w:r>
    </w:p>
    <w:p w:rsidR="004B4777" w:rsidRDefault="004B4777">
      <w:pPr>
        <w:ind w:firstLine="480"/>
        <w:rPr>
          <w:rFonts w:ascii="Times New Roman" w:hAnsi="Times New Roman"/>
          <w:color w:val="000000"/>
          <w:szCs w:val="24"/>
        </w:rPr>
      </w:pPr>
      <w:bookmarkStart w:id="149" w:name="_Toc364329829"/>
      <w:bookmarkStart w:id="150" w:name="_Toc325987239"/>
      <w:r>
        <w:rPr>
          <w:rFonts w:ascii="Times New Roman" w:hAnsi="Times New Roman" w:hint="eastAsia"/>
          <w:color w:val="000000"/>
          <w:szCs w:val="24"/>
        </w:rPr>
        <w:t>执行</w:t>
      </w:r>
      <w:r>
        <w:rPr>
          <w:rFonts w:ascii="Times New Roman" w:hAnsi="Times New Roman"/>
          <w:color w:val="000000"/>
          <w:szCs w:val="24"/>
        </w:rPr>
        <w:t>《声环境质量标准》</w:t>
      </w:r>
      <w:r>
        <w:rPr>
          <w:rFonts w:ascii="Times New Roman" w:hAnsi="Times New Roman" w:hint="eastAsia"/>
          <w:color w:val="000000"/>
          <w:szCs w:val="24"/>
        </w:rPr>
        <w:t>（</w:t>
      </w:r>
      <w:r>
        <w:rPr>
          <w:rFonts w:ascii="Times New Roman" w:hAnsi="Times New Roman"/>
          <w:color w:val="000000"/>
          <w:szCs w:val="24"/>
        </w:rPr>
        <w:t>GB3096-2008</w:t>
      </w:r>
      <w:r>
        <w:rPr>
          <w:rFonts w:ascii="Times New Roman" w:hAnsi="Times New Roman" w:hint="eastAsia"/>
          <w:color w:val="000000"/>
          <w:szCs w:val="24"/>
        </w:rPr>
        <w:t>）</w:t>
      </w:r>
      <w:r>
        <w:rPr>
          <w:rFonts w:ascii="Times New Roman" w:hAnsi="Times New Roman"/>
          <w:color w:val="000000"/>
          <w:szCs w:val="24"/>
        </w:rPr>
        <w:t>中的</w:t>
      </w:r>
      <w:r>
        <w:rPr>
          <w:rFonts w:ascii="Times New Roman" w:hAnsi="Times New Roman" w:hint="eastAsia"/>
          <w:color w:val="000000"/>
          <w:szCs w:val="24"/>
        </w:rPr>
        <w:t>2</w:t>
      </w:r>
      <w:r>
        <w:rPr>
          <w:rFonts w:ascii="Times New Roman" w:hAnsi="Times New Roman"/>
          <w:color w:val="000000"/>
          <w:szCs w:val="24"/>
        </w:rPr>
        <w:t>类声环境功能区，即昼间：</w:t>
      </w:r>
      <w:r>
        <w:rPr>
          <w:rFonts w:ascii="Times New Roman" w:hAnsi="Times New Roman" w:hint="eastAsia"/>
          <w:color w:val="000000"/>
          <w:szCs w:val="24"/>
        </w:rPr>
        <w:t>60</w:t>
      </w:r>
      <w:r>
        <w:rPr>
          <w:rFonts w:ascii="Times New Roman" w:hAnsi="Times New Roman"/>
          <w:color w:val="000000"/>
          <w:szCs w:val="24"/>
        </w:rPr>
        <w:t>dB(A)</w:t>
      </w:r>
      <w:r>
        <w:rPr>
          <w:rFonts w:ascii="Times New Roman" w:hAnsi="Times New Roman"/>
          <w:color w:val="000000"/>
          <w:szCs w:val="24"/>
        </w:rPr>
        <w:t>、夜间</w:t>
      </w:r>
      <w:r>
        <w:rPr>
          <w:rFonts w:ascii="Times New Roman" w:hAnsi="Times New Roman" w:hint="eastAsia"/>
          <w:color w:val="000000"/>
          <w:szCs w:val="24"/>
        </w:rPr>
        <w:t>50</w:t>
      </w:r>
      <w:r>
        <w:rPr>
          <w:rFonts w:ascii="Times New Roman" w:hAnsi="Times New Roman"/>
          <w:color w:val="000000"/>
          <w:szCs w:val="24"/>
        </w:rPr>
        <w:t>dB(A)</w:t>
      </w:r>
      <w:r>
        <w:rPr>
          <w:rFonts w:ascii="Times New Roman" w:hAnsi="Times New Roman"/>
          <w:color w:val="000000"/>
          <w:szCs w:val="24"/>
        </w:rPr>
        <w:t>。</w:t>
      </w:r>
    </w:p>
    <w:bookmarkEnd w:id="149"/>
    <w:bookmarkEnd w:id="150"/>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hint="eastAsia"/>
          <w:b/>
          <w:szCs w:val="24"/>
        </w:rPr>
        <w:t>3</w:t>
      </w:r>
      <w:r>
        <w:rPr>
          <w:rFonts w:ascii="Times New Roman" w:hAnsi="Times New Roman"/>
          <w:b/>
          <w:szCs w:val="24"/>
        </w:rPr>
        <w:t>）监测结果与评价</w:t>
      </w:r>
    </w:p>
    <w:p w:rsidR="004B4777" w:rsidRDefault="004B4777">
      <w:pPr>
        <w:ind w:firstLine="480"/>
        <w:rPr>
          <w:rFonts w:ascii="Times New Roman" w:hAnsi="Times New Roman"/>
          <w:color w:val="000000"/>
          <w:szCs w:val="24"/>
        </w:rPr>
      </w:pPr>
      <w:r>
        <w:rPr>
          <w:rFonts w:ascii="Times New Roman" w:hAnsi="Times New Roman"/>
          <w:color w:val="000000"/>
          <w:szCs w:val="24"/>
        </w:rPr>
        <w:t>声环境质量现状监测</w:t>
      </w:r>
      <w:r>
        <w:rPr>
          <w:rFonts w:ascii="Times New Roman" w:hAnsi="Times New Roman" w:hint="eastAsia"/>
          <w:color w:val="000000"/>
          <w:szCs w:val="24"/>
        </w:rPr>
        <w:t>由</w:t>
      </w:r>
      <w:r>
        <w:rPr>
          <w:rFonts w:ascii="Times New Roman" w:hAnsi="Times New Roman"/>
          <w:color w:val="000000"/>
          <w:szCs w:val="24"/>
        </w:rPr>
        <w:t>湖南谱实检测技术有限公司于</w:t>
      </w:r>
      <w:r>
        <w:rPr>
          <w:rFonts w:ascii="Times New Roman" w:hAnsi="Times New Roman"/>
          <w:color w:val="000000"/>
          <w:szCs w:val="24"/>
        </w:rPr>
        <w:t>2018</w:t>
      </w:r>
      <w:r>
        <w:rPr>
          <w:rFonts w:ascii="Times New Roman" w:hAnsi="Times New Roman"/>
          <w:color w:val="000000"/>
          <w:szCs w:val="24"/>
        </w:rPr>
        <w:t>年</w:t>
      </w:r>
      <w:r>
        <w:rPr>
          <w:rFonts w:ascii="Times New Roman" w:hAnsi="Times New Roman"/>
          <w:color w:val="000000"/>
          <w:szCs w:val="24"/>
        </w:rPr>
        <w:t>2</w:t>
      </w:r>
      <w:r>
        <w:rPr>
          <w:rFonts w:ascii="Times New Roman" w:hAnsi="Times New Roman"/>
          <w:color w:val="000000"/>
          <w:szCs w:val="24"/>
        </w:rPr>
        <w:t>月</w:t>
      </w:r>
      <w:r>
        <w:rPr>
          <w:rFonts w:ascii="Times New Roman" w:hAnsi="Times New Roman"/>
          <w:color w:val="000000"/>
          <w:szCs w:val="24"/>
        </w:rPr>
        <w:t>1</w:t>
      </w:r>
      <w:r>
        <w:rPr>
          <w:rFonts w:ascii="Times New Roman" w:hAnsi="Times New Roman"/>
          <w:color w:val="000000"/>
          <w:szCs w:val="24"/>
        </w:rPr>
        <w:t>日</w:t>
      </w:r>
      <w:r>
        <w:rPr>
          <w:rFonts w:ascii="Times New Roman" w:hAnsi="Times New Roman"/>
          <w:color w:val="000000"/>
          <w:szCs w:val="24"/>
        </w:rPr>
        <w:t>~2</w:t>
      </w:r>
      <w:r>
        <w:rPr>
          <w:rFonts w:ascii="Times New Roman" w:hAnsi="Times New Roman"/>
          <w:color w:val="000000"/>
          <w:szCs w:val="24"/>
        </w:rPr>
        <w:t>月</w:t>
      </w:r>
      <w:r>
        <w:rPr>
          <w:rFonts w:ascii="Times New Roman" w:hAnsi="Times New Roman"/>
          <w:color w:val="000000"/>
          <w:szCs w:val="24"/>
        </w:rPr>
        <w:t>2</w:t>
      </w:r>
      <w:r>
        <w:rPr>
          <w:rFonts w:ascii="Times New Roman" w:hAnsi="Times New Roman"/>
          <w:color w:val="000000"/>
          <w:szCs w:val="24"/>
        </w:rPr>
        <w:t>日完成，监测结果统计详见表</w:t>
      </w:r>
      <w:r>
        <w:rPr>
          <w:rFonts w:ascii="Times New Roman" w:hAnsi="Times New Roman"/>
          <w:color w:val="000000"/>
          <w:szCs w:val="24"/>
        </w:rPr>
        <w:t>5.2-</w:t>
      </w:r>
      <w:r>
        <w:rPr>
          <w:rFonts w:ascii="Times New Roman" w:hAnsi="Times New Roman" w:hint="eastAsia"/>
          <w:color w:val="000000"/>
          <w:szCs w:val="24"/>
        </w:rPr>
        <w:t>13</w:t>
      </w:r>
      <w:r>
        <w:rPr>
          <w:rFonts w:ascii="Times New Roman" w:hAnsi="Times New Roman"/>
          <w:color w:val="000000"/>
          <w:szCs w:val="24"/>
        </w:rPr>
        <w:t>。</w:t>
      </w:r>
    </w:p>
    <w:p w:rsidR="004B4777" w:rsidRDefault="004B4777">
      <w:pPr>
        <w:ind w:firstLine="480"/>
        <w:rPr>
          <w:rFonts w:ascii="Times New Roman" w:hAnsi="Times New Roman"/>
          <w:color w:val="000000"/>
          <w:szCs w:val="24"/>
        </w:rPr>
      </w:pPr>
      <w:r>
        <w:rPr>
          <w:rFonts w:ascii="Times New Roman" w:hAnsi="Times New Roman" w:hint="eastAsia"/>
          <w:color w:val="000000"/>
          <w:szCs w:val="24"/>
        </w:rPr>
        <w:t>由声环境监测结果可知，各监测点的声环境质量现状均可满足</w:t>
      </w:r>
      <w:r>
        <w:rPr>
          <w:rFonts w:ascii="Times New Roman" w:hAnsi="Times New Roman"/>
          <w:color w:val="000000"/>
          <w:szCs w:val="24"/>
        </w:rPr>
        <w:t>《声环境质量标准》</w:t>
      </w:r>
      <w:r>
        <w:rPr>
          <w:rFonts w:ascii="Times New Roman" w:hAnsi="Times New Roman" w:hint="eastAsia"/>
          <w:color w:val="000000"/>
          <w:szCs w:val="24"/>
        </w:rPr>
        <w:t>（</w:t>
      </w:r>
      <w:r>
        <w:rPr>
          <w:rFonts w:ascii="Times New Roman" w:hAnsi="Times New Roman"/>
          <w:color w:val="000000"/>
          <w:szCs w:val="24"/>
        </w:rPr>
        <w:t>GB3096-2008</w:t>
      </w:r>
      <w:r>
        <w:rPr>
          <w:rFonts w:ascii="Times New Roman" w:hAnsi="Times New Roman" w:hint="eastAsia"/>
          <w:color w:val="000000"/>
          <w:szCs w:val="24"/>
        </w:rPr>
        <w:t>）</w:t>
      </w:r>
      <w:r>
        <w:rPr>
          <w:rFonts w:ascii="Times New Roman" w:hAnsi="Times New Roman"/>
          <w:color w:val="000000"/>
          <w:szCs w:val="24"/>
        </w:rPr>
        <w:t>中的</w:t>
      </w:r>
      <w:r>
        <w:rPr>
          <w:rFonts w:ascii="Times New Roman" w:hAnsi="Times New Roman" w:hint="eastAsia"/>
          <w:color w:val="000000"/>
          <w:szCs w:val="24"/>
        </w:rPr>
        <w:t>2</w:t>
      </w:r>
      <w:r>
        <w:rPr>
          <w:rFonts w:ascii="Times New Roman" w:hAnsi="Times New Roman"/>
          <w:color w:val="000000"/>
          <w:szCs w:val="24"/>
        </w:rPr>
        <w:t>类声环境质量标准的要求</w:t>
      </w:r>
      <w:r>
        <w:rPr>
          <w:rFonts w:ascii="Times New Roman" w:hAnsi="Times New Roman" w:hint="eastAsia"/>
          <w:color w:val="000000"/>
          <w:szCs w:val="24"/>
        </w:rPr>
        <w:t>，</w:t>
      </w:r>
      <w:r>
        <w:rPr>
          <w:rFonts w:ascii="Times New Roman" w:hAnsi="Times New Roman"/>
          <w:color w:val="000000"/>
          <w:szCs w:val="24"/>
        </w:rPr>
        <w:t>声环境质量现状良好。</w:t>
      </w:r>
    </w:p>
    <w:p w:rsidR="004B4777" w:rsidRDefault="004B4777">
      <w:pPr>
        <w:pStyle w:val="af"/>
        <w:spacing w:line="240" w:lineRule="auto"/>
        <w:rPr>
          <w:b/>
        </w:rPr>
      </w:pPr>
      <w:r>
        <w:rPr>
          <w:rFonts w:hint="eastAsia"/>
          <w:b/>
        </w:rPr>
        <w:t>表</w:t>
      </w:r>
      <w:r>
        <w:rPr>
          <w:rFonts w:hint="eastAsia"/>
          <w:b/>
        </w:rPr>
        <w:t>5.2</w:t>
      </w:r>
      <w:r>
        <w:rPr>
          <w:b/>
        </w:rPr>
        <w:t>-</w:t>
      </w:r>
      <w:r>
        <w:rPr>
          <w:rFonts w:hint="eastAsia"/>
          <w:b/>
        </w:rPr>
        <w:t xml:space="preserve">13 </w:t>
      </w:r>
      <w:r>
        <w:rPr>
          <w:rFonts w:hint="eastAsia"/>
          <w:b/>
        </w:rPr>
        <w:t>声环境监测结果一览表</w:t>
      </w:r>
    </w:p>
    <w:tbl>
      <w:tblPr>
        <w:tblW w:w="0" w:type="auto"/>
        <w:tblInd w:w="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492"/>
        <w:gridCol w:w="851"/>
        <w:gridCol w:w="850"/>
        <w:gridCol w:w="992"/>
        <w:gridCol w:w="878"/>
        <w:gridCol w:w="1532"/>
        <w:gridCol w:w="898"/>
      </w:tblGrid>
      <w:tr w:rsidR="004B4777">
        <w:trPr>
          <w:trHeight w:val="454"/>
        </w:trPr>
        <w:tc>
          <w:tcPr>
            <w:tcW w:w="2492" w:type="dxa"/>
            <w:vMerge w:val="restart"/>
            <w:vAlign w:val="center"/>
          </w:tcPr>
          <w:p w:rsidR="004B4777" w:rsidRDefault="004B4777">
            <w:pPr>
              <w:pStyle w:val="affff8"/>
              <w:rPr>
                <w:rFonts w:eastAsia="宋体"/>
              </w:rPr>
            </w:pPr>
            <w:r>
              <w:rPr>
                <w:rFonts w:eastAsia="宋体"/>
              </w:rPr>
              <w:t>检测点位</w:t>
            </w:r>
          </w:p>
        </w:tc>
        <w:tc>
          <w:tcPr>
            <w:tcW w:w="3571" w:type="dxa"/>
            <w:gridSpan w:val="4"/>
            <w:vAlign w:val="center"/>
          </w:tcPr>
          <w:p w:rsidR="004B4777" w:rsidRDefault="004B4777">
            <w:pPr>
              <w:pStyle w:val="affff8"/>
              <w:rPr>
                <w:rFonts w:eastAsia="宋体"/>
              </w:rPr>
            </w:pPr>
            <w:r>
              <w:rPr>
                <w:rFonts w:eastAsia="宋体"/>
              </w:rPr>
              <w:t>检测结果（</w:t>
            </w:r>
            <w:r>
              <w:rPr>
                <w:rFonts w:eastAsia="宋体"/>
              </w:rPr>
              <w:t>LAeq</w:t>
            </w:r>
            <w:r>
              <w:rPr>
                <w:rFonts w:eastAsia="宋体"/>
              </w:rPr>
              <w:t>）</w:t>
            </w:r>
          </w:p>
        </w:tc>
        <w:tc>
          <w:tcPr>
            <w:tcW w:w="1532" w:type="dxa"/>
            <w:vMerge w:val="restart"/>
            <w:vAlign w:val="center"/>
          </w:tcPr>
          <w:p w:rsidR="004B4777" w:rsidRDefault="004B4777">
            <w:pPr>
              <w:pStyle w:val="affff8"/>
              <w:rPr>
                <w:rFonts w:eastAsia="宋体"/>
              </w:rPr>
            </w:pPr>
            <w:r>
              <w:rPr>
                <w:rFonts w:eastAsia="宋体"/>
              </w:rPr>
              <w:t>标准值</w:t>
            </w:r>
          </w:p>
        </w:tc>
        <w:tc>
          <w:tcPr>
            <w:tcW w:w="898" w:type="dxa"/>
            <w:vMerge w:val="restart"/>
            <w:vAlign w:val="center"/>
          </w:tcPr>
          <w:p w:rsidR="004B4777" w:rsidRDefault="004B4777">
            <w:pPr>
              <w:pStyle w:val="affff8"/>
              <w:rPr>
                <w:rFonts w:eastAsia="宋体"/>
              </w:rPr>
            </w:pPr>
            <w:r>
              <w:rPr>
                <w:rFonts w:eastAsia="宋体"/>
              </w:rPr>
              <w:t>达标情况</w:t>
            </w:r>
          </w:p>
        </w:tc>
      </w:tr>
      <w:tr w:rsidR="004B4777">
        <w:trPr>
          <w:trHeight w:val="454"/>
        </w:trPr>
        <w:tc>
          <w:tcPr>
            <w:tcW w:w="2492" w:type="dxa"/>
            <w:vMerge/>
            <w:vAlign w:val="center"/>
          </w:tcPr>
          <w:p w:rsidR="004B4777" w:rsidRDefault="004B4777">
            <w:pPr>
              <w:pStyle w:val="affff8"/>
              <w:rPr>
                <w:rFonts w:eastAsia="宋体"/>
              </w:rPr>
            </w:pPr>
          </w:p>
        </w:tc>
        <w:tc>
          <w:tcPr>
            <w:tcW w:w="1701" w:type="dxa"/>
            <w:gridSpan w:val="2"/>
            <w:vAlign w:val="center"/>
          </w:tcPr>
          <w:p w:rsidR="004B4777" w:rsidRDefault="004B4777">
            <w:pPr>
              <w:pStyle w:val="affff8"/>
              <w:rPr>
                <w:rFonts w:eastAsia="宋体"/>
              </w:rPr>
            </w:pPr>
            <w:r>
              <w:rPr>
                <w:rFonts w:eastAsia="宋体"/>
              </w:rPr>
              <w:t>2</w:t>
            </w:r>
            <w:r>
              <w:rPr>
                <w:rFonts w:eastAsia="宋体"/>
              </w:rPr>
              <w:t>月</w:t>
            </w:r>
            <w:r>
              <w:rPr>
                <w:rFonts w:eastAsia="宋体"/>
              </w:rPr>
              <w:t>1</w:t>
            </w:r>
            <w:r>
              <w:rPr>
                <w:rFonts w:eastAsia="宋体"/>
              </w:rPr>
              <w:t>日</w:t>
            </w:r>
          </w:p>
        </w:tc>
        <w:tc>
          <w:tcPr>
            <w:tcW w:w="1870" w:type="dxa"/>
            <w:gridSpan w:val="2"/>
            <w:vAlign w:val="center"/>
          </w:tcPr>
          <w:p w:rsidR="004B4777" w:rsidRDefault="004B4777">
            <w:pPr>
              <w:pStyle w:val="affff8"/>
              <w:rPr>
                <w:rFonts w:eastAsia="宋体"/>
              </w:rPr>
            </w:pPr>
            <w:r>
              <w:rPr>
                <w:rFonts w:eastAsia="宋体"/>
              </w:rPr>
              <w:t>2</w:t>
            </w:r>
            <w:r>
              <w:rPr>
                <w:rFonts w:eastAsia="宋体"/>
              </w:rPr>
              <w:t>月</w:t>
            </w:r>
            <w:r>
              <w:rPr>
                <w:rFonts w:eastAsia="宋体"/>
              </w:rPr>
              <w:t>2</w:t>
            </w:r>
            <w:r>
              <w:rPr>
                <w:rFonts w:eastAsia="宋体"/>
              </w:rPr>
              <w:t>日</w:t>
            </w:r>
          </w:p>
        </w:tc>
        <w:tc>
          <w:tcPr>
            <w:tcW w:w="1532" w:type="dxa"/>
            <w:vMerge/>
            <w:vAlign w:val="center"/>
          </w:tcPr>
          <w:p w:rsidR="004B4777" w:rsidRDefault="004B4777">
            <w:pPr>
              <w:pStyle w:val="affff8"/>
              <w:rPr>
                <w:rFonts w:eastAsia="宋体"/>
              </w:rPr>
            </w:pPr>
          </w:p>
        </w:tc>
        <w:tc>
          <w:tcPr>
            <w:tcW w:w="898" w:type="dxa"/>
            <w:vMerge/>
            <w:vAlign w:val="center"/>
          </w:tcPr>
          <w:p w:rsidR="004B4777" w:rsidRDefault="004B4777">
            <w:pPr>
              <w:pStyle w:val="affff8"/>
              <w:rPr>
                <w:rFonts w:eastAsia="宋体"/>
              </w:rPr>
            </w:pPr>
          </w:p>
        </w:tc>
      </w:tr>
      <w:tr w:rsidR="004B4777">
        <w:trPr>
          <w:trHeight w:val="454"/>
        </w:trPr>
        <w:tc>
          <w:tcPr>
            <w:tcW w:w="2492" w:type="dxa"/>
            <w:vMerge/>
            <w:vAlign w:val="center"/>
          </w:tcPr>
          <w:p w:rsidR="004B4777" w:rsidRDefault="004B4777">
            <w:pPr>
              <w:pStyle w:val="affff8"/>
              <w:rPr>
                <w:rFonts w:eastAsia="宋体"/>
              </w:rPr>
            </w:pPr>
          </w:p>
        </w:tc>
        <w:tc>
          <w:tcPr>
            <w:tcW w:w="851" w:type="dxa"/>
            <w:vAlign w:val="center"/>
          </w:tcPr>
          <w:p w:rsidR="004B4777" w:rsidRDefault="004B4777">
            <w:pPr>
              <w:pStyle w:val="affff8"/>
              <w:rPr>
                <w:rFonts w:eastAsia="宋体"/>
              </w:rPr>
            </w:pPr>
            <w:r>
              <w:rPr>
                <w:rFonts w:eastAsia="宋体"/>
              </w:rPr>
              <w:t>昼间</w:t>
            </w:r>
          </w:p>
        </w:tc>
        <w:tc>
          <w:tcPr>
            <w:tcW w:w="850" w:type="dxa"/>
            <w:vAlign w:val="center"/>
          </w:tcPr>
          <w:p w:rsidR="004B4777" w:rsidRDefault="004B4777">
            <w:pPr>
              <w:pStyle w:val="affff8"/>
              <w:rPr>
                <w:rFonts w:eastAsia="宋体"/>
              </w:rPr>
            </w:pPr>
            <w:r>
              <w:rPr>
                <w:rFonts w:eastAsia="宋体"/>
              </w:rPr>
              <w:t>夜间</w:t>
            </w:r>
          </w:p>
        </w:tc>
        <w:tc>
          <w:tcPr>
            <w:tcW w:w="992" w:type="dxa"/>
            <w:vAlign w:val="center"/>
          </w:tcPr>
          <w:p w:rsidR="004B4777" w:rsidRDefault="004B4777">
            <w:pPr>
              <w:pStyle w:val="affff8"/>
              <w:rPr>
                <w:rFonts w:eastAsia="宋体"/>
              </w:rPr>
            </w:pPr>
            <w:r>
              <w:rPr>
                <w:rFonts w:eastAsia="宋体"/>
              </w:rPr>
              <w:t>昼间</w:t>
            </w:r>
          </w:p>
        </w:tc>
        <w:tc>
          <w:tcPr>
            <w:tcW w:w="878" w:type="dxa"/>
            <w:vAlign w:val="center"/>
          </w:tcPr>
          <w:p w:rsidR="004B4777" w:rsidRDefault="004B4777">
            <w:pPr>
              <w:pStyle w:val="affff8"/>
              <w:rPr>
                <w:rFonts w:eastAsia="宋体"/>
              </w:rPr>
            </w:pPr>
            <w:r>
              <w:rPr>
                <w:rFonts w:eastAsia="宋体"/>
              </w:rPr>
              <w:t>夜间</w:t>
            </w:r>
          </w:p>
        </w:tc>
        <w:tc>
          <w:tcPr>
            <w:tcW w:w="1532" w:type="dxa"/>
            <w:vMerge/>
            <w:vAlign w:val="center"/>
          </w:tcPr>
          <w:p w:rsidR="004B4777" w:rsidRDefault="004B4777">
            <w:pPr>
              <w:pStyle w:val="affff8"/>
              <w:rPr>
                <w:rFonts w:eastAsia="宋体"/>
              </w:rPr>
            </w:pPr>
          </w:p>
        </w:tc>
        <w:tc>
          <w:tcPr>
            <w:tcW w:w="898" w:type="dxa"/>
            <w:vMerge/>
            <w:vAlign w:val="center"/>
          </w:tcPr>
          <w:p w:rsidR="004B4777" w:rsidRDefault="004B4777">
            <w:pPr>
              <w:pStyle w:val="affff8"/>
              <w:rPr>
                <w:rFonts w:eastAsia="宋体"/>
              </w:rPr>
            </w:pPr>
          </w:p>
        </w:tc>
      </w:tr>
      <w:tr w:rsidR="004B4777">
        <w:trPr>
          <w:trHeight w:val="630"/>
        </w:trPr>
        <w:tc>
          <w:tcPr>
            <w:tcW w:w="2492" w:type="dxa"/>
            <w:vAlign w:val="center"/>
          </w:tcPr>
          <w:p w:rsidR="004B4777" w:rsidRDefault="004B4777">
            <w:pPr>
              <w:pStyle w:val="affff8"/>
              <w:rPr>
                <w:rFonts w:eastAsia="宋体"/>
              </w:rPr>
            </w:pPr>
            <w:r>
              <w:rPr>
                <w:rFonts w:eastAsia="宋体"/>
              </w:rPr>
              <w:t>易婆塘采区新坪村居民点</w:t>
            </w:r>
          </w:p>
        </w:tc>
        <w:tc>
          <w:tcPr>
            <w:tcW w:w="851" w:type="dxa"/>
            <w:vAlign w:val="center"/>
          </w:tcPr>
          <w:p w:rsidR="004B4777" w:rsidRDefault="004B4777">
            <w:pPr>
              <w:pStyle w:val="affff8"/>
              <w:rPr>
                <w:rFonts w:eastAsia="宋体"/>
              </w:rPr>
            </w:pPr>
            <w:r>
              <w:rPr>
                <w:rFonts w:eastAsia="宋体"/>
              </w:rPr>
              <w:t>53.2</w:t>
            </w:r>
          </w:p>
        </w:tc>
        <w:tc>
          <w:tcPr>
            <w:tcW w:w="850" w:type="dxa"/>
            <w:vAlign w:val="center"/>
          </w:tcPr>
          <w:p w:rsidR="004B4777" w:rsidRDefault="004B4777">
            <w:pPr>
              <w:pStyle w:val="affff8"/>
              <w:rPr>
                <w:rFonts w:eastAsia="宋体"/>
              </w:rPr>
            </w:pPr>
            <w:r>
              <w:rPr>
                <w:rFonts w:eastAsia="宋体"/>
              </w:rPr>
              <w:t>44.1</w:t>
            </w:r>
          </w:p>
        </w:tc>
        <w:tc>
          <w:tcPr>
            <w:tcW w:w="992" w:type="dxa"/>
            <w:vAlign w:val="center"/>
          </w:tcPr>
          <w:p w:rsidR="004B4777" w:rsidRDefault="004B4777">
            <w:pPr>
              <w:pStyle w:val="affff8"/>
              <w:rPr>
                <w:rFonts w:eastAsia="宋体"/>
              </w:rPr>
            </w:pPr>
            <w:r>
              <w:rPr>
                <w:rFonts w:eastAsia="宋体"/>
              </w:rPr>
              <w:t>52.5</w:t>
            </w:r>
          </w:p>
        </w:tc>
        <w:tc>
          <w:tcPr>
            <w:tcW w:w="878" w:type="dxa"/>
            <w:vAlign w:val="center"/>
          </w:tcPr>
          <w:p w:rsidR="004B4777" w:rsidRDefault="004B4777">
            <w:pPr>
              <w:pStyle w:val="affff8"/>
              <w:rPr>
                <w:rFonts w:eastAsia="宋体"/>
              </w:rPr>
            </w:pPr>
            <w:r>
              <w:rPr>
                <w:rFonts w:eastAsia="宋体"/>
              </w:rPr>
              <w:t>43.5</w:t>
            </w:r>
          </w:p>
        </w:tc>
        <w:tc>
          <w:tcPr>
            <w:tcW w:w="1532" w:type="dxa"/>
            <w:vMerge w:val="restart"/>
            <w:vAlign w:val="center"/>
          </w:tcPr>
          <w:p w:rsidR="004B4777" w:rsidRDefault="004B4777">
            <w:pPr>
              <w:pStyle w:val="affff8"/>
              <w:rPr>
                <w:rFonts w:eastAsia="宋体"/>
              </w:rPr>
            </w:pPr>
            <w:r>
              <w:rPr>
                <w:rFonts w:eastAsia="宋体"/>
              </w:rPr>
              <w:t>GB3096-2008</w:t>
            </w:r>
            <w:r>
              <w:rPr>
                <w:rFonts w:eastAsia="宋体"/>
              </w:rPr>
              <w:t>中</w:t>
            </w:r>
            <w:r>
              <w:rPr>
                <w:rFonts w:eastAsia="宋体"/>
              </w:rPr>
              <w:t>2</w:t>
            </w:r>
            <w:r>
              <w:rPr>
                <w:rFonts w:eastAsia="宋体"/>
              </w:rPr>
              <w:t>类标准（昼间</w:t>
            </w:r>
            <w:r>
              <w:rPr>
                <w:rFonts w:eastAsia="宋体"/>
              </w:rPr>
              <w:t>60dB</w:t>
            </w:r>
            <w:r>
              <w:rPr>
                <w:rFonts w:eastAsia="宋体"/>
              </w:rPr>
              <w:t>（</w:t>
            </w:r>
            <w:r>
              <w:rPr>
                <w:rFonts w:eastAsia="宋体"/>
              </w:rPr>
              <w:t>A</w:t>
            </w:r>
            <w:r>
              <w:rPr>
                <w:rFonts w:eastAsia="宋体"/>
              </w:rPr>
              <w:t>），夜间</w:t>
            </w:r>
            <w:r>
              <w:rPr>
                <w:rFonts w:eastAsia="宋体"/>
              </w:rPr>
              <w:t>50dB</w:t>
            </w:r>
            <w:r>
              <w:rPr>
                <w:rFonts w:eastAsia="宋体"/>
              </w:rPr>
              <w:t>（</w:t>
            </w:r>
            <w:r>
              <w:rPr>
                <w:rFonts w:eastAsia="宋体"/>
              </w:rPr>
              <w:t>A</w:t>
            </w:r>
            <w:r>
              <w:rPr>
                <w:rFonts w:eastAsia="宋体"/>
              </w:rPr>
              <w:t>）</w:t>
            </w:r>
          </w:p>
        </w:tc>
        <w:tc>
          <w:tcPr>
            <w:tcW w:w="898" w:type="dxa"/>
            <w:vAlign w:val="center"/>
          </w:tcPr>
          <w:p w:rsidR="004B4777" w:rsidRDefault="004B4777">
            <w:pPr>
              <w:pStyle w:val="affff8"/>
              <w:rPr>
                <w:rFonts w:eastAsia="宋体"/>
              </w:rPr>
            </w:pPr>
            <w:r>
              <w:rPr>
                <w:rFonts w:eastAsia="宋体"/>
              </w:rPr>
              <w:t>达标</w:t>
            </w:r>
          </w:p>
        </w:tc>
      </w:tr>
      <w:tr w:rsidR="004B4777">
        <w:trPr>
          <w:trHeight w:val="454"/>
        </w:trPr>
        <w:tc>
          <w:tcPr>
            <w:tcW w:w="2492" w:type="dxa"/>
            <w:vAlign w:val="center"/>
          </w:tcPr>
          <w:p w:rsidR="004B4777" w:rsidRDefault="004B4777">
            <w:pPr>
              <w:pStyle w:val="affff8"/>
              <w:rPr>
                <w:rFonts w:eastAsia="宋体"/>
              </w:rPr>
            </w:pPr>
            <w:r>
              <w:rPr>
                <w:rFonts w:eastAsia="宋体"/>
              </w:rPr>
              <w:t>斗米咀采区裕民村居民点</w:t>
            </w:r>
          </w:p>
        </w:tc>
        <w:tc>
          <w:tcPr>
            <w:tcW w:w="851" w:type="dxa"/>
            <w:vAlign w:val="center"/>
          </w:tcPr>
          <w:p w:rsidR="004B4777" w:rsidRDefault="004B4777">
            <w:pPr>
              <w:pStyle w:val="affff8"/>
              <w:rPr>
                <w:rFonts w:eastAsia="宋体"/>
              </w:rPr>
            </w:pPr>
            <w:r>
              <w:rPr>
                <w:rFonts w:eastAsia="宋体"/>
              </w:rPr>
              <w:t>54.6</w:t>
            </w:r>
          </w:p>
        </w:tc>
        <w:tc>
          <w:tcPr>
            <w:tcW w:w="850" w:type="dxa"/>
            <w:vAlign w:val="center"/>
          </w:tcPr>
          <w:p w:rsidR="004B4777" w:rsidRDefault="004B4777">
            <w:pPr>
              <w:pStyle w:val="affff8"/>
              <w:rPr>
                <w:rFonts w:eastAsia="宋体"/>
              </w:rPr>
            </w:pPr>
            <w:r>
              <w:rPr>
                <w:rFonts w:eastAsia="宋体"/>
              </w:rPr>
              <w:t>42.1</w:t>
            </w:r>
          </w:p>
        </w:tc>
        <w:tc>
          <w:tcPr>
            <w:tcW w:w="992" w:type="dxa"/>
            <w:vAlign w:val="center"/>
          </w:tcPr>
          <w:p w:rsidR="004B4777" w:rsidRDefault="004B4777">
            <w:pPr>
              <w:pStyle w:val="affff8"/>
              <w:rPr>
                <w:rFonts w:eastAsia="宋体"/>
              </w:rPr>
            </w:pPr>
            <w:r>
              <w:rPr>
                <w:rFonts w:eastAsia="宋体"/>
              </w:rPr>
              <w:t>53.9</w:t>
            </w:r>
          </w:p>
        </w:tc>
        <w:tc>
          <w:tcPr>
            <w:tcW w:w="878" w:type="dxa"/>
            <w:vAlign w:val="center"/>
          </w:tcPr>
          <w:p w:rsidR="004B4777" w:rsidRDefault="004B4777">
            <w:pPr>
              <w:pStyle w:val="affff8"/>
              <w:rPr>
                <w:rFonts w:eastAsia="宋体"/>
              </w:rPr>
            </w:pPr>
            <w:r>
              <w:rPr>
                <w:rFonts w:eastAsia="宋体"/>
              </w:rPr>
              <w:t>41.6</w:t>
            </w:r>
          </w:p>
        </w:tc>
        <w:tc>
          <w:tcPr>
            <w:tcW w:w="1532" w:type="dxa"/>
            <w:vMerge/>
            <w:vAlign w:val="center"/>
          </w:tcPr>
          <w:p w:rsidR="004B4777" w:rsidRDefault="004B4777">
            <w:pPr>
              <w:pStyle w:val="affff8"/>
              <w:rPr>
                <w:rFonts w:eastAsia="宋体"/>
              </w:rPr>
            </w:pPr>
          </w:p>
        </w:tc>
        <w:tc>
          <w:tcPr>
            <w:tcW w:w="898" w:type="dxa"/>
            <w:vAlign w:val="center"/>
          </w:tcPr>
          <w:p w:rsidR="004B4777" w:rsidRDefault="004B4777">
            <w:pPr>
              <w:pStyle w:val="affff8"/>
              <w:rPr>
                <w:rFonts w:eastAsia="宋体"/>
              </w:rPr>
            </w:pPr>
            <w:r>
              <w:rPr>
                <w:rFonts w:eastAsia="宋体"/>
              </w:rPr>
              <w:t>达标</w:t>
            </w:r>
          </w:p>
        </w:tc>
      </w:tr>
    </w:tbl>
    <w:p w:rsidR="004B4777" w:rsidRDefault="004B4777">
      <w:pPr>
        <w:pStyle w:val="aff5"/>
        <w:ind w:firstLineChars="0" w:firstLine="0"/>
        <w:rPr>
          <w:sz w:val="13"/>
          <w:szCs w:val="13"/>
        </w:rPr>
      </w:pPr>
      <w:bookmarkStart w:id="151" w:name="_Toc363741197"/>
      <w:bookmarkStart w:id="152" w:name="_Toc500079293"/>
      <w:bookmarkStart w:id="153" w:name="_Toc504574045"/>
      <w:bookmarkStart w:id="154" w:name="_Toc505165155"/>
      <w:bookmarkStart w:id="155" w:name="_Toc376980312"/>
      <w:bookmarkStart w:id="156" w:name="_Toc500077299"/>
      <w:bookmarkStart w:id="157" w:name="_Toc500077842"/>
      <w:bookmarkStart w:id="158" w:name="_Toc367651149"/>
      <w:bookmarkStart w:id="159" w:name="_Toc376098054"/>
      <w:bookmarkStart w:id="160" w:name="_Toc362612267"/>
    </w:p>
    <w:p w:rsidR="004B4777" w:rsidRDefault="004B4777">
      <w:pPr>
        <w:pStyle w:val="3"/>
        <w:spacing w:before="0" w:after="0"/>
        <w:rPr>
          <w:rFonts w:ascii="Times New Roman" w:eastAsia="宋体" w:hAnsi="Times New Roman"/>
          <w:b/>
        </w:rPr>
      </w:pPr>
      <w:bookmarkStart w:id="161" w:name="_Toc508791379"/>
      <w:r>
        <w:rPr>
          <w:rFonts w:ascii="Times New Roman" w:eastAsia="宋体" w:hAnsi="Times New Roman" w:hint="eastAsia"/>
          <w:b/>
        </w:rPr>
        <w:t>5.2.5</w:t>
      </w:r>
      <w:r>
        <w:rPr>
          <w:rFonts w:ascii="Times New Roman" w:eastAsia="宋体" w:hAnsi="Times New Roman"/>
          <w:b/>
        </w:rPr>
        <w:t>底泥环境质量现状</w:t>
      </w:r>
      <w:bookmarkEnd w:id="151"/>
      <w:bookmarkEnd w:id="152"/>
      <w:bookmarkEnd w:id="153"/>
      <w:bookmarkEnd w:id="154"/>
      <w:bookmarkEnd w:id="155"/>
      <w:bookmarkEnd w:id="156"/>
      <w:bookmarkEnd w:id="157"/>
      <w:bookmarkEnd w:id="158"/>
      <w:bookmarkEnd w:id="159"/>
      <w:bookmarkEnd w:id="160"/>
      <w:bookmarkEnd w:id="161"/>
    </w:p>
    <w:p w:rsidR="004B4777" w:rsidRDefault="004B4777">
      <w:pPr>
        <w:pStyle w:val="aff5"/>
        <w:ind w:firstLine="482"/>
        <w:rPr>
          <w:b/>
        </w:rPr>
      </w:pPr>
      <w:r>
        <w:rPr>
          <w:b/>
        </w:rPr>
        <w:t>（</w:t>
      </w:r>
      <w:r>
        <w:rPr>
          <w:b/>
        </w:rPr>
        <w:t>1</w:t>
      </w:r>
      <w:r>
        <w:rPr>
          <w:b/>
        </w:rPr>
        <w:t>）监测</w:t>
      </w:r>
      <w:r>
        <w:rPr>
          <w:rFonts w:hint="eastAsia"/>
          <w:b/>
        </w:rPr>
        <w:t>布点</w:t>
      </w:r>
    </w:p>
    <w:p w:rsidR="004B4777" w:rsidRDefault="004B4777">
      <w:pPr>
        <w:pStyle w:val="aff5"/>
        <w:ind w:firstLine="480"/>
      </w:pPr>
      <w:r>
        <w:t>本次评价</w:t>
      </w:r>
      <w:r>
        <w:rPr>
          <w:rFonts w:hint="eastAsia"/>
        </w:rPr>
        <w:t>选取易婆塘采区和斗米咀采区监测数据，共</w:t>
      </w:r>
      <w:r>
        <w:rPr>
          <w:rFonts w:hint="eastAsia"/>
        </w:rPr>
        <w:t>2</w:t>
      </w:r>
      <w:r>
        <w:rPr>
          <w:rFonts w:hint="eastAsia"/>
        </w:rPr>
        <w:t>个监测断面，</w:t>
      </w:r>
      <w:r>
        <w:t>监测布点见表</w:t>
      </w:r>
      <w:r>
        <w:rPr>
          <w:rFonts w:hint="eastAsia"/>
        </w:rPr>
        <w:t>5.2-14</w:t>
      </w:r>
      <w:r>
        <w:t>，与地表水同期监测。</w:t>
      </w:r>
    </w:p>
    <w:p w:rsidR="004B4777" w:rsidRDefault="004B4777">
      <w:pPr>
        <w:pStyle w:val="af"/>
        <w:spacing w:line="240" w:lineRule="auto"/>
        <w:rPr>
          <w:b/>
        </w:rPr>
      </w:pPr>
      <w:r>
        <w:rPr>
          <w:b/>
        </w:rPr>
        <w:t>表</w:t>
      </w:r>
      <w:r>
        <w:rPr>
          <w:b/>
        </w:rPr>
        <w:t>5.2-</w:t>
      </w:r>
      <w:r>
        <w:rPr>
          <w:rFonts w:hint="eastAsia"/>
          <w:b/>
        </w:rPr>
        <w:t>14</w:t>
      </w:r>
      <w:r>
        <w:rPr>
          <w:b/>
        </w:rPr>
        <w:t xml:space="preserve">   </w:t>
      </w:r>
      <w:r>
        <w:rPr>
          <w:b/>
        </w:rPr>
        <w:t>河流底泥采样断面表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68"/>
        <w:gridCol w:w="2551"/>
        <w:gridCol w:w="2459"/>
        <w:gridCol w:w="1838"/>
      </w:tblGrid>
      <w:tr w:rsidR="004B4777">
        <w:trPr>
          <w:trHeight w:val="379"/>
          <w:jc w:val="center"/>
        </w:trPr>
        <w:tc>
          <w:tcPr>
            <w:tcW w:w="1668" w:type="dxa"/>
            <w:vAlign w:val="center"/>
          </w:tcPr>
          <w:p w:rsidR="004B4777" w:rsidRDefault="004B4777">
            <w:pPr>
              <w:spacing w:line="240" w:lineRule="auto"/>
              <w:ind w:left="-2" w:firstLine="422"/>
              <w:jc w:val="center"/>
              <w:rPr>
                <w:rFonts w:ascii="Times New Roman" w:hAnsi="Times New Roman"/>
                <w:b/>
                <w:sz w:val="21"/>
                <w:szCs w:val="20"/>
              </w:rPr>
            </w:pPr>
            <w:r>
              <w:rPr>
                <w:rFonts w:ascii="Times New Roman" w:hAnsi="Times New Roman" w:cs="宋体" w:hint="eastAsia"/>
                <w:b/>
                <w:sz w:val="21"/>
                <w:szCs w:val="20"/>
              </w:rPr>
              <w:t>水体</w:t>
            </w:r>
          </w:p>
        </w:tc>
        <w:tc>
          <w:tcPr>
            <w:tcW w:w="2551" w:type="dxa"/>
            <w:vAlign w:val="center"/>
          </w:tcPr>
          <w:p w:rsidR="004B4777" w:rsidRDefault="004B4777">
            <w:pPr>
              <w:spacing w:line="240" w:lineRule="auto"/>
              <w:ind w:left="-2" w:firstLine="422"/>
              <w:jc w:val="center"/>
              <w:rPr>
                <w:rFonts w:ascii="Times New Roman" w:hAnsi="Times New Roman"/>
                <w:b/>
                <w:sz w:val="21"/>
                <w:szCs w:val="20"/>
              </w:rPr>
            </w:pPr>
            <w:r>
              <w:rPr>
                <w:rFonts w:ascii="Times New Roman" w:hAnsi="Times New Roman" w:cs="宋体" w:hint="eastAsia"/>
                <w:b/>
                <w:sz w:val="21"/>
                <w:szCs w:val="20"/>
              </w:rPr>
              <w:t>断面位置</w:t>
            </w:r>
          </w:p>
        </w:tc>
        <w:tc>
          <w:tcPr>
            <w:tcW w:w="2459" w:type="dxa"/>
            <w:tcBorders>
              <w:right w:val="single" w:sz="6" w:space="0" w:color="auto"/>
            </w:tcBorders>
            <w:vAlign w:val="center"/>
          </w:tcPr>
          <w:p w:rsidR="004B4777" w:rsidRDefault="004B4777">
            <w:pPr>
              <w:spacing w:line="240" w:lineRule="auto"/>
              <w:ind w:left="-2" w:firstLine="422"/>
              <w:jc w:val="center"/>
              <w:rPr>
                <w:rFonts w:ascii="Times New Roman" w:hAnsi="Times New Roman"/>
                <w:b/>
                <w:sz w:val="21"/>
                <w:szCs w:val="20"/>
              </w:rPr>
            </w:pPr>
            <w:r>
              <w:rPr>
                <w:rFonts w:ascii="Times New Roman" w:hAnsi="Times New Roman" w:cs="宋体" w:hint="eastAsia"/>
                <w:b/>
                <w:sz w:val="21"/>
                <w:szCs w:val="20"/>
              </w:rPr>
              <w:t>监测因子</w:t>
            </w:r>
          </w:p>
        </w:tc>
        <w:tc>
          <w:tcPr>
            <w:tcW w:w="1838" w:type="dxa"/>
            <w:tcBorders>
              <w:left w:val="single" w:sz="6" w:space="0" w:color="auto"/>
            </w:tcBorders>
            <w:vAlign w:val="center"/>
          </w:tcPr>
          <w:p w:rsidR="004B4777" w:rsidRDefault="004B4777">
            <w:pPr>
              <w:spacing w:line="240" w:lineRule="auto"/>
              <w:ind w:left="-2" w:firstLine="422"/>
              <w:jc w:val="center"/>
              <w:rPr>
                <w:rFonts w:ascii="Times New Roman" w:hAnsi="Times New Roman"/>
                <w:b/>
                <w:sz w:val="21"/>
                <w:szCs w:val="20"/>
              </w:rPr>
            </w:pPr>
            <w:r>
              <w:rPr>
                <w:rFonts w:ascii="Times New Roman" w:hAnsi="Times New Roman" w:hint="eastAsia"/>
                <w:b/>
                <w:sz w:val="21"/>
                <w:szCs w:val="20"/>
              </w:rPr>
              <w:t>监测时间</w:t>
            </w:r>
          </w:p>
        </w:tc>
      </w:tr>
      <w:tr w:rsidR="004B4777">
        <w:trPr>
          <w:trHeight w:val="379"/>
          <w:jc w:val="center"/>
        </w:trPr>
        <w:tc>
          <w:tcPr>
            <w:tcW w:w="1668" w:type="dxa"/>
            <w:vAlign w:val="center"/>
          </w:tcPr>
          <w:p w:rsidR="004B4777" w:rsidRDefault="004B4777">
            <w:pPr>
              <w:pStyle w:val="affff8"/>
              <w:rPr>
                <w:rFonts w:eastAsia="宋体" w:cs="宋体"/>
              </w:rPr>
            </w:pPr>
            <w:r>
              <w:rPr>
                <w:rFonts w:eastAsia="宋体" w:cs="宋体" w:hint="eastAsia"/>
              </w:rPr>
              <w:t>资</w:t>
            </w:r>
            <w:r>
              <w:rPr>
                <w:rFonts w:eastAsia="宋体" w:cs="宋体"/>
              </w:rPr>
              <w:t>水北支流</w:t>
            </w:r>
          </w:p>
        </w:tc>
        <w:tc>
          <w:tcPr>
            <w:tcW w:w="2551" w:type="dxa"/>
            <w:vAlign w:val="center"/>
          </w:tcPr>
          <w:p w:rsidR="004B4777" w:rsidRDefault="004B4777">
            <w:pPr>
              <w:pStyle w:val="affff8"/>
              <w:rPr>
                <w:rFonts w:eastAsia="宋体" w:cs="宋体"/>
              </w:rPr>
            </w:pPr>
            <w:r>
              <w:rPr>
                <w:rFonts w:eastAsia="宋体" w:cs="宋体" w:hint="eastAsia"/>
              </w:rPr>
              <w:t>易婆塘采区内</w:t>
            </w:r>
          </w:p>
        </w:tc>
        <w:tc>
          <w:tcPr>
            <w:tcW w:w="2459" w:type="dxa"/>
            <w:vMerge w:val="restart"/>
            <w:tcBorders>
              <w:right w:val="single" w:sz="6" w:space="0" w:color="auto"/>
            </w:tcBorders>
            <w:vAlign w:val="center"/>
          </w:tcPr>
          <w:p w:rsidR="004B4777" w:rsidRDefault="004B4777">
            <w:pPr>
              <w:pStyle w:val="affff8"/>
              <w:rPr>
                <w:rFonts w:eastAsia="宋体" w:cs="宋体"/>
              </w:rPr>
            </w:pPr>
            <w:r>
              <w:rPr>
                <w:rFonts w:eastAsia="宋体" w:cs="宋体"/>
              </w:rPr>
              <w:t>pH</w:t>
            </w:r>
            <w:r>
              <w:rPr>
                <w:rFonts w:eastAsia="宋体" w:cs="宋体"/>
              </w:rPr>
              <w:t>、铜、锌</w:t>
            </w:r>
            <w:r>
              <w:rPr>
                <w:rFonts w:eastAsia="宋体" w:cs="宋体" w:hint="eastAsia"/>
              </w:rPr>
              <w:t>、</w:t>
            </w:r>
            <w:r>
              <w:rPr>
                <w:rFonts w:eastAsia="宋体" w:cs="宋体"/>
              </w:rPr>
              <w:t>铅、</w:t>
            </w:r>
            <w:r>
              <w:rPr>
                <w:rFonts w:eastAsia="宋体" w:cs="宋体"/>
              </w:rPr>
              <w:t>As</w:t>
            </w:r>
            <w:r>
              <w:rPr>
                <w:rFonts w:eastAsia="宋体" w:cs="宋体"/>
              </w:rPr>
              <w:t>、镉、镍、总铬</w:t>
            </w:r>
          </w:p>
        </w:tc>
        <w:tc>
          <w:tcPr>
            <w:tcW w:w="1838" w:type="dxa"/>
            <w:vMerge w:val="restart"/>
            <w:tcBorders>
              <w:left w:val="single" w:sz="6" w:space="0" w:color="auto"/>
            </w:tcBorders>
            <w:vAlign w:val="center"/>
          </w:tcPr>
          <w:p w:rsidR="004B4777" w:rsidRDefault="004B4777">
            <w:pPr>
              <w:pStyle w:val="affff8"/>
              <w:rPr>
                <w:rFonts w:eastAsia="宋体" w:cs="宋体"/>
              </w:rPr>
            </w:pPr>
          </w:p>
        </w:tc>
      </w:tr>
      <w:tr w:rsidR="004B4777">
        <w:trPr>
          <w:trHeight w:val="379"/>
          <w:jc w:val="center"/>
        </w:trPr>
        <w:tc>
          <w:tcPr>
            <w:tcW w:w="1668" w:type="dxa"/>
            <w:vAlign w:val="center"/>
          </w:tcPr>
          <w:p w:rsidR="004B4777" w:rsidRDefault="004B4777">
            <w:pPr>
              <w:pStyle w:val="affff8"/>
              <w:rPr>
                <w:rFonts w:eastAsia="宋体" w:cs="宋体"/>
              </w:rPr>
            </w:pPr>
            <w:r>
              <w:rPr>
                <w:rFonts w:eastAsia="宋体" w:cs="宋体"/>
              </w:rPr>
              <w:t>湘江西支</w:t>
            </w:r>
          </w:p>
        </w:tc>
        <w:tc>
          <w:tcPr>
            <w:tcW w:w="2551" w:type="dxa"/>
            <w:vAlign w:val="center"/>
          </w:tcPr>
          <w:p w:rsidR="004B4777" w:rsidRDefault="004B4777">
            <w:pPr>
              <w:pStyle w:val="affff8"/>
              <w:rPr>
                <w:rFonts w:eastAsia="宋体" w:cs="宋体"/>
              </w:rPr>
            </w:pPr>
            <w:r>
              <w:rPr>
                <w:rFonts w:eastAsia="宋体" w:cs="宋体" w:hint="eastAsia"/>
              </w:rPr>
              <w:t>斗米咀采区内</w:t>
            </w:r>
          </w:p>
        </w:tc>
        <w:tc>
          <w:tcPr>
            <w:tcW w:w="2459" w:type="dxa"/>
            <w:vMerge/>
            <w:tcBorders>
              <w:right w:val="single" w:sz="6" w:space="0" w:color="auto"/>
            </w:tcBorders>
            <w:vAlign w:val="center"/>
          </w:tcPr>
          <w:p w:rsidR="004B4777" w:rsidRDefault="004B4777">
            <w:pPr>
              <w:spacing w:line="240" w:lineRule="auto"/>
              <w:ind w:left="-2" w:firstLine="420"/>
              <w:jc w:val="center"/>
              <w:rPr>
                <w:rFonts w:ascii="Times New Roman" w:hAnsi="Times New Roman"/>
                <w:sz w:val="21"/>
                <w:szCs w:val="20"/>
              </w:rPr>
            </w:pPr>
          </w:p>
        </w:tc>
        <w:tc>
          <w:tcPr>
            <w:tcW w:w="1838" w:type="dxa"/>
            <w:vMerge/>
            <w:tcBorders>
              <w:left w:val="single" w:sz="6" w:space="0" w:color="auto"/>
            </w:tcBorders>
            <w:vAlign w:val="center"/>
          </w:tcPr>
          <w:p w:rsidR="004B4777" w:rsidRDefault="004B4777">
            <w:pPr>
              <w:spacing w:line="240" w:lineRule="auto"/>
              <w:ind w:left="-2" w:firstLine="420"/>
              <w:jc w:val="center"/>
              <w:rPr>
                <w:rFonts w:ascii="Times New Roman" w:hAnsi="Times New Roman"/>
                <w:sz w:val="21"/>
                <w:szCs w:val="20"/>
              </w:rPr>
            </w:pPr>
          </w:p>
        </w:tc>
      </w:tr>
    </w:tbl>
    <w:p w:rsidR="004B4777" w:rsidRDefault="004B4777">
      <w:pPr>
        <w:ind w:firstLine="482"/>
        <w:rPr>
          <w:rFonts w:ascii="Times New Roman" w:hAnsi="Times New Roman"/>
          <w:b/>
          <w:szCs w:val="24"/>
        </w:rPr>
      </w:pPr>
      <w:r>
        <w:rPr>
          <w:rFonts w:ascii="Times New Roman" w:hAnsi="Times New Roman"/>
          <w:b/>
          <w:szCs w:val="24"/>
        </w:rPr>
        <w:lastRenderedPageBreak/>
        <w:t>（</w:t>
      </w:r>
      <w:r>
        <w:rPr>
          <w:rFonts w:ascii="Times New Roman" w:hAnsi="Times New Roman" w:hint="eastAsia"/>
          <w:b/>
          <w:szCs w:val="24"/>
        </w:rPr>
        <w:t>3</w:t>
      </w:r>
      <w:r>
        <w:rPr>
          <w:rFonts w:ascii="Times New Roman" w:hAnsi="Times New Roman"/>
          <w:b/>
          <w:szCs w:val="24"/>
        </w:rPr>
        <w:t>）评价标准</w:t>
      </w:r>
    </w:p>
    <w:p w:rsidR="004B4777" w:rsidRDefault="004B4777">
      <w:pPr>
        <w:pStyle w:val="aff5"/>
        <w:ind w:firstLine="480"/>
      </w:pPr>
      <w:r>
        <w:t>河流底质标准参考《土壤环境质量</w:t>
      </w:r>
      <w:r>
        <w:rPr>
          <w:rFonts w:hint="eastAsia"/>
        </w:rPr>
        <w:t>农用地土壤污染风险管控标准（试行）</w:t>
      </w:r>
      <w:r>
        <w:t>》（</w:t>
      </w:r>
      <w:r>
        <w:t>GB15618-</w:t>
      </w:r>
      <w:r>
        <w:rPr>
          <w:rFonts w:hint="eastAsia"/>
        </w:rPr>
        <w:t>2018</w:t>
      </w:r>
      <w:r>
        <w:t>）</w:t>
      </w:r>
      <w:r>
        <w:rPr>
          <w:rFonts w:hint="eastAsia"/>
        </w:rPr>
        <w:t>其他标准</w:t>
      </w:r>
      <w:r>
        <w:t>。</w:t>
      </w:r>
    </w:p>
    <w:p w:rsidR="004B4777" w:rsidRDefault="004B4777">
      <w:pPr>
        <w:ind w:firstLine="482"/>
        <w:rPr>
          <w:rFonts w:ascii="Times New Roman" w:hAnsi="Times New Roman"/>
          <w:b/>
          <w:szCs w:val="24"/>
        </w:rPr>
      </w:pPr>
      <w:r>
        <w:rPr>
          <w:rFonts w:ascii="Times New Roman" w:hAnsi="Times New Roman"/>
          <w:b/>
          <w:szCs w:val="24"/>
        </w:rPr>
        <w:t>（</w:t>
      </w:r>
      <w:r>
        <w:rPr>
          <w:rFonts w:ascii="Times New Roman" w:hAnsi="Times New Roman"/>
          <w:b/>
          <w:szCs w:val="24"/>
        </w:rPr>
        <w:t>4</w:t>
      </w:r>
      <w:r>
        <w:rPr>
          <w:rFonts w:ascii="Times New Roman" w:hAnsi="Times New Roman"/>
          <w:b/>
          <w:szCs w:val="24"/>
        </w:rPr>
        <w:t>）监测结果统计与评价</w:t>
      </w:r>
    </w:p>
    <w:p w:rsidR="004B4777" w:rsidRDefault="004B4777">
      <w:pPr>
        <w:pStyle w:val="aff5"/>
        <w:ind w:firstLine="480"/>
      </w:pPr>
      <w:r>
        <w:t>河流底泥监测结果</w:t>
      </w:r>
      <w:r>
        <w:t>5.2-</w:t>
      </w:r>
      <w:r>
        <w:rPr>
          <w:rFonts w:hint="eastAsia"/>
        </w:rPr>
        <w:t>15</w:t>
      </w:r>
      <w:r>
        <w:t>。</w:t>
      </w:r>
    </w:p>
    <w:p w:rsidR="004B4777" w:rsidRDefault="004B4777">
      <w:pPr>
        <w:pStyle w:val="aff5"/>
        <w:ind w:firstLine="480"/>
      </w:pPr>
      <w:r>
        <w:t>本次</w:t>
      </w:r>
      <w:r>
        <w:rPr>
          <w:rFonts w:hint="eastAsia"/>
        </w:rPr>
        <w:t>监测</w:t>
      </w:r>
      <w:r>
        <w:t>的</w:t>
      </w:r>
      <w:r>
        <w:rPr>
          <w:rFonts w:hint="eastAsia"/>
        </w:rPr>
        <w:t>2</w:t>
      </w:r>
      <w:r>
        <w:t>个断面底泥中各监测因子均符合《土壤环境质量</w:t>
      </w:r>
      <w:r>
        <w:rPr>
          <w:rFonts w:hint="eastAsia"/>
        </w:rPr>
        <w:t>农用地土壤污染风险管控标准（试行）</w:t>
      </w:r>
      <w:r>
        <w:t>》（</w:t>
      </w:r>
      <w:r>
        <w:t>GB15618-</w:t>
      </w:r>
      <w:r>
        <w:rPr>
          <w:rFonts w:hint="eastAsia"/>
        </w:rPr>
        <w:t>2018</w:t>
      </w:r>
      <w:r>
        <w:t>）中</w:t>
      </w:r>
      <w:r>
        <w:rPr>
          <w:rFonts w:hint="eastAsia"/>
        </w:rPr>
        <w:t>其他</w:t>
      </w:r>
      <w:r>
        <w:t>标准。</w:t>
      </w:r>
    </w:p>
    <w:p w:rsidR="004B4777" w:rsidRDefault="004B4777">
      <w:pPr>
        <w:pStyle w:val="af"/>
        <w:spacing w:line="240" w:lineRule="auto"/>
        <w:rPr>
          <w:b/>
        </w:rPr>
      </w:pPr>
      <w:r>
        <w:rPr>
          <w:b/>
        </w:rPr>
        <w:t>表</w:t>
      </w:r>
      <w:r>
        <w:rPr>
          <w:rFonts w:hint="eastAsia"/>
          <w:b/>
        </w:rPr>
        <w:t>5.2</w:t>
      </w:r>
      <w:r>
        <w:rPr>
          <w:b/>
        </w:rPr>
        <w:t>-</w:t>
      </w:r>
      <w:r>
        <w:rPr>
          <w:rFonts w:hint="eastAsia"/>
          <w:b/>
        </w:rPr>
        <w:t>15</w:t>
      </w:r>
      <w:r>
        <w:rPr>
          <w:b/>
        </w:rPr>
        <w:t xml:space="preserve">  </w:t>
      </w:r>
      <w:r>
        <w:rPr>
          <w:b/>
        </w:rPr>
        <w:t>河流底泥监测结果</w:t>
      </w:r>
      <w:r>
        <w:rPr>
          <w:rFonts w:hint="eastAsia"/>
          <w:b/>
        </w:rPr>
        <w:t>（单位：</w:t>
      </w:r>
      <w:r>
        <w:rPr>
          <w:rFonts w:hint="eastAsia"/>
          <w:b/>
        </w:rPr>
        <w:t>mg/kg</w:t>
      </w:r>
      <w:r>
        <w:rPr>
          <w:rFonts w:hint="eastAsia"/>
          <w:b/>
        </w:rPr>
        <w:t>）</w:t>
      </w:r>
    </w:p>
    <w:p w:rsidR="004B4777" w:rsidRDefault="004B4777">
      <w:pPr>
        <w:tabs>
          <w:tab w:val="left" w:pos="0"/>
        </w:tabs>
        <w:ind w:firstLine="480"/>
        <w:contextualSpacing/>
        <w:rPr>
          <w:rFonts w:ascii="Times New Roman" w:hAnsi="Times New Roman" w:hint="eastAsia"/>
          <w:kern w:val="21"/>
        </w:rPr>
      </w:pPr>
    </w:p>
    <w:tbl>
      <w:tblPr>
        <w:tblpPr w:leftFromText="180" w:rightFromText="180" w:vertAnchor="page" w:horzAnchor="margin" w:tblpXSpec="center" w:tblpY="5446"/>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01"/>
        <w:gridCol w:w="1559"/>
        <w:gridCol w:w="942"/>
        <w:gridCol w:w="942"/>
        <w:gridCol w:w="942"/>
        <w:gridCol w:w="942"/>
        <w:gridCol w:w="942"/>
        <w:gridCol w:w="942"/>
        <w:gridCol w:w="942"/>
        <w:gridCol w:w="946"/>
      </w:tblGrid>
      <w:tr w:rsidR="004B4777">
        <w:trPr>
          <w:trHeight w:val="686"/>
        </w:trPr>
        <w:tc>
          <w:tcPr>
            <w:tcW w:w="2660" w:type="dxa"/>
            <w:gridSpan w:val="2"/>
            <w:tcBorders>
              <w:tl2br w:val="single" w:sz="6" w:space="0" w:color="auto"/>
            </w:tcBorders>
            <w:vAlign w:val="center"/>
          </w:tcPr>
          <w:p w:rsidR="004B4777" w:rsidRDefault="004B4777">
            <w:pPr>
              <w:pStyle w:val="affff8"/>
              <w:rPr>
                <w:rFonts w:eastAsia="宋体"/>
              </w:rPr>
            </w:pPr>
            <w:r>
              <w:rPr>
                <w:rFonts w:eastAsia="宋体" w:hint="eastAsia"/>
              </w:rPr>
              <w:t xml:space="preserve">              </w:t>
            </w:r>
            <w:bookmarkStart w:id="162" w:name="_Toc508791380"/>
            <w:r>
              <w:rPr>
                <w:rFonts w:eastAsia="宋体" w:hint="eastAsia"/>
              </w:rPr>
              <w:t>评价因子</w:t>
            </w:r>
          </w:p>
          <w:p w:rsidR="004B4777" w:rsidRDefault="004B4777">
            <w:pPr>
              <w:pStyle w:val="affff8"/>
              <w:jc w:val="both"/>
              <w:rPr>
                <w:rFonts w:eastAsia="宋体"/>
              </w:rPr>
            </w:pPr>
            <w:r>
              <w:rPr>
                <w:rFonts w:eastAsia="宋体"/>
              </w:rPr>
              <w:t>采样点</w:t>
            </w:r>
          </w:p>
          <w:p w:rsidR="004B4777" w:rsidRDefault="004B4777">
            <w:pPr>
              <w:pStyle w:val="affff8"/>
              <w:rPr>
                <w:rFonts w:eastAsia="宋体"/>
              </w:rPr>
            </w:pPr>
          </w:p>
        </w:tc>
        <w:tc>
          <w:tcPr>
            <w:tcW w:w="942" w:type="dxa"/>
            <w:vAlign w:val="center"/>
          </w:tcPr>
          <w:p w:rsidR="004B4777" w:rsidRDefault="004B4777">
            <w:pPr>
              <w:pStyle w:val="affff8"/>
              <w:rPr>
                <w:rFonts w:eastAsia="宋体"/>
              </w:rPr>
            </w:pPr>
            <w:r>
              <w:rPr>
                <w:rFonts w:eastAsia="宋体"/>
              </w:rPr>
              <w:t>pH</w:t>
            </w:r>
          </w:p>
        </w:tc>
        <w:tc>
          <w:tcPr>
            <w:tcW w:w="942" w:type="dxa"/>
            <w:vAlign w:val="center"/>
          </w:tcPr>
          <w:p w:rsidR="004B4777" w:rsidRDefault="004B4777">
            <w:pPr>
              <w:pStyle w:val="affff8"/>
              <w:rPr>
                <w:rFonts w:eastAsia="宋体"/>
              </w:rPr>
            </w:pPr>
            <w:r>
              <w:rPr>
                <w:rFonts w:eastAsia="宋体"/>
              </w:rPr>
              <w:t>Cu</w:t>
            </w:r>
          </w:p>
        </w:tc>
        <w:tc>
          <w:tcPr>
            <w:tcW w:w="942" w:type="dxa"/>
            <w:vAlign w:val="center"/>
          </w:tcPr>
          <w:p w:rsidR="004B4777" w:rsidRDefault="004B4777">
            <w:pPr>
              <w:pStyle w:val="affff8"/>
              <w:rPr>
                <w:rFonts w:eastAsia="宋体"/>
              </w:rPr>
            </w:pPr>
            <w:r>
              <w:rPr>
                <w:rFonts w:eastAsia="宋体"/>
              </w:rPr>
              <w:t>Zn</w:t>
            </w:r>
          </w:p>
        </w:tc>
        <w:tc>
          <w:tcPr>
            <w:tcW w:w="942" w:type="dxa"/>
            <w:vAlign w:val="center"/>
          </w:tcPr>
          <w:p w:rsidR="004B4777" w:rsidRDefault="004B4777">
            <w:pPr>
              <w:pStyle w:val="affff8"/>
              <w:rPr>
                <w:rFonts w:eastAsia="宋体"/>
              </w:rPr>
            </w:pPr>
            <w:r>
              <w:rPr>
                <w:rFonts w:eastAsia="宋体"/>
              </w:rPr>
              <w:t>Pb</w:t>
            </w:r>
          </w:p>
        </w:tc>
        <w:tc>
          <w:tcPr>
            <w:tcW w:w="942" w:type="dxa"/>
            <w:vAlign w:val="center"/>
          </w:tcPr>
          <w:p w:rsidR="004B4777" w:rsidRDefault="004B4777">
            <w:pPr>
              <w:pStyle w:val="affff8"/>
              <w:rPr>
                <w:rFonts w:eastAsia="宋体"/>
              </w:rPr>
            </w:pPr>
            <w:r>
              <w:rPr>
                <w:rFonts w:eastAsia="宋体"/>
              </w:rPr>
              <w:t>Cr</w:t>
            </w:r>
          </w:p>
        </w:tc>
        <w:tc>
          <w:tcPr>
            <w:tcW w:w="942" w:type="dxa"/>
            <w:vAlign w:val="center"/>
          </w:tcPr>
          <w:p w:rsidR="004B4777" w:rsidRDefault="004B4777">
            <w:pPr>
              <w:pStyle w:val="affff8"/>
              <w:rPr>
                <w:rFonts w:eastAsia="宋体"/>
              </w:rPr>
            </w:pPr>
            <w:r>
              <w:rPr>
                <w:rFonts w:eastAsia="宋体"/>
              </w:rPr>
              <w:t>Cd</w:t>
            </w:r>
          </w:p>
        </w:tc>
        <w:tc>
          <w:tcPr>
            <w:tcW w:w="942" w:type="dxa"/>
            <w:vAlign w:val="center"/>
          </w:tcPr>
          <w:p w:rsidR="004B4777" w:rsidRDefault="004B4777">
            <w:pPr>
              <w:pStyle w:val="affff8"/>
              <w:rPr>
                <w:rFonts w:eastAsia="宋体"/>
              </w:rPr>
            </w:pPr>
            <w:r>
              <w:rPr>
                <w:rFonts w:eastAsia="宋体"/>
              </w:rPr>
              <w:t>As</w:t>
            </w:r>
          </w:p>
        </w:tc>
        <w:tc>
          <w:tcPr>
            <w:tcW w:w="946" w:type="dxa"/>
            <w:vAlign w:val="center"/>
          </w:tcPr>
          <w:p w:rsidR="004B4777" w:rsidRDefault="004B4777">
            <w:pPr>
              <w:pStyle w:val="affff8"/>
              <w:rPr>
                <w:rFonts w:eastAsia="宋体"/>
              </w:rPr>
            </w:pPr>
            <w:r>
              <w:rPr>
                <w:rFonts w:eastAsia="宋体" w:hint="eastAsia"/>
              </w:rPr>
              <w:t>Ni</w:t>
            </w:r>
          </w:p>
        </w:tc>
      </w:tr>
      <w:tr w:rsidR="004B4777">
        <w:trPr>
          <w:trHeight w:val="457"/>
        </w:trPr>
        <w:tc>
          <w:tcPr>
            <w:tcW w:w="1101" w:type="dxa"/>
            <w:vMerge w:val="restart"/>
            <w:vAlign w:val="center"/>
          </w:tcPr>
          <w:p w:rsidR="004B4777" w:rsidRDefault="004B4777">
            <w:pPr>
              <w:pStyle w:val="affff8"/>
              <w:rPr>
                <w:rFonts w:eastAsia="宋体"/>
              </w:rPr>
            </w:pPr>
            <w:r>
              <w:rPr>
                <w:rFonts w:eastAsia="宋体" w:hint="eastAsia"/>
              </w:rPr>
              <w:t>资水北支流易婆塘采区内</w:t>
            </w:r>
          </w:p>
        </w:tc>
        <w:tc>
          <w:tcPr>
            <w:tcW w:w="1559" w:type="dxa"/>
            <w:vAlign w:val="center"/>
          </w:tcPr>
          <w:p w:rsidR="004B4777" w:rsidRDefault="004B4777">
            <w:pPr>
              <w:pStyle w:val="affff8"/>
              <w:rPr>
                <w:rFonts w:eastAsia="宋体"/>
              </w:rPr>
            </w:pPr>
            <w:r>
              <w:rPr>
                <w:rFonts w:eastAsia="宋体" w:hint="eastAsia"/>
              </w:rPr>
              <w:t>监测</w:t>
            </w:r>
            <w:r>
              <w:rPr>
                <w:rFonts w:eastAsia="宋体"/>
              </w:rPr>
              <w:t>值</w:t>
            </w:r>
          </w:p>
        </w:tc>
        <w:tc>
          <w:tcPr>
            <w:tcW w:w="942" w:type="dxa"/>
            <w:vAlign w:val="center"/>
          </w:tcPr>
          <w:p w:rsidR="004B4777" w:rsidRDefault="004B4777">
            <w:pPr>
              <w:pStyle w:val="affff8"/>
              <w:rPr>
                <w:rFonts w:eastAsia="宋体"/>
              </w:rPr>
            </w:pPr>
            <w:r>
              <w:rPr>
                <w:rFonts w:eastAsia="宋体" w:hint="eastAsia"/>
              </w:rPr>
              <w:t>6.98</w:t>
            </w:r>
          </w:p>
        </w:tc>
        <w:tc>
          <w:tcPr>
            <w:tcW w:w="942" w:type="dxa"/>
            <w:vAlign w:val="center"/>
          </w:tcPr>
          <w:p w:rsidR="004B4777" w:rsidRDefault="004B4777">
            <w:pPr>
              <w:pStyle w:val="affff8"/>
              <w:rPr>
                <w:rFonts w:eastAsia="宋体"/>
              </w:rPr>
            </w:pPr>
            <w:r>
              <w:rPr>
                <w:rFonts w:eastAsia="宋体" w:hint="eastAsia"/>
              </w:rPr>
              <w:t>51</w:t>
            </w:r>
          </w:p>
        </w:tc>
        <w:tc>
          <w:tcPr>
            <w:tcW w:w="942" w:type="dxa"/>
            <w:vAlign w:val="center"/>
          </w:tcPr>
          <w:p w:rsidR="004B4777" w:rsidRDefault="004B4777">
            <w:pPr>
              <w:pStyle w:val="affff8"/>
              <w:rPr>
                <w:rFonts w:eastAsia="宋体"/>
              </w:rPr>
            </w:pPr>
            <w:r>
              <w:rPr>
                <w:rFonts w:eastAsia="宋体" w:hint="eastAsia"/>
              </w:rPr>
              <w:t>110</w:t>
            </w:r>
          </w:p>
        </w:tc>
        <w:tc>
          <w:tcPr>
            <w:tcW w:w="942" w:type="dxa"/>
            <w:vAlign w:val="center"/>
          </w:tcPr>
          <w:p w:rsidR="004B4777" w:rsidRDefault="004B4777">
            <w:pPr>
              <w:pStyle w:val="affff8"/>
              <w:rPr>
                <w:rFonts w:eastAsia="宋体"/>
              </w:rPr>
            </w:pPr>
            <w:r>
              <w:rPr>
                <w:rFonts w:eastAsia="宋体" w:hint="eastAsia"/>
              </w:rPr>
              <w:t>33.9</w:t>
            </w:r>
          </w:p>
        </w:tc>
        <w:tc>
          <w:tcPr>
            <w:tcW w:w="942" w:type="dxa"/>
            <w:vAlign w:val="center"/>
          </w:tcPr>
          <w:p w:rsidR="004B4777" w:rsidRDefault="004B4777">
            <w:pPr>
              <w:pStyle w:val="affff8"/>
              <w:rPr>
                <w:rFonts w:eastAsia="宋体"/>
              </w:rPr>
            </w:pPr>
            <w:r>
              <w:rPr>
                <w:rFonts w:eastAsia="宋体" w:hint="eastAsia"/>
              </w:rPr>
              <w:t>42</w:t>
            </w:r>
          </w:p>
        </w:tc>
        <w:tc>
          <w:tcPr>
            <w:tcW w:w="942" w:type="dxa"/>
            <w:tcBorders>
              <w:right w:val="single" w:sz="4" w:space="0" w:color="auto"/>
            </w:tcBorders>
            <w:vAlign w:val="center"/>
          </w:tcPr>
          <w:p w:rsidR="004B4777" w:rsidRDefault="004B4777">
            <w:pPr>
              <w:pStyle w:val="affff8"/>
              <w:rPr>
                <w:rFonts w:eastAsia="宋体"/>
              </w:rPr>
            </w:pPr>
            <w:r>
              <w:rPr>
                <w:rFonts w:eastAsia="宋体" w:hint="eastAsia"/>
              </w:rPr>
              <w:t>0.3</w:t>
            </w:r>
          </w:p>
        </w:tc>
        <w:tc>
          <w:tcPr>
            <w:tcW w:w="942" w:type="dxa"/>
            <w:tcBorders>
              <w:left w:val="single" w:sz="4" w:space="0" w:color="auto"/>
              <w:right w:val="single" w:sz="4" w:space="0" w:color="auto"/>
            </w:tcBorders>
            <w:vAlign w:val="center"/>
          </w:tcPr>
          <w:p w:rsidR="004B4777" w:rsidRDefault="004B4777">
            <w:pPr>
              <w:pStyle w:val="affff8"/>
              <w:rPr>
                <w:rFonts w:eastAsia="宋体"/>
              </w:rPr>
            </w:pPr>
            <w:r>
              <w:rPr>
                <w:rFonts w:eastAsia="宋体" w:hint="eastAsia"/>
              </w:rPr>
              <w:t>27.8</w:t>
            </w:r>
          </w:p>
        </w:tc>
        <w:tc>
          <w:tcPr>
            <w:tcW w:w="946" w:type="dxa"/>
            <w:tcBorders>
              <w:left w:val="single" w:sz="4" w:space="0" w:color="auto"/>
            </w:tcBorders>
            <w:vAlign w:val="center"/>
          </w:tcPr>
          <w:p w:rsidR="004B4777" w:rsidRDefault="004B4777">
            <w:pPr>
              <w:pStyle w:val="affff8"/>
              <w:rPr>
                <w:rFonts w:eastAsia="宋体"/>
              </w:rPr>
            </w:pPr>
            <w:r>
              <w:rPr>
                <w:rFonts w:eastAsia="宋体" w:hint="eastAsia"/>
              </w:rPr>
              <w:t>31</w:t>
            </w:r>
          </w:p>
        </w:tc>
      </w:tr>
      <w:tr w:rsidR="004B4777">
        <w:trPr>
          <w:trHeight w:val="394"/>
        </w:trPr>
        <w:tc>
          <w:tcPr>
            <w:tcW w:w="1101" w:type="dxa"/>
            <w:vMerge/>
            <w:vAlign w:val="center"/>
          </w:tcPr>
          <w:p w:rsidR="004B4777" w:rsidRDefault="004B4777">
            <w:pPr>
              <w:pStyle w:val="affff8"/>
              <w:rPr>
                <w:rFonts w:eastAsia="宋体"/>
              </w:rPr>
            </w:pPr>
          </w:p>
        </w:tc>
        <w:tc>
          <w:tcPr>
            <w:tcW w:w="1559" w:type="dxa"/>
            <w:vAlign w:val="center"/>
          </w:tcPr>
          <w:p w:rsidR="004B4777" w:rsidRDefault="004B4777">
            <w:pPr>
              <w:pStyle w:val="affff8"/>
              <w:rPr>
                <w:rFonts w:eastAsia="宋体"/>
              </w:rPr>
            </w:pPr>
            <w:r>
              <w:rPr>
                <w:rFonts w:eastAsia="宋体"/>
              </w:rPr>
              <w:t>超标率（</w:t>
            </w:r>
            <w:r>
              <w:rPr>
                <w:rFonts w:eastAsia="宋体"/>
              </w:rPr>
              <w:t>%</w:t>
            </w:r>
            <w:r>
              <w:rPr>
                <w:rFonts w:eastAsia="宋体"/>
              </w:rPr>
              <w:t>）</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6" w:type="dxa"/>
            <w:vAlign w:val="center"/>
          </w:tcPr>
          <w:p w:rsidR="004B4777" w:rsidRDefault="004B4777">
            <w:pPr>
              <w:pStyle w:val="affff8"/>
              <w:rPr>
                <w:rFonts w:eastAsia="宋体"/>
              </w:rPr>
            </w:pPr>
            <w:r>
              <w:rPr>
                <w:rFonts w:eastAsia="宋体" w:hint="eastAsia"/>
              </w:rPr>
              <w:t>0</w:t>
            </w:r>
          </w:p>
        </w:tc>
      </w:tr>
      <w:tr w:rsidR="004B4777">
        <w:trPr>
          <w:trHeight w:val="530"/>
        </w:trPr>
        <w:tc>
          <w:tcPr>
            <w:tcW w:w="1101" w:type="dxa"/>
            <w:vMerge/>
            <w:vAlign w:val="center"/>
          </w:tcPr>
          <w:p w:rsidR="004B4777" w:rsidRDefault="004B4777">
            <w:pPr>
              <w:pStyle w:val="affff8"/>
              <w:rPr>
                <w:rFonts w:eastAsia="宋体"/>
              </w:rPr>
            </w:pPr>
          </w:p>
        </w:tc>
        <w:tc>
          <w:tcPr>
            <w:tcW w:w="1559" w:type="dxa"/>
            <w:vAlign w:val="center"/>
          </w:tcPr>
          <w:p w:rsidR="004B4777" w:rsidRDefault="004B4777">
            <w:pPr>
              <w:pStyle w:val="affff8"/>
              <w:rPr>
                <w:rFonts w:eastAsia="宋体"/>
              </w:rPr>
            </w:pPr>
            <w:r>
              <w:rPr>
                <w:rFonts w:eastAsia="宋体"/>
              </w:rPr>
              <w:t>最大超标倍数</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6" w:type="dxa"/>
            <w:vAlign w:val="center"/>
          </w:tcPr>
          <w:p w:rsidR="004B4777" w:rsidRDefault="004B4777">
            <w:pPr>
              <w:pStyle w:val="affff8"/>
              <w:rPr>
                <w:rFonts w:eastAsia="宋体"/>
              </w:rPr>
            </w:pPr>
            <w:r>
              <w:rPr>
                <w:rFonts w:eastAsia="宋体" w:hint="eastAsia"/>
              </w:rPr>
              <w:t>0</w:t>
            </w:r>
          </w:p>
        </w:tc>
      </w:tr>
      <w:tr w:rsidR="004B4777">
        <w:trPr>
          <w:trHeight w:val="449"/>
        </w:trPr>
        <w:tc>
          <w:tcPr>
            <w:tcW w:w="1101" w:type="dxa"/>
            <w:vMerge w:val="restart"/>
            <w:vAlign w:val="center"/>
          </w:tcPr>
          <w:p w:rsidR="004B4777" w:rsidRDefault="004B4777">
            <w:pPr>
              <w:pStyle w:val="affff8"/>
              <w:rPr>
                <w:rFonts w:eastAsia="宋体"/>
              </w:rPr>
            </w:pPr>
            <w:r>
              <w:rPr>
                <w:rFonts w:eastAsia="宋体" w:hint="eastAsia"/>
              </w:rPr>
              <w:t>湘江西支斗米咀采区内</w:t>
            </w:r>
          </w:p>
        </w:tc>
        <w:tc>
          <w:tcPr>
            <w:tcW w:w="1559" w:type="dxa"/>
            <w:vAlign w:val="center"/>
          </w:tcPr>
          <w:p w:rsidR="004B4777" w:rsidRDefault="004B4777">
            <w:pPr>
              <w:pStyle w:val="affff8"/>
              <w:rPr>
                <w:rFonts w:eastAsia="宋体"/>
              </w:rPr>
            </w:pPr>
            <w:r>
              <w:rPr>
                <w:rFonts w:eastAsia="宋体" w:hint="eastAsia"/>
              </w:rPr>
              <w:t>监测</w:t>
            </w:r>
            <w:r>
              <w:rPr>
                <w:rFonts w:eastAsia="宋体"/>
              </w:rPr>
              <w:t>值</w:t>
            </w:r>
          </w:p>
        </w:tc>
        <w:tc>
          <w:tcPr>
            <w:tcW w:w="942" w:type="dxa"/>
            <w:vAlign w:val="center"/>
          </w:tcPr>
          <w:p w:rsidR="004B4777" w:rsidRDefault="004B4777">
            <w:pPr>
              <w:pStyle w:val="affff8"/>
              <w:rPr>
                <w:rFonts w:eastAsia="宋体"/>
              </w:rPr>
            </w:pPr>
            <w:r>
              <w:rPr>
                <w:rFonts w:eastAsia="宋体" w:hint="eastAsia"/>
              </w:rPr>
              <w:t>6.83</w:t>
            </w:r>
          </w:p>
        </w:tc>
        <w:tc>
          <w:tcPr>
            <w:tcW w:w="942" w:type="dxa"/>
            <w:vAlign w:val="center"/>
          </w:tcPr>
          <w:p w:rsidR="004B4777" w:rsidRDefault="004B4777">
            <w:pPr>
              <w:pStyle w:val="affff8"/>
              <w:rPr>
                <w:rFonts w:eastAsia="宋体"/>
              </w:rPr>
            </w:pPr>
            <w:r>
              <w:rPr>
                <w:rFonts w:eastAsia="宋体" w:hint="eastAsia"/>
              </w:rPr>
              <w:t>40</w:t>
            </w:r>
          </w:p>
        </w:tc>
        <w:tc>
          <w:tcPr>
            <w:tcW w:w="942" w:type="dxa"/>
            <w:vAlign w:val="center"/>
          </w:tcPr>
          <w:p w:rsidR="004B4777" w:rsidRDefault="004B4777">
            <w:pPr>
              <w:pStyle w:val="affff8"/>
              <w:rPr>
                <w:rFonts w:eastAsia="宋体"/>
              </w:rPr>
            </w:pPr>
            <w:r>
              <w:rPr>
                <w:rFonts w:eastAsia="宋体" w:hint="eastAsia"/>
              </w:rPr>
              <w:t>136</w:t>
            </w:r>
          </w:p>
        </w:tc>
        <w:tc>
          <w:tcPr>
            <w:tcW w:w="942" w:type="dxa"/>
            <w:vAlign w:val="center"/>
          </w:tcPr>
          <w:p w:rsidR="004B4777" w:rsidRDefault="004B4777">
            <w:pPr>
              <w:pStyle w:val="affff8"/>
              <w:rPr>
                <w:rFonts w:eastAsia="宋体"/>
              </w:rPr>
            </w:pPr>
            <w:r>
              <w:rPr>
                <w:rFonts w:eastAsia="宋体" w:hint="eastAsia"/>
              </w:rPr>
              <w:t>37.1</w:t>
            </w:r>
          </w:p>
        </w:tc>
        <w:tc>
          <w:tcPr>
            <w:tcW w:w="942" w:type="dxa"/>
            <w:vAlign w:val="center"/>
          </w:tcPr>
          <w:p w:rsidR="004B4777" w:rsidRDefault="004B4777">
            <w:pPr>
              <w:pStyle w:val="affff8"/>
              <w:rPr>
                <w:rFonts w:eastAsia="宋体"/>
              </w:rPr>
            </w:pPr>
            <w:r>
              <w:rPr>
                <w:rFonts w:eastAsia="宋体" w:hint="eastAsia"/>
              </w:rPr>
              <w:t>58</w:t>
            </w:r>
          </w:p>
        </w:tc>
        <w:tc>
          <w:tcPr>
            <w:tcW w:w="942" w:type="dxa"/>
            <w:vAlign w:val="center"/>
          </w:tcPr>
          <w:p w:rsidR="004B4777" w:rsidRDefault="004B4777">
            <w:pPr>
              <w:pStyle w:val="affff8"/>
              <w:rPr>
                <w:rFonts w:eastAsia="宋体"/>
              </w:rPr>
            </w:pPr>
            <w:r>
              <w:rPr>
                <w:rFonts w:eastAsia="宋体" w:hint="eastAsia"/>
              </w:rPr>
              <w:t>0.2</w:t>
            </w:r>
          </w:p>
        </w:tc>
        <w:tc>
          <w:tcPr>
            <w:tcW w:w="942" w:type="dxa"/>
            <w:vAlign w:val="center"/>
          </w:tcPr>
          <w:p w:rsidR="004B4777" w:rsidRDefault="004B4777">
            <w:pPr>
              <w:pStyle w:val="affff8"/>
              <w:rPr>
                <w:rFonts w:eastAsia="宋体"/>
              </w:rPr>
            </w:pPr>
            <w:r>
              <w:rPr>
                <w:rFonts w:eastAsia="宋体" w:hint="eastAsia"/>
              </w:rPr>
              <w:t>28.9</w:t>
            </w:r>
          </w:p>
        </w:tc>
        <w:tc>
          <w:tcPr>
            <w:tcW w:w="946" w:type="dxa"/>
            <w:vAlign w:val="center"/>
          </w:tcPr>
          <w:p w:rsidR="004B4777" w:rsidRDefault="004B4777">
            <w:pPr>
              <w:pStyle w:val="affff8"/>
              <w:rPr>
                <w:rFonts w:eastAsia="宋体"/>
              </w:rPr>
            </w:pPr>
            <w:r>
              <w:rPr>
                <w:rFonts w:eastAsia="宋体" w:hint="eastAsia"/>
              </w:rPr>
              <w:t>37</w:t>
            </w:r>
          </w:p>
        </w:tc>
      </w:tr>
      <w:tr w:rsidR="004B4777">
        <w:trPr>
          <w:trHeight w:val="443"/>
        </w:trPr>
        <w:tc>
          <w:tcPr>
            <w:tcW w:w="1101" w:type="dxa"/>
            <w:vMerge/>
            <w:vAlign w:val="center"/>
          </w:tcPr>
          <w:p w:rsidR="004B4777" w:rsidRDefault="004B4777">
            <w:pPr>
              <w:pStyle w:val="affff8"/>
              <w:rPr>
                <w:rFonts w:eastAsia="宋体"/>
              </w:rPr>
            </w:pPr>
          </w:p>
        </w:tc>
        <w:tc>
          <w:tcPr>
            <w:tcW w:w="1559" w:type="dxa"/>
            <w:vAlign w:val="center"/>
          </w:tcPr>
          <w:p w:rsidR="004B4777" w:rsidRDefault="004B4777">
            <w:pPr>
              <w:pStyle w:val="affff8"/>
              <w:rPr>
                <w:rFonts w:eastAsia="宋体"/>
              </w:rPr>
            </w:pPr>
            <w:r>
              <w:rPr>
                <w:rFonts w:eastAsia="宋体"/>
              </w:rPr>
              <w:t>超标率（</w:t>
            </w:r>
            <w:r>
              <w:rPr>
                <w:rFonts w:eastAsia="宋体"/>
              </w:rPr>
              <w:t>%</w:t>
            </w:r>
            <w:r>
              <w:rPr>
                <w:rFonts w:eastAsia="宋体"/>
              </w:rPr>
              <w:t>）</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6" w:type="dxa"/>
            <w:vAlign w:val="center"/>
          </w:tcPr>
          <w:p w:rsidR="004B4777" w:rsidRDefault="004B4777">
            <w:pPr>
              <w:pStyle w:val="affff8"/>
              <w:rPr>
                <w:rFonts w:eastAsia="宋体"/>
              </w:rPr>
            </w:pPr>
            <w:r>
              <w:rPr>
                <w:rFonts w:eastAsia="宋体" w:hint="eastAsia"/>
              </w:rPr>
              <w:t>0</w:t>
            </w:r>
          </w:p>
        </w:tc>
      </w:tr>
      <w:tr w:rsidR="004B4777">
        <w:trPr>
          <w:trHeight w:val="530"/>
        </w:trPr>
        <w:tc>
          <w:tcPr>
            <w:tcW w:w="1101" w:type="dxa"/>
            <w:vMerge/>
            <w:vAlign w:val="center"/>
          </w:tcPr>
          <w:p w:rsidR="004B4777" w:rsidRDefault="004B4777">
            <w:pPr>
              <w:pStyle w:val="affff8"/>
              <w:rPr>
                <w:rFonts w:eastAsia="宋体"/>
              </w:rPr>
            </w:pPr>
          </w:p>
        </w:tc>
        <w:tc>
          <w:tcPr>
            <w:tcW w:w="1559" w:type="dxa"/>
            <w:vAlign w:val="center"/>
          </w:tcPr>
          <w:p w:rsidR="004B4777" w:rsidRDefault="004B4777">
            <w:pPr>
              <w:pStyle w:val="affff8"/>
              <w:rPr>
                <w:rFonts w:eastAsia="宋体"/>
              </w:rPr>
            </w:pPr>
            <w:r>
              <w:rPr>
                <w:rFonts w:eastAsia="宋体"/>
              </w:rPr>
              <w:t>最大超标倍数</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2" w:type="dxa"/>
            <w:vAlign w:val="center"/>
          </w:tcPr>
          <w:p w:rsidR="004B4777" w:rsidRDefault="004B4777">
            <w:pPr>
              <w:pStyle w:val="affff8"/>
              <w:rPr>
                <w:rFonts w:eastAsia="宋体"/>
              </w:rPr>
            </w:pPr>
            <w:r>
              <w:rPr>
                <w:rFonts w:eastAsia="宋体" w:hint="eastAsia"/>
              </w:rPr>
              <w:t>0</w:t>
            </w:r>
          </w:p>
        </w:tc>
        <w:tc>
          <w:tcPr>
            <w:tcW w:w="946" w:type="dxa"/>
            <w:vAlign w:val="center"/>
          </w:tcPr>
          <w:p w:rsidR="004B4777" w:rsidRDefault="004B4777">
            <w:pPr>
              <w:pStyle w:val="affff8"/>
              <w:rPr>
                <w:rFonts w:eastAsia="宋体"/>
              </w:rPr>
            </w:pPr>
            <w:r>
              <w:rPr>
                <w:rFonts w:eastAsia="宋体" w:hint="eastAsia"/>
              </w:rPr>
              <w:t>0</w:t>
            </w:r>
          </w:p>
        </w:tc>
      </w:tr>
      <w:tr w:rsidR="004B4777">
        <w:trPr>
          <w:trHeight w:val="291"/>
        </w:trPr>
        <w:tc>
          <w:tcPr>
            <w:tcW w:w="2660" w:type="dxa"/>
            <w:gridSpan w:val="2"/>
            <w:vAlign w:val="center"/>
          </w:tcPr>
          <w:p w:rsidR="004B4777" w:rsidRDefault="004B4777">
            <w:pPr>
              <w:pStyle w:val="affff8"/>
              <w:rPr>
                <w:rFonts w:eastAsia="宋体"/>
              </w:rPr>
            </w:pPr>
            <w:r>
              <w:rPr>
                <w:rFonts w:eastAsia="宋体"/>
              </w:rPr>
              <w:t>标准值</w:t>
            </w:r>
            <w:r>
              <w:rPr>
                <w:rFonts w:eastAsia="宋体" w:hint="eastAsia"/>
              </w:rPr>
              <w:t>（第三级）</w:t>
            </w:r>
          </w:p>
        </w:tc>
        <w:tc>
          <w:tcPr>
            <w:tcW w:w="942" w:type="dxa"/>
            <w:vAlign w:val="center"/>
          </w:tcPr>
          <w:p w:rsidR="004B4777" w:rsidRDefault="004B4777">
            <w:pPr>
              <w:pStyle w:val="affff8"/>
              <w:rPr>
                <w:rFonts w:eastAsia="宋体"/>
              </w:rPr>
            </w:pPr>
            <w:r>
              <w:rPr>
                <w:rFonts w:eastAsia="宋体" w:hint="eastAsia"/>
              </w:rPr>
              <w:t>6.5&lt;pH</w:t>
            </w:r>
            <w:r>
              <w:rPr>
                <w:rFonts w:eastAsia="宋体"/>
              </w:rPr>
              <w:t>≤</w:t>
            </w:r>
            <w:r>
              <w:rPr>
                <w:rFonts w:eastAsia="宋体" w:hint="eastAsia"/>
              </w:rPr>
              <w:t>7.5</w:t>
            </w:r>
          </w:p>
        </w:tc>
        <w:tc>
          <w:tcPr>
            <w:tcW w:w="942" w:type="dxa"/>
            <w:vAlign w:val="center"/>
          </w:tcPr>
          <w:p w:rsidR="004B4777" w:rsidRDefault="004B4777">
            <w:pPr>
              <w:pStyle w:val="affff8"/>
              <w:rPr>
                <w:rFonts w:eastAsia="宋体"/>
              </w:rPr>
            </w:pPr>
            <w:r>
              <w:rPr>
                <w:rFonts w:eastAsia="宋体" w:hint="eastAsia"/>
              </w:rPr>
              <w:t>100</w:t>
            </w:r>
          </w:p>
        </w:tc>
        <w:tc>
          <w:tcPr>
            <w:tcW w:w="942" w:type="dxa"/>
            <w:vAlign w:val="center"/>
          </w:tcPr>
          <w:p w:rsidR="004B4777" w:rsidRDefault="004B4777">
            <w:pPr>
              <w:pStyle w:val="affff8"/>
              <w:rPr>
                <w:rFonts w:eastAsia="宋体"/>
              </w:rPr>
            </w:pPr>
            <w:r>
              <w:rPr>
                <w:rFonts w:eastAsia="宋体" w:hint="eastAsia"/>
              </w:rPr>
              <w:t>250</w:t>
            </w:r>
          </w:p>
        </w:tc>
        <w:tc>
          <w:tcPr>
            <w:tcW w:w="942" w:type="dxa"/>
            <w:vAlign w:val="center"/>
          </w:tcPr>
          <w:p w:rsidR="004B4777" w:rsidRDefault="004B4777">
            <w:pPr>
              <w:pStyle w:val="affff8"/>
              <w:rPr>
                <w:rFonts w:eastAsia="宋体"/>
              </w:rPr>
            </w:pPr>
            <w:r>
              <w:rPr>
                <w:rFonts w:eastAsia="宋体" w:hint="eastAsia"/>
              </w:rPr>
              <w:t>120</w:t>
            </w:r>
          </w:p>
        </w:tc>
        <w:tc>
          <w:tcPr>
            <w:tcW w:w="942" w:type="dxa"/>
            <w:vAlign w:val="center"/>
          </w:tcPr>
          <w:p w:rsidR="004B4777" w:rsidRDefault="004B4777">
            <w:pPr>
              <w:pStyle w:val="affff8"/>
              <w:rPr>
                <w:rFonts w:eastAsia="宋体"/>
              </w:rPr>
            </w:pPr>
            <w:r>
              <w:rPr>
                <w:rFonts w:eastAsia="宋体" w:hint="eastAsia"/>
              </w:rPr>
              <w:t>200</w:t>
            </w:r>
          </w:p>
        </w:tc>
        <w:tc>
          <w:tcPr>
            <w:tcW w:w="942" w:type="dxa"/>
            <w:vAlign w:val="center"/>
          </w:tcPr>
          <w:p w:rsidR="004B4777" w:rsidRDefault="004B4777">
            <w:pPr>
              <w:pStyle w:val="affff8"/>
              <w:rPr>
                <w:rFonts w:eastAsia="宋体"/>
              </w:rPr>
            </w:pPr>
            <w:r>
              <w:rPr>
                <w:rFonts w:eastAsia="宋体" w:hint="eastAsia"/>
              </w:rPr>
              <w:t>0.3</w:t>
            </w:r>
          </w:p>
        </w:tc>
        <w:tc>
          <w:tcPr>
            <w:tcW w:w="942" w:type="dxa"/>
            <w:vAlign w:val="center"/>
          </w:tcPr>
          <w:p w:rsidR="004B4777" w:rsidRDefault="004B4777">
            <w:pPr>
              <w:pStyle w:val="affff8"/>
              <w:rPr>
                <w:rFonts w:eastAsia="宋体"/>
              </w:rPr>
            </w:pPr>
            <w:r>
              <w:rPr>
                <w:rFonts w:eastAsia="宋体" w:hint="eastAsia"/>
              </w:rPr>
              <w:t>30</w:t>
            </w:r>
          </w:p>
        </w:tc>
        <w:tc>
          <w:tcPr>
            <w:tcW w:w="946" w:type="dxa"/>
            <w:vAlign w:val="center"/>
          </w:tcPr>
          <w:p w:rsidR="004B4777" w:rsidRDefault="004B4777">
            <w:pPr>
              <w:pStyle w:val="affff8"/>
              <w:rPr>
                <w:rFonts w:eastAsia="宋体"/>
              </w:rPr>
            </w:pPr>
            <w:r>
              <w:rPr>
                <w:rFonts w:eastAsia="宋体" w:hint="eastAsia"/>
              </w:rPr>
              <w:t>190</w:t>
            </w:r>
          </w:p>
        </w:tc>
      </w:tr>
      <w:bookmarkEnd w:id="162"/>
    </w:tbl>
    <w:p w:rsidR="004B4777" w:rsidRDefault="004B4777">
      <w:pPr>
        <w:tabs>
          <w:tab w:val="left" w:pos="0"/>
        </w:tabs>
        <w:ind w:firstLine="480"/>
        <w:contextualSpacing/>
        <w:rPr>
          <w:rFonts w:ascii="Times New Roman" w:hAnsi="Times New Roman" w:hint="eastAsia"/>
          <w:kern w:val="21"/>
        </w:rPr>
      </w:pPr>
    </w:p>
    <w:p w:rsidR="004B4777" w:rsidRDefault="004B4777">
      <w:pPr>
        <w:pStyle w:val="2"/>
        <w:spacing w:before="0" w:after="0"/>
        <w:rPr>
          <w:rFonts w:ascii="Times New Roman" w:eastAsia="宋体" w:hAnsi="Times New Roman"/>
          <w:b/>
          <w:sz w:val="30"/>
          <w:szCs w:val="30"/>
        </w:rPr>
      </w:pPr>
      <w:bookmarkStart w:id="163" w:name="_Toc523854030"/>
      <w:r>
        <w:rPr>
          <w:rFonts w:ascii="Times New Roman" w:eastAsia="宋体" w:hAnsi="Times New Roman"/>
          <w:b/>
          <w:sz w:val="30"/>
          <w:szCs w:val="30"/>
        </w:rPr>
        <w:t xml:space="preserve">5.3 </w:t>
      </w:r>
      <w:r>
        <w:rPr>
          <w:rFonts w:ascii="Times New Roman" w:eastAsia="宋体" w:hAnsi="Times New Roman"/>
          <w:b/>
          <w:sz w:val="30"/>
          <w:szCs w:val="30"/>
        </w:rPr>
        <w:t>生态环境质量现状</w:t>
      </w:r>
      <w:bookmarkEnd w:id="163"/>
    </w:p>
    <w:p w:rsidR="004B4777" w:rsidRDefault="004B4777">
      <w:pPr>
        <w:tabs>
          <w:tab w:val="left" w:pos="0"/>
        </w:tabs>
        <w:ind w:firstLine="480"/>
        <w:contextualSpacing/>
        <w:rPr>
          <w:rFonts w:ascii="Times New Roman" w:hAnsi="Times New Roman"/>
          <w:kern w:val="21"/>
          <w:szCs w:val="24"/>
        </w:rPr>
      </w:pPr>
      <w:r>
        <w:rPr>
          <w:rFonts w:ascii="Times New Roman" w:hAnsi="Times New Roman" w:hint="eastAsia"/>
          <w:kern w:val="21"/>
        </w:rPr>
        <w:t>项目生态环境质量现状调查详见《湘阴县资江段易婆塘采区、湘江段斗米咀采区采砂项目环境影响评价生态专题报告》。</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4B4777" w:rsidRDefault="004B4777">
      <w:pPr>
        <w:tabs>
          <w:tab w:val="left" w:pos="0"/>
        </w:tabs>
        <w:ind w:firstLine="480"/>
        <w:contextualSpacing/>
        <w:rPr>
          <w:rFonts w:ascii="Times New Roman" w:hAnsi="Times New Roman" w:hint="eastAsia"/>
          <w:kern w:val="21"/>
        </w:rPr>
        <w:sectPr w:rsidR="004B4777">
          <w:headerReference w:type="even" r:id="rId62"/>
          <w:headerReference w:type="default" r:id="rId63"/>
          <w:footerReference w:type="default" r:id="rId64"/>
          <w:headerReference w:type="first" r:id="rId65"/>
          <w:pgSz w:w="11906" w:h="16838"/>
          <w:pgMar w:top="1440" w:right="1800" w:bottom="1440" w:left="1800" w:header="851" w:footer="992" w:gutter="0"/>
          <w:cols w:space="720"/>
          <w:docGrid w:type="lines" w:linePitch="312"/>
        </w:sectPr>
      </w:pPr>
    </w:p>
    <w:p w:rsidR="004B4777" w:rsidRDefault="004B4777">
      <w:pPr>
        <w:pStyle w:val="1"/>
        <w:spacing w:before="0" w:after="0" w:line="360" w:lineRule="auto"/>
        <w:rPr>
          <w:rFonts w:ascii="Times New Roman" w:eastAsia="宋体" w:hAnsi="Times New Roman"/>
        </w:rPr>
      </w:pPr>
      <w:bookmarkStart w:id="164" w:name="_Toc523854031"/>
      <w:r>
        <w:rPr>
          <w:rFonts w:ascii="Times New Roman" w:eastAsia="宋体" w:hAnsi="Times New Roman"/>
          <w:b/>
          <w:sz w:val="32"/>
          <w:szCs w:val="32"/>
        </w:rPr>
        <w:lastRenderedPageBreak/>
        <w:t>第</w:t>
      </w:r>
      <w:r>
        <w:rPr>
          <w:rFonts w:ascii="Times New Roman" w:eastAsia="宋体" w:hAnsi="Times New Roman"/>
          <w:b/>
          <w:sz w:val="32"/>
          <w:szCs w:val="32"/>
        </w:rPr>
        <w:t>6</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环境影响预测与评价</w:t>
      </w:r>
      <w:bookmarkEnd w:id="164"/>
    </w:p>
    <w:p w:rsidR="004B4777" w:rsidRDefault="004B4777">
      <w:pPr>
        <w:pStyle w:val="2"/>
        <w:spacing w:before="0" w:after="0"/>
        <w:rPr>
          <w:rFonts w:ascii="Times New Roman" w:eastAsia="宋体" w:hAnsi="Times New Roman"/>
          <w:b/>
          <w:sz w:val="30"/>
          <w:szCs w:val="30"/>
        </w:rPr>
      </w:pPr>
      <w:bookmarkStart w:id="165" w:name="_Toc523854032"/>
      <w:r>
        <w:rPr>
          <w:rFonts w:ascii="Times New Roman" w:eastAsia="宋体" w:hAnsi="Times New Roman"/>
          <w:b/>
          <w:sz w:val="30"/>
          <w:szCs w:val="30"/>
        </w:rPr>
        <w:t xml:space="preserve">6.1 </w:t>
      </w:r>
      <w:r>
        <w:rPr>
          <w:rFonts w:ascii="Times New Roman" w:eastAsia="宋体" w:hAnsi="Times New Roman"/>
          <w:b/>
          <w:sz w:val="30"/>
          <w:szCs w:val="30"/>
        </w:rPr>
        <w:t>地表水环境影响分析</w:t>
      </w:r>
      <w:bookmarkEnd w:id="165"/>
    </w:p>
    <w:p w:rsidR="004B4777" w:rsidRDefault="004B4777">
      <w:pPr>
        <w:ind w:firstLine="480"/>
        <w:rPr>
          <w:rFonts w:ascii="Times New Roman" w:hAnsi="Times New Roman"/>
        </w:rPr>
      </w:pPr>
      <w:r>
        <w:rPr>
          <w:rFonts w:ascii="Times New Roman" w:hAnsi="Times New Roman"/>
        </w:rPr>
        <w:t>采砂作业抽走采砂区的河砂，从而改变采砂区水下地形，对水动力条件、地形地貌与冲淤环境产生影响。</w:t>
      </w:r>
    </w:p>
    <w:p w:rsidR="004B4777" w:rsidRDefault="004B4777">
      <w:pPr>
        <w:pStyle w:val="3"/>
        <w:spacing w:before="0" w:after="0"/>
        <w:rPr>
          <w:rFonts w:ascii="Times New Roman" w:eastAsia="宋体" w:hAnsi="Times New Roman" w:hint="eastAsia"/>
          <w:b/>
          <w:u w:val="single"/>
        </w:rPr>
      </w:pPr>
      <w:bookmarkStart w:id="166" w:name="_Hlk481504001"/>
      <w:r>
        <w:rPr>
          <w:rFonts w:ascii="Times New Roman" w:eastAsia="宋体" w:hAnsi="Times New Roman"/>
          <w:b/>
          <w:u w:val="single"/>
        </w:rPr>
        <w:t xml:space="preserve">6.1.1 </w:t>
      </w:r>
      <w:r>
        <w:rPr>
          <w:rFonts w:ascii="Times New Roman" w:eastAsia="宋体" w:hAnsi="Times New Roman" w:hint="eastAsia"/>
          <w:b/>
          <w:u w:val="single"/>
        </w:rPr>
        <w:t>防洪及河势影响分析</w:t>
      </w:r>
    </w:p>
    <w:p w:rsidR="004B4777" w:rsidRDefault="004B4777" w:rsidP="004B4777">
      <w:pPr>
        <w:ind w:firstLine="480"/>
        <w:jc w:val="left"/>
        <w:rPr>
          <w:rFonts w:hint="eastAsia"/>
          <w:u w:val="single"/>
        </w:rPr>
      </w:pPr>
      <w:r>
        <w:rPr>
          <w:rFonts w:hint="eastAsia"/>
          <w:u w:val="single"/>
        </w:rPr>
        <w:t>项目采砂活动对湘江的防洪及河势、蓄滞洪区、现有水利工程与设施、防汛抢险及航道等的影响，建设单位需委托相关资质单位进行《防洪影响评价报告》和《航道安全论证报告》。</w:t>
      </w:r>
    </w:p>
    <w:p w:rsidR="004B4777" w:rsidRDefault="004B4777">
      <w:pPr>
        <w:pStyle w:val="3"/>
        <w:spacing w:before="0" w:after="0"/>
        <w:rPr>
          <w:rFonts w:ascii="Times New Roman" w:eastAsia="宋体" w:hAnsi="Times New Roman"/>
          <w:b/>
        </w:rPr>
      </w:pPr>
      <w:bookmarkStart w:id="167" w:name="_Hlk481523898"/>
      <w:bookmarkEnd w:id="166"/>
      <w:r>
        <w:rPr>
          <w:rFonts w:ascii="Times New Roman" w:eastAsia="宋体" w:hAnsi="Times New Roman" w:hint="eastAsia"/>
          <w:b/>
        </w:rPr>
        <w:t>6</w:t>
      </w:r>
      <w:r>
        <w:rPr>
          <w:rFonts w:ascii="Times New Roman" w:eastAsia="宋体" w:hAnsi="Times New Roman"/>
          <w:b/>
        </w:rPr>
        <w:t xml:space="preserve">.1.2 </w:t>
      </w:r>
      <w:r>
        <w:rPr>
          <w:rFonts w:ascii="Times New Roman" w:eastAsia="宋体" w:hAnsi="Times New Roman"/>
          <w:b/>
        </w:rPr>
        <w:t>采砂对水质环境影响分析</w:t>
      </w:r>
    </w:p>
    <w:bookmarkEnd w:id="167"/>
    <w:p w:rsidR="004B4777" w:rsidRDefault="004B4777">
      <w:pPr>
        <w:ind w:firstLine="480"/>
        <w:rPr>
          <w:rFonts w:ascii="Times New Roman" w:hAnsi="Times New Roman" w:hint="eastAsia"/>
          <w:u w:val="single"/>
        </w:rPr>
      </w:pPr>
      <w:r>
        <w:rPr>
          <w:rFonts w:ascii="Times New Roman" w:hAnsi="Times New Roman" w:hint="eastAsia"/>
          <w:u w:val="single"/>
        </w:rPr>
        <w:t>（</w:t>
      </w:r>
      <w:r>
        <w:rPr>
          <w:rFonts w:ascii="Times New Roman" w:hAnsi="Times New Roman" w:hint="eastAsia"/>
          <w:u w:val="single"/>
        </w:rPr>
        <w:t>1</w:t>
      </w:r>
      <w:r>
        <w:rPr>
          <w:rFonts w:ascii="Times New Roman" w:hAnsi="Times New Roman" w:hint="eastAsia"/>
          <w:u w:val="single"/>
        </w:rPr>
        <w:t>）</w:t>
      </w:r>
      <w:r>
        <w:rPr>
          <w:rFonts w:ascii="Times New Roman" w:hAnsi="Times New Roman" w:hint="eastAsia"/>
          <w:u w:val="single"/>
        </w:rPr>
        <w:t>SS</w:t>
      </w:r>
      <w:r>
        <w:rPr>
          <w:rFonts w:ascii="Times New Roman" w:hAnsi="Times New Roman" w:hint="eastAsia"/>
          <w:u w:val="single"/>
        </w:rPr>
        <w:t>污染影响分析</w:t>
      </w:r>
    </w:p>
    <w:p w:rsidR="004B4777" w:rsidRDefault="004B4777">
      <w:pPr>
        <w:ind w:firstLine="480"/>
        <w:rPr>
          <w:rFonts w:ascii="Times New Roman" w:hAnsi="Times New Roman"/>
          <w:u w:val="single"/>
        </w:rPr>
      </w:pPr>
      <w:r>
        <w:rPr>
          <w:rFonts w:ascii="宋体" w:hAnsi="宋体" w:cs="宋体" w:hint="eastAsia"/>
          <w:u w:val="single"/>
        </w:rPr>
        <w:t>①</w:t>
      </w:r>
      <w:r>
        <w:rPr>
          <w:rFonts w:ascii="Times New Roman" w:hAnsi="Times New Roman"/>
          <w:u w:val="single"/>
        </w:rPr>
        <w:t>预测因子</w:t>
      </w:r>
    </w:p>
    <w:p w:rsidR="004B4777" w:rsidRDefault="004B4777">
      <w:pPr>
        <w:ind w:firstLine="480"/>
        <w:rPr>
          <w:rFonts w:ascii="Times New Roman" w:hAnsi="Times New Roman"/>
          <w:u w:val="single"/>
        </w:rPr>
      </w:pPr>
      <w:r>
        <w:rPr>
          <w:rFonts w:ascii="Times New Roman" w:hAnsi="Times New Roman"/>
          <w:u w:val="single"/>
        </w:rPr>
        <w:t>本次预测考虑</w:t>
      </w:r>
      <w:r>
        <w:rPr>
          <w:rFonts w:ascii="Times New Roman" w:hAnsi="Times New Roman"/>
          <w:u w:val="single"/>
        </w:rPr>
        <w:t>SS</w:t>
      </w:r>
      <w:r>
        <w:rPr>
          <w:rFonts w:ascii="Times New Roman" w:hAnsi="Times New Roman"/>
          <w:u w:val="single"/>
        </w:rPr>
        <w:t>对地表水的影响。</w:t>
      </w:r>
    </w:p>
    <w:p w:rsidR="004B4777" w:rsidRDefault="004B4777">
      <w:pPr>
        <w:ind w:firstLine="480"/>
        <w:rPr>
          <w:rFonts w:ascii="Times New Roman" w:hAnsi="Times New Roman"/>
          <w:u w:val="single"/>
        </w:rPr>
      </w:pPr>
      <w:r>
        <w:rPr>
          <w:rFonts w:ascii="宋体" w:hAnsi="宋体" w:cs="宋体" w:hint="eastAsia"/>
          <w:u w:val="single"/>
        </w:rPr>
        <w:t>②</w:t>
      </w:r>
      <w:r>
        <w:rPr>
          <w:rFonts w:ascii="Times New Roman" w:hAnsi="Times New Roman"/>
          <w:u w:val="single"/>
        </w:rPr>
        <w:t>预测时段</w:t>
      </w:r>
    </w:p>
    <w:p w:rsidR="004B4777" w:rsidRDefault="004B4777">
      <w:pPr>
        <w:ind w:firstLine="480"/>
        <w:rPr>
          <w:rFonts w:ascii="Times New Roman" w:hAnsi="Times New Roman"/>
          <w:u w:val="single"/>
        </w:rPr>
      </w:pPr>
      <w:r>
        <w:rPr>
          <w:rFonts w:ascii="Times New Roman" w:hAnsi="Times New Roman"/>
          <w:u w:val="single"/>
        </w:rPr>
        <w:t>采砂时段。</w:t>
      </w:r>
    </w:p>
    <w:p w:rsidR="004B4777" w:rsidRDefault="004B4777">
      <w:pPr>
        <w:ind w:firstLine="480"/>
        <w:rPr>
          <w:rFonts w:ascii="Times New Roman" w:hAnsi="Times New Roman"/>
          <w:u w:val="single"/>
        </w:rPr>
      </w:pPr>
      <w:r>
        <w:rPr>
          <w:rFonts w:ascii="宋体" w:hAnsi="宋体" w:cs="宋体" w:hint="eastAsia"/>
          <w:u w:val="single"/>
        </w:rPr>
        <w:t>③</w:t>
      </w:r>
      <w:r>
        <w:rPr>
          <w:rFonts w:ascii="Times New Roman" w:hAnsi="Times New Roman"/>
          <w:u w:val="single"/>
        </w:rPr>
        <w:t>预测模式</w:t>
      </w:r>
    </w:p>
    <w:p w:rsidR="004B4777" w:rsidRDefault="004B4777">
      <w:pPr>
        <w:ind w:firstLine="480"/>
        <w:rPr>
          <w:rFonts w:ascii="Times New Roman" w:hAnsi="Times New Roman"/>
          <w:u w:val="single"/>
        </w:rPr>
      </w:pPr>
      <w:r>
        <w:rPr>
          <w:rFonts w:ascii="Times New Roman" w:hAnsi="Times New Roman"/>
          <w:u w:val="single"/>
        </w:rPr>
        <w:t>混合过程段的长度计算公式如下：</w:t>
      </w:r>
    </w:p>
    <w:p w:rsidR="004B4777" w:rsidRDefault="004B4777">
      <w:pPr>
        <w:ind w:firstLine="480"/>
        <w:rPr>
          <w:rFonts w:ascii="Times New Roman" w:hAnsi="Times New Roman"/>
          <w:u w:val="single"/>
        </w:rPr>
      </w:pPr>
      <w:r>
        <w:rPr>
          <w:rFonts w:ascii="Times New Roman" w:hAnsi="Times New Roman"/>
          <w:u w:val="single"/>
        </w:rPr>
        <w:t xml:space="preserve"> </w:t>
      </w:r>
      <w:r w:rsidR="001F6CA0">
        <w:rPr>
          <w:rFonts w:ascii="Times New Roman" w:hAnsi="Times New Roman"/>
          <w:noProof/>
          <w:u w:val="single"/>
        </w:rPr>
        <w:drawing>
          <wp:inline distT="0" distB="0" distL="0" distR="0">
            <wp:extent cx="2057400" cy="42862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6"/>
                    <a:srcRect/>
                    <a:stretch>
                      <a:fillRect/>
                    </a:stretch>
                  </pic:blipFill>
                  <pic:spPr bwMode="auto">
                    <a:xfrm>
                      <a:off x="0" y="0"/>
                      <a:ext cx="2057400" cy="428625"/>
                    </a:xfrm>
                    <a:prstGeom prst="rect">
                      <a:avLst/>
                    </a:prstGeom>
                    <a:noFill/>
                    <a:ln w="9525">
                      <a:noFill/>
                      <a:miter lim="800000"/>
                      <a:headEnd/>
                      <a:tailEnd/>
                    </a:ln>
                  </pic:spPr>
                </pic:pic>
              </a:graphicData>
            </a:graphic>
          </wp:inline>
        </w:drawing>
      </w:r>
    </w:p>
    <w:p w:rsidR="004B4777" w:rsidRDefault="004B4777">
      <w:pPr>
        <w:ind w:firstLine="480"/>
        <w:rPr>
          <w:rFonts w:ascii="Times New Roman" w:hAnsi="Times New Roman"/>
          <w:u w:val="single"/>
        </w:rPr>
      </w:pPr>
      <w:r>
        <w:rPr>
          <w:rFonts w:ascii="Times New Roman" w:hAnsi="Times New Roman"/>
          <w:u w:val="single"/>
        </w:rPr>
        <w:t>式中：</w:t>
      </w:r>
    </w:p>
    <w:p w:rsidR="004B4777" w:rsidRDefault="004B4777">
      <w:pPr>
        <w:ind w:firstLine="480"/>
        <w:rPr>
          <w:rFonts w:ascii="Times New Roman" w:hAnsi="Times New Roman"/>
          <w:u w:val="single"/>
        </w:rPr>
      </w:pPr>
      <w:r>
        <w:rPr>
          <w:rFonts w:ascii="Times New Roman" w:hAnsi="Times New Roman"/>
          <w:u w:val="single"/>
        </w:rPr>
        <w:t>B——</w:t>
      </w:r>
      <w:r>
        <w:rPr>
          <w:rFonts w:ascii="Times New Roman" w:hAnsi="Times New Roman"/>
          <w:u w:val="single"/>
        </w:rPr>
        <w:t>平均河宽，</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L——</w:t>
      </w:r>
      <w:r>
        <w:rPr>
          <w:rFonts w:ascii="Times New Roman" w:hAnsi="Times New Roman"/>
          <w:u w:val="single"/>
        </w:rPr>
        <w:t>混合过程段长度，</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a——</w:t>
      </w:r>
      <w:r>
        <w:rPr>
          <w:rFonts w:ascii="Times New Roman" w:hAnsi="Times New Roman"/>
          <w:u w:val="single"/>
        </w:rPr>
        <w:t>排放口到岸边的距离，</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g——</w:t>
      </w:r>
      <w:r>
        <w:rPr>
          <w:rFonts w:ascii="Times New Roman" w:hAnsi="Times New Roman"/>
          <w:u w:val="single"/>
        </w:rPr>
        <w:t>重力加速度，取</w:t>
      </w:r>
      <w:r>
        <w:rPr>
          <w:rFonts w:ascii="Times New Roman" w:hAnsi="Times New Roman"/>
          <w:u w:val="single"/>
        </w:rPr>
        <w:t>9.8m/s</w:t>
      </w:r>
      <w:r>
        <w:rPr>
          <w:rFonts w:ascii="Times New Roman" w:hAnsi="Times New Roman"/>
          <w:u w:val="single"/>
          <w:vertAlign w:val="superscript"/>
        </w:rPr>
        <w:t>2</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I——</w:t>
      </w:r>
      <w:r>
        <w:rPr>
          <w:rFonts w:ascii="Times New Roman" w:hAnsi="Times New Roman"/>
          <w:u w:val="single"/>
        </w:rPr>
        <w:t>水力坡降，</w:t>
      </w:r>
      <w:r>
        <w:rPr>
          <w:rFonts w:ascii="Times New Roman" w:hAnsi="Times New Roman"/>
          <w:u w:val="single"/>
        </w:rPr>
        <w:t>m/m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H——</w:t>
      </w:r>
      <w:r>
        <w:rPr>
          <w:rFonts w:ascii="Times New Roman" w:hAnsi="Times New Roman"/>
          <w:u w:val="single"/>
        </w:rPr>
        <w:t>平均水深，</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u——</w:t>
      </w:r>
      <w:r>
        <w:rPr>
          <w:rFonts w:ascii="Times New Roman" w:hAnsi="Times New Roman"/>
          <w:u w:val="single"/>
        </w:rPr>
        <w:t>平均流速，</w:t>
      </w:r>
      <w:r>
        <w:rPr>
          <w:rFonts w:ascii="Times New Roman" w:hAnsi="Times New Roman"/>
          <w:u w:val="single"/>
        </w:rPr>
        <w:t>m/s</w:t>
      </w:r>
    </w:p>
    <w:p w:rsidR="004B4777" w:rsidRDefault="004B4777">
      <w:pPr>
        <w:ind w:firstLine="480"/>
        <w:rPr>
          <w:rFonts w:ascii="Times New Roman" w:hAnsi="Times New Roman"/>
          <w:u w:val="single"/>
        </w:rPr>
      </w:pPr>
      <w:r>
        <w:rPr>
          <w:rFonts w:ascii="Times New Roman" w:hAnsi="Times New Roman"/>
          <w:u w:val="single"/>
        </w:rPr>
        <w:t>湘江平均河宽为</w:t>
      </w:r>
      <w:r>
        <w:rPr>
          <w:rFonts w:ascii="Times New Roman" w:hAnsi="Times New Roman" w:hint="eastAsia"/>
          <w:u w:val="single"/>
        </w:rPr>
        <w:t>700</w:t>
      </w:r>
      <w:r>
        <w:rPr>
          <w:rFonts w:ascii="Times New Roman" w:hAnsi="Times New Roman"/>
          <w:u w:val="single"/>
        </w:rPr>
        <w:t>m</w:t>
      </w:r>
      <w:r>
        <w:rPr>
          <w:rFonts w:ascii="Times New Roman" w:hAnsi="Times New Roman"/>
          <w:u w:val="single"/>
        </w:rPr>
        <w:t>，平均水深</w:t>
      </w:r>
      <w:r>
        <w:rPr>
          <w:rFonts w:ascii="Times New Roman" w:hAnsi="Times New Roman" w:hint="eastAsia"/>
          <w:u w:val="single"/>
        </w:rPr>
        <w:t>8</w:t>
      </w:r>
      <w:r>
        <w:rPr>
          <w:rFonts w:ascii="Times New Roman" w:hAnsi="Times New Roman"/>
          <w:u w:val="single"/>
        </w:rPr>
        <w:t>m</w:t>
      </w:r>
      <w:r>
        <w:rPr>
          <w:rFonts w:ascii="Times New Roman" w:hAnsi="Times New Roman"/>
          <w:u w:val="single"/>
        </w:rPr>
        <w:t>，平均流速</w:t>
      </w:r>
      <w:r>
        <w:rPr>
          <w:rFonts w:ascii="Times New Roman" w:hAnsi="Times New Roman" w:hint="eastAsia"/>
          <w:u w:val="single"/>
        </w:rPr>
        <w:t>0.35</w:t>
      </w:r>
      <w:r>
        <w:rPr>
          <w:rFonts w:ascii="Times New Roman" w:hAnsi="Times New Roman"/>
          <w:u w:val="single"/>
        </w:rPr>
        <w:t>m/s</w:t>
      </w:r>
      <w:r>
        <w:rPr>
          <w:rFonts w:ascii="Times New Roman" w:hAnsi="Times New Roman"/>
          <w:u w:val="single"/>
        </w:rPr>
        <w:t>，水力坡降</w:t>
      </w:r>
      <w:r>
        <w:rPr>
          <w:rFonts w:ascii="Times New Roman" w:hAnsi="Times New Roman" w:hint="eastAsia"/>
          <w:u w:val="single"/>
        </w:rPr>
        <w:t>0.027</w:t>
      </w:r>
      <w:r>
        <w:rPr>
          <w:rFonts w:ascii="Times New Roman" w:hAnsi="Times New Roman"/>
          <w:u w:val="single"/>
        </w:rPr>
        <w:t>‰</w:t>
      </w:r>
      <w:r>
        <w:rPr>
          <w:rFonts w:ascii="Times New Roman" w:hAnsi="Times New Roman"/>
          <w:u w:val="single"/>
        </w:rPr>
        <w:t>，得到湘江混合过程段长度为</w:t>
      </w:r>
      <w:r>
        <w:rPr>
          <w:rFonts w:ascii="Times New Roman" w:hAnsi="Times New Roman" w:hint="eastAsia"/>
          <w:u w:val="single"/>
        </w:rPr>
        <w:t>4886</w:t>
      </w:r>
      <w:r>
        <w:rPr>
          <w:rFonts w:ascii="Times New Roman" w:hAnsi="Times New Roman"/>
          <w:u w:val="single"/>
        </w:rPr>
        <w:t>m</w:t>
      </w:r>
      <w:r>
        <w:rPr>
          <w:rFonts w:ascii="Times New Roman" w:hAnsi="Times New Roman"/>
          <w:u w:val="single"/>
        </w:rPr>
        <w:t>。资江</w:t>
      </w:r>
      <w:r>
        <w:rPr>
          <w:rFonts w:ascii="Times New Roman" w:hAnsi="Times New Roman" w:hint="eastAsia"/>
          <w:u w:val="single"/>
        </w:rPr>
        <w:t>北支</w:t>
      </w:r>
      <w:r>
        <w:rPr>
          <w:rFonts w:ascii="Times New Roman" w:hAnsi="Times New Roman"/>
          <w:u w:val="single"/>
        </w:rPr>
        <w:t>平均河宽为</w:t>
      </w:r>
      <w:r>
        <w:rPr>
          <w:rFonts w:ascii="Times New Roman" w:hAnsi="Times New Roman" w:hint="eastAsia"/>
          <w:u w:val="single"/>
        </w:rPr>
        <w:t>100</w:t>
      </w:r>
      <w:r>
        <w:rPr>
          <w:rFonts w:ascii="Times New Roman" w:hAnsi="Times New Roman"/>
          <w:u w:val="single"/>
        </w:rPr>
        <w:t>0m</w:t>
      </w:r>
      <w:r>
        <w:rPr>
          <w:rFonts w:ascii="Times New Roman" w:hAnsi="Times New Roman"/>
          <w:u w:val="single"/>
        </w:rPr>
        <w:t>，平均水深</w:t>
      </w:r>
      <w:r>
        <w:rPr>
          <w:rFonts w:ascii="Times New Roman" w:hAnsi="Times New Roman" w:hint="eastAsia"/>
          <w:u w:val="single"/>
        </w:rPr>
        <w:t>6</w:t>
      </w:r>
      <w:r>
        <w:rPr>
          <w:rFonts w:ascii="Times New Roman" w:hAnsi="Times New Roman"/>
          <w:u w:val="single"/>
        </w:rPr>
        <w:t>m</w:t>
      </w:r>
      <w:r>
        <w:rPr>
          <w:rFonts w:ascii="Times New Roman" w:hAnsi="Times New Roman"/>
          <w:u w:val="single"/>
        </w:rPr>
        <w:t>，</w:t>
      </w:r>
      <w:r>
        <w:rPr>
          <w:rFonts w:ascii="Times New Roman" w:hAnsi="Times New Roman"/>
          <w:u w:val="single"/>
        </w:rPr>
        <w:lastRenderedPageBreak/>
        <w:t>平均流速</w:t>
      </w:r>
      <w:r>
        <w:rPr>
          <w:rFonts w:ascii="Times New Roman" w:hAnsi="Times New Roman"/>
          <w:u w:val="single"/>
        </w:rPr>
        <w:t>0.</w:t>
      </w:r>
      <w:r>
        <w:rPr>
          <w:rFonts w:ascii="Times New Roman" w:hAnsi="Times New Roman" w:hint="eastAsia"/>
          <w:u w:val="single"/>
        </w:rPr>
        <w:t>25</w:t>
      </w:r>
      <w:r>
        <w:rPr>
          <w:rFonts w:ascii="Times New Roman" w:hAnsi="Times New Roman"/>
          <w:u w:val="single"/>
        </w:rPr>
        <w:t>m/s</w:t>
      </w:r>
      <w:r>
        <w:rPr>
          <w:rFonts w:ascii="Times New Roman" w:hAnsi="Times New Roman"/>
          <w:u w:val="single"/>
        </w:rPr>
        <w:t>，水力坡降</w:t>
      </w:r>
      <w:r>
        <w:rPr>
          <w:rFonts w:ascii="Times New Roman" w:hAnsi="Times New Roman" w:hint="eastAsia"/>
          <w:u w:val="single"/>
        </w:rPr>
        <w:t>2.04</w:t>
      </w:r>
      <w:r>
        <w:rPr>
          <w:rFonts w:ascii="Times New Roman" w:hAnsi="Times New Roman"/>
          <w:u w:val="single"/>
        </w:rPr>
        <w:t>‰</w:t>
      </w:r>
      <w:r>
        <w:rPr>
          <w:rFonts w:ascii="Times New Roman" w:hAnsi="Times New Roman"/>
          <w:u w:val="single"/>
        </w:rPr>
        <w:t>，得到资江</w:t>
      </w:r>
      <w:r>
        <w:rPr>
          <w:rFonts w:ascii="Times New Roman" w:hAnsi="Times New Roman" w:hint="eastAsia"/>
          <w:u w:val="single"/>
        </w:rPr>
        <w:t>北支</w:t>
      </w:r>
      <w:r>
        <w:rPr>
          <w:rFonts w:ascii="Times New Roman" w:hAnsi="Times New Roman"/>
          <w:u w:val="single"/>
        </w:rPr>
        <w:t>混合过程段长度为</w:t>
      </w:r>
      <w:r>
        <w:rPr>
          <w:rFonts w:ascii="Times New Roman" w:hAnsi="Times New Roman" w:hint="eastAsia"/>
          <w:u w:val="single"/>
        </w:rPr>
        <w:t>10222</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预测范围均在混合过程段，因此，根据导则混合过程段采用《环境影响评价技术导则</w:t>
      </w:r>
      <w:r>
        <w:rPr>
          <w:rFonts w:ascii="Times New Roman" w:hAnsi="Times New Roman"/>
          <w:u w:val="single"/>
        </w:rPr>
        <w:t>(</w:t>
      </w:r>
      <w:r>
        <w:rPr>
          <w:rFonts w:ascii="Times New Roman" w:hAnsi="Times New Roman"/>
          <w:u w:val="single"/>
        </w:rPr>
        <w:t>地面水环境</w:t>
      </w:r>
      <w:r>
        <w:rPr>
          <w:rFonts w:ascii="Times New Roman" w:hAnsi="Times New Roman"/>
          <w:u w:val="single"/>
        </w:rPr>
        <w:t>)</w:t>
      </w:r>
      <w:r>
        <w:rPr>
          <w:rFonts w:ascii="Times New Roman" w:hAnsi="Times New Roman"/>
          <w:u w:val="single"/>
        </w:rPr>
        <w:t>》</w:t>
      </w:r>
      <w:r>
        <w:rPr>
          <w:rFonts w:ascii="Times New Roman" w:hAnsi="Times New Roman"/>
          <w:u w:val="single"/>
        </w:rPr>
        <w:t>(HJ/T2.2-9.3)</w:t>
      </w:r>
      <w:r>
        <w:rPr>
          <w:rFonts w:ascii="Times New Roman" w:hAnsi="Times New Roman"/>
          <w:u w:val="single"/>
        </w:rPr>
        <w:t>中推荐的预测公式，在混合过程段采用推荐的二维稳态水质混合模式：</w:t>
      </w:r>
    </w:p>
    <w:p w:rsidR="004B4777" w:rsidRDefault="001F6CA0">
      <w:pPr>
        <w:ind w:firstLine="480"/>
        <w:rPr>
          <w:rFonts w:ascii="Times New Roman" w:hAnsi="Times New Roman"/>
          <w:u w:val="single"/>
        </w:rPr>
      </w:pPr>
      <w:r>
        <w:rPr>
          <w:rFonts w:ascii="Times New Roman" w:hAnsi="Times New Roman"/>
          <w:noProof/>
          <w:u w:val="single"/>
        </w:rPr>
        <w:drawing>
          <wp:inline distT="0" distB="0" distL="0" distR="0">
            <wp:extent cx="4200525" cy="59055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4200525" cy="590550"/>
                    </a:xfrm>
                    <a:prstGeom prst="rect">
                      <a:avLst/>
                    </a:prstGeom>
                    <a:noFill/>
                    <a:ln w="9525">
                      <a:noFill/>
                      <a:miter lim="800000"/>
                      <a:headEnd/>
                      <a:tailEnd/>
                    </a:ln>
                  </pic:spPr>
                </pic:pic>
              </a:graphicData>
            </a:graphic>
          </wp:inline>
        </w:drawing>
      </w:r>
    </w:p>
    <w:p w:rsidR="004B4777" w:rsidRDefault="004B4777">
      <w:pPr>
        <w:ind w:firstLine="480"/>
        <w:rPr>
          <w:rFonts w:ascii="Times New Roman" w:hAnsi="Times New Roman"/>
          <w:u w:val="single"/>
        </w:rPr>
      </w:pPr>
      <w:r>
        <w:rPr>
          <w:rFonts w:ascii="Times New Roman" w:hAnsi="Times New Roman"/>
          <w:u w:val="single"/>
        </w:rPr>
        <w:t>式中：</w:t>
      </w:r>
    </w:p>
    <w:p w:rsidR="004B4777" w:rsidRDefault="004B4777">
      <w:pPr>
        <w:ind w:firstLine="480"/>
        <w:rPr>
          <w:rFonts w:ascii="Times New Roman" w:hAnsi="Times New Roman"/>
          <w:u w:val="single"/>
        </w:rPr>
      </w:pPr>
      <w:r>
        <w:rPr>
          <w:rFonts w:ascii="Times New Roman" w:hAnsi="Times New Roman"/>
          <w:u w:val="single"/>
        </w:rPr>
        <w:t>c(x,y) ―</w:t>
      </w:r>
      <w:r>
        <w:rPr>
          <w:rFonts w:ascii="Times New Roman" w:hAnsi="Times New Roman"/>
          <w:u w:val="single"/>
        </w:rPr>
        <w:t>预测点污染物的浓度增加值，</w:t>
      </w:r>
      <w:r>
        <w:rPr>
          <w:rFonts w:ascii="Times New Roman" w:hAnsi="Times New Roman"/>
          <w:u w:val="single"/>
        </w:rPr>
        <w:t>mg/l</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c</w:t>
      </w:r>
      <w:r>
        <w:rPr>
          <w:rFonts w:ascii="Times New Roman" w:hAnsi="Times New Roman"/>
          <w:u w:val="single"/>
          <w:vertAlign w:val="subscript"/>
        </w:rPr>
        <w:t xml:space="preserve">p </w:t>
      </w:r>
      <w:r>
        <w:rPr>
          <w:rFonts w:ascii="Times New Roman" w:hAnsi="Times New Roman"/>
          <w:u w:val="single"/>
        </w:rPr>
        <w:t>―</w:t>
      </w:r>
      <w:r>
        <w:rPr>
          <w:rFonts w:ascii="Times New Roman" w:hAnsi="Times New Roman"/>
          <w:u w:val="single"/>
        </w:rPr>
        <w:t>污染物排放浓度，</w:t>
      </w:r>
      <w:r>
        <w:rPr>
          <w:rFonts w:ascii="Times New Roman" w:hAnsi="Times New Roman"/>
          <w:u w:val="single"/>
        </w:rPr>
        <w:t>mg/l</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Qp ―</w:t>
      </w:r>
      <w:r>
        <w:rPr>
          <w:rFonts w:ascii="Times New Roman" w:hAnsi="Times New Roman"/>
          <w:u w:val="single"/>
        </w:rPr>
        <w:t>污水排放量，</w:t>
      </w:r>
      <w:r>
        <w:rPr>
          <w:rFonts w:ascii="Times New Roman" w:hAnsi="Times New Roman"/>
          <w:u w:val="single"/>
        </w:rPr>
        <w:t>m</w:t>
      </w:r>
      <w:r>
        <w:rPr>
          <w:rFonts w:ascii="Times New Roman" w:hAnsi="Times New Roman"/>
          <w:u w:val="single"/>
          <w:vertAlign w:val="superscript"/>
        </w:rPr>
        <w:t>3</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 xml:space="preserve">My </w:t>
      </w:r>
      <w:r>
        <w:rPr>
          <w:rFonts w:ascii="Times New Roman" w:hAnsi="Times New Roman"/>
          <w:u w:val="single"/>
        </w:rPr>
        <w:t>－横向扩散系数，</w:t>
      </w:r>
      <w:r>
        <w:rPr>
          <w:rFonts w:ascii="Times New Roman" w:hAnsi="Times New Roman"/>
          <w:u w:val="single"/>
        </w:rPr>
        <w:t>m</w:t>
      </w:r>
      <w:r>
        <w:rPr>
          <w:rFonts w:ascii="Times New Roman" w:hAnsi="Times New Roman"/>
          <w:u w:val="single"/>
          <w:vertAlign w:val="superscript"/>
        </w:rPr>
        <w:t>2</w:t>
      </w:r>
      <w:r>
        <w:rPr>
          <w:rFonts w:ascii="Times New Roman" w:hAnsi="Times New Roman"/>
          <w:u w:val="single"/>
        </w:rPr>
        <w:t>/s</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x ―</w:t>
      </w:r>
      <w:r>
        <w:rPr>
          <w:rFonts w:ascii="Times New Roman" w:hAnsi="Times New Roman"/>
          <w:u w:val="single"/>
        </w:rPr>
        <w:t>沿水流方向预测点排放口的距离，</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y ―</w:t>
      </w:r>
      <w:r>
        <w:rPr>
          <w:rFonts w:ascii="Times New Roman" w:hAnsi="Times New Roman"/>
          <w:u w:val="single"/>
        </w:rPr>
        <w:t>预测点离岸边的距离，</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B ―</w:t>
      </w:r>
      <w:r>
        <w:rPr>
          <w:rFonts w:ascii="Times New Roman" w:hAnsi="Times New Roman"/>
          <w:u w:val="single"/>
        </w:rPr>
        <w:t>河宽，</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H ―</w:t>
      </w:r>
      <w:r>
        <w:rPr>
          <w:rFonts w:ascii="Times New Roman" w:hAnsi="Times New Roman"/>
          <w:u w:val="single"/>
        </w:rPr>
        <w:t>平均水深，</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 xml:space="preserve">u </w:t>
      </w:r>
      <w:r>
        <w:rPr>
          <w:rFonts w:ascii="Times New Roman" w:hAnsi="Times New Roman"/>
          <w:u w:val="single"/>
        </w:rPr>
        <w:t>－平均流速，</w:t>
      </w:r>
      <w:r>
        <w:rPr>
          <w:rFonts w:ascii="Times New Roman" w:hAnsi="Times New Roman"/>
          <w:u w:val="single"/>
        </w:rPr>
        <w:t>m/s</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c</w:t>
      </w:r>
      <w:r>
        <w:rPr>
          <w:rFonts w:ascii="Times New Roman" w:hAnsi="Times New Roman"/>
          <w:u w:val="single"/>
          <w:vertAlign w:val="subscript"/>
        </w:rPr>
        <w:t>h</w:t>
      </w:r>
      <w:r>
        <w:rPr>
          <w:rFonts w:ascii="Times New Roman" w:hAnsi="Times New Roman"/>
          <w:u w:val="single"/>
        </w:rPr>
        <w:t xml:space="preserve"> </w:t>
      </w:r>
      <w:r>
        <w:rPr>
          <w:rFonts w:ascii="Times New Roman" w:hAnsi="Times New Roman"/>
          <w:u w:val="single"/>
        </w:rPr>
        <w:t>－河流上游污染物浓度，</w:t>
      </w:r>
      <w:r>
        <w:rPr>
          <w:rFonts w:ascii="Times New Roman" w:hAnsi="Times New Roman"/>
          <w:u w:val="single"/>
        </w:rPr>
        <w:t>mg/l</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L--</w:t>
      </w:r>
      <w:r>
        <w:rPr>
          <w:rFonts w:ascii="Times New Roman" w:hAnsi="Times New Roman"/>
          <w:u w:val="single"/>
        </w:rPr>
        <w:t>混合过程段长度，</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a--</w:t>
      </w:r>
      <w:r>
        <w:rPr>
          <w:rFonts w:ascii="Times New Roman" w:hAnsi="Times New Roman"/>
          <w:u w:val="single"/>
        </w:rPr>
        <w:t>排放口到岸边的距离，</w:t>
      </w:r>
      <w:r>
        <w:rPr>
          <w:rFonts w:ascii="Times New Roman" w:hAnsi="Times New Roman"/>
          <w:u w:val="single"/>
        </w:rPr>
        <w:t>m</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g--</w:t>
      </w:r>
      <w:r>
        <w:rPr>
          <w:rFonts w:ascii="Times New Roman" w:hAnsi="Times New Roman"/>
          <w:u w:val="single"/>
        </w:rPr>
        <w:t>重力加速度，取</w:t>
      </w:r>
      <w:r>
        <w:rPr>
          <w:rFonts w:ascii="Times New Roman" w:hAnsi="Times New Roman"/>
          <w:u w:val="single"/>
        </w:rPr>
        <w:t>9.8m/s</w:t>
      </w:r>
      <w:r>
        <w:rPr>
          <w:rFonts w:ascii="Times New Roman" w:hAnsi="Times New Roman"/>
          <w:u w:val="single"/>
          <w:vertAlign w:val="superscript"/>
        </w:rPr>
        <w:t>2</w:t>
      </w:r>
      <w:r>
        <w:rPr>
          <w:rFonts w:ascii="Times New Roman" w:hAnsi="Times New Roman"/>
          <w:u w:val="single"/>
        </w:rPr>
        <w:t>；</w:t>
      </w:r>
    </w:p>
    <w:p w:rsidR="004B4777" w:rsidRDefault="004B4777">
      <w:pPr>
        <w:ind w:firstLine="480"/>
        <w:rPr>
          <w:rFonts w:ascii="Times New Roman" w:hAnsi="Times New Roman"/>
          <w:u w:val="single"/>
        </w:rPr>
      </w:pPr>
      <w:r>
        <w:rPr>
          <w:rFonts w:ascii="Times New Roman" w:hAnsi="Times New Roman"/>
          <w:u w:val="single"/>
        </w:rPr>
        <w:t>I--</w:t>
      </w:r>
      <w:r>
        <w:rPr>
          <w:rFonts w:ascii="Times New Roman" w:hAnsi="Times New Roman"/>
          <w:u w:val="single"/>
        </w:rPr>
        <w:t>水力坡降。</w:t>
      </w:r>
    </w:p>
    <w:p w:rsidR="004B4777" w:rsidRDefault="004B4777">
      <w:pPr>
        <w:ind w:firstLine="480"/>
        <w:rPr>
          <w:rFonts w:ascii="Times New Roman" w:hAnsi="Times New Roman"/>
          <w:u w:val="single"/>
        </w:rPr>
      </w:pPr>
      <w:r>
        <w:rPr>
          <w:rFonts w:ascii="宋体" w:hAnsi="宋体" w:cs="宋体" w:hint="eastAsia"/>
          <w:u w:val="single"/>
        </w:rPr>
        <w:t>④</w:t>
      </w:r>
      <w:r>
        <w:rPr>
          <w:rFonts w:ascii="Times New Roman" w:hAnsi="Times New Roman"/>
          <w:u w:val="single"/>
        </w:rPr>
        <w:t>预测源强</w:t>
      </w:r>
    </w:p>
    <w:p w:rsidR="004B4777" w:rsidRDefault="004B4777">
      <w:pPr>
        <w:ind w:firstLine="480"/>
        <w:rPr>
          <w:rFonts w:ascii="Times New Roman" w:hAnsi="Times New Roman"/>
          <w:u w:val="single"/>
        </w:rPr>
      </w:pPr>
      <w:r>
        <w:rPr>
          <w:rFonts w:ascii="Times New Roman" w:hAnsi="Times New Roman"/>
          <w:u w:val="single"/>
        </w:rPr>
        <w:t>根据工程分析可知，本项目</w:t>
      </w:r>
      <w:r>
        <w:rPr>
          <w:rFonts w:ascii="Times New Roman" w:hAnsi="Times New Roman" w:hint="eastAsia"/>
          <w:u w:val="single"/>
        </w:rPr>
        <w:t>斗米咀采区</w:t>
      </w:r>
      <w:r>
        <w:rPr>
          <w:rFonts w:ascii="Times New Roman" w:hAnsi="Times New Roman"/>
          <w:u w:val="single"/>
        </w:rPr>
        <w:t>SS</w:t>
      </w:r>
      <w:r>
        <w:rPr>
          <w:rFonts w:ascii="Times New Roman" w:hAnsi="Times New Roman"/>
          <w:u w:val="single"/>
        </w:rPr>
        <w:t>的产生源强为</w:t>
      </w:r>
      <w:r>
        <w:rPr>
          <w:rFonts w:ascii="Times New Roman" w:hAnsi="Times New Roman" w:hint="eastAsia"/>
          <w:u w:val="single"/>
        </w:rPr>
        <w:t>8.09</w:t>
      </w:r>
      <w:r>
        <w:rPr>
          <w:rFonts w:ascii="Times New Roman" w:hAnsi="Times New Roman"/>
          <w:u w:val="single"/>
        </w:rPr>
        <w:t>kg/s</w:t>
      </w:r>
      <w:r>
        <w:rPr>
          <w:rFonts w:ascii="Times New Roman" w:hAnsi="Times New Roman"/>
          <w:u w:val="single"/>
        </w:rPr>
        <w:t>，浓度约为</w:t>
      </w:r>
      <w:r>
        <w:rPr>
          <w:rFonts w:ascii="Times New Roman" w:hAnsi="Times New Roman" w:hint="eastAsia"/>
          <w:u w:val="single"/>
        </w:rPr>
        <w:t>600</w:t>
      </w:r>
      <w:r>
        <w:rPr>
          <w:rFonts w:ascii="Times New Roman" w:hAnsi="Times New Roman"/>
          <w:u w:val="single"/>
        </w:rPr>
        <w:t>mg/L</w:t>
      </w:r>
      <w:r>
        <w:rPr>
          <w:rFonts w:ascii="Times New Roman" w:hAnsi="Times New Roman" w:hint="eastAsia"/>
          <w:u w:val="single"/>
        </w:rPr>
        <w:t>；易婆塘采区</w:t>
      </w:r>
      <w:r>
        <w:rPr>
          <w:rFonts w:ascii="Times New Roman" w:hAnsi="Times New Roman"/>
          <w:u w:val="single"/>
        </w:rPr>
        <w:t>SS</w:t>
      </w:r>
      <w:r>
        <w:rPr>
          <w:rFonts w:ascii="Times New Roman" w:hAnsi="Times New Roman"/>
          <w:u w:val="single"/>
        </w:rPr>
        <w:t>的产生源强为</w:t>
      </w:r>
      <w:r>
        <w:rPr>
          <w:rFonts w:ascii="Times New Roman" w:hAnsi="Times New Roman" w:hint="eastAsia"/>
          <w:u w:val="single"/>
        </w:rPr>
        <w:t>48.54</w:t>
      </w:r>
      <w:r>
        <w:rPr>
          <w:rFonts w:ascii="Times New Roman" w:hAnsi="Times New Roman"/>
          <w:u w:val="single"/>
        </w:rPr>
        <w:t>kg/s</w:t>
      </w:r>
      <w:r>
        <w:rPr>
          <w:rFonts w:ascii="Times New Roman" w:hAnsi="Times New Roman"/>
          <w:u w:val="single"/>
        </w:rPr>
        <w:t>，浓度约为</w:t>
      </w:r>
      <w:r>
        <w:rPr>
          <w:rFonts w:ascii="Times New Roman" w:hAnsi="Times New Roman" w:hint="eastAsia"/>
          <w:u w:val="single"/>
        </w:rPr>
        <w:t>1644</w:t>
      </w:r>
      <w:r>
        <w:rPr>
          <w:rFonts w:ascii="Times New Roman" w:hAnsi="Times New Roman"/>
          <w:u w:val="single"/>
        </w:rPr>
        <w:t>mg/L</w:t>
      </w:r>
      <w:r>
        <w:rPr>
          <w:rFonts w:ascii="Times New Roman" w:hAnsi="Times New Roman"/>
          <w:u w:val="single"/>
        </w:rPr>
        <w:t>。</w:t>
      </w:r>
    </w:p>
    <w:p w:rsidR="004B4777" w:rsidRDefault="004B4777">
      <w:pPr>
        <w:ind w:firstLine="480"/>
        <w:rPr>
          <w:rFonts w:ascii="Times New Roman" w:hAnsi="Times New Roman"/>
          <w:u w:val="single"/>
        </w:rPr>
      </w:pPr>
      <w:r>
        <w:rPr>
          <w:rFonts w:ascii="宋体" w:hAnsi="宋体" w:cs="宋体" w:hint="eastAsia"/>
          <w:u w:val="single"/>
        </w:rPr>
        <w:t>⑤</w:t>
      </w:r>
      <w:r>
        <w:rPr>
          <w:rFonts w:ascii="Times New Roman" w:hAnsi="Times New Roman"/>
          <w:u w:val="single"/>
        </w:rPr>
        <w:t>水文参数</w:t>
      </w:r>
    </w:p>
    <w:p w:rsidR="004B4777" w:rsidRDefault="004B4777">
      <w:pPr>
        <w:ind w:firstLine="480"/>
        <w:rPr>
          <w:rFonts w:ascii="Times New Roman" w:hAnsi="Times New Roman"/>
          <w:u w:val="single"/>
        </w:rPr>
      </w:pPr>
      <w:r>
        <w:rPr>
          <w:rFonts w:ascii="Times New Roman" w:hAnsi="Times New Roman"/>
          <w:u w:val="single"/>
        </w:rPr>
        <w:t>湘江平均河宽为</w:t>
      </w:r>
      <w:r>
        <w:rPr>
          <w:rFonts w:ascii="Times New Roman" w:hAnsi="Times New Roman" w:hint="eastAsia"/>
          <w:u w:val="single"/>
        </w:rPr>
        <w:t>700</w:t>
      </w:r>
      <w:r>
        <w:rPr>
          <w:rFonts w:ascii="Times New Roman" w:hAnsi="Times New Roman"/>
          <w:u w:val="single"/>
        </w:rPr>
        <w:t>m</w:t>
      </w:r>
      <w:r>
        <w:rPr>
          <w:rFonts w:ascii="Times New Roman" w:hAnsi="Times New Roman"/>
          <w:u w:val="single"/>
        </w:rPr>
        <w:t>，平均水深</w:t>
      </w:r>
      <w:r>
        <w:rPr>
          <w:rFonts w:ascii="Times New Roman" w:hAnsi="Times New Roman" w:hint="eastAsia"/>
          <w:u w:val="single"/>
        </w:rPr>
        <w:t>8</w:t>
      </w:r>
      <w:r>
        <w:rPr>
          <w:rFonts w:ascii="Times New Roman" w:hAnsi="Times New Roman"/>
          <w:u w:val="single"/>
        </w:rPr>
        <w:t>m</w:t>
      </w:r>
      <w:r>
        <w:rPr>
          <w:rFonts w:ascii="Times New Roman" w:hAnsi="Times New Roman"/>
          <w:u w:val="single"/>
        </w:rPr>
        <w:t>，平均流速</w:t>
      </w:r>
      <w:r>
        <w:rPr>
          <w:rFonts w:ascii="Times New Roman" w:hAnsi="Times New Roman" w:hint="eastAsia"/>
          <w:u w:val="single"/>
        </w:rPr>
        <w:t>0.35</w:t>
      </w:r>
      <w:r>
        <w:rPr>
          <w:rFonts w:ascii="Times New Roman" w:hAnsi="Times New Roman"/>
          <w:u w:val="single"/>
        </w:rPr>
        <w:t>m/s</w:t>
      </w:r>
      <w:r>
        <w:rPr>
          <w:rFonts w:ascii="Times New Roman" w:hAnsi="Times New Roman"/>
          <w:u w:val="single"/>
        </w:rPr>
        <w:t>，水力坡降</w:t>
      </w:r>
      <w:r>
        <w:rPr>
          <w:rFonts w:ascii="Times New Roman" w:hAnsi="Times New Roman" w:hint="eastAsia"/>
          <w:u w:val="single"/>
        </w:rPr>
        <w:t>0.027</w:t>
      </w:r>
      <w:r>
        <w:rPr>
          <w:rFonts w:ascii="Times New Roman" w:hAnsi="Times New Roman"/>
          <w:u w:val="single"/>
        </w:rPr>
        <w:t>‰</w:t>
      </w:r>
      <w:r>
        <w:rPr>
          <w:rFonts w:ascii="Times New Roman" w:hAnsi="Times New Roman" w:hint="eastAsia"/>
          <w:u w:val="single"/>
        </w:rPr>
        <w:t>；</w:t>
      </w:r>
      <w:r>
        <w:rPr>
          <w:rFonts w:ascii="Times New Roman" w:hAnsi="Times New Roman"/>
          <w:u w:val="single"/>
        </w:rPr>
        <w:t>资江</w:t>
      </w:r>
      <w:r>
        <w:rPr>
          <w:rFonts w:ascii="Times New Roman" w:hAnsi="Times New Roman" w:hint="eastAsia"/>
          <w:u w:val="single"/>
        </w:rPr>
        <w:t>北支</w:t>
      </w:r>
      <w:r>
        <w:rPr>
          <w:rFonts w:ascii="Times New Roman" w:hAnsi="Times New Roman"/>
          <w:u w:val="single"/>
        </w:rPr>
        <w:t>平均河宽为</w:t>
      </w:r>
      <w:r>
        <w:rPr>
          <w:rFonts w:ascii="Times New Roman" w:hAnsi="Times New Roman" w:hint="eastAsia"/>
          <w:u w:val="single"/>
        </w:rPr>
        <w:t>100</w:t>
      </w:r>
      <w:r>
        <w:rPr>
          <w:rFonts w:ascii="Times New Roman" w:hAnsi="Times New Roman"/>
          <w:u w:val="single"/>
        </w:rPr>
        <w:t>0m</w:t>
      </w:r>
      <w:r>
        <w:rPr>
          <w:rFonts w:ascii="Times New Roman" w:hAnsi="Times New Roman"/>
          <w:u w:val="single"/>
        </w:rPr>
        <w:t>，平均水深</w:t>
      </w:r>
      <w:r>
        <w:rPr>
          <w:rFonts w:ascii="Times New Roman" w:hAnsi="Times New Roman" w:hint="eastAsia"/>
          <w:u w:val="single"/>
        </w:rPr>
        <w:t>6</w:t>
      </w:r>
      <w:r>
        <w:rPr>
          <w:rFonts w:ascii="Times New Roman" w:hAnsi="Times New Roman"/>
          <w:u w:val="single"/>
        </w:rPr>
        <w:t>m</w:t>
      </w:r>
      <w:r>
        <w:rPr>
          <w:rFonts w:ascii="Times New Roman" w:hAnsi="Times New Roman"/>
          <w:u w:val="single"/>
        </w:rPr>
        <w:t>，平均流速</w:t>
      </w:r>
      <w:r>
        <w:rPr>
          <w:rFonts w:ascii="Times New Roman" w:hAnsi="Times New Roman"/>
          <w:u w:val="single"/>
        </w:rPr>
        <w:t>0.</w:t>
      </w:r>
      <w:r>
        <w:rPr>
          <w:rFonts w:ascii="Times New Roman" w:hAnsi="Times New Roman" w:hint="eastAsia"/>
          <w:u w:val="single"/>
        </w:rPr>
        <w:t>25</w:t>
      </w:r>
      <w:r>
        <w:rPr>
          <w:rFonts w:ascii="Times New Roman" w:hAnsi="Times New Roman"/>
          <w:u w:val="single"/>
        </w:rPr>
        <w:t>m/s</w:t>
      </w:r>
      <w:r>
        <w:rPr>
          <w:rFonts w:ascii="Times New Roman" w:hAnsi="Times New Roman"/>
          <w:u w:val="single"/>
        </w:rPr>
        <w:t>，水力坡降</w:t>
      </w:r>
      <w:r>
        <w:rPr>
          <w:rFonts w:ascii="Times New Roman" w:hAnsi="Times New Roman" w:hint="eastAsia"/>
          <w:u w:val="single"/>
        </w:rPr>
        <w:t>2.04</w:t>
      </w:r>
      <w:r>
        <w:rPr>
          <w:rFonts w:ascii="Times New Roman" w:hAnsi="Times New Roman"/>
          <w:u w:val="single"/>
        </w:rPr>
        <w:t>‰</w:t>
      </w:r>
      <w:r>
        <w:rPr>
          <w:rFonts w:ascii="Times New Roman" w:hAnsi="Times New Roman"/>
          <w:u w:val="single"/>
        </w:rPr>
        <w:t>。</w:t>
      </w:r>
    </w:p>
    <w:p w:rsidR="004B4777" w:rsidRDefault="004B4777">
      <w:pPr>
        <w:ind w:firstLine="480"/>
        <w:rPr>
          <w:rFonts w:ascii="Times New Roman" w:hAnsi="Times New Roman"/>
          <w:u w:val="single"/>
        </w:rPr>
      </w:pPr>
      <w:r>
        <w:rPr>
          <w:rFonts w:ascii="宋体" w:hAnsi="宋体" w:cs="宋体" w:hint="eastAsia"/>
          <w:u w:val="single"/>
        </w:rPr>
        <w:t>⑥</w:t>
      </w:r>
      <w:r>
        <w:rPr>
          <w:rFonts w:ascii="Times New Roman" w:hAnsi="Times New Roman"/>
          <w:u w:val="single"/>
        </w:rPr>
        <w:t>预测结果</w:t>
      </w:r>
    </w:p>
    <w:p w:rsidR="004B4777" w:rsidRDefault="004B4777">
      <w:pPr>
        <w:ind w:firstLine="480"/>
        <w:rPr>
          <w:rFonts w:ascii="Times New Roman" w:hAnsi="Times New Roman"/>
          <w:u w:val="single"/>
        </w:rPr>
      </w:pPr>
      <w:r>
        <w:rPr>
          <w:rFonts w:ascii="Times New Roman" w:hAnsi="Times New Roman"/>
          <w:u w:val="single"/>
        </w:rPr>
        <w:t>SS</w:t>
      </w:r>
      <w:r>
        <w:rPr>
          <w:rFonts w:ascii="Times New Roman" w:hAnsi="Times New Roman"/>
          <w:u w:val="single"/>
        </w:rPr>
        <w:t>对水质影响进行预测，预测结果</w:t>
      </w:r>
      <w:r>
        <w:rPr>
          <w:rFonts w:ascii="Times New Roman" w:hAnsi="Times New Roman" w:hint="eastAsia"/>
          <w:u w:val="single"/>
        </w:rPr>
        <w:t>见表</w:t>
      </w:r>
      <w:r>
        <w:rPr>
          <w:rFonts w:ascii="Times New Roman" w:hAnsi="Times New Roman"/>
          <w:u w:val="single"/>
        </w:rPr>
        <w:t>6.1-1</w:t>
      </w:r>
      <w:r>
        <w:rPr>
          <w:rFonts w:ascii="Times New Roman" w:hAnsi="Times New Roman" w:hint="eastAsia"/>
          <w:u w:val="single"/>
        </w:rPr>
        <w:t>、</w:t>
      </w:r>
      <w:r>
        <w:rPr>
          <w:rFonts w:ascii="Times New Roman" w:hAnsi="Times New Roman" w:hint="eastAsia"/>
          <w:u w:val="single"/>
        </w:rPr>
        <w:t>6.1-2</w:t>
      </w:r>
      <w:r>
        <w:rPr>
          <w:rFonts w:ascii="Times New Roman" w:hAnsi="Times New Roman"/>
          <w:u w:val="single"/>
        </w:rPr>
        <w:t>。</w:t>
      </w:r>
    </w:p>
    <w:p w:rsidR="004B4777" w:rsidRDefault="004B4777">
      <w:pPr>
        <w:widowControl/>
        <w:autoSpaceDE w:val="0"/>
        <w:autoSpaceDN w:val="0"/>
        <w:ind w:firstLineChars="0" w:firstLine="0"/>
        <w:jc w:val="center"/>
        <w:rPr>
          <w:rFonts w:ascii="Times New Roman" w:hAnsi="Times New Roman"/>
          <w:b/>
          <w:kern w:val="0"/>
          <w:szCs w:val="24"/>
          <w:u w:val="single"/>
        </w:rPr>
      </w:pPr>
      <w:r>
        <w:rPr>
          <w:rFonts w:ascii="Times New Roman" w:hAnsi="Times New Roman"/>
          <w:b/>
          <w:kern w:val="0"/>
          <w:szCs w:val="24"/>
          <w:u w:val="single"/>
        </w:rPr>
        <w:lastRenderedPageBreak/>
        <w:t>表</w:t>
      </w:r>
      <w:r>
        <w:rPr>
          <w:rFonts w:ascii="Times New Roman" w:hAnsi="Times New Roman"/>
          <w:b/>
          <w:kern w:val="0"/>
          <w:szCs w:val="24"/>
          <w:u w:val="single"/>
        </w:rPr>
        <w:t>6.1-1    SS</w:t>
      </w:r>
      <w:r>
        <w:rPr>
          <w:rFonts w:ascii="Times New Roman" w:hAnsi="Times New Roman"/>
          <w:b/>
          <w:kern w:val="0"/>
          <w:szCs w:val="24"/>
          <w:u w:val="single"/>
        </w:rPr>
        <w:t>对</w:t>
      </w:r>
      <w:r>
        <w:rPr>
          <w:rFonts w:ascii="Times New Roman" w:hAnsi="Times New Roman" w:hint="eastAsia"/>
          <w:b/>
          <w:kern w:val="0"/>
          <w:szCs w:val="24"/>
          <w:u w:val="single"/>
        </w:rPr>
        <w:t>湘江</w:t>
      </w:r>
      <w:r>
        <w:rPr>
          <w:rFonts w:ascii="Times New Roman" w:hAnsi="Times New Roman"/>
          <w:b/>
          <w:kern w:val="0"/>
          <w:szCs w:val="24"/>
          <w:u w:val="single"/>
        </w:rPr>
        <w:t>水质的影响</w:t>
      </w:r>
      <w:r>
        <w:rPr>
          <w:rFonts w:ascii="Times New Roman" w:hAnsi="Times New Roman"/>
          <w:b/>
          <w:kern w:val="0"/>
          <w:szCs w:val="24"/>
          <w:u w:val="single"/>
        </w:rPr>
        <w:t xml:space="preserve">       </w:t>
      </w:r>
      <w:r>
        <w:rPr>
          <w:rFonts w:ascii="Times New Roman" w:hAnsi="Times New Roman"/>
          <w:b/>
          <w:kern w:val="0"/>
          <w:szCs w:val="21"/>
          <w:u w:val="single"/>
        </w:rPr>
        <w:t>单位：</w:t>
      </w:r>
      <w:r>
        <w:rPr>
          <w:rFonts w:ascii="Times New Roman" w:hAnsi="Times New Roman"/>
          <w:kern w:val="0"/>
          <w:szCs w:val="21"/>
          <w:u w:val="single"/>
        </w:rPr>
        <w:t>mg/L</w:t>
      </w:r>
    </w:p>
    <w:tbl>
      <w:tblPr>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99"/>
        <w:gridCol w:w="970"/>
        <w:gridCol w:w="971"/>
        <w:gridCol w:w="971"/>
        <w:gridCol w:w="970"/>
        <w:gridCol w:w="971"/>
        <w:gridCol w:w="971"/>
        <w:gridCol w:w="970"/>
        <w:gridCol w:w="971"/>
        <w:gridCol w:w="970"/>
      </w:tblGrid>
      <w:tr w:rsidR="004B4777">
        <w:trPr>
          <w:tblHeader/>
          <w:jc w:val="center"/>
        </w:trPr>
        <w:tc>
          <w:tcPr>
            <w:tcW w:w="999" w:type="dxa"/>
            <w:tcBorders>
              <w:tl2br w:val="single" w:sz="6" w:space="0" w:color="auto"/>
            </w:tcBorders>
            <w:tcMar>
              <w:left w:w="0" w:type="dxa"/>
              <w:right w:w="0" w:type="dxa"/>
            </w:tcMar>
            <w:vAlign w:val="center"/>
          </w:tcPr>
          <w:p w:rsidR="004B4777" w:rsidRDefault="004B4777">
            <w:pPr>
              <w:widowControl/>
              <w:spacing w:line="240" w:lineRule="auto"/>
              <w:ind w:firstLineChars="0" w:hanging="10"/>
              <w:jc w:val="center"/>
              <w:rPr>
                <w:rFonts w:ascii="Times New Roman" w:hAnsi="Times New Roman"/>
                <w:b/>
                <w:kern w:val="0"/>
                <w:sz w:val="21"/>
                <w:szCs w:val="21"/>
                <w:u w:val="single"/>
              </w:rPr>
            </w:pPr>
            <w:r>
              <w:rPr>
                <w:rFonts w:ascii="Times New Roman" w:hAnsi="Times New Roman"/>
                <w:b/>
                <w:kern w:val="0"/>
                <w:sz w:val="21"/>
                <w:szCs w:val="21"/>
                <w:u w:val="single"/>
              </w:rPr>
              <w:t>Y</w:t>
            </w:r>
            <w:r>
              <w:rPr>
                <w:rFonts w:ascii="Times New Roman" w:hAnsi="Times New Roman"/>
                <w:b/>
                <w:kern w:val="0"/>
                <w:sz w:val="21"/>
                <w:szCs w:val="21"/>
                <w:u w:val="single"/>
              </w:rPr>
              <w:t>（</w:t>
            </w:r>
            <w:r>
              <w:rPr>
                <w:rFonts w:ascii="Times New Roman" w:hAnsi="Times New Roman"/>
                <w:b/>
                <w:kern w:val="0"/>
                <w:sz w:val="21"/>
                <w:szCs w:val="21"/>
                <w:u w:val="single"/>
              </w:rPr>
              <w:t>m</w:t>
            </w:r>
            <w:r>
              <w:rPr>
                <w:rFonts w:ascii="Times New Roman" w:hAnsi="Times New Roman"/>
                <w:b/>
                <w:kern w:val="0"/>
                <w:sz w:val="21"/>
                <w:szCs w:val="21"/>
                <w:u w:val="single"/>
              </w:rPr>
              <w:t>）</w:t>
            </w:r>
          </w:p>
          <w:p w:rsidR="004B4777" w:rsidRDefault="004B4777">
            <w:pPr>
              <w:widowControl/>
              <w:spacing w:line="240" w:lineRule="auto"/>
              <w:ind w:firstLineChars="0" w:hanging="10"/>
              <w:jc w:val="center"/>
              <w:rPr>
                <w:rFonts w:ascii="Times New Roman" w:hAnsi="Times New Roman"/>
                <w:b/>
                <w:kern w:val="0"/>
                <w:sz w:val="21"/>
                <w:szCs w:val="21"/>
                <w:u w:val="single"/>
              </w:rPr>
            </w:pPr>
            <w:r>
              <w:rPr>
                <w:rFonts w:ascii="Times New Roman" w:hAnsi="Times New Roman"/>
                <w:b/>
                <w:kern w:val="0"/>
                <w:sz w:val="21"/>
                <w:szCs w:val="21"/>
                <w:u w:val="single"/>
              </w:rPr>
              <w:t>x</w:t>
            </w:r>
            <w:r>
              <w:rPr>
                <w:rFonts w:ascii="Times New Roman" w:hAnsi="Times New Roman"/>
                <w:b/>
                <w:kern w:val="0"/>
                <w:sz w:val="21"/>
                <w:szCs w:val="21"/>
                <w:u w:val="single"/>
              </w:rPr>
              <w:t>（</w:t>
            </w:r>
            <w:r>
              <w:rPr>
                <w:rFonts w:ascii="Times New Roman" w:hAnsi="Times New Roman"/>
                <w:b/>
                <w:kern w:val="0"/>
                <w:sz w:val="21"/>
                <w:szCs w:val="21"/>
                <w:u w:val="single"/>
              </w:rPr>
              <w:t>m</w:t>
            </w:r>
            <w:r>
              <w:rPr>
                <w:rFonts w:ascii="Times New Roman" w:hAnsi="Times New Roman"/>
                <w:b/>
                <w:kern w:val="0"/>
                <w:sz w:val="21"/>
                <w:szCs w:val="21"/>
                <w:u w:val="single"/>
              </w:rPr>
              <w:t>）</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-350</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350</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1051.9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8.7072</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722.0781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8.424</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480.2193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7.8849</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7.3803</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368.3583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7.3809</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7.3803</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7.3803</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7.3803</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6.908</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6.922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299.5173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6.922</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6.908</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6.908</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6.908</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6.4659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6.4659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6.4659</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6.5519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251.4343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6.5519</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6.4659</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6.4659</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6.4659</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6.0521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6.0521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6.0521</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6.3287</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215.3651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6.3287</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6.0521</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6.0521</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6.0521</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5.6647</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5.6647</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5.6647</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6.2828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187.049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6.2828</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5.6647</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5.6647</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5.6647</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5.3022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5.3022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5.3022</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6.4031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164.1132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6.4031</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5.3022</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5.3022</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5.3022</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4.9629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4.9629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4.9629</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6.6508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145.109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6.6508</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4.9629</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4.9629</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4.9629</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4.6453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4.6453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4.6453</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6.977</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129.0908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6.977</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4.6453</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4.6453</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4.6453</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1500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3.3373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3.3373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3.3391</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8.487</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76.3364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8.487</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3.3391</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3.3373</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3.3373</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2.3976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2.3976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2.4136</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8.6146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47.8161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8.6146</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2.4136</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2.3976</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2.3976</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2050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2.3196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2.3196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2.3381</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8.5558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45.7215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8.5558</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2.3381</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2.3196</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2.3196</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2500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1.7225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1.7225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1.7728</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7.6687</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30.9076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7.6687</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1.7728</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1.7225</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1.7225</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1.2375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1.2376</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1.3328</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6.3213</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20.3781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6.3213</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1.3328</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1.2376</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1.2375</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3500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0.8891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0.8895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1.0242</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4.9755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13.6202</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4.9755</w:t>
            </w:r>
          </w:p>
        </w:tc>
        <w:tc>
          <w:tcPr>
            <w:tcW w:w="970" w:type="dxa"/>
            <w:tcBorders>
              <w:bottom w:val="single" w:sz="4" w:space="0" w:color="auto"/>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1.0242</w:t>
            </w:r>
          </w:p>
        </w:tc>
        <w:tc>
          <w:tcPr>
            <w:tcW w:w="971" w:type="dxa"/>
            <w:tcBorders>
              <w:left w:val="single" w:sz="4" w:space="0" w:color="auto"/>
              <w:bottom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0.8895</w:t>
            </w:r>
          </w:p>
        </w:tc>
        <w:tc>
          <w:tcPr>
            <w:tcW w:w="970" w:type="dxa"/>
            <w:tcBorders>
              <w:left w:val="single" w:sz="4" w:space="0" w:color="auto"/>
              <w:bottom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0.8891</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0.6388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0.6398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0.799</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3.8041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9.1944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3.8041</w:t>
            </w:r>
          </w:p>
        </w:tc>
        <w:tc>
          <w:tcPr>
            <w:tcW w:w="970" w:type="dxa"/>
            <w:tcBorders>
              <w:top w:val="single" w:sz="4" w:space="0" w:color="auto"/>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0.799</w:t>
            </w:r>
          </w:p>
        </w:tc>
        <w:tc>
          <w:tcPr>
            <w:tcW w:w="971" w:type="dxa"/>
            <w:tcBorders>
              <w:top w:val="single" w:sz="4" w:space="0" w:color="auto"/>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0.6398</w:t>
            </w:r>
          </w:p>
        </w:tc>
        <w:tc>
          <w:tcPr>
            <w:tcW w:w="970" w:type="dxa"/>
            <w:tcBorders>
              <w:top w:val="single" w:sz="4" w:space="0" w:color="auto"/>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0.6388</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0.4591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0.4609</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0.6278</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2.8534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6.254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2.8534</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0.6278</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0.4609</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0.4591</w:t>
            </w:r>
          </w:p>
        </w:tc>
      </w:tr>
      <w:tr w:rsidR="004B4777">
        <w:trPr>
          <w:jc w:val="center"/>
        </w:trPr>
        <w:tc>
          <w:tcPr>
            <w:tcW w:w="99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5000</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0.3301</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0.3328</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0.4936</w:t>
            </w:r>
          </w:p>
        </w:tc>
        <w:tc>
          <w:tcPr>
            <w:tcW w:w="970"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2.1125</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4.2794</w:t>
            </w:r>
          </w:p>
        </w:tc>
        <w:tc>
          <w:tcPr>
            <w:tcW w:w="97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2.1125</w:t>
            </w:r>
          </w:p>
        </w:tc>
        <w:tc>
          <w:tcPr>
            <w:tcW w:w="970"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0.4936</w:t>
            </w:r>
          </w:p>
        </w:tc>
        <w:tc>
          <w:tcPr>
            <w:tcW w:w="971"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0.3328</w:t>
            </w:r>
          </w:p>
        </w:tc>
        <w:tc>
          <w:tcPr>
            <w:tcW w:w="970"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0.3301</w:t>
            </w:r>
          </w:p>
        </w:tc>
      </w:tr>
    </w:tbl>
    <w:p w:rsidR="004B4777" w:rsidRDefault="004B4777">
      <w:pPr>
        <w:widowControl/>
        <w:autoSpaceDE w:val="0"/>
        <w:autoSpaceDN w:val="0"/>
        <w:ind w:firstLineChars="0" w:firstLine="0"/>
        <w:jc w:val="center"/>
        <w:rPr>
          <w:rFonts w:ascii="Times New Roman" w:hAnsi="Times New Roman"/>
          <w:b/>
          <w:kern w:val="0"/>
          <w:szCs w:val="24"/>
          <w:u w:val="single"/>
        </w:rPr>
      </w:pPr>
      <w:r>
        <w:rPr>
          <w:rFonts w:ascii="Times New Roman" w:hAnsi="Times New Roman"/>
          <w:b/>
          <w:kern w:val="0"/>
          <w:szCs w:val="24"/>
          <w:u w:val="single"/>
        </w:rPr>
        <w:t>表</w:t>
      </w:r>
      <w:r>
        <w:rPr>
          <w:rFonts w:ascii="Times New Roman" w:hAnsi="Times New Roman"/>
          <w:b/>
          <w:kern w:val="0"/>
          <w:szCs w:val="24"/>
          <w:u w:val="single"/>
        </w:rPr>
        <w:t>6.1-</w:t>
      </w:r>
      <w:r>
        <w:rPr>
          <w:rFonts w:ascii="Times New Roman" w:hAnsi="Times New Roman" w:hint="eastAsia"/>
          <w:b/>
          <w:kern w:val="0"/>
          <w:szCs w:val="24"/>
          <w:u w:val="single"/>
        </w:rPr>
        <w:t>2</w:t>
      </w:r>
      <w:r>
        <w:rPr>
          <w:rFonts w:ascii="Times New Roman" w:hAnsi="Times New Roman"/>
          <w:b/>
          <w:kern w:val="0"/>
          <w:szCs w:val="24"/>
          <w:u w:val="single"/>
        </w:rPr>
        <w:t xml:space="preserve">    SS</w:t>
      </w:r>
      <w:r>
        <w:rPr>
          <w:rFonts w:ascii="Times New Roman" w:hAnsi="Times New Roman"/>
          <w:b/>
          <w:kern w:val="0"/>
          <w:szCs w:val="24"/>
          <w:u w:val="single"/>
        </w:rPr>
        <w:t>对</w:t>
      </w:r>
      <w:r>
        <w:rPr>
          <w:rFonts w:ascii="Times New Roman" w:hAnsi="Times New Roman" w:hint="eastAsia"/>
          <w:b/>
          <w:kern w:val="0"/>
          <w:szCs w:val="24"/>
          <w:u w:val="single"/>
        </w:rPr>
        <w:t>资江</w:t>
      </w:r>
      <w:r>
        <w:rPr>
          <w:rFonts w:ascii="Times New Roman" w:hAnsi="Times New Roman"/>
          <w:b/>
          <w:kern w:val="0"/>
          <w:szCs w:val="24"/>
          <w:u w:val="single"/>
        </w:rPr>
        <w:t>水质的影响</w:t>
      </w:r>
      <w:r>
        <w:rPr>
          <w:rFonts w:ascii="Times New Roman" w:hAnsi="Times New Roman"/>
          <w:b/>
          <w:kern w:val="0"/>
          <w:szCs w:val="24"/>
          <w:u w:val="single"/>
        </w:rPr>
        <w:t xml:space="preserve">       </w:t>
      </w:r>
      <w:r>
        <w:rPr>
          <w:rFonts w:ascii="Times New Roman" w:hAnsi="Times New Roman"/>
          <w:b/>
          <w:kern w:val="0"/>
          <w:szCs w:val="21"/>
          <w:u w:val="single"/>
        </w:rPr>
        <w:t>单位：</w:t>
      </w:r>
      <w:r>
        <w:rPr>
          <w:rFonts w:ascii="Times New Roman" w:hAnsi="Times New Roman"/>
          <w:kern w:val="0"/>
          <w:szCs w:val="21"/>
          <w:u w:val="single"/>
        </w:rPr>
        <w:t>mg/L</w:t>
      </w:r>
    </w:p>
    <w:tbl>
      <w:tblPr>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3"/>
        <w:gridCol w:w="839"/>
        <w:gridCol w:w="839"/>
        <w:gridCol w:w="839"/>
        <w:gridCol w:w="841"/>
        <w:gridCol w:w="839"/>
        <w:gridCol w:w="839"/>
        <w:gridCol w:w="841"/>
        <w:gridCol w:w="899"/>
        <w:gridCol w:w="899"/>
        <w:gridCol w:w="842"/>
      </w:tblGrid>
      <w:tr w:rsidR="004B4777">
        <w:trPr>
          <w:tblHeader/>
          <w:jc w:val="center"/>
        </w:trPr>
        <w:tc>
          <w:tcPr>
            <w:tcW w:w="1273" w:type="dxa"/>
            <w:tcBorders>
              <w:tl2br w:val="single" w:sz="6" w:space="0" w:color="auto"/>
            </w:tcBorders>
            <w:tcMar>
              <w:left w:w="0" w:type="dxa"/>
              <w:right w:w="0" w:type="dxa"/>
            </w:tcMar>
            <w:vAlign w:val="center"/>
          </w:tcPr>
          <w:p w:rsidR="004B4777" w:rsidRDefault="004B4777">
            <w:pPr>
              <w:widowControl/>
              <w:spacing w:line="240" w:lineRule="auto"/>
              <w:ind w:firstLineChars="0" w:hanging="10"/>
              <w:jc w:val="center"/>
              <w:rPr>
                <w:rFonts w:ascii="Times New Roman" w:hAnsi="Times New Roman"/>
                <w:b/>
                <w:kern w:val="0"/>
                <w:sz w:val="21"/>
                <w:szCs w:val="21"/>
                <w:u w:val="single"/>
              </w:rPr>
            </w:pPr>
            <w:r>
              <w:rPr>
                <w:rFonts w:ascii="Times New Roman" w:hAnsi="Times New Roman"/>
                <w:b/>
                <w:kern w:val="0"/>
                <w:sz w:val="21"/>
                <w:szCs w:val="21"/>
                <w:u w:val="single"/>
              </w:rPr>
              <w:t>Y</w:t>
            </w:r>
            <w:r>
              <w:rPr>
                <w:rFonts w:ascii="Times New Roman" w:hAnsi="Times New Roman"/>
                <w:b/>
                <w:kern w:val="0"/>
                <w:sz w:val="21"/>
                <w:szCs w:val="21"/>
                <w:u w:val="single"/>
              </w:rPr>
              <w:t>（</w:t>
            </w:r>
            <w:r>
              <w:rPr>
                <w:rFonts w:ascii="Times New Roman" w:hAnsi="Times New Roman"/>
                <w:b/>
                <w:kern w:val="0"/>
                <w:sz w:val="21"/>
                <w:szCs w:val="21"/>
                <w:u w:val="single"/>
              </w:rPr>
              <w:t>m</w:t>
            </w:r>
            <w:r>
              <w:rPr>
                <w:rFonts w:ascii="Times New Roman" w:hAnsi="Times New Roman"/>
                <w:b/>
                <w:kern w:val="0"/>
                <w:sz w:val="21"/>
                <w:szCs w:val="21"/>
                <w:u w:val="single"/>
              </w:rPr>
              <w:t>）</w:t>
            </w:r>
          </w:p>
          <w:p w:rsidR="004B4777" w:rsidRDefault="004B4777">
            <w:pPr>
              <w:widowControl/>
              <w:spacing w:line="240" w:lineRule="auto"/>
              <w:ind w:firstLineChars="0" w:hanging="10"/>
              <w:jc w:val="center"/>
              <w:rPr>
                <w:rFonts w:ascii="Times New Roman" w:hAnsi="Times New Roman"/>
                <w:b/>
                <w:kern w:val="0"/>
                <w:sz w:val="21"/>
                <w:szCs w:val="21"/>
                <w:u w:val="single"/>
              </w:rPr>
            </w:pPr>
            <w:r>
              <w:rPr>
                <w:rFonts w:ascii="Times New Roman" w:hAnsi="Times New Roman"/>
                <w:b/>
                <w:kern w:val="0"/>
                <w:sz w:val="21"/>
                <w:szCs w:val="21"/>
                <w:u w:val="single"/>
              </w:rPr>
              <w:t>x</w:t>
            </w:r>
            <w:r>
              <w:rPr>
                <w:rFonts w:ascii="Times New Roman" w:hAnsi="Times New Roman"/>
                <w:b/>
                <w:kern w:val="0"/>
                <w:sz w:val="21"/>
                <w:szCs w:val="21"/>
                <w:u w:val="single"/>
              </w:rPr>
              <w:t>（</w:t>
            </w:r>
            <w:r>
              <w:rPr>
                <w:rFonts w:ascii="Times New Roman" w:hAnsi="Times New Roman"/>
                <w:b/>
                <w:kern w:val="0"/>
                <w:sz w:val="21"/>
                <w:szCs w:val="21"/>
                <w:u w:val="single"/>
              </w:rPr>
              <w:t>m</w:t>
            </w:r>
            <w:r>
              <w:rPr>
                <w:rFonts w:ascii="Times New Roman" w:hAnsi="Times New Roman"/>
                <w:b/>
                <w:kern w:val="0"/>
                <w:sz w:val="21"/>
                <w:szCs w:val="21"/>
                <w:u w:val="single"/>
              </w:rPr>
              <w:t>）</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0</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400</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500</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600</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700</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9.0166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391.7114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4675.932</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391.7114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8.8047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8.5928</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8.5928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8.5928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8.5928</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8.5928</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50.6666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911.0212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3159.203</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910.9803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29.4353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8.2451</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8.2041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8.2041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8.2041</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8.2041</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340.9161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1101.947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2038.621</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1094.622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174.1973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14.8037</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7.5708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7.4789</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7.4786</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7.4786</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577.8597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1038.936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1520.431</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1003.43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292.3389</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42.3687</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8.741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6.8624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6.8176</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6.8172</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690.0358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950.9823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1207.641</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879.7968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348.1406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77.883</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14.2553</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6.6972</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6.2298</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6.2146</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721.559</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865.9924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996.4871</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765.3171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363.732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108.223</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23.486</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7.5431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5.7848</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5.6694</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708.9296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786.7352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843.7223</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666.9972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357.4945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129.3612</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34.0494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9.5934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5.6116</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5.1937</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673.7348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713.2584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727.2725</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584.1473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340.3244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141.7935</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43.9594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12.5745</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5.8105</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4.8158</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628.0429</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645.4545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634.7797</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514.388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318.2683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147.3537</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52.145</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16.0134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6.3924</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4.5684</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578.5338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583.2023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558.9348</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455.2804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294.5967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147.9354</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58.2465</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19.4654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7.2864</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4.4726</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528.8794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526.3192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495.2202</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404.7559</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271.0331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145.1029</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62.3174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22.6098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8.3794</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4.5302</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1500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321.1727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312.1257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283.4581</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234.7111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172.7886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111.1199</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61.9836</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30.2248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13.4313</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6.2643</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190.3652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184.4931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167.35</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140.8008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108.6754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76.2098</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48.2768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27.6714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14.6669</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7.9171</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2500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112.717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109.3977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99.869</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85.4191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68.0957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50.3428</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34.4101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21.8063</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13.0982</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8.1332</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3000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66.9911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65.1673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59.9466</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52.0477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42.5421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32.6568</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23.5297</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16.0023</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10.5319</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7.2497</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3500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39.9965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38.9972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36.1336</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31.7867</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26.5165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20.9609</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15.7241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11.2864</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7.9594</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5.8966</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3800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29.4134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28.7155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26.7131</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23.6653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19.9525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16.0103</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12.2575</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9.0386</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6.5922</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5.0513</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23.9838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23.434</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21.8545</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19.4458</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16.5026</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13.3639</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10.3588</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7.7633</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5.7754</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4.5112</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4500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14.4383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14.1342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13.2575</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11.9145</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10.262</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8.4827</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6.7585</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5.2481</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4.072</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3.307</w:t>
            </w:r>
          </w:p>
        </w:tc>
      </w:tr>
      <w:tr w:rsidR="004B4777">
        <w:trPr>
          <w:jc w:val="center"/>
        </w:trPr>
        <w:tc>
          <w:tcPr>
            <w:tcW w:w="1273"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5000</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8.7221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8.5531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8.0638</w:t>
            </w:r>
          </w:p>
        </w:tc>
        <w:tc>
          <w:tcPr>
            <w:tcW w:w="841"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7.311</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6.3793</w:t>
            </w:r>
          </w:p>
        </w:tc>
        <w:tc>
          <w:tcPr>
            <w:tcW w:w="839" w:type="dxa"/>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5.3682</w:t>
            </w:r>
          </w:p>
        </w:tc>
        <w:tc>
          <w:tcPr>
            <w:tcW w:w="841" w:type="dxa"/>
            <w:tcBorders>
              <w:right w:val="single" w:sz="4" w:space="0" w:color="auto"/>
            </w:tcBorders>
            <w:tcMar>
              <w:left w:w="0" w:type="dxa"/>
              <w:right w:w="0" w:type="dxa"/>
            </w:tcMar>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4.379</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3.5025</w:t>
            </w:r>
          </w:p>
        </w:tc>
        <w:tc>
          <w:tcPr>
            <w:tcW w:w="899" w:type="dxa"/>
            <w:tcBorders>
              <w:left w:val="single" w:sz="4" w:space="0" w:color="auto"/>
              <w:righ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2.8105</w:t>
            </w:r>
          </w:p>
        </w:tc>
        <w:tc>
          <w:tcPr>
            <w:tcW w:w="842" w:type="dxa"/>
            <w:tcBorders>
              <w:left w:val="single" w:sz="4" w:space="0" w:color="auto"/>
            </w:tcBorders>
            <w:vAlign w:val="center"/>
          </w:tcPr>
          <w:p w:rsidR="004B4777" w:rsidRDefault="004B4777">
            <w:pPr>
              <w:snapToGrid w:val="0"/>
              <w:spacing w:line="240" w:lineRule="auto"/>
              <w:ind w:firstLineChars="0" w:firstLine="0"/>
              <w:jc w:val="center"/>
              <w:rPr>
                <w:rFonts w:ascii="Times New Roman" w:hAnsi="Times New Roman"/>
                <w:sz w:val="21"/>
                <w:szCs w:val="21"/>
                <w:u w:val="single"/>
              </w:rPr>
            </w:pPr>
            <w:r>
              <w:rPr>
                <w:rFonts w:ascii="Times New Roman" w:hAnsi="Times New Roman" w:hint="eastAsia"/>
                <w:sz w:val="21"/>
                <w:szCs w:val="21"/>
                <w:u w:val="single"/>
              </w:rPr>
              <w:t>2.3505</w:t>
            </w:r>
          </w:p>
        </w:tc>
      </w:tr>
    </w:tbl>
    <w:p w:rsidR="004B4777" w:rsidRDefault="004B4777">
      <w:pPr>
        <w:ind w:firstLine="480"/>
        <w:rPr>
          <w:rFonts w:ascii="Times New Roman" w:hAnsi="Times New Roman"/>
          <w:u w:val="single"/>
        </w:rPr>
      </w:pPr>
      <w:r>
        <w:rPr>
          <w:rFonts w:ascii="Times New Roman" w:hAnsi="Times New Roman" w:hint="eastAsia"/>
          <w:u w:val="single"/>
        </w:rPr>
        <w:t>斗米咀采区</w:t>
      </w:r>
      <w:r>
        <w:rPr>
          <w:rFonts w:ascii="Times New Roman" w:hAnsi="Times New Roman"/>
          <w:u w:val="single"/>
        </w:rPr>
        <w:t>SS</w:t>
      </w:r>
      <w:r>
        <w:rPr>
          <w:rFonts w:ascii="Times New Roman" w:hAnsi="Times New Roman" w:hint="eastAsia"/>
          <w:u w:val="single"/>
        </w:rPr>
        <w:t>对湘江</w:t>
      </w:r>
      <w:r>
        <w:rPr>
          <w:rFonts w:ascii="Times New Roman" w:hAnsi="Times New Roman"/>
          <w:u w:val="single"/>
        </w:rPr>
        <w:t>贡献值在刚排放处为最大值</w:t>
      </w:r>
      <w:r>
        <w:rPr>
          <w:rFonts w:ascii="Times New Roman" w:hAnsi="Times New Roman" w:hint="eastAsia"/>
          <w:u w:val="single"/>
        </w:rPr>
        <w:t>1051.9</w:t>
      </w:r>
      <w:r>
        <w:rPr>
          <w:rFonts w:ascii="Times New Roman" w:hAnsi="Times New Roman"/>
          <w:u w:val="single"/>
        </w:rPr>
        <w:t>mg/L</w:t>
      </w:r>
      <w:r>
        <w:rPr>
          <w:rFonts w:ascii="Times New Roman" w:hAnsi="Times New Roman"/>
          <w:u w:val="single"/>
        </w:rPr>
        <w:t>，经过约</w:t>
      </w:r>
      <w:r>
        <w:rPr>
          <w:rFonts w:ascii="Times New Roman" w:hAnsi="Times New Roman" w:hint="eastAsia"/>
          <w:u w:val="single"/>
        </w:rPr>
        <w:t>2050</w:t>
      </w:r>
      <w:r>
        <w:rPr>
          <w:rFonts w:ascii="Times New Roman" w:hAnsi="Times New Roman"/>
          <w:u w:val="single"/>
        </w:rPr>
        <w:t xml:space="preserve"> m</w:t>
      </w:r>
      <w:r>
        <w:rPr>
          <w:rFonts w:ascii="Times New Roman" w:hAnsi="Times New Roman"/>
          <w:u w:val="single"/>
        </w:rPr>
        <w:t>，</w:t>
      </w:r>
      <w:r>
        <w:rPr>
          <w:rFonts w:ascii="Times New Roman" w:hAnsi="Times New Roman"/>
          <w:u w:val="single"/>
        </w:rPr>
        <w:t>SS</w:t>
      </w:r>
      <w:r>
        <w:rPr>
          <w:rFonts w:ascii="Times New Roman" w:hAnsi="Times New Roman"/>
          <w:u w:val="single"/>
        </w:rPr>
        <w:t>能稀释和沉淀到</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左右，与《地表水资源质量标准》（</w:t>
      </w:r>
      <w:r>
        <w:rPr>
          <w:rFonts w:ascii="Times New Roman" w:hAnsi="Times New Roman"/>
          <w:u w:val="single"/>
        </w:rPr>
        <w:t>SL63-94</w:t>
      </w:r>
      <w:r>
        <w:rPr>
          <w:rFonts w:ascii="Times New Roman" w:hAnsi="Times New Roman"/>
          <w:u w:val="single"/>
        </w:rPr>
        <w:t>）</w:t>
      </w:r>
      <w:r>
        <w:rPr>
          <w:rFonts w:ascii="Times New Roman" w:hAnsi="Times New Roman" w:hint="eastAsia"/>
          <w:u w:val="single"/>
        </w:rPr>
        <w:t>三级</w:t>
      </w:r>
      <w:r>
        <w:rPr>
          <w:rFonts w:ascii="Times New Roman" w:hAnsi="Times New Roman"/>
          <w:u w:val="single"/>
        </w:rPr>
        <w:t>标准中</w:t>
      </w:r>
      <w:r>
        <w:rPr>
          <w:rFonts w:ascii="Times New Roman" w:hAnsi="Times New Roman"/>
          <w:u w:val="single"/>
        </w:rPr>
        <w:t>SS</w:t>
      </w:r>
      <w:r>
        <w:rPr>
          <w:rFonts w:ascii="Times New Roman" w:hAnsi="Times New Roman"/>
          <w:u w:val="single"/>
        </w:rPr>
        <w:t>的浓度值</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接近，其影响范围在</w:t>
      </w:r>
      <w:r>
        <w:rPr>
          <w:rFonts w:ascii="Times New Roman" w:hAnsi="Times New Roman" w:hint="eastAsia"/>
          <w:u w:val="single"/>
        </w:rPr>
        <w:t>下游</w:t>
      </w:r>
      <w:r>
        <w:rPr>
          <w:rFonts w:ascii="Times New Roman" w:hAnsi="Times New Roman" w:hint="eastAsia"/>
          <w:u w:val="single"/>
        </w:rPr>
        <w:t>2050</w:t>
      </w:r>
      <w:r>
        <w:rPr>
          <w:rFonts w:ascii="Times New Roman" w:hAnsi="Times New Roman"/>
          <w:u w:val="single"/>
        </w:rPr>
        <w:t>m</w:t>
      </w:r>
      <w:r>
        <w:rPr>
          <w:rFonts w:ascii="Times New Roman" w:hAnsi="Times New Roman"/>
          <w:u w:val="single"/>
        </w:rPr>
        <w:t>以内</w:t>
      </w:r>
      <w:r>
        <w:rPr>
          <w:rFonts w:ascii="Times New Roman" w:hAnsi="Times New Roman" w:hint="eastAsia"/>
          <w:u w:val="single"/>
        </w:rPr>
        <w:t>；易婆塘采</w:t>
      </w:r>
      <w:r>
        <w:rPr>
          <w:rFonts w:ascii="Times New Roman" w:hAnsi="Times New Roman" w:hint="eastAsia"/>
          <w:u w:val="single"/>
        </w:rPr>
        <w:lastRenderedPageBreak/>
        <w:t>区</w:t>
      </w:r>
      <w:r>
        <w:rPr>
          <w:rFonts w:ascii="Times New Roman" w:hAnsi="Times New Roman"/>
          <w:u w:val="single"/>
        </w:rPr>
        <w:t>SS</w:t>
      </w:r>
      <w:r>
        <w:rPr>
          <w:rFonts w:ascii="Times New Roman" w:hAnsi="Times New Roman" w:hint="eastAsia"/>
          <w:u w:val="single"/>
        </w:rPr>
        <w:t>对资江</w:t>
      </w:r>
      <w:r>
        <w:rPr>
          <w:rFonts w:ascii="Times New Roman" w:hAnsi="Times New Roman"/>
          <w:u w:val="single"/>
        </w:rPr>
        <w:t>贡献值在刚排放处为最大值</w:t>
      </w:r>
      <w:r>
        <w:rPr>
          <w:rFonts w:ascii="Times New Roman" w:hAnsi="Times New Roman" w:hint="eastAsia"/>
          <w:u w:val="single"/>
        </w:rPr>
        <w:t>4676</w:t>
      </w:r>
      <w:r>
        <w:rPr>
          <w:rFonts w:ascii="Times New Roman" w:hAnsi="Times New Roman"/>
          <w:u w:val="single"/>
        </w:rPr>
        <w:t>mg/L</w:t>
      </w:r>
      <w:r>
        <w:rPr>
          <w:rFonts w:ascii="Times New Roman" w:hAnsi="Times New Roman"/>
          <w:u w:val="single"/>
        </w:rPr>
        <w:t>，经过约</w:t>
      </w:r>
      <w:r>
        <w:rPr>
          <w:rFonts w:ascii="Times New Roman" w:hAnsi="Times New Roman" w:hint="eastAsia"/>
          <w:u w:val="single"/>
        </w:rPr>
        <w:t>38</w:t>
      </w:r>
      <w:r>
        <w:rPr>
          <w:rFonts w:ascii="Times New Roman" w:hAnsi="Times New Roman"/>
          <w:u w:val="single"/>
        </w:rPr>
        <w:t>00 m</w:t>
      </w:r>
      <w:r>
        <w:rPr>
          <w:rFonts w:ascii="Times New Roman" w:hAnsi="Times New Roman"/>
          <w:u w:val="single"/>
        </w:rPr>
        <w:t>，</w:t>
      </w:r>
      <w:r>
        <w:rPr>
          <w:rFonts w:ascii="Times New Roman" w:hAnsi="Times New Roman"/>
          <w:u w:val="single"/>
        </w:rPr>
        <w:t>SS</w:t>
      </w:r>
      <w:r>
        <w:rPr>
          <w:rFonts w:ascii="Times New Roman" w:hAnsi="Times New Roman"/>
          <w:u w:val="single"/>
        </w:rPr>
        <w:t>能稀释和沉淀到</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左右，与《地表水资源质量标准》（</w:t>
      </w:r>
      <w:r>
        <w:rPr>
          <w:rFonts w:ascii="Times New Roman" w:hAnsi="Times New Roman"/>
          <w:u w:val="single"/>
        </w:rPr>
        <w:t>SL63-94</w:t>
      </w:r>
      <w:r>
        <w:rPr>
          <w:rFonts w:ascii="Times New Roman" w:hAnsi="Times New Roman"/>
          <w:u w:val="single"/>
        </w:rPr>
        <w:t>）</w:t>
      </w:r>
      <w:r>
        <w:rPr>
          <w:rFonts w:ascii="Times New Roman" w:hAnsi="Times New Roman" w:hint="eastAsia"/>
          <w:u w:val="single"/>
        </w:rPr>
        <w:t>三级</w:t>
      </w:r>
      <w:r>
        <w:rPr>
          <w:rFonts w:ascii="Times New Roman" w:hAnsi="Times New Roman"/>
          <w:u w:val="single"/>
        </w:rPr>
        <w:t>标准中</w:t>
      </w:r>
      <w:r>
        <w:rPr>
          <w:rFonts w:ascii="Times New Roman" w:hAnsi="Times New Roman"/>
          <w:u w:val="single"/>
        </w:rPr>
        <w:t>SS</w:t>
      </w:r>
      <w:r>
        <w:rPr>
          <w:rFonts w:ascii="Times New Roman" w:hAnsi="Times New Roman"/>
          <w:u w:val="single"/>
        </w:rPr>
        <w:t>的浓度值</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接近，其影响范围在</w:t>
      </w:r>
      <w:r>
        <w:rPr>
          <w:rFonts w:ascii="Times New Roman" w:hAnsi="Times New Roman" w:hint="eastAsia"/>
          <w:u w:val="single"/>
        </w:rPr>
        <w:t>下游</w:t>
      </w:r>
      <w:r>
        <w:rPr>
          <w:rFonts w:ascii="Times New Roman" w:hAnsi="Times New Roman" w:hint="eastAsia"/>
          <w:u w:val="single"/>
        </w:rPr>
        <w:t>38</w:t>
      </w:r>
      <w:r>
        <w:rPr>
          <w:rFonts w:ascii="Times New Roman" w:hAnsi="Times New Roman"/>
          <w:u w:val="single"/>
        </w:rPr>
        <w:t>00m</w:t>
      </w:r>
      <w:r>
        <w:rPr>
          <w:rFonts w:ascii="Times New Roman" w:hAnsi="Times New Roman"/>
          <w:u w:val="single"/>
        </w:rPr>
        <w:t>以内</w:t>
      </w:r>
      <w:r>
        <w:rPr>
          <w:rFonts w:ascii="Times New Roman" w:hAnsi="Times New Roman" w:hint="eastAsia"/>
          <w:u w:val="single"/>
        </w:rPr>
        <w:t>。由于资江采区分布有</w:t>
      </w:r>
      <w:r>
        <w:rPr>
          <w:rFonts w:ascii="Times New Roman" w:hAnsi="Times New Roman" w:hint="eastAsia"/>
          <w:u w:val="single"/>
        </w:rPr>
        <w:t>6</w:t>
      </w:r>
      <w:r>
        <w:rPr>
          <w:rFonts w:ascii="Times New Roman" w:hAnsi="Times New Roman" w:hint="eastAsia"/>
          <w:u w:val="single"/>
        </w:rPr>
        <w:t>座采砂船，同时开采其</w:t>
      </w:r>
      <w:r>
        <w:rPr>
          <w:rFonts w:ascii="Times New Roman" w:hAnsi="Times New Roman" w:hint="eastAsia"/>
          <w:u w:val="single"/>
        </w:rPr>
        <w:t>SS</w:t>
      </w:r>
      <w:r>
        <w:rPr>
          <w:rFonts w:ascii="Times New Roman" w:hAnsi="Times New Roman" w:hint="eastAsia"/>
          <w:u w:val="single"/>
        </w:rPr>
        <w:t>对水环境的影响较大。</w:t>
      </w:r>
      <w:r>
        <w:rPr>
          <w:rFonts w:ascii="Times New Roman" w:hAnsi="Times New Roman"/>
          <w:u w:val="single"/>
        </w:rPr>
        <w:t>根据</w:t>
      </w:r>
      <w:r>
        <w:rPr>
          <w:rFonts w:ascii="Times New Roman" w:hAnsi="Times New Roman" w:hint="eastAsia"/>
          <w:u w:val="single"/>
        </w:rPr>
        <w:t>预测结果，</w:t>
      </w:r>
      <w:r>
        <w:rPr>
          <w:rFonts w:ascii="Times New Roman" w:hAnsi="Times New Roman" w:hint="eastAsia"/>
          <w:u w:val="single"/>
        </w:rPr>
        <w:t>SS</w:t>
      </w:r>
      <w:r>
        <w:rPr>
          <w:rFonts w:ascii="Times New Roman" w:hAnsi="Times New Roman"/>
          <w:u w:val="single"/>
        </w:rPr>
        <w:t>对水环境的</w:t>
      </w:r>
      <w:r>
        <w:rPr>
          <w:rFonts w:ascii="Times New Roman" w:hAnsi="Times New Roman" w:hint="eastAsia"/>
          <w:u w:val="single"/>
        </w:rPr>
        <w:t>影响较大，须采取相关措施</w:t>
      </w:r>
      <w:r>
        <w:rPr>
          <w:rFonts w:ascii="Times New Roman" w:hAnsi="Times New Roman"/>
          <w:u w:val="single"/>
        </w:rPr>
        <w:t>。</w:t>
      </w:r>
    </w:p>
    <w:p w:rsidR="004B4777" w:rsidRDefault="004B4777">
      <w:pPr>
        <w:ind w:firstLine="480"/>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）悬浮物中重金属对水质的影响</w:t>
      </w:r>
    </w:p>
    <w:p w:rsidR="004B4777" w:rsidRDefault="004B4777">
      <w:pPr>
        <w:ind w:firstLine="480"/>
        <w:rPr>
          <w:rFonts w:ascii="Times New Roman" w:hAnsi="Times New Roman" w:hint="eastAsia"/>
          <w:szCs w:val="24"/>
          <w:u w:val="single"/>
        </w:rPr>
      </w:pPr>
      <w:r>
        <w:rPr>
          <w:rFonts w:ascii="Times New Roman" w:hAnsi="Times New Roman" w:hint="eastAsia"/>
          <w:szCs w:val="24"/>
          <w:u w:val="single"/>
        </w:rPr>
        <w:t>采砂搅动悬浮物中部分重金属得到释放，根据底泥重金属的调查，易婆塘采区和斗米咀采区底泥中镉含量分别为</w:t>
      </w:r>
      <w:r>
        <w:rPr>
          <w:rFonts w:ascii="Times New Roman" w:hAnsi="Times New Roman" w:hint="eastAsia"/>
          <w:szCs w:val="24"/>
          <w:u w:val="single"/>
        </w:rPr>
        <w:t>0.3mg/kg</w:t>
      </w:r>
      <w:r>
        <w:rPr>
          <w:rFonts w:ascii="Times New Roman" w:hAnsi="Times New Roman" w:hint="eastAsia"/>
          <w:szCs w:val="24"/>
          <w:u w:val="single"/>
        </w:rPr>
        <w:t>和</w:t>
      </w:r>
      <w:r>
        <w:rPr>
          <w:rFonts w:ascii="Times New Roman" w:hAnsi="Times New Roman" w:hint="eastAsia"/>
          <w:szCs w:val="24"/>
          <w:u w:val="single"/>
        </w:rPr>
        <w:t>0.2mg/kg</w:t>
      </w:r>
      <w:r>
        <w:rPr>
          <w:rFonts w:ascii="Times New Roman" w:hAnsi="Times New Roman" w:hint="eastAsia"/>
          <w:szCs w:val="24"/>
          <w:u w:val="single"/>
        </w:rPr>
        <w:t>。悬浮物中重金属是影响水质的主要因素，根据河流底质分析，采砂作业时产生悬浮物中的重金属最大浓度见表</w:t>
      </w:r>
      <w:r>
        <w:rPr>
          <w:rFonts w:ascii="Times New Roman" w:hAnsi="Times New Roman" w:hint="eastAsia"/>
          <w:szCs w:val="24"/>
          <w:u w:val="single"/>
        </w:rPr>
        <w:t>6.1</w:t>
      </w:r>
      <w:r>
        <w:rPr>
          <w:rFonts w:ascii="Times New Roman" w:hAnsi="Times New Roman"/>
          <w:szCs w:val="24"/>
          <w:u w:val="single"/>
        </w:rPr>
        <w:t>-</w:t>
      </w:r>
      <w:r>
        <w:rPr>
          <w:rFonts w:ascii="Times New Roman" w:hAnsi="Times New Roman" w:hint="eastAsia"/>
          <w:szCs w:val="24"/>
          <w:u w:val="single"/>
        </w:rPr>
        <w:t>1</w:t>
      </w:r>
      <w:r>
        <w:rPr>
          <w:rFonts w:ascii="Times New Roman" w:hAnsi="Times New Roman" w:hint="eastAsia"/>
          <w:szCs w:val="24"/>
          <w:u w:val="single"/>
        </w:rPr>
        <w:t>。</w:t>
      </w:r>
    </w:p>
    <w:p w:rsidR="004B4777" w:rsidRDefault="004B4777">
      <w:pPr>
        <w:ind w:firstLineChars="0" w:firstLine="0"/>
        <w:jc w:val="center"/>
        <w:rPr>
          <w:rFonts w:ascii="Times New Roman" w:hAnsi="Times New Roman" w:hint="eastAsia"/>
          <w:b/>
          <w:szCs w:val="24"/>
          <w:u w:val="single"/>
        </w:rPr>
      </w:pPr>
      <w:r>
        <w:rPr>
          <w:rFonts w:ascii="Times New Roman" w:hAnsi="Times New Roman" w:hint="eastAsia"/>
          <w:b/>
          <w:szCs w:val="24"/>
          <w:u w:val="single"/>
        </w:rPr>
        <w:t>表</w:t>
      </w:r>
      <w:r>
        <w:rPr>
          <w:rFonts w:ascii="Times New Roman" w:hAnsi="Times New Roman" w:hint="eastAsia"/>
          <w:b/>
          <w:szCs w:val="24"/>
          <w:u w:val="single"/>
        </w:rPr>
        <w:t>6.1</w:t>
      </w:r>
      <w:r>
        <w:rPr>
          <w:rFonts w:ascii="Times New Roman" w:hAnsi="Times New Roman"/>
          <w:b/>
          <w:szCs w:val="24"/>
          <w:u w:val="single"/>
        </w:rPr>
        <w:t>-</w:t>
      </w:r>
      <w:r>
        <w:rPr>
          <w:rFonts w:ascii="Times New Roman" w:hAnsi="Times New Roman" w:hint="eastAsia"/>
          <w:b/>
          <w:szCs w:val="24"/>
          <w:u w:val="single"/>
        </w:rPr>
        <w:t>1</w:t>
      </w:r>
      <w:r>
        <w:rPr>
          <w:rFonts w:ascii="Times New Roman" w:hAnsi="Times New Roman"/>
          <w:b/>
          <w:szCs w:val="24"/>
          <w:u w:val="single"/>
        </w:rPr>
        <w:t xml:space="preserve">  </w:t>
      </w:r>
      <w:r>
        <w:rPr>
          <w:rFonts w:ascii="Times New Roman" w:hAnsi="Times New Roman" w:hint="eastAsia"/>
          <w:b/>
          <w:szCs w:val="24"/>
          <w:u w:val="single"/>
        </w:rPr>
        <w:t>施工作业点污染物浓度产生情况表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0"/>
        <w:gridCol w:w="2551"/>
        <w:gridCol w:w="2552"/>
        <w:gridCol w:w="1742"/>
      </w:tblGrid>
      <w:tr w:rsidR="004B4777">
        <w:trPr>
          <w:trHeight w:val="300"/>
          <w:jc w:val="center"/>
        </w:trPr>
        <w:tc>
          <w:tcPr>
            <w:tcW w:w="1660" w:type="dxa"/>
            <w:vMerge w:val="restart"/>
            <w:tcBorders>
              <w:top w:val="single" w:sz="12" w:space="0" w:color="auto"/>
              <w:left w:val="single" w:sz="12" w:space="0" w:color="auto"/>
              <w:tl2br w:val="single" w:sz="4" w:space="0" w:color="auto"/>
            </w:tcBorders>
          </w:tcPr>
          <w:p w:rsidR="004B4777" w:rsidRDefault="004B4777">
            <w:pPr>
              <w:widowControl/>
              <w:snapToGrid w:val="0"/>
              <w:spacing w:line="240" w:lineRule="auto"/>
              <w:ind w:firstLineChars="0" w:firstLine="0"/>
              <w:jc w:val="center"/>
              <w:rPr>
                <w:rFonts w:ascii="Times New Roman" w:hAnsi="Times New Roman"/>
                <w:kern w:val="0"/>
                <w:sz w:val="21"/>
                <w:szCs w:val="21"/>
                <w:u w:val="single"/>
              </w:rPr>
            </w:pPr>
            <w:r>
              <w:rPr>
                <w:rFonts w:ascii="Times New Roman" w:hAnsi="Times New Roman"/>
                <w:kern w:val="0"/>
                <w:sz w:val="21"/>
                <w:szCs w:val="21"/>
                <w:u w:val="single"/>
              </w:rPr>
              <w:t>施工地点</w:t>
            </w:r>
          </w:p>
          <w:p w:rsidR="004B4777" w:rsidRDefault="004B4777">
            <w:pPr>
              <w:widowControl/>
              <w:snapToGrid w:val="0"/>
              <w:spacing w:line="240" w:lineRule="auto"/>
              <w:ind w:firstLineChars="0" w:firstLine="0"/>
              <w:jc w:val="center"/>
              <w:rPr>
                <w:rFonts w:ascii="Times New Roman" w:hAnsi="Times New Roman"/>
                <w:kern w:val="0"/>
                <w:sz w:val="21"/>
                <w:szCs w:val="21"/>
                <w:u w:val="single"/>
              </w:rPr>
            </w:pPr>
            <w:r>
              <w:rPr>
                <w:rFonts w:ascii="Times New Roman" w:hAnsi="Times New Roman"/>
                <w:kern w:val="0"/>
                <w:sz w:val="21"/>
                <w:szCs w:val="21"/>
                <w:u w:val="single"/>
              </w:rPr>
              <w:t>污染物</w:t>
            </w:r>
          </w:p>
        </w:tc>
        <w:tc>
          <w:tcPr>
            <w:tcW w:w="5103" w:type="dxa"/>
            <w:gridSpan w:val="2"/>
            <w:tcBorders>
              <w:top w:val="single" w:sz="12" w:space="0" w:color="auto"/>
              <w:bottom w:val="single" w:sz="4" w:space="0" w:color="auto"/>
            </w:tcBorders>
          </w:tcPr>
          <w:p w:rsidR="004B4777" w:rsidRDefault="004B4777">
            <w:pPr>
              <w:widowControl/>
              <w:snapToGrid w:val="0"/>
              <w:spacing w:line="240" w:lineRule="auto"/>
              <w:ind w:firstLineChars="0" w:firstLine="0"/>
              <w:jc w:val="center"/>
              <w:rPr>
                <w:rFonts w:ascii="Times New Roman" w:hAnsi="Times New Roman"/>
                <w:kern w:val="0"/>
                <w:sz w:val="21"/>
                <w:szCs w:val="21"/>
                <w:u w:val="single"/>
              </w:rPr>
            </w:pPr>
            <w:r>
              <w:rPr>
                <w:rFonts w:ascii="Times New Roman" w:hAnsi="Times New Roman"/>
                <w:kern w:val="0"/>
                <w:sz w:val="21"/>
                <w:szCs w:val="21"/>
                <w:u w:val="single"/>
              </w:rPr>
              <w:t>作业区</w:t>
            </w:r>
            <w:r>
              <w:rPr>
                <w:rFonts w:ascii="Times New Roman" w:hAnsi="Times New Roman"/>
                <w:kern w:val="0"/>
                <w:sz w:val="21"/>
                <w:szCs w:val="21"/>
                <w:u w:val="single"/>
              </w:rPr>
              <w:t>(mg/l)</w:t>
            </w:r>
          </w:p>
        </w:tc>
        <w:tc>
          <w:tcPr>
            <w:tcW w:w="1742" w:type="dxa"/>
            <w:vMerge w:val="restart"/>
            <w:tcBorders>
              <w:top w:val="single" w:sz="12" w:space="0" w:color="auto"/>
              <w:right w:val="single" w:sz="12" w:space="0" w:color="auto"/>
            </w:tcBorders>
          </w:tcPr>
          <w:p w:rsidR="004B4777" w:rsidRDefault="004B4777">
            <w:pPr>
              <w:widowControl/>
              <w:snapToGrid w:val="0"/>
              <w:spacing w:line="240" w:lineRule="auto"/>
              <w:ind w:firstLineChars="0" w:firstLine="0"/>
              <w:jc w:val="center"/>
              <w:rPr>
                <w:rFonts w:ascii="Times New Roman" w:hAnsi="Times New Roman"/>
                <w:kern w:val="0"/>
                <w:sz w:val="21"/>
                <w:szCs w:val="21"/>
                <w:u w:val="single"/>
              </w:rPr>
            </w:pPr>
            <w:r>
              <w:rPr>
                <w:rFonts w:ascii="Times New Roman" w:hAnsi="Times New Roman"/>
                <w:kern w:val="0"/>
                <w:sz w:val="21"/>
                <w:szCs w:val="21"/>
                <w:u w:val="single"/>
              </w:rPr>
              <w:t>GB3838-2002</w:t>
            </w:r>
            <w:r>
              <w:rPr>
                <w:rFonts w:ascii="Times New Roman" w:hAnsi="Times New Roman"/>
                <w:kern w:val="0"/>
                <w:sz w:val="21"/>
                <w:szCs w:val="21"/>
                <w:u w:val="single"/>
              </w:rPr>
              <w:t>中</w:t>
            </w:r>
            <w:r>
              <w:rPr>
                <w:rFonts w:ascii="Times New Roman" w:hAnsi="Times New Roman" w:hint="eastAsia"/>
                <w:kern w:val="0"/>
                <w:sz w:val="21"/>
                <w:szCs w:val="21"/>
                <w:u w:val="single"/>
              </w:rPr>
              <w:t>Ⅲ</w:t>
            </w:r>
            <w:r>
              <w:rPr>
                <w:rFonts w:ascii="Times New Roman" w:hAnsi="Times New Roman"/>
                <w:kern w:val="0"/>
                <w:sz w:val="21"/>
                <w:szCs w:val="21"/>
                <w:u w:val="single"/>
              </w:rPr>
              <w:t>类标准</w:t>
            </w:r>
            <w:r>
              <w:rPr>
                <w:rFonts w:ascii="Times New Roman" w:hAnsi="Times New Roman"/>
                <w:kern w:val="0"/>
                <w:sz w:val="21"/>
                <w:szCs w:val="21"/>
                <w:u w:val="single"/>
              </w:rPr>
              <w:t>(mg/l)</w:t>
            </w:r>
          </w:p>
        </w:tc>
      </w:tr>
      <w:tr w:rsidR="004B4777">
        <w:trPr>
          <w:trHeight w:val="240"/>
          <w:jc w:val="center"/>
        </w:trPr>
        <w:tc>
          <w:tcPr>
            <w:tcW w:w="1660" w:type="dxa"/>
            <w:vMerge/>
            <w:tcBorders>
              <w:left w:val="single" w:sz="12" w:space="0" w:color="auto"/>
              <w:bottom w:val="single" w:sz="4" w:space="0" w:color="auto"/>
              <w:tl2br w:val="single" w:sz="4" w:space="0" w:color="auto"/>
            </w:tcBorders>
          </w:tcPr>
          <w:p w:rsidR="004B4777" w:rsidRDefault="004B4777">
            <w:pPr>
              <w:widowControl/>
              <w:snapToGrid w:val="0"/>
              <w:spacing w:line="240" w:lineRule="auto"/>
              <w:ind w:firstLineChars="0" w:firstLine="0"/>
              <w:jc w:val="center"/>
              <w:rPr>
                <w:rFonts w:ascii="Times New Roman" w:hAnsi="Times New Roman"/>
                <w:kern w:val="0"/>
                <w:sz w:val="21"/>
                <w:szCs w:val="21"/>
                <w:u w:val="single"/>
              </w:rPr>
            </w:pPr>
          </w:p>
        </w:tc>
        <w:tc>
          <w:tcPr>
            <w:tcW w:w="2551" w:type="dxa"/>
            <w:tcBorders>
              <w:top w:val="single" w:sz="4" w:space="0" w:color="auto"/>
              <w:bottom w:val="single" w:sz="4" w:space="0" w:color="auto"/>
            </w:tcBorders>
          </w:tcPr>
          <w:p w:rsidR="004B4777" w:rsidRDefault="004B4777">
            <w:pPr>
              <w:snapToGrid w:val="0"/>
              <w:spacing w:line="240" w:lineRule="auto"/>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斗米咀采区</w:t>
            </w:r>
          </w:p>
        </w:tc>
        <w:tc>
          <w:tcPr>
            <w:tcW w:w="2552" w:type="dxa"/>
            <w:tcBorders>
              <w:top w:val="single" w:sz="4" w:space="0" w:color="auto"/>
              <w:bottom w:val="single" w:sz="4" w:space="0" w:color="auto"/>
            </w:tcBorders>
          </w:tcPr>
          <w:p w:rsidR="004B4777" w:rsidRDefault="004B4777">
            <w:pPr>
              <w:snapToGrid w:val="0"/>
              <w:spacing w:line="240" w:lineRule="auto"/>
              <w:ind w:firstLineChars="0" w:firstLine="0"/>
              <w:jc w:val="center"/>
              <w:rPr>
                <w:rFonts w:ascii="Times New Roman" w:hAnsi="Times New Roman"/>
                <w:kern w:val="0"/>
                <w:sz w:val="21"/>
                <w:szCs w:val="21"/>
                <w:u w:val="single"/>
              </w:rPr>
            </w:pPr>
            <w:r>
              <w:rPr>
                <w:rFonts w:ascii="Times New Roman" w:hAnsi="Times New Roman" w:hint="eastAsia"/>
                <w:kern w:val="0"/>
                <w:sz w:val="21"/>
                <w:szCs w:val="21"/>
                <w:u w:val="single"/>
              </w:rPr>
              <w:t>易婆塘采区</w:t>
            </w:r>
          </w:p>
        </w:tc>
        <w:tc>
          <w:tcPr>
            <w:tcW w:w="1742" w:type="dxa"/>
            <w:vMerge/>
            <w:tcBorders>
              <w:bottom w:val="single" w:sz="4" w:space="0" w:color="auto"/>
              <w:right w:val="single" w:sz="12" w:space="0" w:color="auto"/>
            </w:tcBorders>
          </w:tcPr>
          <w:p w:rsidR="004B4777" w:rsidRDefault="004B4777">
            <w:pPr>
              <w:widowControl/>
              <w:snapToGrid w:val="0"/>
              <w:spacing w:line="240" w:lineRule="auto"/>
              <w:ind w:firstLineChars="0" w:firstLine="0"/>
              <w:jc w:val="center"/>
              <w:rPr>
                <w:rFonts w:ascii="Times New Roman" w:hAnsi="Times New Roman"/>
                <w:kern w:val="0"/>
                <w:sz w:val="21"/>
                <w:szCs w:val="21"/>
                <w:u w:val="single"/>
              </w:rPr>
            </w:pPr>
          </w:p>
        </w:tc>
      </w:tr>
      <w:tr w:rsidR="004B4777">
        <w:trPr>
          <w:jc w:val="center"/>
        </w:trPr>
        <w:tc>
          <w:tcPr>
            <w:tcW w:w="1660" w:type="dxa"/>
            <w:tcBorders>
              <w:lef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铜</w:t>
            </w:r>
          </w:p>
        </w:tc>
        <w:tc>
          <w:tcPr>
            <w:tcW w:w="2551" w:type="dxa"/>
            <w:vAlign w:val="center"/>
          </w:tcPr>
          <w:p w:rsidR="004B4777" w:rsidRDefault="004B4777">
            <w:pPr>
              <w:pStyle w:val="af"/>
              <w:widowControl/>
              <w:spacing w:line="240" w:lineRule="auto"/>
              <w:rPr>
                <w:sz w:val="21"/>
                <w:szCs w:val="21"/>
                <w:u w:val="single"/>
              </w:rPr>
            </w:pPr>
            <w:r>
              <w:rPr>
                <w:rFonts w:hint="eastAsia"/>
                <w:sz w:val="21"/>
                <w:szCs w:val="21"/>
                <w:u w:val="single"/>
              </w:rPr>
              <w:t>0.024</w:t>
            </w:r>
          </w:p>
        </w:tc>
        <w:tc>
          <w:tcPr>
            <w:tcW w:w="2552" w:type="dxa"/>
            <w:vAlign w:val="center"/>
          </w:tcPr>
          <w:p w:rsidR="004B4777" w:rsidRDefault="004B4777">
            <w:pPr>
              <w:pStyle w:val="af"/>
              <w:widowControl/>
              <w:spacing w:line="240" w:lineRule="auto"/>
              <w:rPr>
                <w:sz w:val="21"/>
                <w:szCs w:val="21"/>
                <w:u w:val="single"/>
              </w:rPr>
            </w:pPr>
            <w:r>
              <w:rPr>
                <w:rFonts w:hint="eastAsia"/>
                <w:sz w:val="21"/>
                <w:szCs w:val="21"/>
                <w:u w:val="single"/>
              </w:rPr>
              <w:t>0.051</w:t>
            </w:r>
          </w:p>
        </w:tc>
        <w:tc>
          <w:tcPr>
            <w:tcW w:w="1742" w:type="dxa"/>
            <w:tcBorders>
              <w:righ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1</w:t>
            </w:r>
          </w:p>
        </w:tc>
      </w:tr>
      <w:tr w:rsidR="004B4777">
        <w:trPr>
          <w:jc w:val="center"/>
        </w:trPr>
        <w:tc>
          <w:tcPr>
            <w:tcW w:w="1660" w:type="dxa"/>
            <w:tcBorders>
              <w:lef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锌</w:t>
            </w:r>
          </w:p>
        </w:tc>
        <w:tc>
          <w:tcPr>
            <w:tcW w:w="2551" w:type="dxa"/>
            <w:vAlign w:val="center"/>
          </w:tcPr>
          <w:p w:rsidR="004B4777" w:rsidRDefault="004B4777">
            <w:pPr>
              <w:pStyle w:val="af"/>
              <w:widowControl/>
              <w:spacing w:line="240" w:lineRule="auto"/>
              <w:rPr>
                <w:sz w:val="21"/>
                <w:szCs w:val="21"/>
                <w:u w:val="single"/>
              </w:rPr>
            </w:pPr>
            <w:r>
              <w:rPr>
                <w:rFonts w:hint="eastAsia"/>
                <w:sz w:val="21"/>
                <w:szCs w:val="21"/>
                <w:u w:val="single"/>
              </w:rPr>
              <w:t>0.0816</w:t>
            </w:r>
          </w:p>
        </w:tc>
        <w:tc>
          <w:tcPr>
            <w:tcW w:w="2552" w:type="dxa"/>
            <w:vAlign w:val="center"/>
          </w:tcPr>
          <w:p w:rsidR="004B4777" w:rsidRDefault="004B4777">
            <w:pPr>
              <w:pStyle w:val="af"/>
              <w:widowControl/>
              <w:spacing w:line="240" w:lineRule="auto"/>
              <w:rPr>
                <w:sz w:val="21"/>
                <w:szCs w:val="21"/>
                <w:u w:val="single"/>
              </w:rPr>
            </w:pPr>
            <w:r>
              <w:rPr>
                <w:rFonts w:hint="eastAsia"/>
                <w:sz w:val="21"/>
                <w:szCs w:val="21"/>
                <w:u w:val="single"/>
              </w:rPr>
              <w:t>0.11</w:t>
            </w:r>
          </w:p>
        </w:tc>
        <w:tc>
          <w:tcPr>
            <w:tcW w:w="1742" w:type="dxa"/>
            <w:tcBorders>
              <w:righ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1</w:t>
            </w:r>
          </w:p>
        </w:tc>
      </w:tr>
      <w:tr w:rsidR="004B4777">
        <w:trPr>
          <w:jc w:val="center"/>
        </w:trPr>
        <w:tc>
          <w:tcPr>
            <w:tcW w:w="1660" w:type="dxa"/>
            <w:tcBorders>
              <w:lef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铅</w:t>
            </w:r>
          </w:p>
        </w:tc>
        <w:tc>
          <w:tcPr>
            <w:tcW w:w="2551" w:type="dxa"/>
            <w:vAlign w:val="center"/>
          </w:tcPr>
          <w:p w:rsidR="004B4777" w:rsidRDefault="004B4777">
            <w:pPr>
              <w:pStyle w:val="af"/>
              <w:widowControl/>
              <w:spacing w:line="240" w:lineRule="auto"/>
              <w:rPr>
                <w:sz w:val="21"/>
                <w:szCs w:val="21"/>
                <w:u w:val="single"/>
              </w:rPr>
            </w:pPr>
            <w:r>
              <w:rPr>
                <w:rFonts w:hint="eastAsia"/>
                <w:sz w:val="21"/>
                <w:szCs w:val="21"/>
                <w:u w:val="single"/>
              </w:rPr>
              <w:t>0.02226</w:t>
            </w:r>
          </w:p>
        </w:tc>
        <w:tc>
          <w:tcPr>
            <w:tcW w:w="2552" w:type="dxa"/>
            <w:vAlign w:val="center"/>
          </w:tcPr>
          <w:p w:rsidR="004B4777" w:rsidRDefault="004B4777">
            <w:pPr>
              <w:pStyle w:val="af"/>
              <w:widowControl/>
              <w:spacing w:line="240" w:lineRule="auto"/>
              <w:rPr>
                <w:sz w:val="21"/>
                <w:szCs w:val="21"/>
                <w:u w:val="single"/>
              </w:rPr>
            </w:pPr>
            <w:r>
              <w:rPr>
                <w:rFonts w:hint="eastAsia"/>
                <w:sz w:val="21"/>
                <w:szCs w:val="21"/>
                <w:u w:val="single"/>
              </w:rPr>
              <w:t>0.0339</w:t>
            </w:r>
          </w:p>
        </w:tc>
        <w:tc>
          <w:tcPr>
            <w:tcW w:w="1742" w:type="dxa"/>
            <w:tcBorders>
              <w:righ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0.05</w:t>
            </w:r>
          </w:p>
        </w:tc>
      </w:tr>
      <w:tr w:rsidR="004B4777">
        <w:trPr>
          <w:jc w:val="center"/>
        </w:trPr>
        <w:tc>
          <w:tcPr>
            <w:tcW w:w="1660" w:type="dxa"/>
            <w:tcBorders>
              <w:lef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铬</w:t>
            </w:r>
          </w:p>
        </w:tc>
        <w:tc>
          <w:tcPr>
            <w:tcW w:w="2551" w:type="dxa"/>
            <w:vAlign w:val="center"/>
          </w:tcPr>
          <w:p w:rsidR="004B4777" w:rsidRDefault="004B4777">
            <w:pPr>
              <w:pStyle w:val="af"/>
              <w:widowControl/>
              <w:spacing w:line="240" w:lineRule="auto"/>
              <w:rPr>
                <w:sz w:val="21"/>
                <w:szCs w:val="21"/>
                <w:u w:val="single"/>
              </w:rPr>
            </w:pPr>
            <w:r>
              <w:rPr>
                <w:rFonts w:hint="eastAsia"/>
                <w:sz w:val="21"/>
                <w:szCs w:val="21"/>
                <w:u w:val="single"/>
              </w:rPr>
              <w:t>0.0348</w:t>
            </w:r>
          </w:p>
        </w:tc>
        <w:tc>
          <w:tcPr>
            <w:tcW w:w="2552" w:type="dxa"/>
            <w:vAlign w:val="center"/>
          </w:tcPr>
          <w:p w:rsidR="004B4777" w:rsidRDefault="004B4777">
            <w:pPr>
              <w:pStyle w:val="af"/>
              <w:widowControl/>
              <w:spacing w:line="240" w:lineRule="auto"/>
              <w:rPr>
                <w:sz w:val="21"/>
                <w:szCs w:val="21"/>
                <w:u w:val="single"/>
              </w:rPr>
            </w:pPr>
            <w:r>
              <w:rPr>
                <w:rFonts w:hint="eastAsia"/>
                <w:sz w:val="21"/>
                <w:szCs w:val="21"/>
                <w:u w:val="single"/>
              </w:rPr>
              <w:t>0.042</w:t>
            </w:r>
          </w:p>
        </w:tc>
        <w:tc>
          <w:tcPr>
            <w:tcW w:w="1742" w:type="dxa"/>
            <w:tcBorders>
              <w:righ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0.05</w:t>
            </w:r>
          </w:p>
        </w:tc>
      </w:tr>
      <w:tr w:rsidR="004B4777">
        <w:trPr>
          <w:jc w:val="center"/>
        </w:trPr>
        <w:tc>
          <w:tcPr>
            <w:tcW w:w="1660" w:type="dxa"/>
            <w:tcBorders>
              <w:lef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镉</w:t>
            </w:r>
          </w:p>
        </w:tc>
        <w:tc>
          <w:tcPr>
            <w:tcW w:w="2551" w:type="dxa"/>
            <w:vAlign w:val="center"/>
          </w:tcPr>
          <w:p w:rsidR="004B4777" w:rsidRDefault="004B4777">
            <w:pPr>
              <w:pStyle w:val="af"/>
              <w:widowControl/>
              <w:spacing w:line="240" w:lineRule="auto"/>
              <w:rPr>
                <w:sz w:val="21"/>
                <w:szCs w:val="21"/>
                <w:u w:val="single"/>
              </w:rPr>
            </w:pPr>
            <w:r>
              <w:rPr>
                <w:rFonts w:hint="eastAsia"/>
                <w:sz w:val="21"/>
                <w:szCs w:val="21"/>
                <w:u w:val="single"/>
              </w:rPr>
              <w:t>0.00012</w:t>
            </w:r>
          </w:p>
        </w:tc>
        <w:tc>
          <w:tcPr>
            <w:tcW w:w="2552" w:type="dxa"/>
            <w:vAlign w:val="center"/>
          </w:tcPr>
          <w:p w:rsidR="004B4777" w:rsidRDefault="004B4777">
            <w:pPr>
              <w:pStyle w:val="af"/>
              <w:widowControl/>
              <w:spacing w:line="240" w:lineRule="auto"/>
              <w:rPr>
                <w:sz w:val="21"/>
                <w:szCs w:val="21"/>
                <w:u w:val="single"/>
              </w:rPr>
            </w:pPr>
            <w:r>
              <w:rPr>
                <w:rFonts w:hint="eastAsia"/>
                <w:sz w:val="21"/>
                <w:szCs w:val="21"/>
                <w:u w:val="single"/>
              </w:rPr>
              <w:t>0.0003</w:t>
            </w:r>
          </w:p>
        </w:tc>
        <w:tc>
          <w:tcPr>
            <w:tcW w:w="1742" w:type="dxa"/>
            <w:tcBorders>
              <w:righ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0.005</w:t>
            </w:r>
          </w:p>
        </w:tc>
      </w:tr>
      <w:tr w:rsidR="004B4777">
        <w:trPr>
          <w:jc w:val="center"/>
        </w:trPr>
        <w:tc>
          <w:tcPr>
            <w:tcW w:w="1660" w:type="dxa"/>
            <w:tcBorders>
              <w:lef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砷</w:t>
            </w:r>
          </w:p>
        </w:tc>
        <w:tc>
          <w:tcPr>
            <w:tcW w:w="2551" w:type="dxa"/>
            <w:vAlign w:val="center"/>
          </w:tcPr>
          <w:p w:rsidR="004B4777" w:rsidRDefault="004B4777">
            <w:pPr>
              <w:pStyle w:val="af"/>
              <w:widowControl/>
              <w:spacing w:line="240" w:lineRule="auto"/>
              <w:rPr>
                <w:sz w:val="21"/>
                <w:szCs w:val="21"/>
                <w:u w:val="single"/>
              </w:rPr>
            </w:pPr>
            <w:r>
              <w:rPr>
                <w:rFonts w:hint="eastAsia"/>
                <w:sz w:val="21"/>
                <w:szCs w:val="21"/>
                <w:u w:val="single"/>
              </w:rPr>
              <w:t>0.01734</w:t>
            </w:r>
          </w:p>
        </w:tc>
        <w:tc>
          <w:tcPr>
            <w:tcW w:w="2552" w:type="dxa"/>
            <w:vAlign w:val="center"/>
          </w:tcPr>
          <w:p w:rsidR="004B4777" w:rsidRDefault="004B4777">
            <w:pPr>
              <w:pStyle w:val="af"/>
              <w:widowControl/>
              <w:spacing w:line="240" w:lineRule="auto"/>
              <w:rPr>
                <w:sz w:val="21"/>
                <w:szCs w:val="21"/>
                <w:u w:val="single"/>
              </w:rPr>
            </w:pPr>
            <w:r>
              <w:rPr>
                <w:rFonts w:hint="eastAsia"/>
                <w:sz w:val="21"/>
                <w:szCs w:val="21"/>
                <w:u w:val="single"/>
              </w:rPr>
              <w:t>0.0278</w:t>
            </w:r>
          </w:p>
        </w:tc>
        <w:tc>
          <w:tcPr>
            <w:tcW w:w="1742" w:type="dxa"/>
            <w:tcBorders>
              <w:right w:val="single" w:sz="12" w:space="0" w:color="auto"/>
            </w:tcBorders>
            <w:vAlign w:val="center"/>
          </w:tcPr>
          <w:p w:rsidR="004B4777" w:rsidRDefault="004B4777">
            <w:pPr>
              <w:pStyle w:val="af"/>
              <w:widowControl/>
              <w:spacing w:line="240" w:lineRule="auto"/>
              <w:rPr>
                <w:sz w:val="21"/>
                <w:szCs w:val="21"/>
                <w:u w:val="single"/>
              </w:rPr>
            </w:pPr>
            <w:r>
              <w:rPr>
                <w:rFonts w:hint="eastAsia"/>
                <w:sz w:val="21"/>
                <w:szCs w:val="21"/>
                <w:u w:val="single"/>
              </w:rPr>
              <w:t>0.05</w:t>
            </w:r>
          </w:p>
        </w:tc>
      </w:tr>
    </w:tbl>
    <w:p w:rsidR="004B4777" w:rsidRDefault="004B4777">
      <w:pPr>
        <w:ind w:firstLine="480"/>
        <w:rPr>
          <w:rFonts w:ascii="Times New Roman" w:hAnsi="Times New Roman" w:hint="eastAsia"/>
          <w:kern w:val="0"/>
          <w:szCs w:val="24"/>
          <w:u w:val="single"/>
        </w:rPr>
      </w:pPr>
      <w:r>
        <w:rPr>
          <w:rFonts w:ascii="Times New Roman" w:hAnsi="Times New Roman" w:hint="eastAsia"/>
          <w:szCs w:val="24"/>
          <w:u w:val="single"/>
        </w:rPr>
        <w:t>由上表可知，项目采砂悬浮物重金属对水质的影响有一定影响，因此建议作业区周围设置防污帘，最大限度减少悬浮泥沙流失。</w:t>
      </w:r>
    </w:p>
    <w:p w:rsidR="004B4777" w:rsidRDefault="004B4777">
      <w:pPr>
        <w:pStyle w:val="3"/>
        <w:spacing w:before="0" w:after="0"/>
        <w:rPr>
          <w:rFonts w:ascii="Times New Roman" w:eastAsia="宋体" w:hAnsi="Times New Roman"/>
          <w:b/>
        </w:rPr>
      </w:pPr>
      <w:r>
        <w:rPr>
          <w:rFonts w:ascii="Times New Roman" w:eastAsia="宋体" w:hAnsi="Times New Roman"/>
          <w:b/>
        </w:rPr>
        <w:t xml:space="preserve">6.1.3 </w:t>
      </w:r>
      <w:r>
        <w:rPr>
          <w:rFonts w:ascii="Times New Roman" w:eastAsia="宋体" w:hAnsi="Times New Roman"/>
          <w:b/>
        </w:rPr>
        <w:t>采砂船舶含油污水对水环境的影响</w:t>
      </w:r>
    </w:p>
    <w:p w:rsidR="004B4777" w:rsidRDefault="004B4777">
      <w:pPr>
        <w:tabs>
          <w:tab w:val="left" w:pos="1080"/>
        </w:tabs>
        <w:autoSpaceDE w:val="0"/>
        <w:autoSpaceDN w:val="0"/>
        <w:ind w:firstLine="480"/>
        <w:rPr>
          <w:rFonts w:ascii="Times New Roman" w:hAnsi="Times New Roman"/>
          <w:kern w:val="0"/>
          <w:szCs w:val="24"/>
        </w:rPr>
      </w:pPr>
      <w:r>
        <w:rPr>
          <w:rFonts w:ascii="Times New Roman" w:hAnsi="Times New Roman"/>
          <w:kern w:val="0"/>
          <w:szCs w:val="24"/>
        </w:rPr>
        <w:t>船舶舱底油污水平均含</w:t>
      </w:r>
      <w:r>
        <w:rPr>
          <w:rFonts w:ascii="Times New Roman" w:hAnsi="Times New Roman" w:hint="eastAsia"/>
          <w:kern w:val="0"/>
          <w:szCs w:val="24"/>
        </w:rPr>
        <w:t>石油类</w:t>
      </w:r>
      <w:r>
        <w:rPr>
          <w:rFonts w:ascii="Times New Roman" w:hAnsi="Times New Roman"/>
          <w:kern w:val="0"/>
          <w:szCs w:val="24"/>
        </w:rPr>
        <w:t>浓度</w:t>
      </w:r>
      <w:r>
        <w:rPr>
          <w:rFonts w:ascii="Times New Roman" w:hAnsi="Times New Roman" w:hint="eastAsia"/>
          <w:kern w:val="0"/>
          <w:szCs w:val="24"/>
        </w:rPr>
        <w:t>约</w:t>
      </w:r>
      <w:r>
        <w:rPr>
          <w:rFonts w:ascii="Times New Roman" w:hAnsi="Times New Roman"/>
          <w:kern w:val="0"/>
          <w:szCs w:val="24"/>
        </w:rPr>
        <w:t>为</w:t>
      </w:r>
      <w:r>
        <w:rPr>
          <w:rFonts w:ascii="Times New Roman" w:hAnsi="Times New Roman" w:hint="eastAsia"/>
          <w:kern w:val="0"/>
          <w:szCs w:val="24"/>
        </w:rPr>
        <w:t>10</w:t>
      </w:r>
      <w:r>
        <w:rPr>
          <w:rFonts w:ascii="Times New Roman" w:hAnsi="Times New Roman"/>
          <w:kern w:val="0"/>
          <w:szCs w:val="24"/>
        </w:rPr>
        <w:t>000mg/L</w:t>
      </w:r>
      <w:r>
        <w:rPr>
          <w:rFonts w:ascii="Times New Roman" w:hAnsi="Times New Roman"/>
          <w:kern w:val="0"/>
          <w:szCs w:val="24"/>
        </w:rPr>
        <w:t>，船舶舱底油污水如不经处理直接排放，对地表水环境的影响是很大的，处理后达标排放的浓度为不大于</w:t>
      </w:r>
      <w:r>
        <w:rPr>
          <w:rFonts w:ascii="Times New Roman" w:hAnsi="Times New Roman"/>
          <w:kern w:val="0"/>
          <w:szCs w:val="24"/>
        </w:rPr>
        <w:t>15mg/L</w:t>
      </w:r>
      <w:r>
        <w:rPr>
          <w:rFonts w:ascii="Times New Roman" w:hAnsi="Times New Roman"/>
          <w:kern w:val="0"/>
          <w:szCs w:val="24"/>
        </w:rPr>
        <w:t>。</w:t>
      </w:r>
      <w:r>
        <w:rPr>
          <w:rFonts w:ascii="Times New Roman" w:hAnsi="Times New Roman" w:hint="eastAsia"/>
          <w:kern w:val="0"/>
          <w:szCs w:val="24"/>
        </w:rPr>
        <w:t>集中式饮用水水源保护区内禁止排水。</w:t>
      </w:r>
    </w:p>
    <w:p w:rsidR="004B4777" w:rsidRDefault="004B4777">
      <w:pPr>
        <w:tabs>
          <w:tab w:val="left" w:pos="1080"/>
        </w:tabs>
        <w:autoSpaceDE w:val="0"/>
        <w:autoSpaceDN w:val="0"/>
        <w:ind w:firstLine="480"/>
        <w:rPr>
          <w:rFonts w:ascii="Times New Roman" w:hAnsi="Times New Roman"/>
          <w:kern w:val="0"/>
          <w:szCs w:val="24"/>
          <w:u w:val="single"/>
        </w:rPr>
      </w:pPr>
      <w:r>
        <w:rPr>
          <w:rFonts w:ascii="Times New Roman" w:hAnsi="Times New Roman" w:hint="eastAsia"/>
          <w:kern w:val="0"/>
          <w:szCs w:val="24"/>
          <w:u w:val="single"/>
        </w:rPr>
        <w:t>项目拟采用采砂船均</w:t>
      </w:r>
      <w:r>
        <w:rPr>
          <w:rFonts w:ascii="Times New Roman" w:hAnsi="Times New Roman"/>
          <w:kern w:val="0"/>
          <w:szCs w:val="24"/>
          <w:u w:val="single"/>
        </w:rPr>
        <w:t>自带的油水分离器</w:t>
      </w:r>
      <w:r>
        <w:rPr>
          <w:rFonts w:ascii="Times New Roman" w:hAnsi="Times New Roman" w:hint="eastAsia"/>
          <w:kern w:val="0"/>
          <w:szCs w:val="24"/>
          <w:u w:val="single"/>
        </w:rPr>
        <w:t>，含油污水经处理后暂存于</w:t>
      </w:r>
      <w:r>
        <w:rPr>
          <w:rFonts w:ascii="Times New Roman" w:hAnsi="Times New Roman"/>
          <w:kern w:val="0"/>
          <w:szCs w:val="24"/>
          <w:u w:val="single"/>
        </w:rPr>
        <w:t>船舶自备的容器中</w:t>
      </w:r>
      <w:r>
        <w:rPr>
          <w:rFonts w:ascii="Times New Roman" w:hAnsi="Times New Roman" w:hint="eastAsia"/>
          <w:kern w:val="0"/>
          <w:szCs w:val="24"/>
          <w:u w:val="single"/>
        </w:rPr>
        <w:t>；</w:t>
      </w:r>
      <w:r>
        <w:rPr>
          <w:rFonts w:ascii="Times New Roman" w:hAnsi="Times New Roman"/>
          <w:kern w:val="0"/>
          <w:szCs w:val="24"/>
          <w:u w:val="single"/>
        </w:rPr>
        <w:t>没有安装油水分离器的小型船舶，其舱底油污水应暂存于船舶自备的容器中</w:t>
      </w:r>
      <w:r>
        <w:rPr>
          <w:rFonts w:ascii="Times New Roman" w:hAnsi="Times New Roman" w:hint="eastAsia"/>
          <w:kern w:val="0"/>
          <w:szCs w:val="24"/>
          <w:u w:val="single"/>
        </w:rPr>
        <w:t>；一</w:t>
      </w:r>
      <w:r>
        <w:rPr>
          <w:rFonts w:ascii="Times New Roman" w:hAnsi="Times New Roman"/>
          <w:kern w:val="0"/>
          <w:szCs w:val="24"/>
          <w:u w:val="single"/>
        </w:rPr>
        <w:t>并送油污水接收船或岸上的油污水接收单位接收处理。</w:t>
      </w:r>
      <w:r>
        <w:rPr>
          <w:rFonts w:ascii="Times New Roman" w:hAnsi="Times New Roman" w:hint="eastAsia"/>
          <w:kern w:val="0"/>
          <w:szCs w:val="24"/>
          <w:u w:val="single"/>
        </w:rPr>
        <w:t>采取上述措施后，</w:t>
      </w:r>
      <w:r>
        <w:rPr>
          <w:rFonts w:ascii="Times New Roman" w:hAnsi="Times New Roman"/>
          <w:kern w:val="0"/>
          <w:szCs w:val="24"/>
          <w:u w:val="single"/>
        </w:rPr>
        <w:t>船舶舱底油污水</w:t>
      </w:r>
      <w:r>
        <w:rPr>
          <w:rFonts w:ascii="Times New Roman" w:hAnsi="Times New Roman" w:hint="eastAsia"/>
          <w:kern w:val="0"/>
          <w:szCs w:val="24"/>
          <w:u w:val="single"/>
        </w:rPr>
        <w:t>不直接外</w:t>
      </w:r>
      <w:r>
        <w:rPr>
          <w:rFonts w:ascii="Times New Roman" w:hAnsi="Times New Roman"/>
          <w:kern w:val="0"/>
          <w:szCs w:val="24"/>
          <w:u w:val="single"/>
        </w:rPr>
        <w:t>排对区域河流水环境影响较小。</w:t>
      </w:r>
    </w:p>
    <w:p w:rsidR="004B4777" w:rsidRDefault="004B4777">
      <w:pPr>
        <w:pStyle w:val="3"/>
        <w:spacing w:before="0" w:after="0"/>
        <w:rPr>
          <w:rFonts w:ascii="Times New Roman" w:eastAsia="宋体" w:hAnsi="Times New Roman"/>
          <w:b/>
        </w:rPr>
      </w:pPr>
      <w:r>
        <w:rPr>
          <w:rFonts w:ascii="Times New Roman" w:eastAsia="宋体" w:hAnsi="Times New Roman"/>
          <w:b/>
        </w:rPr>
        <w:t xml:space="preserve">6.1.4 </w:t>
      </w:r>
      <w:r>
        <w:rPr>
          <w:rFonts w:ascii="Times New Roman" w:eastAsia="宋体" w:hAnsi="Times New Roman"/>
          <w:b/>
        </w:rPr>
        <w:t>生活污水对水环境的影响</w:t>
      </w:r>
    </w:p>
    <w:p w:rsidR="004B4777" w:rsidRDefault="004B4777">
      <w:pPr>
        <w:autoSpaceDE w:val="0"/>
        <w:autoSpaceDN w:val="0"/>
        <w:ind w:firstLine="480"/>
        <w:rPr>
          <w:rFonts w:ascii="Times New Roman" w:hAnsi="Times New Roman"/>
          <w:kern w:val="0"/>
          <w:szCs w:val="24"/>
        </w:rPr>
      </w:pPr>
      <w:r>
        <w:rPr>
          <w:rFonts w:ascii="Times New Roman" w:hAnsi="Times New Roman"/>
          <w:kern w:val="0"/>
          <w:szCs w:val="24"/>
        </w:rPr>
        <w:t>生活污水由采砂人员产生，主要污染物质为</w:t>
      </w:r>
      <w:r>
        <w:rPr>
          <w:rFonts w:ascii="Times New Roman" w:hAnsi="Times New Roman"/>
          <w:kern w:val="0"/>
          <w:szCs w:val="24"/>
        </w:rPr>
        <w:t>COD</w:t>
      </w:r>
      <w:r>
        <w:rPr>
          <w:rFonts w:ascii="Times New Roman" w:hAnsi="Times New Roman"/>
          <w:kern w:val="0"/>
          <w:szCs w:val="24"/>
        </w:rPr>
        <w:t>、</w:t>
      </w:r>
      <w:r>
        <w:rPr>
          <w:rFonts w:ascii="Times New Roman" w:hAnsi="Times New Roman"/>
          <w:kern w:val="0"/>
          <w:szCs w:val="24"/>
        </w:rPr>
        <w:t>BOD</w:t>
      </w:r>
      <w:r>
        <w:rPr>
          <w:rFonts w:ascii="Times New Roman" w:hAnsi="Times New Roman"/>
          <w:kern w:val="0"/>
          <w:szCs w:val="24"/>
          <w:vertAlign w:val="subscript"/>
        </w:rPr>
        <w:t>5</w:t>
      </w:r>
      <w:r>
        <w:rPr>
          <w:rFonts w:ascii="Times New Roman" w:hAnsi="Times New Roman"/>
          <w:kern w:val="0"/>
          <w:szCs w:val="24"/>
        </w:rPr>
        <w:t>、氨氮、粪大肠菌</w:t>
      </w:r>
      <w:r>
        <w:rPr>
          <w:rFonts w:ascii="Times New Roman" w:hAnsi="Times New Roman"/>
          <w:kern w:val="0"/>
          <w:szCs w:val="24"/>
        </w:rPr>
        <w:lastRenderedPageBreak/>
        <w:t>群等。</w:t>
      </w:r>
    </w:p>
    <w:p w:rsidR="004B4777" w:rsidRDefault="004B4777">
      <w:pPr>
        <w:tabs>
          <w:tab w:val="left" w:pos="1080"/>
        </w:tabs>
        <w:autoSpaceDE w:val="0"/>
        <w:autoSpaceDN w:val="0"/>
        <w:ind w:firstLine="480"/>
        <w:rPr>
          <w:rFonts w:ascii="Times New Roman" w:hAnsi="Times New Roman"/>
          <w:kern w:val="0"/>
          <w:szCs w:val="24"/>
        </w:rPr>
      </w:pPr>
      <w:r>
        <w:rPr>
          <w:rFonts w:ascii="Times New Roman" w:hAnsi="Times New Roman"/>
          <w:kern w:val="0"/>
          <w:szCs w:val="24"/>
        </w:rPr>
        <w:t>船舶生活污水指船上</w:t>
      </w:r>
      <w:r>
        <w:rPr>
          <w:rFonts w:ascii="Times New Roman" w:hAnsi="Times New Roman" w:hint="eastAsia"/>
          <w:kern w:val="0"/>
          <w:szCs w:val="24"/>
        </w:rPr>
        <w:t>采砂</w:t>
      </w:r>
      <w:r>
        <w:rPr>
          <w:rFonts w:ascii="Times New Roman" w:hAnsi="Times New Roman"/>
          <w:kern w:val="0"/>
          <w:szCs w:val="24"/>
        </w:rPr>
        <w:t>人员在日常生活过程中产生的废水，按照水质的不同可分为黑水和灰水两种类型。黑水指污染物含量较高的冲厕排水，灰水指污染较轻的洗浴、厨房、洗衣等废水。船舶生活污水如不经过任何处理而将其任意排放，会造成周围水域的污染。</w:t>
      </w:r>
    </w:p>
    <w:p w:rsidR="004B4777" w:rsidRDefault="004B4777">
      <w:pPr>
        <w:tabs>
          <w:tab w:val="left" w:pos="1080"/>
        </w:tabs>
        <w:autoSpaceDE w:val="0"/>
        <w:autoSpaceDN w:val="0"/>
        <w:ind w:firstLine="480"/>
        <w:rPr>
          <w:rFonts w:ascii="Times New Roman" w:hAnsi="Times New Roman" w:hint="eastAsia"/>
          <w:kern w:val="0"/>
          <w:szCs w:val="24"/>
        </w:rPr>
      </w:pPr>
      <w:r>
        <w:rPr>
          <w:rFonts w:ascii="Times New Roman" w:hAnsi="Times New Roman"/>
          <w:kern w:val="0"/>
          <w:szCs w:val="24"/>
        </w:rPr>
        <w:t>本工程单个施工船舶生活污水产生量少。</w:t>
      </w:r>
      <w:r>
        <w:rPr>
          <w:rFonts w:ascii="Times New Roman" w:hAnsi="Times New Roman" w:hint="eastAsia"/>
          <w:kern w:val="0"/>
          <w:szCs w:val="24"/>
          <w:u w:val="single"/>
        </w:rPr>
        <w:t>各采砂船均配置有一套一体化生化污水处理装置，本次环评要求船舶将处理达标生活污水委托有资质单位接收处理，严禁将污水直接排入资江或湘江中，采取上述措施后生活污水不会对资江或湘江水环境造成明显影响。</w:t>
      </w:r>
    </w:p>
    <w:p w:rsidR="004B4777" w:rsidRDefault="004B4777">
      <w:pPr>
        <w:pStyle w:val="3"/>
        <w:spacing w:before="0" w:after="0"/>
        <w:rPr>
          <w:rFonts w:ascii="Times New Roman" w:eastAsia="宋体" w:hAnsi="Times New Roman"/>
          <w:b/>
        </w:rPr>
      </w:pPr>
      <w:r>
        <w:rPr>
          <w:rFonts w:ascii="Times New Roman" w:eastAsia="宋体" w:hAnsi="Times New Roman"/>
          <w:b/>
        </w:rPr>
        <w:t>6.1.</w:t>
      </w:r>
      <w:r>
        <w:rPr>
          <w:rFonts w:ascii="Times New Roman" w:eastAsia="宋体" w:hAnsi="Times New Roman" w:hint="eastAsia"/>
          <w:b/>
        </w:rPr>
        <w:t xml:space="preserve">5 </w:t>
      </w:r>
      <w:r>
        <w:rPr>
          <w:rFonts w:ascii="Times New Roman" w:eastAsia="宋体" w:hAnsi="Times New Roman" w:hint="eastAsia"/>
          <w:b/>
        </w:rPr>
        <w:t>采砂作业</w:t>
      </w:r>
      <w:r>
        <w:rPr>
          <w:rFonts w:ascii="Times New Roman" w:eastAsia="宋体" w:hAnsi="Times New Roman"/>
          <w:b/>
        </w:rPr>
        <w:t>对</w:t>
      </w:r>
      <w:r>
        <w:rPr>
          <w:rFonts w:ascii="Times New Roman" w:eastAsia="宋体" w:hAnsi="Times New Roman" w:hint="eastAsia"/>
          <w:b/>
        </w:rPr>
        <w:t>水源保护区</w:t>
      </w:r>
      <w:r>
        <w:rPr>
          <w:rFonts w:ascii="Times New Roman" w:eastAsia="宋体" w:hAnsi="Times New Roman"/>
          <w:b/>
        </w:rPr>
        <w:t>的影响</w:t>
      </w:r>
    </w:p>
    <w:p w:rsidR="004B4777" w:rsidRDefault="004B4777">
      <w:pPr>
        <w:autoSpaceDE w:val="0"/>
        <w:autoSpaceDN w:val="0"/>
        <w:ind w:firstLine="480"/>
        <w:rPr>
          <w:rFonts w:ascii="Times New Roman" w:hAnsi="Times New Roman" w:hint="eastAsia"/>
          <w:kern w:val="0"/>
          <w:szCs w:val="24"/>
        </w:rPr>
      </w:pPr>
      <w:r>
        <w:rPr>
          <w:rFonts w:ascii="Times New Roman" w:hAnsi="Times New Roman" w:hint="eastAsia"/>
          <w:kern w:val="0"/>
          <w:szCs w:val="24"/>
        </w:rPr>
        <w:t>采砂过程中扰动砂层上部淤积的淤泥层，此过程会使采砂点局部水域水质极其浑浊。废水的特点是污染物单一，为悬浮物，且浓度相对较大。</w:t>
      </w:r>
      <w:r>
        <w:rPr>
          <w:rFonts w:ascii="Times New Roman" w:hAnsi="Times New Roman" w:hint="eastAsia"/>
          <w:kern w:val="0"/>
          <w:szCs w:val="24"/>
          <w:u w:val="single"/>
        </w:rPr>
        <w:t>根据预测结果，浑浊污水悬浮物影响距离在上游</w:t>
      </w:r>
      <w:r>
        <w:rPr>
          <w:rFonts w:ascii="Times New Roman" w:hAnsi="Times New Roman" w:hint="eastAsia"/>
          <w:kern w:val="0"/>
          <w:szCs w:val="24"/>
          <w:u w:val="single"/>
        </w:rPr>
        <w:t>100m</w:t>
      </w:r>
      <w:r>
        <w:rPr>
          <w:rFonts w:ascii="Times New Roman" w:hAnsi="Times New Roman" w:hint="eastAsia"/>
          <w:kern w:val="0"/>
          <w:szCs w:val="24"/>
          <w:u w:val="single"/>
        </w:rPr>
        <w:t>范围及下游</w:t>
      </w:r>
      <w:r>
        <w:rPr>
          <w:rFonts w:ascii="Times New Roman" w:hAnsi="Times New Roman" w:hint="eastAsia"/>
          <w:kern w:val="0"/>
          <w:szCs w:val="24"/>
          <w:u w:val="single"/>
        </w:rPr>
        <w:t xml:space="preserve">4km </w:t>
      </w:r>
      <w:r>
        <w:rPr>
          <w:rFonts w:ascii="Times New Roman" w:hAnsi="Times New Roman" w:hint="eastAsia"/>
          <w:kern w:val="0"/>
          <w:szCs w:val="24"/>
          <w:u w:val="single"/>
        </w:rPr>
        <w:t>范围内。</w:t>
      </w:r>
    </w:p>
    <w:p w:rsidR="004B4777" w:rsidRDefault="004B4777">
      <w:pPr>
        <w:autoSpaceDE w:val="0"/>
        <w:autoSpaceDN w:val="0"/>
        <w:ind w:firstLine="480"/>
        <w:rPr>
          <w:rFonts w:ascii="Times New Roman" w:hAnsi="Times New Roman" w:hint="eastAsia"/>
          <w:kern w:val="0"/>
          <w:szCs w:val="24"/>
        </w:rPr>
      </w:pPr>
      <w:r>
        <w:rPr>
          <w:rFonts w:ascii="Times New Roman" w:hAnsi="Times New Roman" w:hint="eastAsia"/>
          <w:kern w:val="0"/>
          <w:szCs w:val="24"/>
        </w:rPr>
        <w:t>（</w:t>
      </w:r>
      <w:r>
        <w:rPr>
          <w:rFonts w:ascii="Times New Roman" w:hAnsi="Times New Roman" w:hint="eastAsia"/>
          <w:kern w:val="0"/>
          <w:szCs w:val="24"/>
        </w:rPr>
        <w:t>1</w:t>
      </w:r>
      <w:r>
        <w:rPr>
          <w:rFonts w:ascii="Times New Roman" w:hAnsi="Times New Roman" w:hint="eastAsia"/>
          <w:kern w:val="0"/>
          <w:szCs w:val="24"/>
        </w:rPr>
        <w:t>）屈原管理区饮用水源保护区</w:t>
      </w:r>
    </w:p>
    <w:p w:rsidR="004B4777" w:rsidRDefault="004B4777">
      <w:pPr>
        <w:autoSpaceDE w:val="0"/>
        <w:autoSpaceDN w:val="0"/>
        <w:ind w:firstLine="480"/>
        <w:rPr>
          <w:rFonts w:ascii="Times New Roman" w:hAnsi="Times New Roman" w:hint="eastAsia"/>
          <w:kern w:val="0"/>
          <w:szCs w:val="24"/>
        </w:rPr>
      </w:pPr>
      <w:r>
        <w:rPr>
          <w:rFonts w:ascii="Times New Roman" w:hAnsi="Times New Roman" w:hint="eastAsia"/>
          <w:kern w:val="0"/>
          <w:szCs w:val="24"/>
        </w:rPr>
        <w:t>屈原管理区鸡啼湖取水口饮用水源保护区位于项目斗米咀采区上游约</w:t>
      </w:r>
      <w:r>
        <w:rPr>
          <w:rFonts w:ascii="Times New Roman" w:hAnsi="Times New Roman" w:hint="eastAsia"/>
          <w:kern w:val="0"/>
          <w:szCs w:val="24"/>
        </w:rPr>
        <w:t>150m</w:t>
      </w:r>
      <w:r>
        <w:rPr>
          <w:rFonts w:ascii="Times New Roman" w:hAnsi="Times New Roman" w:hint="eastAsia"/>
          <w:kern w:val="0"/>
          <w:szCs w:val="24"/>
        </w:rPr>
        <w:t>处，鸡啼湖取水口距采区最近距离约</w:t>
      </w:r>
      <w:r>
        <w:rPr>
          <w:rFonts w:ascii="Times New Roman" w:hAnsi="Times New Roman" w:hint="eastAsia"/>
          <w:kern w:val="0"/>
          <w:szCs w:val="24"/>
        </w:rPr>
        <w:t>450m</w:t>
      </w:r>
      <w:r>
        <w:rPr>
          <w:rFonts w:ascii="Times New Roman" w:hAnsi="Times New Roman" w:hint="eastAsia"/>
          <w:kern w:val="0"/>
          <w:szCs w:val="24"/>
        </w:rPr>
        <w:t>。本项目采砂区采砂浑浊污水会对屈原管理区饮用水源二级保护区水质造成一定影响，但在可接受范围内，然而其对屈原管理区自来水厂鸡啼湖取水口水质影响不大。</w:t>
      </w:r>
    </w:p>
    <w:p w:rsidR="004B4777" w:rsidRDefault="004B4777">
      <w:pPr>
        <w:autoSpaceDE w:val="0"/>
        <w:autoSpaceDN w:val="0"/>
        <w:ind w:firstLine="480"/>
        <w:rPr>
          <w:rFonts w:ascii="Times New Roman" w:hAnsi="Times New Roman" w:hint="eastAsia"/>
          <w:kern w:val="0"/>
          <w:szCs w:val="24"/>
        </w:rPr>
      </w:pPr>
      <w:r>
        <w:rPr>
          <w:rFonts w:ascii="Times New Roman" w:hAnsi="Times New Roman" w:hint="eastAsia"/>
          <w:kern w:val="0"/>
          <w:szCs w:val="24"/>
        </w:rPr>
        <w:t>同时，建设单位对岳阳市屈原供水有限公司做了项目团体公众参与调查。根据调查结果，该公司清楚本工程建设情况，且认为只要建设单位加强管理，依法律法规进行项目建设，在规划采区内作业，同时禁止直接排水，项目采砂对水环境影响不大，该公司同意本工程建设。</w:t>
      </w:r>
    </w:p>
    <w:p w:rsidR="004B4777" w:rsidRDefault="004B4777">
      <w:pPr>
        <w:autoSpaceDE w:val="0"/>
        <w:autoSpaceDN w:val="0"/>
        <w:ind w:firstLine="480"/>
        <w:rPr>
          <w:rFonts w:ascii="Times New Roman" w:hAnsi="Times New Roman" w:hint="eastAsia"/>
          <w:kern w:val="0"/>
          <w:szCs w:val="24"/>
        </w:rPr>
      </w:pPr>
      <w:r>
        <w:rPr>
          <w:rFonts w:ascii="Times New Roman" w:hAnsi="Times New Roman" w:hint="eastAsia"/>
          <w:kern w:val="0"/>
          <w:szCs w:val="24"/>
        </w:rPr>
        <w:t>因此，项目采砂对屈原管理区饮用水源保护区的影响可接受。</w:t>
      </w:r>
    </w:p>
    <w:p w:rsidR="004B4777" w:rsidRDefault="004B4777">
      <w:pPr>
        <w:autoSpaceDE w:val="0"/>
        <w:autoSpaceDN w:val="0"/>
        <w:ind w:firstLine="480"/>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）柳潭水厂和赛头水厂饮用水源保护区</w:t>
      </w:r>
    </w:p>
    <w:p w:rsidR="004B4777" w:rsidRDefault="004B4777">
      <w:pPr>
        <w:ind w:firstLine="480"/>
        <w:rPr>
          <w:rFonts w:ascii="Times New Roman" w:hAnsi="Times New Roman" w:hint="eastAsia"/>
          <w:u w:val="single"/>
        </w:rPr>
      </w:pPr>
      <w:r>
        <w:rPr>
          <w:rFonts w:ascii="Times New Roman" w:hAnsi="Times New Roman" w:hint="eastAsia"/>
        </w:rPr>
        <w:t>项目易婆塘采区位于资水河段，其开采范围涉及柳潭村和赛头口村。柳潭村及赛头口村现均设有水厂用于村镇居民供水，柳潭水厂取水口距离防洪堤约</w:t>
      </w:r>
      <w:r>
        <w:rPr>
          <w:rFonts w:ascii="Times New Roman" w:hAnsi="Times New Roman" w:hint="eastAsia"/>
        </w:rPr>
        <w:t>160m</w:t>
      </w:r>
      <w:r>
        <w:rPr>
          <w:rFonts w:ascii="Times New Roman" w:hAnsi="Times New Roman" w:hint="eastAsia"/>
        </w:rPr>
        <w:t>，赛头水厂取水口距离防洪堤约</w:t>
      </w:r>
      <w:r>
        <w:rPr>
          <w:rFonts w:ascii="Times New Roman" w:hAnsi="Times New Roman" w:hint="eastAsia"/>
        </w:rPr>
        <w:t>160m</w:t>
      </w:r>
      <w:r>
        <w:rPr>
          <w:rFonts w:ascii="Times New Roman" w:hAnsi="Times New Roman" w:hint="eastAsia"/>
        </w:rPr>
        <w:t>，因防洪堤</w:t>
      </w:r>
      <w:r>
        <w:rPr>
          <w:rFonts w:ascii="Times New Roman" w:hAnsi="Times New Roman" w:hint="eastAsia"/>
        </w:rPr>
        <w:t>200m</w:t>
      </w:r>
      <w:r>
        <w:rPr>
          <w:rFonts w:ascii="Times New Roman" w:hAnsi="Times New Roman" w:hint="eastAsia"/>
        </w:rPr>
        <w:t>范围内为禁采区，柳潭水厂、赛头水厂距离易婆塘采场边界约</w:t>
      </w:r>
      <w:r>
        <w:rPr>
          <w:rFonts w:ascii="Times New Roman" w:hAnsi="Times New Roman" w:hint="eastAsia"/>
        </w:rPr>
        <w:t>360m</w:t>
      </w:r>
      <w:r>
        <w:rPr>
          <w:rFonts w:ascii="Times New Roman" w:hAnsi="Times New Roman" w:hint="eastAsia"/>
        </w:rPr>
        <w:t>。柳潭水厂取水为地下水井取水，水井深</w:t>
      </w:r>
      <w:r>
        <w:rPr>
          <w:rFonts w:ascii="Times New Roman" w:hAnsi="Times New Roman" w:hint="eastAsia"/>
        </w:rPr>
        <w:t>80m</w:t>
      </w:r>
      <w:r>
        <w:rPr>
          <w:rFonts w:ascii="Times New Roman" w:hAnsi="Times New Roman" w:hint="eastAsia"/>
        </w:rPr>
        <w:t>，设计取水量</w:t>
      </w:r>
      <w:r>
        <w:rPr>
          <w:rFonts w:ascii="Times New Roman" w:hAnsi="Times New Roman" w:hint="eastAsia"/>
        </w:rPr>
        <w:t>1600t/d</w:t>
      </w:r>
      <w:r>
        <w:rPr>
          <w:rFonts w:ascii="Times New Roman" w:hAnsi="Times New Roman" w:hint="eastAsia"/>
        </w:rPr>
        <w:t>，供水人口</w:t>
      </w:r>
      <w:r>
        <w:rPr>
          <w:rFonts w:ascii="Times New Roman" w:hAnsi="Times New Roman" w:hint="eastAsia"/>
        </w:rPr>
        <w:t>10175</w:t>
      </w:r>
      <w:r>
        <w:rPr>
          <w:rFonts w:ascii="Times New Roman" w:hAnsi="Times New Roman" w:hint="eastAsia"/>
        </w:rPr>
        <w:t>人；赛头水厂取水为地</w:t>
      </w:r>
      <w:r>
        <w:rPr>
          <w:rFonts w:ascii="Times New Roman" w:hAnsi="Times New Roman" w:hint="eastAsia"/>
        </w:rPr>
        <w:lastRenderedPageBreak/>
        <w:t>下水井取水，水井深</w:t>
      </w:r>
      <w:r>
        <w:rPr>
          <w:rFonts w:ascii="Times New Roman" w:hAnsi="Times New Roman" w:hint="eastAsia"/>
        </w:rPr>
        <w:t>80m</w:t>
      </w:r>
      <w:r>
        <w:rPr>
          <w:rFonts w:ascii="Times New Roman" w:hAnsi="Times New Roman" w:hint="eastAsia"/>
        </w:rPr>
        <w:t>，设计取水量</w:t>
      </w:r>
      <w:r>
        <w:rPr>
          <w:rFonts w:ascii="Times New Roman" w:hAnsi="Times New Roman" w:hint="eastAsia"/>
        </w:rPr>
        <w:t>1800t/d</w:t>
      </w:r>
      <w:r>
        <w:rPr>
          <w:rFonts w:ascii="Times New Roman" w:hAnsi="Times New Roman" w:hint="eastAsia"/>
        </w:rPr>
        <w:t>，供水人口</w:t>
      </w:r>
      <w:r>
        <w:rPr>
          <w:rFonts w:ascii="Times New Roman" w:hAnsi="Times New Roman" w:hint="eastAsia"/>
        </w:rPr>
        <w:t>10492</w:t>
      </w:r>
      <w:r>
        <w:rPr>
          <w:rFonts w:ascii="Times New Roman" w:hAnsi="Times New Roman" w:hint="eastAsia"/>
        </w:rPr>
        <w:t>人。柳潭水厂和赛头水厂为千人以上集中饮用水水源地，暂未进行饮用水源保护区的划分工作，但湘阴县人民政府出具公告“以取水口为圆心，</w:t>
      </w:r>
      <w:r>
        <w:rPr>
          <w:rFonts w:ascii="Times New Roman" w:hAnsi="Times New Roman" w:hint="eastAsia"/>
        </w:rPr>
        <w:t>100m</w:t>
      </w:r>
      <w:r>
        <w:rPr>
          <w:rFonts w:ascii="Times New Roman" w:hAnsi="Times New Roman" w:hint="eastAsia"/>
        </w:rPr>
        <w:t>半径范围内为一级保护区；一级保护区外，</w:t>
      </w:r>
      <w:r>
        <w:rPr>
          <w:rFonts w:ascii="Times New Roman" w:hAnsi="Times New Roman" w:hint="eastAsia"/>
        </w:rPr>
        <w:t>1000m</w:t>
      </w:r>
      <w:r>
        <w:rPr>
          <w:rFonts w:ascii="Times New Roman" w:hAnsi="Times New Roman" w:hint="eastAsia"/>
        </w:rPr>
        <w:t>半径内为二级保护区”，因此易婆塘部分采区位于该两个水源地二级水源保护区内。</w:t>
      </w:r>
      <w:r>
        <w:rPr>
          <w:rFonts w:ascii="Times New Roman" w:hAnsi="Times New Roman" w:hint="eastAsia"/>
          <w:u w:val="single"/>
        </w:rPr>
        <w:t>项目易婆塘采区与柳潭水厂和赛头水厂水源保护区关系图详见附图</w:t>
      </w:r>
      <w:r>
        <w:rPr>
          <w:rFonts w:ascii="Times New Roman" w:hAnsi="Times New Roman" w:hint="eastAsia"/>
          <w:u w:val="single"/>
        </w:rPr>
        <w:t>7</w:t>
      </w:r>
      <w:r>
        <w:rPr>
          <w:rFonts w:ascii="Times New Roman" w:hAnsi="Times New Roman" w:hint="eastAsia"/>
          <w:u w:val="single"/>
        </w:rPr>
        <w:t>。</w:t>
      </w:r>
      <w:r>
        <w:rPr>
          <w:rFonts w:ascii="Times New Roman" w:hAnsi="Times New Roman" w:hint="eastAsia"/>
        </w:rPr>
        <w:t>现建设单位和柳潭村、赛头口村及湘阴县人民政府协商（附件</w:t>
      </w:r>
      <w:r>
        <w:rPr>
          <w:rFonts w:ascii="Times New Roman" w:hAnsi="Times New Roman" w:hint="eastAsia"/>
        </w:rPr>
        <w:t>8</w:t>
      </w:r>
      <w:r>
        <w:rPr>
          <w:rFonts w:ascii="Times New Roman" w:hAnsi="Times New Roman" w:hint="eastAsia"/>
        </w:rPr>
        <w:t>），将上述两个水厂进行搬迁，并重新选址，项目将为上述村庄重新建设农村集中式地下水饮用水源地，合理选址，保证水井距大堤禁脚</w:t>
      </w:r>
      <w:r>
        <w:rPr>
          <w:rFonts w:ascii="Times New Roman" w:hAnsi="Times New Roman" w:hint="eastAsia"/>
        </w:rPr>
        <w:t>1100</w:t>
      </w:r>
      <w:r>
        <w:rPr>
          <w:rFonts w:ascii="Times New Roman" w:hAnsi="Times New Roman" w:hint="eastAsia"/>
        </w:rPr>
        <w:t>米以上。</w:t>
      </w:r>
      <w:r>
        <w:rPr>
          <w:rFonts w:ascii="Times New Roman" w:hAnsi="Times New Roman" w:hint="eastAsia"/>
          <w:u w:val="single"/>
        </w:rPr>
        <w:t>建设单位拟迁建赛头水厂取水口至赛头口村马家塘，距防洪堤约</w:t>
      </w:r>
      <w:r>
        <w:rPr>
          <w:rFonts w:ascii="Times New Roman" w:hAnsi="Times New Roman" w:hint="eastAsia"/>
          <w:u w:val="single"/>
        </w:rPr>
        <w:t>1120m</w:t>
      </w:r>
      <w:r>
        <w:rPr>
          <w:rFonts w:ascii="Times New Roman" w:hAnsi="Times New Roman" w:hint="eastAsia"/>
          <w:u w:val="single"/>
        </w:rPr>
        <w:t>；拟迁建柳潭水厂取水口至余长村，距防洪堤约</w:t>
      </w:r>
      <w:r>
        <w:rPr>
          <w:rFonts w:ascii="Times New Roman" w:hAnsi="Times New Roman" w:hint="eastAsia"/>
          <w:u w:val="single"/>
        </w:rPr>
        <w:t>1130m</w:t>
      </w:r>
      <w:r>
        <w:rPr>
          <w:rFonts w:ascii="Times New Roman" w:hAnsi="Times New Roman" w:hint="eastAsia"/>
          <w:u w:val="single"/>
        </w:rPr>
        <w:t>。两水厂新取水口能满足文件要求和水源保护要求，在柳潭水厂及赛头水厂新取水口正式启用前，易婆塘采区现位于二级水源保护区范围内的采砂区禁止开采。</w:t>
      </w:r>
    </w:p>
    <w:p w:rsidR="004B4777" w:rsidRDefault="004B4777">
      <w:pPr>
        <w:autoSpaceDE w:val="0"/>
        <w:autoSpaceDN w:val="0"/>
        <w:ind w:firstLine="480"/>
        <w:rPr>
          <w:rFonts w:ascii="Times New Roman" w:hAnsi="Times New Roman" w:hint="eastAsia"/>
          <w:kern w:val="0"/>
          <w:szCs w:val="24"/>
          <w:u w:val="single"/>
        </w:rPr>
      </w:pPr>
      <w:r>
        <w:rPr>
          <w:rFonts w:ascii="Times New Roman" w:hAnsi="Times New Roman" w:hint="eastAsia"/>
          <w:u w:val="single"/>
        </w:rPr>
        <w:t>在采取上述措施后，</w:t>
      </w:r>
      <w:r>
        <w:rPr>
          <w:rFonts w:ascii="Times New Roman" w:hAnsi="Times New Roman" w:hint="eastAsia"/>
          <w:kern w:val="0"/>
          <w:szCs w:val="24"/>
          <w:u w:val="single"/>
        </w:rPr>
        <w:t>因此，项目建设对</w:t>
      </w:r>
      <w:r>
        <w:rPr>
          <w:rFonts w:ascii="Times New Roman" w:hAnsi="Times New Roman" w:hint="eastAsia"/>
          <w:u w:val="single"/>
        </w:rPr>
        <w:t>柳潭水厂和赛头水厂饮用水源保护区</w:t>
      </w:r>
      <w:r>
        <w:rPr>
          <w:rFonts w:ascii="Times New Roman" w:hAnsi="Times New Roman" w:hint="eastAsia"/>
          <w:kern w:val="0"/>
          <w:szCs w:val="24"/>
          <w:u w:val="single"/>
        </w:rPr>
        <w:t>的影响可接受。</w:t>
      </w:r>
    </w:p>
    <w:p w:rsidR="004B4777" w:rsidRDefault="004B4777">
      <w:pPr>
        <w:pStyle w:val="2"/>
        <w:spacing w:before="0" w:after="0"/>
        <w:rPr>
          <w:rFonts w:ascii="Times New Roman" w:eastAsia="宋体" w:hAnsi="Times New Roman"/>
          <w:b/>
          <w:sz w:val="30"/>
          <w:szCs w:val="30"/>
        </w:rPr>
      </w:pPr>
      <w:bookmarkStart w:id="168" w:name="_Hlk481516061"/>
      <w:bookmarkStart w:id="169" w:name="_Toc523854033"/>
      <w:r>
        <w:rPr>
          <w:rFonts w:ascii="Times New Roman" w:eastAsia="宋体" w:hAnsi="Times New Roman"/>
          <w:b/>
          <w:sz w:val="30"/>
          <w:szCs w:val="30"/>
        </w:rPr>
        <w:t xml:space="preserve">6.2 </w:t>
      </w:r>
      <w:r>
        <w:rPr>
          <w:rFonts w:ascii="Times New Roman" w:eastAsia="宋体" w:hAnsi="Times New Roman"/>
          <w:b/>
          <w:sz w:val="30"/>
          <w:szCs w:val="30"/>
        </w:rPr>
        <w:t>地形地貌与冲淤环境影响分析</w:t>
      </w:r>
      <w:bookmarkEnd w:id="168"/>
      <w:bookmarkEnd w:id="169"/>
    </w:p>
    <w:p w:rsidR="004B4777" w:rsidRDefault="004B4777">
      <w:pPr>
        <w:ind w:firstLine="480"/>
        <w:rPr>
          <w:rFonts w:ascii="Times New Roman" w:hAnsi="Times New Roman"/>
        </w:rPr>
      </w:pPr>
      <w:r>
        <w:rPr>
          <w:rFonts w:ascii="Times New Roman" w:hAnsi="Times New Roman"/>
        </w:rPr>
        <w:t>河床的变化的主要动力是水流量和水流速度对河床的冲刷以及水体本身所挟带的悬浮泥沙的沉积作用。因此，对采砂区域地形地貌与冲淤环境影响分析需综合考虑径流输沙、水流量和水流速度对河床的冲刷以及水体本身所挟带的悬浮泥沙的淤积等影响，分析本工程所在水域地形地貌冲淤变化。</w:t>
      </w:r>
    </w:p>
    <w:p w:rsidR="004B4777" w:rsidRDefault="004B4777">
      <w:pPr>
        <w:ind w:firstLine="480"/>
        <w:rPr>
          <w:rFonts w:ascii="Times New Roman" w:hAnsi="Times New Roman"/>
        </w:rPr>
      </w:pPr>
      <w:r>
        <w:rPr>
          <w:rFonts w:ascii="Times New Roman" w:hAnsi="Times New Roman"/>
        </w:rPr>
        <w:t>根据现有资料及历史资料统计分析，进入洞庭湖的泥沙主要来源于湘、资、沅、澧四水和长江松滋口、太平口和藕池口三口，据</w:t>
      </w:r>
      <w:r>
        <w:rPr>
          <w:rFonts w:ascii="Times New Roman" w:hAnsi="Times New Roman"/>
        </w:rPr>
        <w:t>1956</w:t>
      </w:r>
      <w:r>
        <w:rPr>
          <w:rFonts w:ascii="Times New Roman" w:hAnsi="Times New Roman"/>
        </w:rPr>
        <w:t>～</w:t>
      </w:r>
      <w:r>
        <w:rPr>
          <w:rFonts w:ascii="Times New Roman" w:hAnsi="Times New Roman"/>
        </w:rPr>
        <w:t>2015</w:t>
      </w:r>
      <w:r>
        <w:rPr>
          <w:rFonts w:ascii="Times New Roman" w:hAnsi="Times New Roman"/>
        </w:rPr>
        <w:t>的年资料统计，湘、资、沅、澧多年平均输沙量为</w:t>
      </w:r>
      <w:r>
        <w:rPr>
          <w:rFonts w:ascii="Times New Roman" w:hAnsi="Times New Roman"/>
        </w:rPr>
        <w:t>0.093</w:t>
      </w:r>
      <w:r>
        <w:rPr>
          <w:rFonts w:ascii="Times New Roman" w:hAnsi="Times New Roman"/>
        </w:rPr>
        <w:t>亿</w:t>
      </w:r>
      <w:r>
        <w:rPr>
          <w:rFonts w:ascii="Times New Roman" w:hAnsi="Times New Roman"/>
        </w:rPr>
        <w:t>t</w:t>
      </w:r>
      <w:r>
        <w:rPr>
          <w:rFonts w:ascii="Times New Roman" w:hAnsi="Times New Roman"/>
        </w:rPr>
        <w:t>，</w:t>
      </w:r>
      <w:r>
        <w:rPr>
          <w:rFonts w:ascii="Times New Roman" w:hAnsi="Times New Roman"/>
        </w:rPr>
        <w:t xml:space="preserve"> 0.018</w:t>
      </w:r>
      <w:r>
        <w:rPr>
          <w:rFonts w:ascii="Times New Roman" w:hAnsi="Times New Roman"/>
        </w:rPr>
        <w:t>亿</w:t>
      </w:r>
      <w:r>
        <w:rPr>
          <w:rFonts w:ascii="Times New Roman" w:hAnsi="Times New Roman"/>
        </w:rPr>
        <w:t>t</w:t>
      </w:r>
      <w:r>
        <w:rPr>
          <w:rFonts w:ascii="Times New Roman" w:hAnsi="Times New Roman"/>
        </w:rPr>
        <w:t>、</w:t>
      </w:r>
      <w:r>
        <w:rPr>
          <w:rFonts w:ascii="Times New Roman" w:hAnsi="Times New Roman"/>
        </w:rPr>
        <w:t>0.098</w:t>
      </w:r>
      <w:r>
        <w:rPr>
          <w:rFonts w:ascii="Times New Roman" w:hAnsi="Times New Roman"/>
        </w:rPr>
        <w:t>亿</w:t>
      </w:r>
      <w:r>
        <w:rPr>
          <w:rFonts w:ascii="Times New Roman" w:hAnsi="Times New Roman"/>
        </w:rPr>
        <w:t>t</w:t>
      </w:r>
      <w:r>
        <w:rPr>
          <w:rFonts w:ascii="Times New Roman" w:hAnsi="Times New Roman"/>
        </w:rPr>
        <w:t>、</w:t>
      </w:r>
      <w:r>
        <w:rPr>
          <w:rFonts w:ascii="Times New Roman" w:hAnsi="Times New Roman"/>
        </w:rPr>
        <w:t>0.054</w:t>
      </w:r>
      <w:r>
        <w:rPr>
          <w:rFonts w:ascii="Times New Roman" w:hAnsi="Times New Roman"/>
        </w:rPr>
        <w:t>亿</w:t>
      </w:r>
      <w:r>
        <w:rPr>
          <w:rFonts w:ascii="Times New Roman" w:hAnsi="Times New Roman"/>
        </w:rPr>
        <w:t>t</w:t>
      </w:r>
      <w:r>
        <w:rPr>
          <w:rFonts w:ascii="Times New Roman" w:hAnsi="Times New Roman"/>
        </w:rPr>
        <w:t>，以沅水输沙量为最大，四水来沙主要集中在</w:t>
      </w:r>
      <w:r>
        <w:rPr>
          <w:rFonts w:ascii="Times New Roman" w:hAnsi="Times New Roman"/>
        </w:rPr>
        <w:t>4</w:t>
      </w:r>
      <w:r>
        <w:rPr>
          <w:rFonts w:ascii="Times New Roman" w:hAnsi="Times New Roman" w:hint="eastAsia"/>
        </w:rPr>
        <w:t>-</w:t>
      </w:r>
      <w:r>
        <w:rPr>
          <w:rFonts w:ascii="Times New Roman" w:hAnsi="Times New Roman"/>
        </w:rPr>
        <w:t>8</w:t>
      </w:r>
      <w:r>
        <w:rPr>
          <w:rFonts w:ascii="Times New Roman" w:hAnsi="Times New Roman"/>
        </w:rPr>
        <w:t>月，输沙量占全年的</w:t>
      </w:r>
      <w:r>
        <w:rPr>
          <w:rFonts w:ascii="Times New Roman" w:hAnsi="Times New Roman"/>
        </w:rPr>
        <w:t>88.6%</w:t>
      </w:r>
      <w:r>
        <w:rPr>
          <w:rFonts w:ascii="Times New Roman" w:hAnsi="Times New Roman"/>
        </w:rPr>
        <w:t>。松滋口、太平口、槁池口多年平均输沙量分别为</w:t>
      </w:r>
      <w:r>
        <w:rPr>
          <w:rFonts w:ascii="Times New Roman" w:hAnsi="Times New Roman"/>
        </w:rPr>
        <w:t>0.417</w:t>
      </w:r>
      <w:r>
        <w:rPr>
          <w:rFonts w:ascii="Times New Roman" w:hAnsi="Times New Roman"/>
        </w:rPr>
        <w:t>亿</w:t>
      </w:r>
      <w:r>
        <w:rPr>
          <w:rFonts w:ascii="Times New Roman" w:hAnsi="Times New Roman"/>
        </w:rPr>
        <w:t>t</w:t>
      </w:r>
      <w:r>
        <w:rPr>
          <w:rFonts w:ascii="Times New Roman" w:hAnsi="Times New Roman"/>
        </w:rPr>
        <w:t>、</w:t>
      </w:r>
      <w:r>
        <w:rPr>
          <w:rFonts w:ascii="Times New Roman" w:hAnsi="Times New Roman"/>
        </w:rPr>
        <w:t>0</w:t>
      </w:r>
      <w:r>
        <w:rPr>
          <w:rFonts w:ascii="Times New Roman" w:hAnsi="Times New Roman" w:hint="eastAsia"/>
        </w:rPr>
        <w:t>.</w:t>
      </w:r>
      <w:r>
        <w:rPr>
          <w:rFonts w:ascii="Times New Roman" w:hAnsi="Times New Roman"/>
        </w:rPr>
        <w:t>168</w:t>
      </w:r>
      <w:r>
        <w:rPr>
          <w:rFonts w:ascii="Times New Roman" w:hAnsi="Times New Roman"/>
        </w:rPr>
        <w:t>亿</w:t>
      </w:r>
      <w:r>
        <w:rPr>
          <w:rFonts w:ascii="Times New Roman" w:hAnsi="Times New Roman"/>
        </w:rPr>
        <w:t>t</w:t>
      </w:r>
      <w:r>
        <w:rPr>
          <w:rFonts w:ascii="Times New Roman" w:hAnsi="Times New Roman"/>
        </w:rPr>
        <w:t>、</w:t>
      </w:r>
      <w:r>
        <w:rPr>
          <w:rFonts w:ascii="Times New Roman" w:hAnsi="Times New Roman"/>
        </w:rPr>
        <w:t>0.465</w:t>
      </w:r>
      <w:r>
        <w:rPr>
          <w:rFonts w:ascii="Times New Roman" w:hAnsi="Times New Roman"/>
        </w:rPr>
        <w:t>亿</w:t>
      </w:r>
      <w:r>
        <w:rPr>
          <w:rFonts w:ascii="Times New Roman" w:hAnsi="Times New Roman"/>
        </w:rPr>
        <w:t>t</w:t>
      </w:r>
      <w:r>
        <w:rPr>
          <w:rFonts w:ascii="Times New Roman" w:hAnsi="Times New Roman"/>
        </w:rPr>
        <w:t>，三口以藕池口输沙量最大。四水和三口多年平均总输沙量为</w:t>
      </w:r>
      <w:r>
        <w:rPr>
          <w:rFonts w:ascii="Times New Roman" w:hAnsi="Times New Roman"/>
        </w:rPr>
        <w:t>1.32</w:t>
      </w:r>
      <w:r>
        <w:rPr>
          <w:rFonts w:ascii="Times New Roman" w:hAnsi="Times New Roman"/>
        </w:rPr>
        <w:t>亿</w:t>
      </w:r>
      <w:r>
        <w:rPr>
          <w:rFonts w:ascii="Times New Roman" w:hAnsi="Times New Roman"/>
        </w:rPr>
        <w:t>t</w:t>
      </w:r>
      <w:r>
        <w:rPr>
          <w:rFonts w:ascii="Times New Roman" w:hAnsi="Times New Roman"/>
        </w:rPr>
        <w:t>、其中四水多年平均总输沙最为</w:t>
      </w:r>
      <w:r>
        <w:rPr>
          <w:rFonts w:ascii="Times New Roman" w:hAnsi="Times New Roman"/>
        </w:rPr>
        <w:t>0.26</w:t>
      </w:r>
      <w:r>
        <w:rPr>
          <w:rFonts w:ascii="Times New Roman" w:hAnsi="Times New Roman"/>
        </w:rPr>
        <w:t>亿</w:t>
      </w:r>
      <w:r>
        <w:rPr>
          <w:rFonts w:ascii="Times New Roman" w:hAnsi="Times New Roman"/>
        </w:rPr>
        <w:t>t</w:t>
      </w:r>
      <w:r>
        <w:rPr>
          <w:rFonts w:ascii="Times New Roman" w:hAnsi="Times New Roman"/>
        </w:rPr>
        <w:t>，占</w:t>
      </w:r>
      <w:r>
        <w:rPr>
          <w:rFonts w:ascii="Times New Roman" w:hAnsi="Times New Roman"/>
        </w:rPr>
        <w:t>20%</w:t>
      </w:r>
      <w:r>
        <w:rPr>
          <w:rFonts w:ascii="Times New Roman" w:hAnsi="Times New Roman"/>
        </w:rPr>
        <w:t>，三口多年平均输沙量为</w:t>
      </w:r>
      <w:r>
        <w:rPr>
          <w:rFonts w:ascii="Times New Roman" w:hAnsi="Times New Roman"/>
        </w:rPr>
        <w:t>1.05</w:t>
      </w:r>
      <w:r>
        <w:rPr>
          <w:rFonts w:ascii="Times New Roman" w:hAnsi="Times New Roman"/>
        </w:rPr>
        <w:t>亿</w:t>
      </w:r>
      <w:r>
        <w:rPr>
          <w:rFonts w:ascii="Times New Roman" w:hAnsi="Times New Roman"/>
        </w:rPr>
        <w:t>t</w:t>
      </w:r>
      <w:r>
        <w:rPr>
          <w:rFonts w:ascii="Times New Roman" w:hAnsi="Times New Roman"/>
        </w:rPr>
        <w:t>，占</w:t>
      </w:r>
      <w:r>
        <w:rPr>
          <w:rFonts w:ascii="Times New Roman" w:hAnsi="Times New Roman"/>
        </w:rPr>
        <w:t>80%</w:t>
      </w:r>
      <w:r>
        <w:rPr>
          <w:rFonts w:ascii="Times New Roman" w:hAnsi="Times New Roman"/>
        </w:rPr>
        <w:t>。受自然演变及人类活动等因素影响，三口输沙量逐渐减少趋势。荆江裁弯前，三口多年平均</w:t>
      </w:r>
      <w:r>
        <w:rPr>
          <w:rFonts w:ascii="Times New Roman" w:hAnsi="Times New Roman"/>
        </w:rPr>
        <w:t>(1956——1966</w:t>
      </w:r>
      <w:r>
        <w:rPr>
          <w:rFonts w:ascii="Times New Roman" w:hAnsi="Times New Roman"/>
        </w:rPr>
        <w:t>年</w:t>
      </w:r>
      <w:r>
        <w:rPr>
          <w:rFonts w:ascii="Times New Roman" w:hAnsi="Times New Roman"/>
        </w:rPr>
        <w:t>)</w:t>
      </w:r>
      <w:r>
        <w:rPr>
          <w:rFonts w:ascii="Times New Roman" w:hAnsi="Times New Roman"/>
        </w:rPr>
        <w:t>输沙量为</w:t>
      </w:r>
      <w:r>
        <w:rPr>
          <w:rFonts w:ascii="Times New Roman" w:hAnsi="Times New Roman"/>
        </w:rPr>
        <w:t>1.85</w:t>
      </w:r>
      <w:r>
        <w:rPr>
          <w:rFonts w:ascii="Times New Roman" w:hAnsi="Times New Roman"/>
        </w:rPr>
        <w:t>亿</w:t>
      </w:r>
      <w:r>
        <w:rPr>
          <w:rFonts w:ascii="Times New Roman" w:hAnsi="Times New Roman"/>
        </w:rPr>
        <w:t>t</w:t>
      </w:r>
      <w:r>
        <w:rPr>
          <w:rFonts w:ascii="Times New Roman" w:hAnsi="Times New Roman"/>
        </w:rPr>
        <w:t>，而三峡工程蓄水运用后的</w:t>
      </w:r>
      <w:r>
        <w:rPr>
          <w:rFonts w:ascii="Times New Roman" w:hAnsi="Times New Roman"/>
        </w:rPr>
        <w:t>2003——2015</w:t>
      </w:r>
      <w:r>
        <w:rPr>
          <w:rFonts w:ascii="Times New Roman" w:hAnsi="Times New Roman"/>
        </w:rPr>
        <w:t>年三口多年平均输沙量仅为</w:t>
      </w:r>
      <w:r>
        <w:rPr>
          <w:rFonts w:ascii="Times New Roman" w:hAnsi="Times New Roman"/>
        </w:rPr>
        <w:t>0.135</w:t>
      </w:r>
      <w:r>
        <w:rPr>
          <w:rFonts w:ascii="Times New Roman" w:hAnsi="Times New Roman"/>
        </w:rPr>
        <w:t>亿</w:t>
      </w:r>
      <w:r>
        <w:rPr>
          <w:rFonts w:ascii="Times New Roman" w:hAnsi="Times New Roman"/>
        </w:rPr>
        <w:t>t</w:t>
      </w:r>
      <w:r>
        <w:rPr>
          <w:rFonts w:ascii="Times New Roman" w:hAnsi="Times New Roman"/>
        </w:rPr>
        <w:t>。</w:t>
      </w:r>
      <w:r>
        <w:rPr>
          <w:rFonts w:ascii="Times New Roman" w:hAnsi="Times New Roman" w:hint="eastAsia"/>
        </w:rPr>
        <w:t>目前洞庭湖泥沙年淤积量</w:t>
      </w:r>
      <w:r>
        <w:rPr>
          <w:rFonts w:ascii="Times New Roman" w:hAnsi="Times New Roman" w:hint="eastAsia"/>
        </w:rPr>
        <w:lastRenderedPageBreak/>
        <w:t>为</w:t>
      </w:r>
      <w:r>
        <w:rPr>
          <w:rFonts w:ascii="Times New Roman" w:hAnsi="Times New Roman" w:hint="eastAsia"/>
        </w:rPr>
        <w:t>536</w:t>
      </w:r>
      <w:r>
        <w:rPr>
          <w:rFonts w:ascii="Times New Roman" w:hAnsi="Times New Roman" w:hint="eastAsia"/>
        </w:rPr>
        <w:t>万</w:t>
      </w:r>
      <w:r>
        <w:rPr>
          <w:rFonts w:ascii="Times New Roman" w:hAnsi="Times New Roman" w:hint="eastAsia"/>
        </w:rPr>
        <w:t>t</w:t>
      </w:r>
      <w:r>
        <w:rPr>
          <w:rFonts w:ascii="Times New Roman" w:hAnsi="Times New Roman" w:hint="eastAsia"/>
        </w:rPr>
        <w:t>，湘江濠河口下游段年淤积量</w:t>
      </w:r>
      <w:r>
        <w:rPr>
          <w:rFonts w:ascii="Times New Roman" w:hAnsi="Times New Roman" w:hint="eastAsia"/>
        </w:rPr>
        <w:t>124.3</w:t>
      </w:r>
      <w:r>
        <w:rPr>
          <w:rFonts w:ascii="Times New Roman" w:hAnsi="Times New Roman" w:hint="eastAsia"/>
        </w:rPr>
        <w:t>万吨，资水输沙量年平均为</w:t>
      </w:r>
      <w:r>
        <w:rPr>
          <w:rFonts w:ascii="Times New Roman" w:hAnsi="Times New Roman" w:hint="eastAsia"/>
        </w:rPr>
        <w:t>218</w:t>
      </w:r>
      <w:r>
        <w:rPr>
          <w:rFonts w:ascii="Times New Roman" w:hAnsi="Times New Roman" w:hint="eastAsia"/>
        </w:rPr>
        <w:t>万吨。</w:t>
      </w:r>
    </w:p>
    <w:p w:rsidR="004B4777" w:rsidRDefault="004B4777">
      <w:pPr>
        <w:ind w:firstLine="480"/>
        <w:rPr>
          <w:rFonts w:ascii="Times New Roman" w:hAnsi="Times New Roman" w:hint="eastAsia"/>
        </w:rPr>
      </w:pPr>
      <w:r>
        <w:rPr>
          <w:rFonts w:ascii="Times New Roman" w:hAnsi="Times New Roman" w:hint="eastAsia"/>
        </w:rPr>
        <w:t>三峡工程投入运行后，长江进入洞庭湖的泥沙将大大减少，相应地淤积在洞庭湖的泥沙也将大为减少。同时，由于长江干流沿程水位下降，洞庭湖出口水位下降，本河段水流流速加大，水流挟沙率加大，致使本河段的淤积机会将会减少，但本河段总体上处于淤积状态的演变特性不会改变，出现剧烈变化的可能性不大。</w:t>
      </w:r>
    </w:p>
    <w:p w:rsidR="004B4777" w:rsidRDefault="004B4777">
      <w:pPr>
        <w:ind w:firstLine="480"/>
        <w:rPr>
          <w:rFonts w:ascii="Times New Roman" w:hAnsi="Times New Roman" w:hint="eastAsia"/>
        </w:rPr>
      </w:pPr>
      <w:r>
        <w:rPr>
          <w:rFonts w:ascii="Times New Roman" w:hAnsi="Times New Roman" w:hint="eastAsia"/>
        </w:rPr>
        <w:t>湘水濠河口以下河道坡降小，且由于上游株洲航电枢纽和长沙综合枢纽的修建，下游来沙量减小，且河道受洞庭湖水顶托，水流流速缓慢，河床冲刷较小，预计河道演变继续维持缓慢进程。</w:t>
      </w:r>
    </w:p>
    <w:p w:rsidR="004B4777" w:rsidRDefault="004B4777">
      <w:pPr>
        <w:ind w:firstLine="480"/>
        <w:rPr>
          <w:rFonts w:ascii="Times New Roman" w:hAnsi="Times New Roman" w:hint="eastAsia"/>
          <w:highlight w:val="yellow"/>
        </w:rPr>
      </w:pPr>
      <w:r>
        <w:rPr>
          <w:rFonts w:ascii="Times New Roman" w:hAnsi="Times New Roman" w:hint="eastAsia"/>
        </w:rPr>
        <w:t>资水尾闾地区受洞庭湖水位顶托影响，水流流速缓慢，对河床冲刷影响小，由于上游梯级开发，来沙量逐渐减少，对河床的淤积作用将越来越小，且现状河床主要由淤泥质粉质粘土、岩石、砂卵石组成，因此未来一段时间内毛角口以下河段冲淤变化不大，河床稳定。</w:t>
      </w:r>
    </w:p>
    <w:p w:rsidR="004B4777" w:rsidRDefault="004B4777">
      <w:pPr>
        <w:pStyle w:val="2"/>
        <w:spacing w:before="0" w:after="0"/>
        <w:rPr>
          <w:rFonts w:ascii="Times New Roman" w:eastAsia="宋体" w:hAnsi="Times New Roman"/>
          <w:b/>
          <w:sz w:val="30"/>
          <w:szCs w:val="30"/>
        </w:rPr>
      </w:pPr>
      <w:bookmarkStart w:id="170" w:name="_Hlk481518604"/>
      <w:bookmarkStart w:id="171" w:name="_Toc523854034"/>
      <w:r>
        <w:rPr>
          <w:rFonts w:ascii="Times New Roman" w:eastAsia="宋体" w:hAnsi="Times New Roman"/>
          <w:b/>
          <w:sz w:val="30"/>
          <w:szCs w:val="30"/>
        </w:rPr>
        <w:t>6.</w:t>
      </w:r>
      <w:r>
        <w:rPr>
          <w:rFonts w:ascii="Times New Roman" w:eastAsia="宋体" w:hAnsi="Times New Roman" w:hint="eastAsia"/>
          <w:b/>
          <w:sz w:val="30"/>
          <w:szCs w:val="30"/>
        </w:rPr>
        <w:t>3</w:t>
      </w:r>
      <w:r>
        <w:rPr>
          <w:rFonts w:ascii="Times New Roman" w:eastAsia="宋体" w:hAnsi="Times New Roman"/>
          <w:b/>
          <w:sz w:val="30"/>
          <w:szCs w:val="30"/>
        </w:rPr>
        <w:t xml:space="preserve"> </w:t>
      </w:r>
      <w:r>
        <w:rPr>
          <w:rFonts w:ascii="Times New Roman" w:eastAsia="宋体" w:hAnsi="Times New Roman"/>
          <w:b/>
          <w:sz w:val="30"/>
          <w:szCs w:val="30"/>
        </w:rPr>
        <w:t>采砂对沉积物影响分析</w:t>
      </w:r>
      <w:bookmarkEnd w:id="170"/>
      <w:bookmarkEnd w:id="171"/>
    </w:p>
    <w:p w:rsidR="004B4777" w:rsidRDefault="004B4777">
      <w:pPr>
        <w:ind w:firstLine="480"/>
        <w:rPr>
          <w:rFonts w:ascii="Times New Roman" w:hAnsi="Times New Roman"/>
        </w:rPr>
      </w:pPr>
      <w:r>
        <w:rPr>
          <w:rFonts w:ascii="Times New Roman" w:hAnsi="Times New Roman"/>
        </w:rPr>
        <w:t>根据施工方式，采砂溢流产生的悬浮物浓度增量主要集中在采砂区，基本不会改变其悬浮物浓度，因此，在陆源污染不变的情况下，吸附到悬浮泥沙上的污染物基本不会改变采砂区以外河底的沉积物特征。</w:t>
      </w:r>
    </w:p>
    <w:p w:rsidR="004B4777" w:rsidRDefault="004B4777">
      <w:pPr>
        <w:ind w:firstLine="480"/>
        <w:rPr>
          <w:rFonts w:ascii="Times New Roman" w:hAnsi="Times New Roman"/>
        </w:rPr>
      </w:pPr>
      <w:r>
        <w:rPr>
          <w:rFonts w:ascii="Times New Roman" w:hAnsi="Times New Roman"/>
        </w:rPr>
        <w:t>采砂作业结束后，采砂区将通过相当长的一段时间重新建立新的相对稳定的沉积物环境。</w:t>
      </w:r>
    </w:p>
    <w:p w:rsidR="004B4777" w:rsidRDefault="004B4777">
      <w:pPr>
        <w:pStyle w:val="2"/>
        <w:spacing w:before="0" w:after="0"/>
        <w:rPr>
          <w:rFonts w:ascii="Times New Roman" w:eastAsia="宋体" w:hAnsi="Times New Roman"/>
          <w:b/>
          <w:sz w:val="30"/>
          <w:szCs w:val="30"/>
        </w:rPr>
      </w:pPr>
      <w:bookmarkStart w:id="172" w:name="_Hlk481519955"/>
      <w:bookmarkStart w:id="173" w:name="_Toc523854035"/>
      <w:r>
        <w:rPr>
          <w:rFonts w:ascii="Times New Roman" w:eastAsia="宋体" w:hAnsi="Times New Roman"/>
          <w:b/>
          <w:sz w:val="30"/>
          <w:szCs w:val="30"/>
        </w:rPr>
        <w:t>6.</w:t>
      </w:r>
      <w:r>
        <w:rPr>
          <w:rFonts w:ascii="Times New Roman" w:eastAsia="宋体" w:hAnsi="Times New Roman" w:hint="eastAsia"/>
          <w:b/>
          <w:sz w:val="30"/>
          <w:szCs w:val="30"/>
        </w:rPr>
        <w:t>4</w:t>
      </w:r>
      <w:r>
        <w:rPr>
          <w:rFonts w:ascii="Times New Roman" w:eastAsia="宋体" w:hAnsi="Times New Roman"/>
          <w:b/>
          <w:sz w:val="30"/>
          <w:szCs w:val="30"/>
        </w:rPr>
        <w:t xml:space="preserve"> </w:t>
      </w:r>
      <w:r>
        <w:rPr>
          <w:rFonts w:ascii="Times New Roman" w:eastAsia="宋体" w:hAnsi="Times New Roman"/>
          <w:b/>
          <w:sz w:val="30"/>
          <w:szCs w:val="30"/>
        </w:rPr>
        <w:t>大气环境影响分析</w:t>
      </w:r>
      <w:bookmarkEnd w:id="173"/>
    </w:p>
    <w:bookmarkEnd w:id="172"/>
    <w:p w:rsidR="004B4777" w:rsidRDefault="004B4777">
      <w:pPr>
        <w:ind w:firstLine="480"/>
        <w:rPr>
          <w:rFonts w:ascii="Times New Roman" w:hAnsi="Times New Roman" w:hint="eastAsia"/>
          <w:szCs w:val="20"/>
        </w:rPr>
      </w:pPr>
      <w:r>
        <w:rPr>
          <w:rFonts w:ascii="Times New Roman" w:hAnsi="Times New Roman" w:hint="eastAsia"/>
          <w:szCs w:val="20"/>
        </w:rPr>
        <w:t>本项目废气主要为内燃机燃油废气及采砂扬尘。</w:t>
      </w:r>
    </w:p>
    <w:p w:rsidR="004B4777" w:rsidRDefault="004B4777">
      <w:pPr>
        <w:ind w:firstLine="480"/>
        <w:rPr>
          <w:rFonts w:ascii="Times New Roman" w:hAnsi="Times New Roman" w:hint="eastAsia"/>
          <w:szCs w:val="20"/>
        </w:rPr>
      </w:pPr>
      <w:r>
        <w:rPr>
          <w:rFonts w:ascii="Times New Roman" w:hAnsi="Times New Roman" w:hint="eastAsia"/>
          <w:szCs w:val="20"/>
        </w:rPr>
        <w:t>本项目采砂船使用柴油作为能源，这些设备运行时内燃机将排放出废气，主要污染因子是</w:t>
      </w:r>
      <w:r>
        <w:rPr>
          <w:rFonts w:ascii="Times New Roman" w:hAnsi="Times New Roman" w:hint="eastAsia"/>
          <w:szCs w:val="20"/>
        </w:rPr>
        <w:t>C</w:t>
      </w:r>
      <w:r>
        <w:rPr>
          <w:rFonts w:ascii="Times New Roman" w:hAnsi="Times New Roman" w:hint="eastAsia"/>
          <w:szCs w:val="20"/>
          <w:vertAlign w:val="subscript"/>
        </w:rPr>
        <w:t>m</w:t>
      </w:r>
      <w:r>
        <w:rPr>
          <w:rFonts w:ascii="Times New Roman" w:hAnsi="Times New Roman" w:hint="eastAsia"/>
          <w:szCs w:val="20"/>
        </w:rPr>
        <w:t>H</w:t>
      </w:r>
      <w:r>
        <w:rPr>
          <w:rFonts w:ascii="Times New Roman" w:hAnsi="Times New Roman" w:hint="eastAsia"/>
          <w:szCs w:val="20"/>
          <w:vertAlign w:val="subscript"/>
        </w:rPr>
        <w:t>n</w:t>
      </w:r>
      <w:r>
        <w:rPr>
          <w:rFonts w:ascii="Times New Roman" w:hAnsi="Times New Roman" w:hint="eastAsia"/>
          <w:szCs w:val="20"/>
        </w:rPr>
        <w:t>、</w:t>
      </w:r>
      <w:r>
        <w:rPr>
          <w:rFonts w:ascii="Times New Roman" w:hAnsi="Times New Roman" w:hint="eastAsia"/>
          <w:szCs w:val="20"/>
        </w:rPr>
        <w:t>CO</w:t>
      </w:r>
      <w:r>
        <w:rPr>
          <w:rFonts w:ascii="Times New Roman" w:hAnsi="Times New Roman" w:hint="eastAsia"/>
          <w:szCs w:val="20"/>
        </w:rPr>
        <w:t>、</w:t>
      </w:r>
      <w:r>
        <w:rPr>
          <w:rFonts w:ascii="Times New Roman" w:hAnsi="Times New Roman" w:hint="eastAsia"/>
          <w:szCs w:val="20"/>
        </w:rPr>
        <w:t>NO</w:t>
      </w:r>
      <w:r>
        <w:rPr>
          <w:rFonts w:ascii="Times New Roman" w:hAnsi="Times New Roman" w:hint="eastAsia"/>
          <w:szCs w:val="20"/>
          <w:vertAlign w:val="subscript"/>
        </w:rPr>
        <w:t>x</w:t>
      </w:r>
      <w:r>
        <w:rPr>
          <w:rFonts w:ascii="Times New Roman" w:hAnsi="Times New Roman" w:hint="eastAsia"/>
          <w:szCs w:val="20"/>
        </w:rPr>
        <w:t>等。由于每条船每天柴油的用量较少，并且项目地开阔风大，本环评建议选用符合环保要求的机械设备，对周边环境影响较小。</w:t>
      </w:r>
    </w:p>
    <w:p w:rsidR="004B4777" w:rsidRDefault="004B4777">
      <w:pPr>
        <w:ind w:firstLine="480"/>
        <w:rPr>
          <w:rFonts w:ascii="Times New Roman" w:hAnsi="Times New Roman" w:hint="eastAsia"/>
          <w:szCs w:val="20"/>
        </w:rPr>
      </w:pPr>
      <w:r>
        <w:rPr>
          <w:rFonts w:ascii="Times New Roman" w:hAnsi="Times New Roman" w:hint="eastAsia"/>
          <w:szCs w:val="20"/>
        </w:rPr>
        <w:t>装卸扬尘的主要特点是与风速和尘粒含水率有关，本项目砂石含水率为</w:t>
      </w:r>
      <w:r>
        <w:rPr>
          <w:rFonts w:ascii="Times New Roman" w:hAnsi="Times New Roman" w:hint="eastAsia"/>
          <w:szCs w:val="20"/>
        </w:rPr>
        <w:t>20%</w:t>
      </w:r>
      <w:r>
        <w:rPr>
          <w:rFonts w:ascii="Times New Roman" w:hAnsi="Times New Roman" w:hint="eastAsia"/>
          <w:szCs w:val="20"/>
        </w:rPr>
        <w:t>，装卸粉尘产生量较小。并且本项目位于资江、湘江河面上，周边村庄等环境敏感点均较远，因此粉尘对周边环境影响较小。</w:t>
      </w:r>
    </w:p>
    <w:p w:rsidR="004B4777" w:rsidRDefault="004B4777">
      <w:pPr>
        <w:ind w:firstLine="480"/>
        <w:rPr>
          <w:rFonts w:ascii="Times New Roman" w:hAnsi="Times New Roman" w:hint="eastAsia"/>
          <w:szCs w:val="20"/>
        </w:rPr>
      </w:pPr>
      <w:r>
        <w:rPr>
          <w:rFonts w:ascii="Times New Roman" w:hAnsi="Times New Roman" w:hint="eastAsia"/>
          <w:szCs w:val="20"/>
        </w:rPr>
        <w:t>总之对于无组织粉尘，采用加强管理，使用先进工艺和设备，加大湿式工艺洒水强度等措施后，无组织粉尘量可大大降低。</w:t>
      </w:r>
    </w:p>
    <w:p w:rsidR="004B4777" w:rsidRDefault="004B4777">
      <w:pPr>
        <w:ind w:firstLine="480"/>
        <w:rPr>
          <w:rFonts w:ascii="Times New Roman" w:hAnsi="Times New Roman" w:hint="eastAsia"/>
          <w:szCs w:val="20"/>
        </w:rPr>
      </w:pPr>
      <w:r>
        <w:rPr>
          <w:rFonts w:ascii="Times New Roman" w:hAnsi="Times New Roman" w:hint="eastAsia"/>
          <w:szCs w:val="20"/>
        </w:rPr>
        <w:lastRenderedPageBreak/>
        <w:t>因此，项目运行期间，一般情况下粉尘无组织排放对周边大气环境影响很轻微。</w:t>
      </w:r>
    </w:p>
    <w:p w:rsidR="004B4777" w:rsidRDefault="004B4777">
      <w:pPr>
        <w:ind w:firstLine="480"/>
        <w:rPr>
          <w:rFonts w:ascii="Times New Roman" w:hAnsi="Times New Roman"/>
          <w:szCs w:val="20"/>
        </w:rPr>
      </w:pPr>
      <w:r>
        <w:rPr>
          <w:rFonts w:ascii="Times New Roman" w:hAnsi="Times New Roman"/>
          <w:szCs w:val="20"/>
        </w:rPr>
        <w:t>含有机物腐殖的污染底泥，在受到扰动和堆置地面时，会引起恶臭物质</w:t>
      </w:r>
      <w:r>
        <w:rPr>
          <w:rFonts w:ascii="Times New Roman" w:hAnsi="Times New Roman"/>
          <w:szCs w:val="20"/>
        </w:rPr>
        <w:t>(</w:t>
      </w:r>
      <w:r>
        <w:rPr>
          <w:rFonts w:ascii="Times New Roman" w:hAnsi="Times New Roman"/>
          <w:szCs w:val="20"/>
        </w:rPr>
        <w:t>主要是氨、硫化氢、挥发氢、挥发性醇以及醛</w:t>
      </w:r>
      <w:r>
        <w:rPr>
          <w:rFonts w:ascii="Times New Roman" w:hAnsi="Times New Roman"/>
          <w:szCs w:val="20"/>
        </w:rPr>
        <w:t>)</w:t>
      </w:r>
      <w:r>
        <w:rPr>
          <w:rFonts w:ascii="Times New Roman" w:hAnsi="Times New Roman"/>
          <w:szCs w:val="20"/>
        </w:rPr>
        <w:t>呈无组织状态释放，从而影响周围环境空气质量。根据国内同类工程的影响调查，恶臭影响范围在</w:t>
      </w:r>
      <w:r>
        <w:rPr>
          <w:rFonts w:ascii="Times New Roman" w:hAnsi="Times New Roman"/>
          <w:szCs w:val="20"/>
        </w:rPr>
        <w:t>30m</w:t>
      </w:r>
      <w:r>
        <w:rPr>
          <w:rFonts w:ascii="Times New Roman" w:hAnsi="Times New Roman"/>
          <w:szCs w:val="20"/>
        </w:rPr>
        <w:t>左右。本工程主要为采砂，开挖土方大部分未受污染，恶臭物质产生量少，且根据大气环境敏感目标信息表，所有敏感目标距疏浚线的距离均在</w:t>
      </w:r>
      <w:r>
        <w:rPr>
          <w:rFonts w:ascii="Times New Roman" w:hAnsi="Times New Roman" w:hint="eastAsia"/>
          <w:szCs w:val="20"/>
        </w:rPr>
        <w:t>100</w:t>
      </w:r>
      <w:r>
        <w:rPr>
          <w:rFonts w:ascii="Times New Roman" w:hAnsi="Times New Roman"/>
          <w:szCs w:val="20"/>
        </w:rPr>
        <w:t>m</w:t>
      </w:r>
      <w:r>
        <w:rPr>
          <w:rFonts w:ascii="Times New Roman" w:hAnsi="Times New Roman"/>
          <w:szCs w:val="20"/>
        </w:rPr>
        <w:t>以上，因此采砂底泥恶臭不会对周边的居民产生明显不利影响。采砂过程中受恶臭影响的主要是施工人员，应做好相关防护措施。</w:t>
      </w:r>
    </w:p>
    <w:p w:rsidR="004B4777" w:rsidRDefault="004B4777">
      <w:pPr>
        <w:pStyle w:val="2"/>
        <w:spacing w:before="0" w:after="0"/>
        <w:rPr>
          <w:rFonts w:ascii="Times New Roman" w:eastAsia="宋体" w:hAnsi="Times New Roman"/>
          <w:b/>
          <w:sz w:val="30"/>
          <w:szCs w:val="30"/>
        </w:rPr>
      </w:pPr>
      <w:bookmarkStart w:id="174" w:name="_Toc523854036"/>
      <w:r>
        <w:rPr>
          <w:rFonts w:ascii="Times New Roman" w:eastAsia="宋体" w:hAnsi="Times New Roman"/>
          <w:b/>
          <w:sz w:val="30"/>
          <w:szCs w:val="30"/>
        </w:rPr>
        <w:t>6.</w:t>
      </w:r>
      <w:r>
        <w:rPr>
          <w:rFonts w:ascii="Times New Roman" w:eastAsia="宋体" w:hAnsi="Times New Roman" w:hint="eastAsia"/>
          <w:b/>
          <w:sz w:val="30"/>
          <w:szCs w:val="30"/>
        </w:rPr>
        <w:t>5</w:t>
      </w:r>
      <w:r>
        <w:rPr>
          <w:rFonts w:ascii="Times New Roman" w:eastAsia="宋体" w:hAnsi="Times New Roman"/>
          <w:b/>
          <w:sz w:val="30"/>
          <w:szCs w:val="30"/>
        </w:rPr>
        <w:t xml:space="preserve"> </w:t>
      </w:r>
      <w:r>
        <w:rPr>
          <w:rFonts w:ascii="Times New Roman" w:eastAsia="宋体" w:hAnsi="Times New Roman"/>
          <w:b/>
          <w:sz w:val="30"/>
          <w:szCs w:val="30"/>
        </w:rPr>
        <w:t>声环境影响分析</w:t>
      </w:r>
      <w:bookmarkEnd w:id="174"/>
    </w:p>
    <w:p w:rsidR="004B4777" w:rsidRDefault="004B4777">
      <w:pPr>
        <w:ind w:firstLine="480"/>
        <w:rPr>
          <w:rFonts w:ascii="Times New Roman" w:hAnsi="Times New Roman"/>
          <w:szCs w:val="24"/>
        </w:rPr>
      </w:pPr>
      <w:r>
        <w:rPr>
          <w:rFonts w:ascii="Times New Roman" w:hAnsi="Times New Roman"/>
          <w:szCs w:val="24"/>
        </w:rPr>
        <w:t>工程采砂期间主要噪声影响为采砂船所产生的噪声影响和运砂船产生的影响，其中采砂船所产生的噪声为固定点源噪声，运砂船的交通运输产生的噪声均为流动声源。</w:t>
      </w:r>
    </w:p>
    <w:p w:rsidR="004B4777" w:rsidRDefault="004B4777">
      <w:pPr>
        <w:pStyle w:val="3"/>
        <w:spacing w:before="0" w:after="0"/>
        <w:rPr>
          <w:rFonts w:ascii="Times New Roman" w:eastAsia="宋体" w:hAnsi="Times New Roman"/>
          <w:b/>
        </w:rPr>
      </w:pPr>
      <w:r>
        <w:rPr>
          <w:rFonts w:ascii="Times New Roman" w:eastAsia="宋体" w:hAnsi="Times New Roman"/>
          <w:b/>
        </w:rPr>
        <w:t>6.</w:t>
      </w:r>
      <w:r>
        <w:rPr>
          <w:rFonts w:ascii="Times New Roman" w:eastAsia="宋体" w:hAnsi="Times New Roman" w:hint="eastAsia"/>
          <w:b/>
        </w:rPr>
        <w:t>5</w:t>
      </w:r>
      <w:r>
        <w:rPr>
          <w:rFonts w:ascii="Times New Roman" w:eastAsia="宋体" w:hAnsi="Times New Roman"/>
          <w:b/>
        </w:rPr>
        <w:t xml:space="preserve">.1 </w:t>
      </w:r>
      <w:r>
        <w:rPr>
          <w:rFonts w:ascii="Times New Roman" w:eastAsia="宋体" w:hAnsi="Times New Roman"/>
          <w:b/>
        </w:rPr>
        <w:t>噪声源强</w:t>
      </w:r>
    </w:p>
    <w:p w:rsidR="004B4777" w:rsidRDefault="004B4777">
      <w:pPr>
        <w:ind w:firstLine="480"/>
        <w:rPr>
          <w:rFonts w:ascii="Times New Roman" w:hAnsi="Times New Roman"/>
          <w:szCs w:val="24"/>
        </w:rPr>
      </w:pPr>
      <w:r>
        <w:rPr>
          <w:rFonts w:ascii="Times New Roman" w:hAnsi="Times New Roman"/>
          <w:szCs w:val="24"/>
        </w:rPr>
        <w:t>根据类比相似工程</w:t>
      </w:r>
      <w:r>
        <w:rPr>
          <w:rFonts w:ascii="Times New Roman" w:hAnsi="Times New Roman" w:hint="eastAsia"/>
          <w:szCs w:val="24"/>
        </w:rPr>
        <w:t>采砂</w:t>
      </w:r>
      <w:r>
        <w:rPr>
          <w:rFonts w:ascii="Times New Roman" w:hAnsi="Times New Roman"/>
          <w:szCs w:val="24"/>
        </w:rPr>
        <w:t>期间主要施工机械设备的噪声源强监测，本工程各种施工机械设备噪声源强详见表</w:t>
      </w:r>
      <w:r>
        <w:rPr>
          <w:rFonts w:ascii="Times New Roman" w:hAnsi="Times New Roman"/>
          <w:szCs w:val="24"/>
        </w:rPr>
        <w:t>6.</w:t>
      </w:r>
      <w:r>
        <w:rPr>
          <w:rFonts w:ascii="Times New Roman" w:hAnsi="Times New Roman" w:hint="eastAsia"/>
          <w:szCs w:val="24"/>
        </w:rPr>
        <w:t>5</w:t>
      </w:r>
      <w:r>
        <w:rPr>
          <w:rFonts w:ascii="Times New Roman" w:hAnsi="Times New Roman"/>
          <w:szCs w:val="24"/>
        </w:rPr>
        <w:t>-1</w:t>
      </w:r>
      <w:r>
        <w:rPr>
          <w:rFonts w:ascii="Times New Roman" w:hAnsi="Times New Roman"/>
          <w:szCs w:val="24"/>
        </w:rPr>
        <w:t>。</w:t>
      </w:r>
    </w:p>
    <w:p w:rsidR="004B4777" w:rsidRDefault="004B4777">
      <w:pPr>
        <w:ind w:firstLine="482"/>
        <w:jc w:val="center"/>
        <w:rPr>
          <w:rFonts w:ascii="Times New Roman" w:hAnsi="Times New Roman"/>
          <w:b/>
          <w:szCs w:val="24"/>
        </w:rPr>
      </w:pPr>
      <w:r>
        <w:rPr>
          <w:rFonts w:ascii="Times New Roman" w:hAnsi="Times New Roman"/>
          <w:b/>
          <w:szCs w:val="24"/>
        </w:rPr>
        <w:t>表</w:t>
      </w:r>
      <w:r>
        <w:rPr>
          <w:rFonts w:ascii="Times New Roman" w:hAnsi="Times New Roman"/>
          <w:b/>
          <w:szCs w:val="24"/>
        </w:rPr>
        <w:t>6.</w:t>
      </w:r>
      <w:r>
        <w:rPr>
          <w:rFonts w:ascii="Times New Roman" w:hAnsi="Times New Roman" w:hint="eastAsia"/>
          <w:b/>
          <w:szCs w:val="24"/>
        </w:rPr>
        <w:t>5</w:t>
      </w:r>
      <w:r>
        <w:rPr>
          <w:rFonts w:ascii="Times New Roman" w:hAnsi="Times New Roman"/>
          <w:b/>
          <w:szCs w:val="24"/>
        </w:rPr>
        <w:t xml:space="preserve">-1  </w:t>
      </w:r>
      <w:r>
        <w:rPr>
          <w:rFonts w:ascii="Times New Roman" w:hAnsi="Times New Roman"/>
          <w:b/>
          <w:szCs w:val="24"/>
        </w:rPr>
        <w:t>工程施工主要噪声源和最大噪声值一览表</w:t>
      </w:r>
      <w:r>
        <w:rPr>
          <w:rFonts w:ascii="Times New Roman" w:hAnsi="Times New Roman"/>
          <w:b/>
          <w:szCs w:val="24"/>
        </w:rPr>
        <w:t xml:space="preserve"> </w:t>
      </w:r>
    </w:p>
    <w:tbl>
      <w:tblPr>
        <w:tblW w:w="0" w:type="auto"/>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top w:w="65" w:type="dxa"/>
          <w:left w:w="115" w:type="dxa"/>
          <w:right w:w="115" w:type="dxa"/>
        </w:tblCellMar>
        <w:tblLook w:val="0000"/>
      </w:tblPr>
      <w:tblGrid>
        <w:gridCol w:w="1136"/>
        <w:gridCol w:w="2038"/>
        <w:gridCol w:w="2409"/>
        <w:gridCol w:w="2953"/>
      </w:tblGrid>
      <w:tr w:rsidR="004B4777">
        <w:trPr>
          <w:trHeight w:hRule="exact" w:val="425"/>
          <w:tblHeader/>
        </w:trPr>
        <w:tc>
          <w:tcPr>
            <w:tcW w:w="1136" w:type="dxa"/>
            <w:vAlign w:val="center"/>
          </w:tcPr>
          <w:p w:rsidR="004B4777" w:rsidRDefault="004B4777">
            <w:pPr>
              <w:spacing w:line="240" w:lineRule="exact"/>
              <w:ind w:firstLineChars="0" w:firstLine="0"/>
              <w:jc w:val="center"/>
              <w:rPr>
                <w:rFonts w:ascii="Times New Roman" w:hAnsi="Times New Roman"/>
                <w:b/>
                <w:kern w:val="0"/>
                <w:sz w:val="21"/>
                <w:szCs w:val="21"/>
              </w:rPr>
            </w:pPr>
            <w:r>
              <w:rPr>
                <w:rFonts w:ascii="Times New Roman" w:hAnsi="Times New Roman"/>
                <w:b/>
                <w:kern w:val="0"/>
                <w:sz w:val="21"/>
                <w:szCs w:val="21"/>
              </w:rPr>
              <w:t>声源类型</w:t>
            </w:r>
          </w:p>
        </w:tc>
        <w:tc>
          <w:tcPr>
            <w:tcW w:w="2038" w:type="dxa"/>
            <w:vAlign w:val="center"/>
          </w:tcPr>
          <w:p w:rsidR="004B4777" w:rsidRDefault="004B4777">
            <w:pPr>
              <w:spacing w:line="240" w:lineRule="exact"/>
              <w:ind w:firstLineChars="0" w:firstLine="0"/>
              <w:jc w:val="center"/>
              <w:rPr>
                <w:rFonts w:ascii="Times New Roman" w:hAnsi="Times New Roman"/>
                <w:b/>
                <w:kern w:val="0"/>
                <w:sz w:val="21"/>
                <w:szCs w:val="21"/>
              </w:rPr>
            </w:pPr>
            <w:r>
              <w:rPr>
                <w:rFonts w:ascii="Times New Roman" w:hAnsi="Times New Roman"/>
                <w:b/>
                <w:kern w:val="0"/>
                <w:sz w:val="21"/>
                <w:szCs w:val="21"/>
              </w:rPr>
              <w:t>机械类型</w:t>
            </w:r>
          </w:p>
        </w:tc>
        <w:tc>
          <w:tcPr>
            <w:tcW w:w="2409" w:type="dxa"/>
            <w:vAlign w:val="center"/>
          </w:tcPr>
          <w:p w:rsidR="004B4777" w:rsidRDefault="004B4777">
            <w:pPr>
              <w:spacing w:line="240" w:lineRule="exact"/>
              <w:ind w:firstLineChars="0" w:firstLine="0"/>
              <w:jc w:val="center"/>
              <w:rPr>
                <w:rFonts w:ascii="Times New Roman" w:hAnsi="Times New Roman"/>
                <w:b/>
                <w:kern w:val="0"/>
                <w:sz w:val="21"/>
                <w:szCs w:val="21"/>
              </w:rPr>
            </w:pPr>
            <w:r>
              <w:rPr>
                <w:rFonts w:ascii="Times New Roman" w:hAnsi="Times New Roman"/>
                <w:b/>
                <w:kern w:val="0"/>
                <w:sz w:val="21"/>
                <w:szCs w:val="21"/>
              </w:rPr>
              <w:t>噪声源强</w:t>
            </w:r>
            <w:r>
              <w:rPr>
                <w:rFonts w:ascii="Times New Roman" w:hAnsi="Times New Roman"/>
                <w:b/>
                <w:kern w:val="0"/>
                <w:sz w:val="21"/>
                <w:szCs w:val="21"/>
              </w:rPr>
              <w:t>dB</w:t>
            </w:r>
            <w:r>
              <w:rPr>
                <w:rFonts w:ascii="Times New Roman" w:hAnsi="Times New Roman"/>
                <w:b/>
                <w:kern w:val="0"/>
                <w:sz w:val="21"/>
                <w:szCs w:val="21"/>
              </w:rPr>
              <w:t>（</w:t>
            </w:r>
            <w:r>
              <w:rPr>
                <w:rFonts w:ascii="Times New Roman" w:hAnsi="Times New Roman"/>
                <w:b/>
                <w:kern w:val="0"/>
                <w:sz w:val="21"/>
                <w:szCs w:val="21"/>
              </w:rPr>
              <w:t>A</w:t>
            </w:r>
            <w:r>
              <w:rPr>
                <w:rFonts w:ascii="Times New Roman" w:hAnsi="Times New Roman"/>
                <w:b/>
                <w:kern w:val="0"/>
                <w:sz w:val="21"/>
                <w:szCs w:val="21"/>
              </w:rPr>
              <w:t>）</w:t>
            </w:r>
          </w:p>
        </w:tc>
        <w:tc>
          <w:tcPr>
            <w:tcW w:w="2953" w:type="dxa"/>
            <w:vAlign w:val="center"/>
          </w:tcPr>
          <w:p w:rsidR="004B4777" w:rsidRDefault="004B4777">
            <w:pPr>
              <w:spacing w:line="240" w:lineRule="exact"/>
              <w:ind w:firstLineChars="0" w:firstLine="0"/>
              <w:jc w:val="center"/>
              <w:rPr>
                <w:rFonts w:ascii="Times New Roman" w:hAnsi="Times New Roman"/>
                <w:b/>
                <w:kern w:val="0"/>
                <w:sz w:val="21"/>
                <w:szCs w:val="21"/>
              </w:rPr>
            </w:pPr>
            <w:r>
              <w:rPr>
                <w:rFonts w:ascii="Times New Roman" w:hAnsi="Times New Roman"/>
                <w:b/>
                <w:kern w:val="0"/>
                <w:sz w:val="21"/>
                <w:szCs w:val="21"/>
              </w:rPr>
              <w:t>备注</w:t>
            </w:r>
          </w:p>
        </w:tc>
      </w:tr>
      <w:tr w:rsidR="004B4777">
        <w:trPr>
          <w:trHeight w:hRule="exact" w:val="425"/>
        </w:trPr>
        <w:tc>
          <w:tcPr>
            <w:tcW w:w="1136" w:type="dxa"/>
            <w:vMerge w:val="restart"/>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固定声源</w:t>
            </w:r>
          </w:p>
        </w:tc>
        <w:tc>
          <w:tcPr>
            <w:tcW w:w="2038"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水泵</w:t>
            </w:r>
          </w:p>
        </w:tc>
        <w:tc>
          <w:tcPr>
            <w:tcW w:w="2409"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hint="eastAsia"/>
                <w:kern w:val="0"/>
                <w:sz w:val="21"/>
                <w:szCs w:val="21"/>
              </w:rPr>
              <w:t>85</w:t>
            </w:r>
          </w:p>
        </w:tc>
        <w:tc>
          <w:tcPr>
            <w:tcW w:w="2953" w:type="dxa"/>
            <w:vAlign w:val="center"/>
          </w:tcPr>
          <w:p w:rsidR="004B4777" w:rsidRDefault="004B4777">
            <w:pPr>
              <w:spacing w:line="240" w:lineRule="exact"/>
              <w:ind w:firstLineChars="0" w:firstLine="0"/>
              <w:jc w:val="center"/>
              <w:rPr>
                <w:rFonts w:ascii="Times New Roman" w:hAnsi="Times New Roman"/>
                <w:kern w:val="0"/>
                <w:sz w:val="21"/>
                <w:szCs w:val="21"/>
              </w:rPr>
            </w:pPr>
          </w:p>
        </w:tc>
      </w:tr>
      <w:tr w:rsidR="004B4777">
        <w:trPr>
          <w:trHeight w:hRule="exact" w:val="425"/>
        </w:trPr>
        <w:tc>
          <w:tcPr>
            <w:tcW w:w="1136" w:type="dxa"/>
            <w:vMerge/>
            <w:vAlign w:val="center"/>
          </w:tcPr>
          <w:p w:rsidR="004B4777" w:rsidRDefault="004B4777">
            <w:pPr>
              <w:spacing w:line="240" w:lineRule="exact"/>
              <w:ind w:firstLine="420"/>
              <w:jc w:val="center"/>
              <w:rPr>
                <w:rFonts w:ascii="Times New Roman" w:hAnsi="Times New Roman"/>
                <w:kern w:val="0"/>
                <w:sz w:val="21"/>
                <w:szCs w:val="21"/>
              </w:rPr>
            </w:pPr>
          </w:p>
        </w:tc>
        <w:tc>
          <w:tcPr>
            <w:tcW w:w="2038"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挖沙船</w:t>
            </w:r>
          </w:p>
        </w:tc>
        <w:tc>
          <w:tcPr>
            <w:tcW w:w="2409" w:type="dxa"/>
            <w:vAlign w:val="center"/>
          </w:tcPr>
          <w:p w:rsidR="004B4777" w:rsidRDefault="004B4777">
            <w:pPr>
              <w:spacing w:line="240" w:lineRule="exact"/>
              <w:ind w:firstLineChars="95" w:firstLine="199"/>
              <w:jc w:val="center"/>
              <w:rPr>
                <w:rFonts w:ascii="Times New Roman" w:hAnsi="Times New Roman"/>
                <w:kern w:val="0"/>
                <w:sz w:val="21"/>
                <w:szCs w:val="21"/>
              </w:rPr>
            </w:pPr>
            <w:r>
              <w:rPr>
                <w:rFonts w:ascii="Times New Roman" w:hAnsi="Times New Roman" w:hint="eastAsia"/>
                <w:kern w:val="0"/>
                <w:sz w:val="21"/>
                <w:szCs w:val="21"/>
              </w:rPr>
              <w:t>85</w:t>
            </w:r>
          </w:p>
        </w:tc>
        <w:tc>
          <w:tcPr>
            <w:tcW w:w="2953" w:type="dxa"/>
            <w:vAlign w:val="center"/>
          </w:tcPr>
          <w:p w:rsidR="004B4777" w:rsidRDefault="004B4777">
            <w:pPr>
              <w:spacing w:line="240" w:lineRule="exact"/>
              <w:ind w:firstLineChars="0" w:firstLine="0"/>
              <w:jc w:val="center"/>
              <w:rPr>
                <w:rFonts w:ascii="Times New Roman" w:hAnsi="Times New Roman"/>
                <w:kern w:val="0"/>
                <w:sz w:val="21"/>
                <w:szCs w:val="21"/>
              </w:rPr>
            </w:pPr>
          </w:p>
        </w:tc>
      </w:tr>
      <w:tr w:rsidR="004B4777">
        <w:trPr>
          <w:trHeight w:hRule="exact" w:val="425"/>
        </w:trPr>
        <w:tc>
          <w:tcPr>
            <w:tcW w:w="1136" w:type="dxa"/>
            <w:vMerge/>
            <w:vAlign w:val="center"/>
          </w:tcPr>
          <w:p w:rsidR="004B4777" w:rsidRDefault="004B4777">
            <w:pPr>
              <w:spacing w:line="240" w:lineRule="exact"/>
              <w:ind w:firstLine="420"/>
              <w:jc w:val="center"/>
              <w:rPr>
                <w:rFonts w:ascii="Times New Roman" w:hAnsi="Times New Roman"/>
                <w:kern w:val="0"/>
                <w:sz w:val="21"/>
                <w:szCs w:val="21"/>
              </w:rPr>
            </w:pPr>
          </w:p>
        </w:tc>
        <w:tc>
          <w:tcPr>
            <w:tcW w:w="2038"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hint="eastAsia"/>
                <w:kern w:val="0"/>
                <w:sz w:val="21"/>
                <w:szCs w:val="21"/>
              </w:rPr>
              <w:t>筛分机</w:t>
            </w:r>
          </w:p>
        </w:tc>
        <w:tc>
          <w:tcPr>
            <w:tcW w:w="2409" w:type="dxa"/>
            <w:vAlign w:val="center"/>
          </w:tcPr>
          <w:p w:rsidR="004B4777" w:rsidRDefault="004B4777">
            <w:pPr>
              <w:spacing w:line="240" w:lineRule="exact"/>
              <w:ind w:firstLineChars="95" w:firstLine="199"/>
              <w:jc w:val="center"/>
              <w:rPr>
                <w:rFonts w:ascii="Times New Roman" w:hAnsi="Times New Roman"/>
                <w:kern w:val="0"/>
                <w:sz w:val="21"/>
                <w:szCs w:val="21"/>
              </w:rPr>
            </w:pPr>
            <w:r>
              <w:rPr>
                <w:rFonts w:ascii="Times New Roman" w:hAnsi="Times New Roman"/>
                <w:kern w:val="0"/>
                <w:sz w:val="21"/>
                <w:szCs w:val="21"/>
              </w:rPr>
              <w:t>90</w:t>
            </w:r>
          </w:p>
        </w:tc>
        <w:tc>
          <w:tcPr>
            <w:tcW w:w="2953"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底泥输送</w:t>
            </w:r>
          </w:p>
        </w:tc>
      </w:tr>
      <w:tr w:rsidR="004B4777">
        <w:trPr>
          <w:trHeight w:hRule="exact" w:val="425"/>
        </w:trPr>
        <w:tc>
          <w:tcPr>
            <w:tcW w:w="1136"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流动声源</w:t>
            </w:r>
          </w:p>
        </w:tc>
        <w:tc>
          <w:tcPr>
            <w:tcW w:w="2038"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运砂船</w:t>
            </w:r>
          </w:p>
        </w:tc>
        <w:tc>
          <w:tcPr>
            <w:tcW w:w="2409" w:type="dxa"/>
            <w:vAlign w:val="center"/>
          </w:tcPr>
          <w:p w:rsidR="004B4777" w:rsidRDefault="004B4777">
            <w:pPr>
              <w:spacing w:line="240" w:lineRule="exact"/>
              <w:ind w:firstLineChars="95" w:firstLine="199"/>
              <w:jc w:val="center"/>
              <w:rPr>
                <w:rFonts w:ascii="Times New Roman" w:hAnsi="Times New Roman"/>
                <w:kern w:val="0"/>
                <w:sz w:val="21"/>
                <w:szCs w:val="21"/>
              </w:rPr>
            </w:pPr>
            <w:r>
              <w:rPr>
                <w:rFonts w:ascii="Times New Roman" w:hAnsi="Times New Roman"/>
                <w:kern w:val="0"/>
                <w:sz w:val="21"/>
                <w:szCs w:val="21"/>
              </w:rPr>
              <w:t>80(20km/h)</w:t>
            </w:r>
          </w:p>
        </w:tc>
        <w:tc>
          <w:tcPr>
            <w:tcW w:w="2953" w:type="dxa"/>
            <w:vAlign w:val="center"/>
          </w:tcPr>
          <w:p w:rsidR="004B4777" w:rsidRDefault="004B4777">
            <w:pPr>
              <w:spacing w:line="240" w:lineRule="exact"/>
              <w:ind w:firstLineChars="0" w:firstLine="0"/>
              <w:jc w:val="center"/>
              <w:rPr>
                <w:rFonts w:ascii="Times New Roman" w:hAnsi="Times New Roman"/>
                <w:kern w:val="0"/>
                <w:sz w:val="21"/>
                <w:szCs w:val="21"/>
              </w:rPr>
            </w:pPr>
            <w:r>
              <w:rPr>
                <w:rFonts w:ascii="Times New Roman" w:hAnsi="Times New Roman"/>
                <w:kern w:val="0"/>
                <w:sz w:val="21"/>
                <w:szCs w:val="21"/>
              </w:rPr>
              <w:t>砂料运输</w:t>
            </w:r>
          </w:p>
        </w:tc>
      </w:tr>
    </w:tbl>
    <w:p w:rsidR="004B4777" w:rsidRDefault="004B4777">
      <w:pPr>
        <w:ind w:firstLine="480"/>
        <w:rPr>
          <w:rFonts w:ascii="Times New Roman" w:hAnsi="Times New Roman"/>
          <w:szCs w:val="24"/>
        </w:rPr>
      </w:pPr>
      <w:r>
        <w:rPr>
          <w:rFonts w:ascii="Times New Roman" w:hAnsi="Times New Roman"/>
          <w:szCs w:val="24"/>
        </w:rPr>
        <w:t>(1)</w:t>
      </w:r>
      <w:r>
        <w:rPr>
          <w:rFonts w:ascii="Times New Roman" w:hAnsi="Times New Roman"/>
          <w:szCs w:val="24"/>
        </w:rPr>
        <w:t>固定噪声源预测模式</w:t>
      </w:r>
    </w:p>
    <w:p w:rsidR="004B4777" w:rsidRDefault="004B4777">
      <w:pPr>
        <w:ind w:firstLine="480"/>
        <w:rPr>
          <w:rFonts w:ascii="Times New Roman" w:hAnsi="Times New Roman"/>
          <w:szCs w:val="24"/>
        </w:rPr>
      </w:pPr>
      <w:r>
        <w:rPr>
          <w:rFonts w:ascii="Times New Roman" w:hAnsi="Times New Roman"/>
          <w:szCs w:val="24"/>
        </w:rPr>
        <w:t>固定噪声源预测模式采用《环境影响评价技术导则声环境》（</w:t>
      </w:r>
      <w:r>
        <w:rPr>
          <w:rFonts w:ascii="Times New Roman" w:hAnsi="Times New Roman"/>
          <w:szCs w:val="24"/>
        </w:rPr>
        <w:t>HJ2.4-2009</w:t>
      </w:r>
      <w:r>
        <w:rPr>
          <w:rFonts w:ascii="Times New Roman" w:hAnsi="Times New Roman"/>
          <w:szCs w:val="24"/>
        </w:rPr>
        <w:t>）中无指向性点声源的几何发散衰减公式：</w:t>
      </w:r>
      <w:r>
        <w:rPr>
          <w:rFonts w:ascii="Times New Roman" w:hAnsi="Times New Roman"/>
          <w:szCs w:val="24"/>
        </w:rPr>
        <w:t xml:space="preserve"> </w:t>
      </w:r>
    </w:p>
    <w:p w:rsidR="004B4777" w:rsidRDefault="001F6CA0">
      <w:pPr>
        <w:ind w:firstLine="420"/>
        <w:jc w:val="center"/>
        <w:rPr>
          <w:rFonts w:ascii="Times New Roman" w:hAnsi="Times New Roman"/>
          <w:szCs w:val="20"/>
        </w:rPr>
      </w:pPr>
      <w:r>
        <w:rPr>
          <w:rFonts w:ascii="Times New Roman" w:hAnsi="Times New Roman"/>
          <w:noProof/>
          <w:sz w:val="21"/>
          <w:szCs w:val="20"/>
        </w:rPr>
        <w:drawing>
          <wp:inline distT="0" distB="0" distL="0" distR="0">
            <wp:extent cx="2076450" cy="409575"/>
            <wp:effectExtent l="0" t="0" r="0" b="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68"/>
                    <a:srcRect/>
                    <a:stretch>
                      <a:fillRect/>
                    </a:stretch>
                  </pic:blipFill>
                  <pic:spPr bwMode="auto">
                    <a:xfrm>
                      <a:off x="0" y="0"/>
                      <a:ext cx="2076450" cy="409575"/>
                    </a:xfrm>
                    <a:prstGeom prst="rect">
                      <a:avLst/>
                    </a:prstGeom>
                    <a:noFill/>
                    <a:ln w="9525">
                      <a:noFill/>
                      <a:miter lim="800000"/>
                      <a:headEnd/>
                      <a:tailEnd/>
                    </a:ln>
                  </pic:spPr>
                </pic:pic>
              </a:graphicData>
            </a:graphic>
          </wp:inline>
        </w:drawing>
      </w:r>
    </w:p>
    <w:p w:rsidR="004B4777" w:rsidRDefault="004B4777">
      <w:pPr>
        <w:ind w:firstLine="480"/>
        <w:rPr>
          <w:rFonts w:ascii="Times New Roman" w:hAnsi="Times New Roman"/>
          <w:szCs w:val="20"/>
        </w:rPr>
      </w:pPr>
      <w:r>
        <w:rPr>
          <w:rFonts w:ascii="Times New Roman" w:hAnsi="Times New Roman"/>
          <w:szCs w:val="20"/>
        </w:rPr>
        <w:t>式中：</w:t>
      </w:r>
      <w:r>
        <w:rPr>
          <w:rFonts w:ascii="Times New Roman" w:hAnsi="Times New Roman"/>
          <w:szCs w:val="20"/>
        </w:rPr>
        <w:t>L</w:t>
      </w:r>
      <w:r>
        <w:rPr>
          <w:rFonts w:ascii="Times New Roman" w:hAnsi="Times New Roman"/>
          <w:szCs w:val="20"/>
          <w:vertAlign w:val="subscript"/>
        </w:rPr>
        <w:t>2</w:t>
      </w:r>
      <w:r>
        <w:rPr>
          <w:rFonts w:ascii="Times New Roman" w:hAnsi="Times New Roman"/>
          <w:szCs w:val="20"/>
        </w:rPr>
        <w:t>——</w:t>
      </w:r>
      <w:r>
        <w:rPr>
          <w:rFonts w:ascii="Times New Roman" w:hAnsi="Times New Roman"/>
          <w:szCs w:val="20"/>
        </w:rPr>
        <w:t>距施工噪声源</w:t>
      </w:r>
      <w:r>
        <w:rPr>
          <w:rFonts w:ascii="Times New Roman" w:hAnsi="Times New Roman"/>
          <w:szCs w:val="20"/>
        </w:rPr>
        <w:t>r</w:t>
      </w:r>
      <w:r>
        <w:rPr>
          <w:rFonts w:ascii="Times New Roman" w:hAnsi="Times New Roman"/>
          <w:szCs w:val="20"/>
          <w:vertAlign w:val="subscript"/>
        </w:rPr>
        <w:t>2</w:t>
      </w:r>
      <w:r>
        <w:rPr>
          <w:rFonts w:ascii="Times New Roman" w:hAnsi="Times New Roman"/>
          <w:szCs w:val="20"/>
        </w:rPr>
        <w:t>米处的噪声预测值，</w:t>
      </w:r>
      <w:r>
        <w:rPr>
          <w:rFonts w:ascii="Times New Roman" w:hAnsi="Times New Roman"/>
          <w:szCs w:val="20"/>
        </w:rPr>
        <w:t>dB</w:t>
      </w:r>
      <w:r>
        <w:rPr>
          <w:rFonts w:ascii="Times New Roman" w:hAnsi="Times New Roman"/>
          <w:szCs w:val="20"/>
        </w:rPr>
        <w:t>；</w:t>
      </w:r>
    </w:p>
    <w:p w:rsidR="004B4777" w:rsidRDefault="004B4777">
      <w:pPr>
        <w:ind w:firstLineChars="500" w:firstLine="1200"/>
        <w:rPr>
          <w:rFonts w:ascii="Times New Roman" w:hAnsi="Times New Roman"/>
          <w:szCs w:val="20"/>
        </w:rPr>
      </w:pPr>
      <w:r>
        <w:rPr>
          <w:rFonts w:ascii="Times New Roman" w:hAnsi="Times New Roman"/>
          <w:szCs w:val="20"/>
        </w:rPr>
        <w:t>L</w:t>
      </w:r>
      <w:r>
        <w:rPr>
          <w:rFonts w:ascii="Times New Roman" w:hAnsi="Times New Roman"/>
          <w:szCs w:val="20"/>
          <w:vertAlign w:val="subscript"/>
        </w:rPr>
        <w:t>1</w:t>
      </w:r>
      <w:r>
        <w:rPr>
          <w:rFonts w:ascii="Times New Roman" w:hAnsi="Times New Roman"/>
          <w:szCs w:val="20"/>
        </w:rPr>
        <w:t>——</w:t>
      </w:r>
      <w:r>
        <w:rPr>
          <w:rFonts w:ascii="Times New Roman" w:hAnsi="Times New Roman"/>
          <w:szCs w:val="20"/>
        </w:rPr>
        <w:t>距施工噪声源</w:t>
      </w:r>
      <w:r>
        <w:rPr>
          <w:rFonts w:ascii="Times New Roman" w:hAnsi="Times New Roman"/>
          <w:szCs w:val="20"/>
        </w:rPr>
        <w:t>r</w:t>
      </w:r>
      <w:r>
        <w:rPr>
          <w:rFonts w:ascii="Times New Roman" w:hAnsi="Times New Roman"/>
          <w:szCs w:val="20"/>
          <w:vertAlign w:val="subscript"/>
        </w:rPr>
        <w:t>1</w:t>
      </w:r>
      <w:r>
        <w:rPr>
          <w:rFonts w:ascii="Times New Roman" w:hAnsi="Times New Roman"/>
          <w:szCs w:val="20"/>
        </w:rPr>
        <w:t>米处的参考声级值，</w:t>
      </w:r>
      <w:r>
        <w:rPr>
          <w:rFonts w:ascii="Times New Roman" w:hAnsi="Times New Roman"/>
          <w:szCs w:val="20"/>
        </w:rPr>
        <w:t>dB</w:t>
      </w:r>
      <w:r>
        <w:rPr>
          <w:rFonts w:ascii="Times New Roman" w:hAnsi="Times New Roman"/>
          <w:szCs w:val="20"/>
        </w:rPr>
        <w:t>；</w:t>
      </w:r>
    </w:p>
    <w:p w:rsidR="004B4777" w:rsidRDefault="004B4777">
      <w:pPr>
        <w:ind w:firstLineChars="526" w:firstLine="1262"/>
        <w:rPr>
          <w:rFonts w:ascii="Times New Roman" w:hAnsi="Times New Roman"/>
          <w:szCs w:val="20"/>
        </w:rPr>
      </w:pPr>
      <w:r>
        <w:rPr>
          <w:rFonts w:ascii="Times New Roman" w:hAnsi="Times New Roman"/>
          <w:szCs w:val="20"/>
        </w:rPr>
        <w:lastRenderedPageBreak/>
        <w:t>r</w:t>
      </w:r>
      <w:r>
        <w:rPr>
          <w:rFonts w:ascii="Times New Roman" w:hAnsi="Times New Roman"/>
          <w:szCs w:val="20"/>
          <w:vertAlign w:val="subscript"/>
        </w:rPr>
        <w:t>2</w:t>
      </w:r>
      <w:r>
        <w:rPr>
          <w:rFonts w:ascii="Times New Roman" w:hAnsi="Times New Roman"/>
          <w:szCs w:val="20"/>
        </w:rPr>
        <w:t>——</w:t>
      </w:r>
      <w:r>
        <w:rPr>
          <w:rFonts w:ascii="Times New Roman" w:hAnsi="Times New Roman"/>
          <w:szCs w:val="20"/>
        </w:rPr>
        <w:t>预测点距声源的距离，</w:t>
      </w:r>
      <w:r>
        <w:rPr>
          <w:rFonts w:ascii="Times New Roman" w:hAnsi="Times New Roman"/>
          <w:szCs w:val="20"/>
        </w:rPr>
        <w:t>m</w:t>
      </w:r>
      <w:r>
        <w:rPr>
          <w:rFonts w:ascii="Times New Roman" w:hAnsi="Times New Roman"/>
          <w:szCs w:val="20"/>
        </w:rPr>
        <w:t>；</w:t>
      </w:r>
    </w:p>
    <w:p w:rsidR="004B4777" w:rsidRDefault="004B4777">
      <w:pPr>
        <w:ind w:firstLineChars="526" w:firstLine="1262"/>
        <w:rPr>
          <w:rFonts w:ascii="Times New Roman" w:hAnsi="Times New Roman"/>
          <w:szCs w:val="20"/>
        </w:rPr>
      </w:pPr>
      <w:r>
        <w:rPr>
          <w:rFonts w:ascii="Times New Roman" w:hAnsi="Times New Roman"/>
          <w:szCs w:val="20"/>
        </w:rPr>
        <w:t>r</w:t>
      </w:r>
      <w:r>
        <w:rPr>
          <w:rFonts w:ascii="Times New Roman" w:hAnsi="Times New Roman"/>
          <w:szCs w:val="20"/>
          <w:vertAlign w:val="subscript"/>
        </w:rPr>
        <w:t>1</w:t>
      </w:r>
      <w:r>
        <w:rPr>
          <w:rFonts w:ascii="Times New Roman" w:hAnsi="Times New Roman"/>
          <w:szCs w:val="20"/>
        </w:rPr>
        <w:t>——</w:t>
      </w:r>
      <w:r>
        <w:rPr>
          <w:rFonts w:ascii="Times New Roman" w:hAnsi="Times New Roman"/>
          <w:szCs w:val="20"/>
        </w:rPr>
        <w:t>参考点距声源的距离，</w:t>
      </w:r>
      <w:r>
        <w:rPr>
          <w:rFonts w:ascii="Times New Roman" w:hAnsi="Times New Roman"/>
          <w:szCs w:val="20"/>
        </w:rPr>
        <w:t>m</w:t>
      </w:r>
      <w:r>
        <w:rPr>
          <w:rFonts w:ascii="Times New Roman" w:hAnsi="Times New Roman"/>
          <w:szCs w:val="20"/>
        </w:rPr>
        <w:t>；</w:t>
      </w:r>
    </w:p>
    <w:p w:rsidR="004B4777" w:rsidRDefault="004B4777">
      <w:pPr>
        <w:ind w:firstLineChars="526" w:firstLine="1262"/>
        <w:rPr>
          <w:rFonts w:ascii="Times New Roman" w:hAnsi="Times New Roman"/>
          <w:szCs w:val="20"/>
        </w:rPr>
      </w:pPr>
      <w:r>
        <w:rPr>
          <w:rFonts w:ascii="Cambria Math" w:hAnsi="Cambria Math" w:cs="Cambria Math"/>
          <w:szCs w:val="20"/>
        </w:rPr>
        <w:t>△</w:t>
      </w:r>
      <w:r>
        <w:rPr>
          <w:rFonts w:ascii="Times New Roman" w:hAnsi="Times New Roman"/>
          <w:szCs w:val="20"/>
        </w:rPr>
        <w:t>L——</w:t>
      </w:r>
      <w:r>
        <w:rPr>
          <w:rFonts w:ascii="Times New Roman" w:hAnsi="Times New Roman"/>
          <w:szCs w:val="20"/>
        </w:rPr>
        <w:t>各种因素引起的衰减量（包括声屏障、空气吸收等引起的衰减量），</w:t>
      </w:r>
      <w:r>
        <w:rPr>
          <w:rFonts w:ascii="Times New Roman" w:hAnsi="Times New Roman"/>
          <w:szCs w:val="20"/>
        </w:rPr>
        <w:t>dB</w:t>
      </w:r>
      <w:r>
        <w:rPr>
          <w:rFonts w:ascii="Times New Roman" w:hAnsi="Times New Roman"/>
          <w:szCs w:val="20"/>
        </w:rPr>
        <w:t>。绞吸式挖沙船船等施工设备处于半自由空间，</w:t>
      </w:r>
      <w:r>
        <w:rPr>
          <w:rFonts w:ascii="Cambria Math" w:hAnsi="Cambria Math" w:cs="Cambria Math"/>
          <w:szCs w:val="20"/>
        </w:rPr>
        <w:t>△</w:t>
      </w:r>
      <w:r>
        <w:rPr>
          <w:rFonts w:ascii="Times New Roman" w:hAnsi="Times New Roman"/>
          <w:szCs w:val="20"/>
        </w:rPr>
        <w:t>L</w:t>
      </w:r>
      <w:r>
        <w:rPr>
          <w:rFonts w:ascii="Times New Roman" w:hAnsi="Times New Roman"/>
          <w:szCs w:val="20"/>
        </w:rPr>
        <w:t>为</w:t>
      </w:r>
      <w:r>
        <w:rPr>
          <w:rFonts w:ascii="Times New Roman" w:hAnsi="Times New Roman"/>
          <w:szCs w:val="20"/>
        </w:rPr>
        <w:t>8</w:t>
      </w:r>
      <w:r>
        <w:rPr>
          <w:rFonts w:ascii="Times New Roman" w:hAnsi="Times New Roman"/>
          <w:szCs w:val="20"/>
        </w:rPr>
        <w:t>。</w:t>
      </w:r>
    </w:p>
    <w:p w:rsidR="004B4777" w:rsidRDefault="004B4777">
      <w:pPr>
        <w:ind w:firstLine="480"/>
        <w:rPr>
          <w:rFonts w:ascii="Times New Roman" w:hAnsi="Times New Roman"/>
          <w:szCs w:val="24"/>
        </w:rPr>
      </w:pPr>
      <w:r>
        <w:rPr>
          <w:rFonts w:ascii="Times New Roman" w:hAnsi="Times New Roman"/>
          <w:szCs w:val="24"/>
        </w:rPr>
        <w:t>(2)</w:t>
      </w:r>
      <w:r>
        <w:rPr>
          <w:rFonts w:ascii="Times New Roman" w:hAnsi="Times New Roman"/>
          <w:szCs w:val="24"/>
        </w:rPr>
        <w:t>流动噪声源预测模式</w:t>
      </w:r>
    </w:p>
    <w:p w:rsidR="004B4777" w:rsidRDefault="004B4777">
      <w:pPr>
        <w:ind w:firstLine="480"/>
        <w:rPr>
          <w:rFonts w:ascii="Times New Roman" w:hAnsi="Times New Roman"/>
          <w:szCs w:val="24"/>
        </w:rPr>
      </w:pPr>
      <w:r>
        <w:rPr>
          <w:rFonts w:ascii="Times New Roman" w:hAnsi="Times New Roman"/>
          <w:szCs w:val="24"/>
        </w:rPr>
        <w:t>流动噪声源预测模式如下：</w:t>
      </w:r>
    </w:p>
    <w:p w:rsidR="004B4777" w:rsidRDefault="004B4777">
      <w:pPr>
        <w:ind w:firstLine="480"/>
        <w:jc w:val="center"/>
        <w:rPr>
          <w:rFonts w:ascii="Times New Roman" w:hAnsi="Times New Roman"/>
          <w:szCs w:val="24"/>
        </w:rPr>
      </w:pPr>
      <w:r>
        <w:rPr>
          <w:rFonts w:ascii="Times New Roman" w:hAnsi="Times New Roman"/>
          <w:szCs w:val="24"/>
        </w:rPr>
        <w:t>Lr=10lg(N/r)+30lg(V/50)+64</w:t>
      </w:r>
    </w:p>
    <w:p w:rsidR="004B4777" w:rsidRDefault="004B4777">
      <w:pPr>
        <w:ind w:firstLine="480"/>
        <w:rPr>
          <w:rFonts w:ascii="Times New Roman" w:hAnsi="Times New Roman"/>
          <w:szCs w:val="24"/>
        </w:rPr>
      </w:pPr>
      <w:r>
        <w:rPr>
          <w:rFonts w:ascii="Times New Roman" w:hAnsi="Times New Roman"/>
          <w:szCs w:val="24"/>
        </w:rPr>
        <w:t>式中：</w:t>
      </w:r>
      <w:r>
        <w:rPr>
          <w:rFonts w:ascii="Times New Roman" w:hAnsi="Times New Roman"/>
          <w:szCs w:val="24"/>
        </w:rPr>
        <w:t>N—</w:t>
      </w:r>
      <w:r>
        <w:rPr>
          <w:rFonts w:ascii="Times New Roman" w:hAnsi="Times New Roman"/>
          <w:szCs w:val="24"/>
        </w:rPr>
        <w:t>运砂船流量；</w:t>
      </w:r>
    </w:p>
    <w:p w:rsidR="004B4777" w:rsidRDefault="004B4777">
      <w:pPr>
        <w:ind w:firstLine="480"/>
        <w:rPr>
          <w:rFonts w:ascii="Times New Roman" w:hAnsi="Times New Roman"/>
          <w:szCs w:val="24"/>
        </w:rPr>
      </w:pPr>
      <w:r>
        <w:rPr>
          <w:rFonts w:ascii="Times New Roman" w:hAnsi="Times New Roman"/>
          <w:szCs w:val="24"/>
        </w:rPr>
        <w:t xml:space="preserve">      V—</w:t>
      </w:r>
      <w:r>
        <w:rPr>
          <w:rFonts w:ascii="Times New Roman" w:hAnsi="Times New Roman"/>
          <w:szCs w:val="24"/>
        </w:rPr>
        <w:t>船速，白天取</w:t>
      </w:r>
      <w:r>
        <w:rPr>
          <w:rFonts w:ascii="Times New Roman" w:hAnsi="Times New Roman"/>
          <w:szCs w:val="24"/>
        </w:rPr>
        <w:t>20km/h</w:t>
      </w:r>
      <w:r>
        <w:rPr>
          <w:rFonts w:ascii="Times New Roman" w:hAnsi="Times New Roman"/>
          <w:szCs w:val="24"/>
        </w:rPr>
        <w:t>，夜间取</w:t>
      </w:r>
      <w:r>
        <w:rPr>
          <w:rFonts w:ascii="Times New Roman" w:hAnsi="Times New Roman"/>
          <w:szCs w:val="24"/>
        </w:rPr>
        <w:t>15km/h</w:t>
      </w:r>
      <w:r>
        <w:rPr>
          <w:rFonts w:ascii="Times New Roman" w:hAnsi="Times New Roman"/>
          <w:szCs w:val="24"/>
        </w:rPr>
        <w:t>；</w:t>
      </w:r>
    </w:p>
    <w:p w:rsidR="004B4777" w:rsidRDefault="004B4777">
      <w:pPr>
        <w:ind w:firstLine="480"/>
        <w:rPr>
          <w:rFonts w:ascii="Times New Roman" w:hAnsi="Times New Roman"/>
          <w:szCs w:val="24"/>
        </w:rPr>
      </w:pPr>
      <w:r>
        <w:rPr>
          <w:rFonts w:ascii="Times New Roman" w:hAnsi="Times New Roman"/>
          <w:szCs w:val="24"/>
        </w:rPr>
        <w:t xml:space="preserve">      r—</w:t>
      </w:r>
      <w:r>
        <w:rPr>
          <w:rFonts w:ascii="Times New Roman" w:hAnsi="Times New Roman"/>
          <w:szCs w:val="24"/>
        </w:rPr>
        <w:t>预测点与声距离，</w:t>
      </w:r>
      <w:r>
        <w:rPr>
          <w:rFonts w:ascii="Times New Roman" w:hAnsi="Times New Roman"/>
          <w:szCs w:val="24"/>
        </w:rPr>
        <w:t>m</w:t>
      </w:r>
      <w:r>
        <w:rPr>
          <w:rFonts w:ascii="Times New Roman" w:hAnsi="Times New Roman"/>
          <w:szCs w:val="24"/>
        </w:rPr>
        <w:t>。</w:t>
      </w:r>
    </w:p>
    <w:p w:rsidR="004B4777" w:rsidRDefault="004B4777">
      <w:pPr>
        <w:ind w:firstLine="480"/>
        <w:rPr>
          <w:rFonts w:ascii="Times New Roman" w:hAnsi="Times New Roman"/>
          <w:szCs w:val="24"/>
        </w:rPr>
      </w:pPr>
      <w:r>
        <w:rPr>
          <w:rFonts w:ascii="Times New Roman" w:hAnsi="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65" o:spid="_x0000_s1189" type="#_x0000_t75" style="position:absolute;left:0;text-align:left;margin-left:132pt;margin-top:20.7pt;width:108pt;height:40pt;z-index:251655680">
            <v:imagedata r:id="rId69" o:title=""/>
          </v:shape>
          <o:OLEObject Type="Embed" ProgID="Equation.3" ShapeID="对象 165" DrawAspect="Content" ObjectID="_1597595876" r:id="rId70">
            <o:FieldCodes>\* MERGEFORMAT</o:FieldCodes>
          </o:OLEObject>
        </w:pict>
      </w:r>
      <w:r>
        <w:rPr>
          <w:rFonts w:ascii="Times New Roman" w:hAnsi="Times New Roman"/>
          <w:szCs w:val="24"/>
        </w:rPr>
        <w:t>(3)</w:t>
      </w:r>
      <w:r>
        <w:rPr>
          <w:rFonts w:ascii="Times New Roman" w:hAnsi="Times New Roman"/>
          <w:szCs w:val="24"/>
        </w:rPr>
        <w:t>噪声的叠加</w:t>
      </w:r>
    </w:p>
    <w:p w:rsidR="004B4777" w:rsidRDefault="004B4777">
      <w:pPr>
        <w:widowControl/>
        <w:adjustRightInd w:val="0"/>
        <w:snapToGrid w:val="0"/>
        <w:spacing w:after="217" w:line="600" w:lineRule="exact"/>
        <w:ind w:left="-5" w:firstLineChars="0" w:firstLine="540"/>
        <w:jc w:val="left"/>
        <w:rPr>
          <w:rFonts w:ascii="Times New Roman" w:hAnsi="Times New Roman"/>
          <w:szCs w:val="20"/>
        </w:rPr>
      </w:pPr>
      <w:r>
        <w:rPr>
          <w:rFonts w:ascii="Times New Roman" w:hAnsi="Times New Roman"/>
          <w:szCs w:val="20"/>
        </w:rPr>
        <w:t xml:space="preserve">                                                     </w:t>
      </w:r>
    </w:p>
    <w:p w:rsidR="004B4777" w:rsidRDefault="004B4777">
      <w:pPr>
        <w:ind w:firstLineChars="0" w:firstLine="0"/>
        <w:rPr>
          <w:rFonts w:ascii="Times New Roman" w:hAnsi="Times New Roman"/>
          <w:szCs w:val="24"/>
        </w:rPr>
      </w:pPr>
      <w:r>
        <w:rPr>
          <w:rFonts w:ascii="Times New Roman" w:hAnsi="Times New Roman"/>
          <w:szCs w:val="24"/>
        </w:rPr>
        <w:t xml:space="preserve">        </w:t>
      </w:r>
      <w:r>
        <w:rPr>
          <w:rFonts w:ascii="Times New Roman" w:hAnsi="Times New Roman"/>
          <w:szCs w:val="24"/>
        </w:rPr>
        <w:t>式中：</w:t>
      </w:r>
      <w:r>
        <w:rPr>
          <w:rFonts w:ascii="Times New Roman" w:hAnsi="Times New Roman"/>
          <w:szCs w:val="24"/>
        </w:rPr>
        <w:t>L——</w:t>
      </w:r>
      <w:r>
        <w:rPr>
          <w:rFonts w:ascii="Times New Roman" w:hAnsi="Times New Roman"/>
          <w:szCs w:val="24"/>
        </w:rPr>
        <w:t>总声压级，</w:t>
      </w:r>
      <w:r>
        <w:rPr>
          <w:rFonts w:ascii="Times New Roman" w:hAnsi="Times New Roman"/>
          <w:szCs w:val="24"/>
        </w:rPr>
        <w:t>dB(A)</w:t>
      </w:r>
      <w:r>
        <w:rPr>
          <w:rFonts w:ascii="Times New Roman" w:hAnsi="Times New Roman"/>
          <w:szCs w:val="24"/>
        </w:rPr>
        <w:t>；</w:t>
      </w:r>
    </w:p>
    <w:p w:rsidR="004B4777" w:rsidRDefault="004B4777">
      <w:pPr>
        <w:ind w:firstLineChars="0" w:firstLine="0"/>
        <w:rPr>
          <w:rFonts w:ascii="Times New Roman" w:hAnsi="Times New Roman"/>
          <w:szCs w:val="24"/>
        </w:rPr>
      </w:pPr>
      <w:r>
        <w:rPr>
          <w:rFonts w:ascii="Times New Roman" w:hAnsi="Times New Roman"/>
          <w:szCs w:val="24"/>
        </w:rPr>
        <w:t xml:space="preserve">              n——</w:t>
      </w:r>
      <w:r>
        <w:rPr>
          <w:rFonts w:ascii="Times New Roman" w:hAnsi="Times New Roman"/>
          <w:szCs w:val="24"/>
        </w:rPr>
        <w:t>噪声源数。</w:t>
      </w:r>
    </w:p>
    <w:p w:rsidR="004B4777" w:rsidRDefault="004B4777">
      <w:pPr>
        <w:ind w:firstLineChars="0" w:firstLine="0"/>
        <w:rPr>
          <w:rFonts w:ascii="Times New Roman" w:hAnsi="Times New Roman"/>
          <w:szCs w:val="24"/>
        </w:rPr>
      </w:pPr>
      <w:r>
        <w:rPr>
          <w:rFonts w:ascii="Times New Roman" w:hAnsi="Times New Roman"/>
          <w:szCs w:val="24"/>
        </w:rPr>
        <w:t xml:space="preserve">              Li — </w:t>
      </w:r>
      <w:r>
        <w:rPr>
          <w:rFonts w:ascii="Times New Roman" w:hAnsi="Times New Roman"/>
          <w:szCs w:val="24"/>
        </w:rPr>
        <w:t>各叠加声级，</w:t>
      </w:r>
      <w:r>
        <w:rPr>
          <w:rFonts w:ascii="Times New Roman" w:hAnsi="Times New Roman"/>
          <w:szCs w:val="24"/>
        </w:rPr>
        <w:t>dB</w:t>
      </w:r>
      <w:r>
        <w:rPr>
          <w:rFonts w:ascii="Times New Roman" w:hAnsi="Times New Roman"/>
          <w:szCs w:val="24"/>
        </w:rPr>
        <w:t>。</w:t>
      </w:r>
    </w:p>
    <w:p w:rsidR="004B4777" w:rsidRDefault="004B4777">
      <w:pPr>
        <w:pStyle w:val="3"/>
        <w:spacing w:before="0" w:after="0"/>
        <w:rPr>
          <w:rFonts w:ascii="Times New Roman" w:eastAsia="宋体" w:hAnsi="Times New Roman"/>
          <w:b/>
        </w:rPr>
      </w:pPr>
      <w:bookmarkStart w:id="175" w:name="_Hlk481946633"/>
      <w:r>
        <w:rPr>
          <w:rFonts w:ascii="Times New Roman" w:eastAsia="宋体" w:hAnsi="Times New Roman"/>
          <w:b/>
        </w:rPr>
        <w:t>6.</w:t>
      </w:r>
      <w:r>
        <w:rPr>
          <w:rFonts w:ascii="Times New Roman" w:eastAsia="宋体" w:hAnsi="Times New Roman" w:hint="eastAsia"/>
          <w:b/>
        </w:rPr>
        <w:t>5</w:t>
      </w:r>
      <w:r>
        <w:rPr>
          <w:rFonts w:ascii="Times New Roman" w:eastAsia="宋体" w:hAnsi="Times New Roman"/>
          <w:b/>
        </w:rPr>
        <w:t xml:space="preserve">.2 </w:t>
      </w:r>
      <w:r>
        <w:rPr>
          <w:rFonts w:ascii="Times New Roman" w:eastAsia="宋体" w:hAnsi="Times New Roman"/>
          <w:b/>
        </w:rPr>
        <w:t>采砂施工噪声影响分析</w:t>
      </w:r>
    </w:p>
    <w:bookmarkEnd w:id="175"/>
    <w:p w:rsidR="004B4777" w:rsidRDefault="004B4777">
      <w:pPr>
        <w:ind w:firstLine="480"/>
        <w:rPr>
          <w:rFonts w:ascii="Times New Roman" w:hAnsi="Times New Roman"/>
        </w:rPr>
      </w:pPr>
      <w:r>
        <w:rPr>
          <w:rFonts w:ascii="Times New Roman" w:hAnsi="Times New Roman"/>
          <w:szCs w:val="20"/>
        </w:rPr>
        <w:t>本工程河道采砂施工机械噪声主要来源于绞吸式挖沙船。项目工程施工区为开阔地，绞吸式挖沙船一般置于水面上，故声源处于半自由空间，绞吸式挖沙船产生的施工噪声采用固定源预测模式进行预测计算。</w:t>
      </w:r>
    </w:p>
    <w:p w:rsidR="004B4777" w:rsidRDefault="004B4777">
      <w:pPr>
        <w:ind w:firstLine="480"/>
        <w:rPr>
          <w:rFonts w:ascii="Times New Roman" w:hAnsi="Times New Roman"/>
        </w:rPr>
      </w:pPr>
      <w:bookmarkStart w:id="176" w:name="_Hlk481946889"/>
      <w:r>
        <w:rPr>
          <w:rFonts w:ascii="Times New Roman" w:hAnsi="Times New Roman"/>
        </w:rPr>
        <w:t>（</w:t>
      </w:r>
      <w:r>
        <w:rPr>
          <w:rFonts w:ascii="Times New Roman" w:hAnsi="Times New Roman"/>
        </w:rPr>
        <w:t>1</w:t>
      </w:r>
      <w:r>
        <w:rPr>
          <w:rFonts w:ascii="Times New Roman" w:hAnsi="Times New Roman"/>
        </w:rPr>
        <w:t>）施工机械运行影响范围</w:t>
      </w:r>
    </w:p>
    <w:p w:rsidR="004B4777" w:rsidRDefault="004B4777">
      <w:pPr>
        <w:ind w:firstLine="480"/>
        <w:rPr>
          <w:rFonts w:ascii="Times New Roman" w:hAnsi="Times New Roman"/>
          <w:szCs w:val="20"/>
        </w:rPr>
      </w:pPr>
      <w:r>
        <w:rPr>
          <w:rFonts w:ascii="Times New Roman" w:hAnsi="Times New Roman"/>
          <w:szCs w:val="20"/>
        </w:rPr>
        <w:t>根据河道</w:t>
      </w:r>
      <w:r>
        <w:rPr>
          <w:rFonts w:ascii="Times New Roman" w:hAnsi="Times New Roman" w:hint="eastAsia"/>
          <w:szCs w:val="20"/>
        </w:rPr>
        <w:t>采砂</w:t>
      </w:r>
      <w:r>
        <w:rPr>
          <w:rFonts w:ascii="Times New Roman" w:hAnsi="Times New Roman"/>
          <w:szCs w:val="20"/>
        </w:rPr>
        <w:t>施工机械绞吸式挖泥船的噪声源强，采用固定源预测模式预测其对不同距离的噪声贡献值，预测结果见表</w:t>
      </w:r>
      <w:r>
        <w:rPr>
          <w:rFonts w:ascii="Times New Roman" w:hAnsi="Times New Roman"/>
          <w:szCs w:val="20"/>
        </w:rPr>
        <w:t>6.</w:t>
      </w:r>
      <w:r>
        <w:rPr>
          <w:rFonts w:ascii="Times New Roman" w:hAnsi="Times New Roman" w:hint="eastAsia"/>
          <w:szCs w:val="20"/>
        </w:rPr>
        <w:t>5</w:t>
      </w:r>
      <w:r>
        <w:rPr>
          <w:rFonts w:ascii="Times New Roman" w:hAnsi="Times New Roman"/>
          <w:szCs w:val="20"/>
        </w:rPr>
        <w:t>-2</w:t>
      </w:r>
      <w:r>
        <w:rPr>
          <w:rFonts w:ascii="Times New Roman" w:hAnsi="Times New Roman"/>
          <w:szCs w:val="20"/>
        </w:rPr>
        <w:t>。</w:t>
      </w:r>
    </w:p>
    <w:p w:rsidR="004B4777" w:rsidRDefault="004B4777">
      <w:pPr>
        <w:autoSpaceDE w:val="0"/>
        <w:autoSpaceDN w:val="0"/>
        <w:adjustRightInd w:val="0"/>
        <w:ind w:firstLineChars="0" w:firstLine="0"/>
        <w:jc w:val="center"/>
        <w:rPr>
          <w:rFonts w:ascii="Times New Roman" w:hAnsi="Times New Roman" w:hint="eastAsia"/>
          <w:b/>
          <w:szCs w:val="20"/>
        </w:rPr>
      </w:pPr>
    </w:p>
    <w:p w:rsidR="004B4777" w:rsidRDefault="004B4777">
      <w:pPr>
        <w:autoSpaceDE w:val="0"/>
        <w:autoSpaceDN w:val="0"/>
        <w:adjustRightInd w:val="0"/>
        <w:ind w:firstLineChars="0" w:firstLine="0"/>
        <w:jc w:val="center"/>
        <w:rPr>
          <w:rFonts w:ascii="Times New Roman" w:hAnsi="Times New Roman" w:hint="eastAsia"/>
          <w:b/>
          <w:szCs w:val="20"/>
        </w:rPr>
      </w:pPr>
    </w:p>
    <w:p w:rsidR="004B4777" w:rsidRDefault="004B4777">
      <w:pPr>
        <w:autoSpaceDE w:val="0"/>
        <w:autoSpaceDN w:val="0"/>
        <w:adjustRightInd w:val="0"/>
        <w:ind w:firstLineChars="0" w:firstLine="0"/>
        <w:jc w:val="center"/>
        <w:rPr>
          <w:rFonts w:ascii="Times New Roman" w:hAnsi="Times New Roman"/>
          <w:b/>
          <w:szCs w:val="20"/>
        </w:rPr>
      </w:pPr>
      <w:r>
        <w:rPr>
          <w:rFonts w:ascii="Times New Roman" w:hAnsi="Times New Roman"/>
          <w:b/>
          <w:szCs w:val="20"/>
        </w:rPr>
        <w:t>表</w:t>
      </w:r>
      <w:r>
        <w:rPr>
          <w:rFonts w:ascii="Times New Roman" w:hAnsi="Times New Roman"/>
          <w:b/>
          <w:szCs w:val="20"/>
        </w:rPr>
        <w:t>6.</w:t>
      </w:r>
      <w:r>
        <w:rPr>
          <w:rFonts w:ascii="Times New Roman" w:hAnsi="Times New Roman" w:hint="eastAsia"/>
          <w:b/>
          <w:szCs w:val="20"/>
        </w:rPr>
        <w:t>5</w:t>
      </w:r>
      <w:r>
        <w:rPr>
          <w:rFonts w:ascii="Times New Roman" w:hAnsi="Times New Roman"/>
          <w:b/>
          <w:szCs w:val="20"/>
        </w:rPr>
        <w:t xml:space="preserve">-2       </w:t>
      </w:r>
      <w:r>
        <w:rPr>
          <w:rFonts w:ascii="Times New Roman" w:hAnsi="Times New Roman"/>
          <w:b/>
          <w:szCs w:val="20"/>
        </w:rPr>
        <w:t>河道采砂施工噪声源在不同距离的预测结果表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598"/>
        <w:gridCol w:w="601"/>
        <w:gridCol w:w="719"/>
        <w:gridCol w:w="719"/>
        <w:gridCol w:w="719"/>
        <w:gridCol w:w="719"/>
        <w:gridCol w:w="719"/>
        <w:gridCol w:w="726"/>
        <w:gridCol w:w="719"/>
        <w:gridCol w:w="735"/>
      </w:tblGrid>
      <w:tr w:rsidR="004B4777">
        <w:trPr>
          <w:trHeight w:val="397"/>
        </w:trPr>
        <w:tc>
          <w:tcPr>
            <w:tcW w:w="1548" w:type="dxa"/>
            <w:vMerge w:val="restart"/>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声源</w:t>
            </w:r>
          </w:p>
        </w:tc>
        <w:tc>
          <w:tcPr>
            <w:tcW w:w="598" w:type="dxa"/>
            <w:vMerge w:val="restart"/>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源强</w:t>
            </w:r>
          </w:p>
        </w:tc>
        <w:tc>
          <w:tcPr>
            <w:tcW w:w="4922" w:type="dxa"/>
            <w:gridSpan w:val="7"/>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离声源不同距离的噪声预测值</w:t>
            </w:r>
            <w:r>
              <w:rPr>
                <w:rFonts w:ascii="Times New Roman" w:hAnsi="Times New Roman"/>
                <w:b/>
                <w:color w:val="000000"/>
                <w:sz w:val="21"/>
                <w:szCs w:val="21"/>
              </w:rPr>
              <w:t>(dB(A))</w:t>
            </w:r>
          </w:p>
        </w:tc>
        <w:tc>
          <w:tcPr>
            <w:tcW w:w="1454" w:type="dxa"/>
            <w:gridSpan w:val="2"/>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达标距离</w:t>
            </w:r>
            <w:r>
              <w:rPr>
                <w:rFonts w:ascii="Times New Roman" w:hAnsi="Times New Roman"/>
                <w:b/>
                <w:color w:val="000000"/>
                <w:sz w:val="21"/>
                <w:szCs w:val="21"/>
              </w:rPr>
              <w:t>(m)</w:t>
            </w:r>
          </w:p>
        </w:tc>
      </w:tr>
      <w:tr w:rsidR="004B4777">
        <w:trPr>
          <w:trHeight w:val="397"/>
        </w:trPr>
        <w:tc>
          <w:tcPr>
            <w:tcW w:w="1548" w:type="dxa"/>
            <w:vMerge/>
          </w:tcPr>
          <w:p w:rsidR="004B4777" w:rsidRDefault="004B4777">
            <w:pPr>
              <w:widowControl/>
              <w:spacing w:line="240" w:lineRule="auto"/>
              <w:ind w:firstLineChars="0" w:firstLine="0"/>
              <w:jc w:val="center"/>
              <w:rPr>
                <w:rFonts w:ascii="Times New Roman" w:hAnsi="Times New Roman"/>
                <w:b/>
                <w:color w:val="000000"/>
                <w:sz w:val="21"/>
                <w:szCs w:val="21"/>
              </w:rPr>
            </w:pPr>
          </w:p>
        </w:tc>
        <w:tc>
          <w:tcPr>
            <w:tcW w:w="598" w:type="dxa"/>
            <w:vMerge/>
          </w:tcPr>
          <w:p w:rsidR="004B4777" w:rsidRDefault="004B4777">
            <w:pPr>
              <w:widowControl/>
              <w:spacing w:line="240" w:lineRule="auto"/>
              <w:ind w:firstLineChars="0" w:firstLine="0"/>
              <w:jc w:val="center"/>
              <w:rPr>
                <w:rFonts w:ascii="Times New Roman" w:hAnsi="Times New Roman"/>
                <w:b/>
                <w:color w:val="000000"/>
                <w:sz w:val="21"/>
                <w:szCs w:val="21"/>
              </w:rPr>
            </w:pPr>
          </w:p>
        </w:tc>
        <w:tc>
          <w:tcPr>
            <w:tcW w:w="601"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10m</w:t>
            </w:r>
          </w:p>
        </w:tc>
        <w:tc>
          <w:tcPr>
            <w:tcW w:w="719"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20m</w:t>
            </w:r>
          </w:p>
        </w:tc>
        <w:tc>
          <w:tcPr>
            <w:tcW w:w="719"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40m</w:t>
            </w:r>
          </w:p>
        </w:tc>
        <w:tc>
          <w:tcPr>
            <w:tcW w:w="719"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60m</w:t>
            </w:r>
          </w:p>
        </w:tc>
        <w:tc>
          <w:tcPr>
            <w:tcW w:w="719"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80m</w:t>
            </w:r>
          </w:p>
        </w:tc>
        <w:tc>
          <w:tcPr>
            <w:tcW w:w="719"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100m</w:t>
            </w:r>
          </w:p>
        </w:tc>
        <w:tc>
          <w:tcPr>
            <w:tcW w:w="726"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120m</w:t>
            </w:r>
          </w:p>
        </w:tc>
        <w:tc>
          <w:tcPr>
            <w:tcW w:w="719"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昼间</w:t>
            </w:r>
          </w:p>
        </w:tc>
        <w:tc>
          <w:tcPr>
            <w:tcW w:w="735" w:type="dxa"/>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夜间</w:t>
            </w:r>
          </w:p>
        </w:tc>
      </w:tr>
      <w:tr w:rsidR="004B4777">
        <w:trPr>
          <w:trHeight w:val="397"/>
        </w:trPr>
        <w:tc>
          <w:tcPr>
            <w:tcW w:w="1548"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挖沙船</w:t>
            </w:r>
          </w:p>
        </w:tc>
        <w:tc>
          <w:tcPr>
            <w:tcW w:w="598"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85</w:t>
            </w:r>
          </w:p>
        </w:tc>
        <w:tc>
          <w:tcPr>
            <w:tcW w:w="601"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57</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51</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45</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41</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39</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37</w:t>
            </w:r>
          </w:p>
        </w:tc>
        <w:tc>
          <w:tcPr>
            <w:tcW w:w="726"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35</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735"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16</w:t>
            </w:r>
          </w:p>
        </w:tc>
      </w:tr>
      <w:tr w:rsidR="004B4777">
        <w:trPr>
          <w:trHeight w:val="397"/>
        </w:trPr>
        <w:tc>
          <w:tcPr>
            <w:tcW w:w="1548"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sz w:val="21"/>
                <w:szCs w:val="21"/>
              </w:rPr>
              <w:t>筛分机</w:t>
            </w:r>
          </w:p>
        </w:tc>
        <w:tc>
          <w:tcPr>
            <w:tcW w:w="598"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90</w:t>
            </w:r>
          </w:p>
        </w:tc>
        <w:tc>
          <w:tcPr>
            <w:tcW w:w="601"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59</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53</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47</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43</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41</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39</w:t>
            </w:r>
          </w:p>
        </w:tc>
        <w:tc>
          <w:tcPr>
            <w:tcW w:w="726"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37</w:t>
            </w:r>
          </w:p>
        </w:tc>
        <w:tc>
          <w:tcPr>
            <w:tcW w:w="719"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735" w:type="dxa"/>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29</w:t>
            </w:r>
          </w:p>
        </w:tc>
      </w:tr>
    </w:tbl>
    <w:bookmarkEnd w:id="176"/>
    <w:p w:rsidR="004B4777" w:rsidRDefault="004B4777">
      <w:pPr>
        <w:ind w:firstLine="480"/>
        <w:rPr>
          <w:rFonts w:ascii="Times New Roman" w:hAnsi="Times New Roman"/>
          <w:szCs w:val="20"/>
        </w:rPr>
      </w:pPr>
      <w:r>
        <w:rPr>
          <w:rFonts w:ascii="Times New Roman" w:hAnsi="Times New Roman"/>
          <w:szCs w:val="20"/>
        </w:rPr>
        <w:lastRenderedPageBreak/>
        <w:t>从表</w:t>
      </w:r>
      <w:r>
        <w:rPr>
          <w:rFonts w:ascii="Times New Roman" w:hAnsi="Times New Roman"/>
          <w:szCs w:val="20"/>
        </w:rPr>
        <w:t>6.</w:t>
      </w:r>
      <w:r>
        <w:rPr>
          <w:rFonts w:ascii="Times New Roman" w:hAnsi="Times New Roman" w:hint="eastAsia"/>
          <w:szCs w:val="20"/>
        </w:rPr>
        <w:t>5</w:t>
      </w:r>
      <w:r>
        <w:rPr>
          <w:rFonts w:ascii="Times New Roman" w:hAnsi="Times New Roman"/>
          <w:szCs w:val="20"/>
        </w:rPr>
        <w:t>-2</w:t>
      </w:r>
      <w:r>
        <w:rPr>
          <w:rFonts w:ascii="Times New Roman" w:hAnsi="Times New Roman"/>
          <w:szCs w:val="20"/>
        </w:rPr>
        <w:t>中可以看出，要使挖沙船施工产生的噪声达到《声环境质量标准》</w:t>
      </w:r>
      <w:r>
        <w:rPr>
          <w:rFonts w:ascii="Times New Roman" w:hAnsi="Times New Roman"/>
          <w:szCs w:val="20"/>
        </w:rPr>
        <w:t>(GB3096-2008)</w:t>
      </w:r>
      <w:r>
        <w:rPr>
          <w:rFonts w:ascii="Times New Roman" w:hAnsi="Times New Roman"/>
          <w:szCs w:val="20"/>
        </w:rPr>
        <w:t>中</w:t>
      </w:r>
      <w:r>
        <w:rPr>
          <w:rFonts w:ascii="Times New Roman" w:hAnsi="Times New Roman" w:hint="eastAsia"/>
          <w:szCs w:val="20"/>
        </w:rPr>
        <w:t>2</w:t>
      </w:r>
      <w:r>
        <w:rPr>
          <w:rFonts w:ascii="Times New Roman" w:hAnsi="Times New Roman"/>
          <w:szCs w:val="20"/>
        </w:rPr>
        <w:t xml:space="preserve"> </w:t>
      </w:r>
      <w:r>
        <w:rPr>
          <w:rFonts w:ascii="Times New Roman" w:hAnsi="Times New Roman"/>
          <w:szCs w:val="20"/>
        </w:rPr>
        <w:t>类标准，</w:t>
      </w:r>
      <w:r>
        <w:rPr>
          <w:rFonts w:ascii="Times New Roman" w:hAnsi="Times New Roman" w:hint="eastAsia"/>
          <w:szCs w:val="20"/>
        </w:rPr>
        <w:t>昼间均可达标</w:t>
      </w:r>
      <w:r>
        <w:rPr>
          <w:rFonts w:ascii="Times New Roman" w:hAnsi="Times New Roman"/>
          <w:szCs w:val="20"/>
        </w:rPr>
        <w:t>，夜间需达到</w:t>
      </w:r>
      <w:r>
        <w:rPr>
          <w:rFonts w:ascii="Times New Roman" w:hAnsi="Times New Roman" w:hint="eastAsia"/>
          <w:szCs w:val="20"/>
        </w:rPr>
        <w:t>3</w:t>
      </w:r>
      <w:r>
        <w:rPr>
          <w:rFonts w:ascii="Times New Roman" w:hAnsi="Times New Roman"/>
          <w:szCs w:val="20"/>
        </w:rPr>
        <w:t>0m</w:t>
      </w:r>
      <w:r>
        <w:rPr>
          <w:rFonts w:ascii="Times New Roman" w:hAnsi="Times New Roman"/>
          <w:szCs w:val="20"/>
        </w:rPr>
        <w:t>，因此应尽量避免夜间施工。</w:t>
      </w:r>
      <w:r>
        <w:rPr>
          <w:rFonts w:ascii="Times New Roman" w:hAnsi="Times New Roman" w:hint="eastAsia"/>
          <w:szCs w:val="20"/>
        </w:rPr>
        <w:t>根据项目开采计划，项目夜间不施工。</w:t>
      </w:r>
      <w:r>
        <w:rPr>
          <w:rFonts w:ascii="Times New Roman" w:hAnsi="Times New Roman"/>
          <w:szCs w:val="20"/>
        </w:rPr>
        <w:t>据现场调查结果可知，工程区基本位于农村地区，工程周围地势较为开阔、村庄规模较小，因此河道采砂施工噪声的总体影响较小，随工程结束，噪声随即消失。</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）声环境敏感目标噪声预测</w:t>
      </w:r>
    </w:p>
    <w:p w:rsidR="004B4777" w:rsidRDefault="004B4777">
      <w:pPr>
        <w:ind w:firstLine="480"/>
        <w:rPr>
          <w:rFonts w:ascii="Times New Roman" w:hAnsi="Times New Roman"/>
          <w:szCs w:val="20"/>
        </w:rPr>
      </w:pPr>
      <w:r>
        <w:rPr>
          <w:rFonts w:ascii="Times New Roman" w:hAnsi="Times New Roman"/>
          <w:szCs w:val="20"/>
        </w:rPr>
        <w:t>利用公式、保护目标处的声环境背景值及河道采砂施工机械与保护目标的相对距离，计算得到河道采砂施工机械对声环境敏感目标的噪声影响、当保护目标噪声达标时施工机械距离保护目标最近距离。在挖泥船施工噪声的影响下，白天施工时，各村庄敏感目标均符合《声环境质量标准》</w:t>
      </w:r>
      <w:r>
        <w:rPr>
          <w:rFonts w:ascii="Times New Roman" w:hAnsi="Times New Roman"/>
          <w:szCs w:val="20"/>
        </w:rPr>
        <w:t>(GB3096-2008)</w:t>
      </w:r>
      <w:r>
        <w:rPr>
          <w:rFonts w:ascii="Times New Roman" w:hAnsi="Times New Roman" w:hint="eastAsia"/>
          <w:szCs w:val="20"/>
        </w:rPr>
        <w:t>2</w:t>
      </w:r>
      <w:r>
        <w:rPr>
          <w:rFonts w:ascii="Times New Roman" w:hAnsi="Times New Roman"/>
          <w:szCs w:val="20"/>
        </w:rPr>
        <w:t>类标准；根据项目声环境敏感目标可知，项目周边敏感目标都在</w:t>
      </w:r>
      <w:r>
        <w:rPr>
          <w:rFonts w:ascii="Times New Roman" w:hAnsi="Times New Roman" w:hint="eastAsia"/>
          <w:szCs w:val="20"/>
        </w:rPr>
        <w:t>100</w:t>
      </w:r>
      <w:r>
        <w:rPr>
          <w:rFonts w:ascii="Times New Roman" w:hAnsi="Times New Roman"/>
          <w:szCs w:val="20"/>
        </w:rPr>
        <w:t>m</w:t>
      </w:r>
      <w:r>
        <w:rPr>
          <w:rFonts w:ascii="Times New Roman" w:hAnsi="Times New Roman"/>
          <w:szCs w:val="20"/>
        </w:rPr>
        <w:t>以外，能够《声环境质量标准》</w:t>
      </w:r>
      <w:r>
        <w:rPr>
          <w:rFonts w:ascii="Times New Roman" w:hAnsi="Times New Roman"/>
          <w:szCs w:val="20"/>
        </w:rPr>
        <w:t>(GB3096-2008)</w:t>
      </w:r>
      <w:r>
        <w:rPr>
          <w:rFonts w:ascii="Times New Roman" w:hAnsi="Times New Roman"/>
          <w:szCs w:val="20"/>
        </w:rPr>
        <w:t>的标准要求。</w:t>
      </w:r>
    </w:p>
    <w:p w:rsidR="004B4777" w:rsidRDefault="004B4777">
      <w:pPr>
        <w:pStyle w:val="3"/>
        <w:spacing w:before="0" w:after="0"/>
        <w:rPr>
          <w:rFonts w:ascii="Times New Roman" w:eastAsia="宋体" w:hAnsi="Times New Roman"/>
          <w:b/>
        </w:rPr>
      </w:pPr>
      <w:r>
        <w:rPr>
          <w:rFonts w:ascii="Times New Roman" w:eastAsia="宋体" w:hAnsi="Times New Roman"/>
          <w:b/>
        </w:rPr>
        <w:t>6.</w:t>
      </w:r>
      <w:r>
        <w:rPr>
          <w:rFonts w:ascii="Times New Roman" w:eastAsia="宋体" w:hAnsi="Times New Roman" w:hint="eastAsia"/>
          <w:b/>
        </w:rPr>
        <w:t>5</w:t>
      </w:r>
      <w:r>
        <w:rPr>
          <w:rFonts w:ascii="Times New Roman" w:eastAsia="宋体" w:hAnsi="Times New Roman"/>
          <w:b/>
        </w:rPr>
        <w:t xml:space="preserve">.3 </w:t>
      </w:r>
      <w:r>
        <w:rPr>
          <w:rFonts w:ascii="Times New Roman" w:eastAsia="宋体" w:hAnsi="Times New Roman" w:hint="eastAsia"/>
          <w:b/>
        </w:rPr>
        <w:t>运砂船</w:t>
      </w:r>
      <w:r>
        <w:rPr>
          <w:rFonts w:ascii="Times New Roman" w:eastAsia="宋体" w:hAnsi="Times New Roman"/>
          <w:b/>
        </w:rPr>
        <w:t>噪声影响分析</w:t>
      </w:r>
    </w:p>
    <w:p w:rsidR="004B4777" w:rsidRDefault="004B4777">
      <w:pPr>
        <w:ind w:firstLine="480"/>
        <w:rPr>
          <w:rFonts w:ascii="Times New Roman" w:hAnsi="Times New Roman"/>
        </w:rPr>
      </w:pPr>
      <w:r>
        <w:rPr>
          <w:rFonts w:ascii="Times New Roman" w:hAnsi="Times New Roman"/>
          <w:szCs w:val="20"/>
        </w:rPr>
        <w:t>本工程河道</w:t>
      </w:r>
      <w:r>
        <w:rPr>
          <w:rFonts w:ascii="Times New Roman" w:hAnsi="Times New Roman" w:hint="eastAsia"/>
          <w:szCs w:val="20"/>
        </w:rPr>
        <w:t>运砂船</w:t>
      </w:r>
      <w:r>
        <w:rPr>
          <w:rFonts w:ascii="Times New Roman" w:hAnsi="Times New Roman"/>
          <w:szCs w:val="20"/>
        </w:rPr>
        <w:t>噪声采用</w:t>
      </w:r>
      <w:r>
        <w:rPr>
          <w:rFonts w:ascii="Times New Roman" w:hAnsi="Times New Roman" w:hint="eastAsia"/>
          <w:szCs w:val="20"/>
        </w:rPr>
        <w:t>流动</w:t>
      </w:r>
      <w:r>
        <w:rPr>
          <w:rFonts w:ascii="Times New Roman" w:hAnsi="Times New Roman"/>
          <w:szCs w:val="20"/>
        </w:rPr>
        <w:t>源预测模式进行预测计算。</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运砂船</w:t>
      </w:r>
      <w:r>
        <w:rPr>
          <w:rFonts w:ascii="Times New Roman" w:hAnsi="Times New Roman"/>
        </w:rPr>
        <w:t>运行影响范围</w:t>
      </w:r>
    </w:p>
    <w:p w:rsidR="004B4777" w:rsidRDefault="004B4777">
      <w:pPr>
        <w:ind w:firstLine="480"/>
        <w:rPr>
          <w:rFonts w:ascii="Times New Roman" w:hAnsi="Times New Roman"/>
          <w:szCs w:val="20"/>
        </w:rPr>
      </w:pPr>
      <w:r>
        <w:rPr>
          <w:rFonts w:ascii="Times New Roman" w:hAnsi="Times New Roman"/>
          <w:szCs w:val="20"/>
        </w:rPr>
        <w:t>根据</w:t>
      </w:r>
      <w:r>
        <w:rPr>
          <w:rFonts w:ascii="Times New Roman" w:hAnsi="Times New Roman" w:hint="eastAsia"/>
          <w:szCs w:val="20"/>
        </w:rPr>
        <w:t>运砂船</w:t>
      </w:r>
      <w:r>
        <w:rPr>
          <w:rFonts w:ascii="Times New Roman" w:hAnsi="Times New Roman"/>
          <w:szCs w:val="20"/>
        </w:rPr>
        <w:t>的噪声源强，采用</w:t>
      </w:r>
      <w:r>
        <w:rPr>
          <w:rFonts w:ascii="Times New Roman" w:hAnsi="Times New Roman" w:hint="eastAsia"/>
          <w:szCs w:val="20"/>
        </w:rPr>
        <w:t>流动源</w:t>
      </w:r>
      <w:r>
        <w:rPr>
          <w:rFonts w:ascii="Times New Roman" w:hAnsi="Times New Roman"/>
          <w:szCs w:val="20"/>
        </w:rPr>
        <w:t>预测模式预测其对不同距离的噪声贡献值，预测结果见表</w:t>
      </w:r>
      <w:r>
        <w:rPr>
          <w:rFonts w:ascii="Times New Roman" w:hAnsi="Times New Roman"/>
          <w:szCs w:val="20"/>
        </w:rPr>
        <w:t>6.</w:t>
      </w:r>
      <w:r>
        <w:rPr>
          <w:rFonts w:ascii="Times New Roman" w:hAnsi="Times New Roman" w:hint="eastAsia"/>
          <w:szCs w:val="20"/>
        </w:rPr>
        <w:t>5</w:t>
      </w:r>
      <w:r>
        <w:rPr>
          <w:rFonts w:ascii="Times New Roman" w:hAnsi="Times New Roman"/>
          <w:szCs w:val="20"/>
        </w:rPr>
        <w:t>-3</w:t>
      </w:r>
      <w:r>
        <w:rPr>
          <w:rFonts w:ascii="Times New Roman" w:hAnsi="Times New Roman"/>
          <w:szCs w:val="20"/>
        </w:rPr>
        <w:t>。</w:t>
      </w:r>
    </w:p>
    <w:p w:rsidR="004B4777" w:rsidRDefault="004B4777">
      <w:pPr>
        <w:autoSpaceDE w:val="0"/>
        <w:autoSpaceDN w:val="0"/>
        <w:adjustRightInd w:val="0"/>
        <w:ind w:firstLineChars="0" w:firstLine="0"/>
        <w:jc w:val="center"/>
        <w:rPr>
          <w:rFonts w:ascii="Times New Roman" w:hAnsi="Times New Roman"/>
          <w:b/>
          <w:szCs w:val="20"/>
        </w:rPr>
      </w:pPr>
      <w:r>
        <w:rPr>
          <w:rFonts w:ascii="Times New Roman" w:hAnsi="Times New Roman"/>
          <w:b/>
          <w:szCs w:val="20"/>
        </w:rPr>
        <w:t>表</w:t>
      </w:r>
      <w:r>
        <w:rPr>
          <w:rFonts w:ascii="Times New Roman" w:hAnsi="Times New Roman"/>
          <w:b/>
          <w:szCs w:val="20"/>
        </w:rPr>
        <w:t>6.</w:t>
      </w:r>
      <w:r>
        <w:rPr>
          <w:rFonts w:ascii="Times New Roman" w:hAnsi="Times New Roman" w:hint="eastAsia"/>
          <w:b/>
          <w:szCs w:val="20"/>
        </w:rPr>
        <w:t>5</w:t>
      </w:r>
      <w:r>
        <w:rPr>
          <w:rFonts w:ascii="Times New Roman" w:hAnsi="Times New Roman"/>
          <w:b/>
          <w:szCs w:val="20"/>
        </w:rPr>
        <w:t xml:space="preserve">-3    </w:t>
      </w:r>
      <w:r>
        <w:rPr>
          <w:rFonts w:ascii="Times New Roman" w:hAnsi="Times New Roman" w:hint="eastAsia"/>
          <w:b/>
          <w:szCs w:val="20"/>
        </w:rPr>
        <w:t>运砂船</w:t>
      </w:r>
      <w:r>
        <w:rPr>
          <w:rFonts w:ascii="Times New Roman" w:hAnsi="Times New Roman"/>
          <w:b/>
          <w:szCs w:val="20"/>
        </w:rPr>
        <w:t>噪声源在不同距离的预测结果表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0"/>
        <w:gridCol w:w="599"/>
        <w:gridCol w:w="602"/>
        <w:gridCol w:w="719"/>
        <w:gridCol w:w="719"/>
        <w:gridCol w:w="719"/>
        <w:gridCol w:w="719"/>
        <w:gridCol w:w="719"/>
        <w:gridCol w:w="726"/>
        <w:gridCol w:w="719"/>
        <w:gridCol w:w="731"/>
      </w:tblGrid>
      <w:tr w:rsidR="004B4777">
        <w:trPr>
          <w:trHeight w:val="397"/>
        </w:trPr>
        <w:tc>
          <w:tcPr>
            <w:tcW w:w="1550" w:type="dxa"/>
            <w:vMerge w:val="restart"/>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声源</w:t>
            </w:r>
          </w:p>
        </w:tc>
        <w:tc>
          <w:tcPr>
            <w:tcW w:w="599" w:type="dxa"/>
            <w:vMerge w:val="restart"/>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源强</w:t>
            </w:r>
          </w:p>
        </w:tc>
        <w:tc>
          <w:tcPr>
            <w:tcW w:w="4923" w:type="dxa"/>
            <w:gridSpan w:val="7"/>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离声源不同距离的噪声预测值</w:t>
            </w:r>
            <w:r>
              <w:rPr>
                <w:rFonts w:ascii="Times New Roman" w:hAnsi="Times New Roman"/>
                <w:b/>
                <w:color w:val="000000"/>
                <w:sz w:val="21"/>
                <w:szCs w:val="21"/>
              </w:rPr>
              <w:t>(dB(A))</w:t>
            </w:r>
          </w:p>
        </w:tc>
        <w:tc>
          <w:tcPr>
            <w:tcW w:w="1450" w:type="dxa"/>
            <w:gridSpan w:val="2"/>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达标距离</w:t>
            </w:r>
            <w:r>
              <w:rPr>
                <w:rFonts w:ascii="Times New Roman" w:hAnsi="Times New Roman"/>
                <w:b/>
                <w:color w:val="000000"/>
                <w:sz w:val="21"/>
                <w:szCs w:val="21"/>
              </w:rPr>
              <w:t>(m)</w:t>
            </w:r>
          </w:p>
        </w:tc>
      </w:tr>
      <w:tr w:rsidR="004B4777">
        <w:trPr>
          <w:trHeight w:val="397"/>
        </w:trPr>
        <w:tc>
          <w:tcPr>
            <w:tcW w:w="1550" w:type="dxa"/>
            <w:vMerge/>
            <w:vAlign w:val="center"/>
          </w:tcPr>
          <w:p w:rsidR="004B4777" w:rsidRDefault="004B4777">
            <w:pPr>
              <w:widowControl/>
              <w:spacing w:line="240" w:lineRule="auto"/>
              <w:ind w:firstLineChars="0" w:firstLine="0"/>
              <w:jc w:val="center"/>
              <w:rPr>
                <w:rFonts w:ascii="Times New Roman" w:hAnsi="Times New Roman"/>
                <w:b/>
                <w:color w:val="000000"/>
                <w:sz w:val="21"/>
                <w:szCs w:val="21"/>
              </w:rPr>
            </w:pPr>
          </w:p>
        </w:tc>
        <w:tc>
          <w:tcPr>
            <w:tcW w:w="599" w:type="dxa"/>
            <w:vMerge/>
            <w:vAlign w:val="center"/>
          </w:tcPr>
          <w:p w:rsidR="004B4777" w:rsidRDefault="004B4777">
            <w:pPr>
              <w:widowControl/>
              <w:spacing w:line="240" w:lineRule="auto"/>
              <w:ind w:firstLineChars="0" w:firstLine="0"/>
              <w:jc w:val="center"/>
              <w:rPr>
                <w:rFonts w:ascii="Times New Roman" w:hAnsi="Times New Roman"/>
                <w:b/>
                <w:color w:val="000000"/>
                <w:sz w:val="21"/>
                <w:szCs w:val="21"/>
              </w:rPr>
            </w:pPr>
          </w:p>
        </w:tc>
        <w:tc>
          <w:tcPr>
            <w:tcW w:w="602"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10m</w:t>
            </w:r>
          </w:p>
        </w:tc>
        <w:tc>
          <w:tcPr>
            <w:tcW w:w="719"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20m</w:t>
            </w:r>
          </w:p>
        </w:tc>
        <w:tc>
          <w:tcPr>
            <w:tcW w:w="719"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40m</w:t>
            </w:r>
          </w:p>
        </w:tc>
        <w:tc>
          <w:tcPr>
            <w:tcW w:w="719"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60m</w:t>
            </w:r>
          </w:p>
        </w:tc>
        <w:tc>
          <w:tcPr>
            <w:tcW w:w="719"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80m</w:t>
            </w:r>
          </w:p>
        </w:tc>
        <w:tc>
          <w:tcPr>
            <w:tcW w:w="719"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100m</w:t>
            </w:r>
          </w:p>
        </w:tc>
        <w:tc>
          <w:tcPr>
            <w:tcW w:w="726"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120m</w:t>
            </w:r>
          </w:p>
        </w:tc>
        <w:tc>
          <w:tcPr>
            <w:tcW w:w="719"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昼间</w:t>
            </w:r>
          </w:p>
        </w:tc>
        <w:tc>
          <w:tcPr>
            <w:tcW w:w="731" w:type="dxa"/>
            <w:vAlign w:val="center"/>
          </w:tcPr>
          <w:p w:rsidR="004B4777" w:rsidRDefault="004B4777">
            <w:pPr>
              <w:widowControl/>
              <w:spacing w:line="240" w:lineRule="auto"/>
              <w:ind w:firstLineChars="0" w:firstLine="0"/>
              <w:jc w:val="center"/>
              <w:rPr>
                <w:rFonts w:ascii="Times New Roman" w:hAnsi="Times New Roman"/>
                <w:b/>
                <w:color w:val="000000"/>
                <w:sz w:val="21"/>
                <w:szCs w:val="21"/>
              </w:rPr>
            </w:pPr>
            <w:r>
              <w:rPr>
                <w:rFonts w:ascii="Times New Roman" w:hAnsi="Times New Roman"/>
                <w:b/>
                <w:color w:val="000000"/>
                <w:sz w:val="21"/>
                <w:szCs w:val="21"/>
              </w:rPr>
              <w:t>夜间</w:t>
            </w:r>
          </w:p>
        </w:tc>
      </w:tr>
      <w:tr w:rsidR="004B4777">
        <w:trPr>
          <w:trHeight w:val="397"/>
        </w:trPr>
        <w:tc>
          <w:tcPr>
            <w:tcW w:w="1550"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运砂</w:t>
            </w:r>
            <w:r>
              <w:rPr>
                <w:rFonts w:ascii="Times New Roman" w:hAnsi="Times New Roman"/>
                <w:color w:val="000000"/>
                <w:sz w:val="21"/>
                <w:szCs w:val="21"/>
              </w:rPr>
              <w:t>船</w:t>
            </w:r>
          </w:p>
        </w:tc>
        <w:tc>
          <w:tcPr>
            <w:tcW w:w="59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80</w:t>
            </w:r>
          </w:p>
        </w:tc>
        <w:tc>
          <w:tcPr>
            <w:tcW w:w="602"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55.1</w:t>
            </w:r>
          </w:p>
        </w:tc>
        <w:tc>
          <w:tcPr>
            <w:tcW w:w="71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52.1</w:t>
            </w:r>
          </w:p>
        </w:tc>
        <w:tc>
          <w:tcPr>
            <w:tcW w:w="71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49.1</w:t>
            </w:r>
          </w:p>
        </w:tc>
        <w:tc>
          <w:tcPr>
            <w:tcW w:w="71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47.3</w:t>
            </w:r>
          </w:p>
        </w:tc>
        <w:tc>
          <w:tcPr>
            <w:tcW w:w="71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46.1</w:t>
            </w:r>
          </w:p>
        </w:tc>
        <w:tc>
          <w:tcPr>
            <w:tcW w:w="71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45.1</w:t>
            </w:r>
          </w:p>
        </w:tc>
        <w:tc>
          <w:tcPr>
            <w:tcW w:w="726"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44.1</w:t>
            </w:r>
          </w:p>
        </w:tc>
        <w:tc>
          <w:tcPr>
            <w:tcW w:w="719"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731" w:type="dxa"/>
            <w:vAlign w:val="center"/>
          </w:tcPr>
          <w:p w:rsidR="004B4777" w:rsidRDefault="004B4777">
            <w:pPr>
              <w:widowControl/>
              <w:spacing w:line="240" w:lineRule="auto"/>
              <w:ind w:firstLineChars="0" w:firstLine="0"/>
              <w:jc w:val="center"/>
              <w:rPr>
                <w:rFonts w:ascii="Times New Roman" w:hAnsi="Times New Roman"/>
                <w:color w:val="000000"/>
                <w:sz w:val="21"/>
                <w:szCs w:val="21"/>
              </w:rPr>
            </w:pPr>
            <w:r>
              <w:rPr>
                <w:rFonts w:ascii="Times New Roman" w:hAnsi="Times New Roman" w:hint="eastAsia"/>
                <w:color w:val="000000"/>
                <w:sz w:val="21"/>
                <w:szCs w:val="21"/>
              </w:rPr>
              <w:t>30</w:t>
            </w:r>
          </w:p>
        </w:tc>
      </w:tr>
    </w:tbl>
    <w:p w:rsidR="004B4777" w:rsidRDefault="004B4777">
      <w:pPr>
        <w:ind w:firstLine="480"/>
        <w:rPr>
          <w:rFonts w:ascii="Times New Roman" w:hAnsi="Times New Roman"/>
          <w:szCs w:val="20"/>
        </w:rPr>
      </w:pPr>
      <w:r>
        <w:rPr>
          <w:rFonts w:ascii="Times New Roman" w:hAnsi="Times New Roman"/>
          <w:szCs w:val="20"/>
        </w:rPr>
        <w:t>从表</w:t>
      </w:r>
      <w:r>
        <w:rPr>
          <w:rFonts w:ascii="Times New Roman" w:hAnsi="Times New Roman"/>
          <w:szCs w:val="20"/>
        </w:rPr>
        <w:t>6.</w:t>
      </w:r>
      <w:r>
        <w:rPr>
          <w:rFonts w:ascii="Times New Roman" w:hAnsi="Times New Roman" w:hint="eastAsia"/>
          <w:szCs w:val="20"/>
        </w:rPr>
        <w:t>5</w:t>
      </w:r>
      <w:r>
        <w:rPr>
          <w:rFonts w:ascii="Times New Roman" w:hAnsi="Times New Roman"/>
          <w:szCs w:val="20"/>
        </w:rPr>
        <w:t>-3</w:t>
      </w:r>
      <w:r>
        <w:rPr>
          <w:rFonts w:ascii="Times New Roman" w:hAnsi="Times New Roman"/>
          <w:szCs w:val="20"/>
        </w:rPr>
        <w:t>中可以看出，要使</w:t>
      </w:r>
      <w:r>
        <w:rPr>
          <w:rFonts w:ascii="Times New Roman" w:hAnsi="Times New Roman" w:hint="eastAsia"/>
          <w:szCs w:val="20"/>
        </w:rPr>
        <w:t>运砂</w:t>
      </w:r>
      <w:r>
        <w:rPr>
          <w:rFonts w:ascii="Times New Roman" w:hAnsi="Times New Roman"/>
          <w:szCs w:val="20"/>
        </w:rPr>
        <w:t>施工产生的噪声达到《声环境质量标准》</w:t>
      </w:r>
      <w:r>
        <w:rPr>
          <w:rFonts w:ascii="Times New Roman" w:hAnsi="Times New Roman"/>
          <w:szCs w:val="20"/>
        </w:rPr>
        <w:t>(GB3096-2008)</w:t>
      </w:r>
      <w:r>
        <w:rPr>
          <w:rFonts w:ascii="Times New Roman" w:hAnsi="Times New Roman"/>
          <w:szCs w:val="20"/>
        </w:rPr>
        <w:t>中</w:t>
      </w:r>
      <w:r>
        <w:rPr>
          <w:rFonts w:ascii="Times New Roman" w:hAnsi="Times New Roman" w:hint="eastAsia"/>
          <w:szCs w:val="20"/>
        </w:rPr>
        <w:t>2</w:t>
      </w:r>
      <w:r>
        <w:rPr>
          <w:rFonts w:ascii="Times New Roman" w:hAnsi="Times New Roman"/>
          <w:szCs w:val="20"/>
        </w:rPr>
        <w:t>类标准，白天</w:t>
      </w:r>
      <w:r>
        <w:rPr>
          <w:rFonts w:ascii="Times New Roman" w:hAnsi="Times New Roman" w:hint="eastAsia"/>
          <w:szCs w:val="20"/>
        </w:rPr>
        <w:t>均可达标</w:t>
      </w:r>
      <w:r>
        <w:rPr>
          <w:rFonts w:ascii="Times New Roman" w:hAnsi="Times New Roman"/>
          <w:szCs w:val="20"/>
        </w:rPr>
        <w:t>，夜间需达到</w:t>
      </w:r>
      <w:r>
        <w:rPr>
          <w:rFonts w:ascii="Times New Roman" w:hAnsi="Times New Roman" w:hint="eastAsia"/>
          <w:szCs w:val="20"/>
        </w:rPr>
        <w:t>3</w:t>
      </w:r>
      <w:r>
        <w:rPr>
          <w:rFonts w:ascii="Times New Roman" w:hAnsi="Times New Roman"/>
          <w:szCs w:val="20"/>
        </w:rPr>
        <w:t>0m</w:t>
      </w:r>
      <w:r>
        <w:rPr>
          <w:rFonts w:ascii="Times New Roman" w:hAnsi="Times New Roman"/>
          <w:szCs w:val="20"/>
        </w:rPr>
        <w:t>，因此应尽量避免夜间施工。据现场调查结果可知，工程区基本位于农村地区，工程周围地势较为开阔、村庄规模较小，因此河道</w:t>
      </w:r>
      <w:r>
        <w:rPr>
          <w:rFonts w:ascii="Times New Roman" w:hAnsi="Times New Roman" w:hint="eastAsia"/>
          <w:szCs w:val="20"/>
        </w:rPr>
        <w:t>运砂船</w:t>
      </w:r>
      <w:r>
        <w:rPr>
          <w:rFonts w:ascii="Times New Roman" w:hAnsi="Times New Roman"/>
          <w:szCs w:val="20"/>
        </w:rPr>
        <w:t>噪声的总体影响较小，随工程结束，噪声随即消失。</w:t>
      </w:r>
    </w:p>
    <w:p w:rsidR="004B4777" w:rsidRDefault="004B4777">
      <w:pPr>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）声环境敏感目标噪声预测</w:t>
      </w:r>
    </w:p>
    <w:p w:rsidR="004B4777" w:rsidRDefault="004B4777">
      <w:pPr>
        <w:ind w:firstLine="480"/>
        <w:rPr>
          <w:rFonts w:ascii="Times New Roman" w:hAnsi="Times New Roman"/>
          <w:szCs w:val="20"/>
        </w:rPr>
      </w:pPr>
      <w:r>
        <w:rPr>
          <w:rFonts w:ascii="Times New Roman" w:hAnsi="Times New Roman"/>
          <w:szCs w:val="20"/>
        </w:rPr>
        <w:t>利用公式、保护目标处的声环境背景值及</w:t>
      </w:r>
      <w:r>
        <w:rPr>
          <w:rFonts w:ascii="Times New Roman" w:hAnsi="Times New Roman" w:hint="eastAsia"/>
          <w:szCs w:val="20"/>
        </w:rPr>
        <w:t>运砂船与</w:t>
      </w:r>
      <w:r>
        <w:rPr>
          <w:rFonts w:ascii="Times New Roman" w:hAnsi="Times New Roman"/>
          <w:szCs w:val="20"/>
        </w:rPr>
        <w:t>保护目标的相对距离，计算得到</w:t>
      </w:r>
      <w:r>
        <w:rPr>
          <w:rFonts w:ascii="Times New Roman" w:hAnsi="Times New Roman" w:hint="eastAsia"/>
          <w:szCs w:val="20"/>
        </w:rPr>
        <w:t>运砂</w:t>
      </w:r>
      <w:r>
        <w:rPr>
          <w:rFonts w:ascii="Times New Roman" w:hAnsi="Times New Roman"/>
          <w:szCs w:val="20"/>
        </w:rPr>
        <w:t>对声环境敏感目标的噪声影响、当保护目标噪声达标时</w:t>
      </w:r>
      <w:r>
        <w:rPr>
          <w:rFonts w:ascii="Times New Roman" w:hAnsi="Times New Roman" w:hint="eastAsia"/>
          <w:szCs w:val="20"/>
        </w:rPr>
        <w:t>运砂船</w:t>
      </w:r>
      <w:r>
        <w:rPr>
          <w:rFonts w:ascii="Times New Roman" w:hAnsi="Times New Roman"/>
          <w:szCs w:val="20"/>
        </w:rPr>
        <w:t>距离保护目标最近距离。在</w:t>
      </w:r>
      <w:r>
        <w:rPr>
          <w:rFonts w:ascii="Times New Roman" w:hAnsi="Times New Roman" w:hint="eastAsia"/>
          <w:szCs w:val="20"/>
        </w:rPr>
        <w:t>运砂船</w:t>
      </w:r>
      <w:r>
        <w:rPr>
          <w:rFonts w:ascii="Times New Roman" w:hAnsi="Times New Roman"/>
          <w:szCs w:val="20"/>
        </w:rPr>
        <w:t>噪声的影响下，白天施工时，各村庄敏感目标均符合</w:t>
      </w:r>
      <w:r>
        <w:rPr>
          <w:rFonts w:ascii="Times New Roman" w:hAnsi="Times New Roman"/>
          <w:szCs w:val="20"/>
        </w:rPr>
        <w:lastRenderedPageBreak/>
        <w:t>《声环境质量标准》</w:t>
      </w:r>
      <w:r>
        <w:rPr>
          <w:rFonts w:ascii="Times New Roman" w:hAnsi="Times New Roman"/>
          <w:szCs w:val="20"/>
        </w:rPr>
        <w:t>(GB3096-2008)</w:t>
      </w:r>
      <w:r>
        <w:rPr>
          <w:rFonts w:ascii="Times New Roman" w:hAnsi="Times New Roman" w:hint="eastAsia"/>
          <w:szCs w:val="20"/>
        </w:rPr>
        <w:t>2</w:t>
      </w:r>
      <w:r>
        <w:rPr>
          <w:rFonts w:ascii="Times New Roman" w:hAnsi="Times New Roman"/>
          <w:szCs w:val="20"/>
        </w:rPr>
        <w:t>类标准；根据项目声环境敏感目标可知，项目周边敏感目标都在</w:t>
      </w:r>
      <w:r>
        <w:rPr>
          <w:rFonts w:ascii="Times New Roman" w:hAnsi="Times New Roman" w:hint="eastAsia"/>
          <w:szCs w:val="20"/>
        </w:rPr>
        <w:t>10</w:t>
      </w:r>
      <w:r>
        <w:rPr>
          <w:rFonts w:ascii="Times New Roman" w:hAnsi="Times New Roman"/>
          <w:szCs w:val="20"/>
        </w:rPr>
        <w:t>0m</w:t>
      </w:r>
      <w:r>
        <w:rPr>
          <w:rFonts w:ascii="Times New Roman" w:hAnsi="Times New Roman"/>
          <w:szCs w:val="20"/>
        </w:rPr>
        <w:t>以外，能够《声环境质量标准》</w:t>
      </w:r>
      <w:r>
        <w:rPr>
          <w:rFonts w:ascii="Times New Roman" w:hAnsi="Times New Roman"/>
          <w:szCs w:val="20"/>
        </w:rPr>
        <w:t>(GB3096-2008)</w:t>
      </w:r>
      <w:r>
        <w:rPr>
          <w:rFonts w:ascii="Times New Roman" w:hAnsi="Times New Roman"/>
          <w:szCs w:val="20"/>
        </w:rPr>
        <w:t>的标准要求。</w:t>
      </w:r>
    </w:p>
    <w:p w:rsidR="004B4777" w:rsidRDefault="004B4777">
      <w:pPr>
        <w:pStyle w:val="2"/>
        <w:spacing w:before="0" w:after="0"/>
        <w:rPr>
          <w:rFonts w:ascii="Times New Roman" w:eastAsia="宋体" w:hAnsi="Times New Roman"/>
          <w:b/>
          <w:sz w:val="30"/>
          <w:szCs w:val="30"/>
        </w:rPr>
      </w:pPr>
      <w:bookmarkStart w:id="177" w:name="_Toc523854037"/>
      <w:r>
        <w:rPr>
          <w:rFonts w:ascii="Times New Roman" w:eastAsia="宋体" w:hAnsi="Times New Roman"/>
          <w:b/>
          <w:sz w:val="30"/>
          <w:szCs w:val="30"/>
        </w:rPr>
        <w:t>6.</w:t>
      </w:r>
      <w:r>
        <w:rPr>
          <w:rFonts w:ascii="Times New Roman" w:eastAsia="宋体" w:hAnsi="Times New Roman" w:hint="eastAsia"/>
          <w:b/>
          <w:sz w:val="30"/>
          <w:szCs w:val="30"/>
        </w:rPr>
        <w:t>6</w:t>
      </w:r>
      <w:r>
        <w:rPr>
          <w:rFonts w:ascii="Times New Roman" w:eastAsia="宋体" w:hAnsi="Times New Roman"/>
          <w:b/>
          <w:sz w:val="30"/>
          <w:szCs w:val="30"/>
        </w:rPr>
        <w:t xml:space="preserve"> </w:t>
      </w:r>
      <w:r>
        <w:rPr>
          <w:rFonts w:ascii="Times New Roman" w:eastAsia="宋体" w:hAnsi="Times New Roman"/>
          <w:b/>
          <w:sz w:val="30"/>
          <w:szCs w:val="30"/>
        </w:rPr>
        <w:t>固体废物环境影响分析</w:t>
      </w:r>
      <w:bookmarkEnd w:id="177"/>
    </w:p>
    <w:p w:rsidR="004B4777" w:rsidRDefault="004B4777">
      <w:pPr>
        <w:ind w:firstLine="480"/>
        <w:rPr>
          <w:rFonts w:ascii="Times New Roman" w:hAnsi="Times New Roman" w:hint="eastAsia"/>
        </w:rPr>
      </w:pPr>
      <w:r>
        <w:rPr>
          <w:rFonts w:ascii="Times New Roman" w:hAnsi="Times New Roman" w:hint="eastAsia"/>
          <w:szCs w:val="20"/>
        </w:rPr>
        <w:t>根据工程分析，</w:t>
      </w:r>
      <w:r>
        <w:rPr>
          <w:rFonts w:ascii="Times New Roman" w:hAnsi="Times New Roman" w:hint="eastAsia"/>
        </w:rPr>
        <w:t>项目运营后，主要固体废物为生产过程中产生</w:t>
      </w:r>
      <w:r>
        <w:rPr>
          <w:rFonts w:ascii="Times New Roman" w:hAnsi="Times New Roman" w:hint="eastAsia"/>
          <w:u w:val="single"/>
        </w:rPr>
        <w:t>清表固废、</w:t>
      </w:r>
      <w:r>
        <w:rPr>
          <w:rFonts w:ascii="Times New Roman" w:hAnsi="Times New Roman" w:hint="eastAsia"/>
        </w:rPr>
        <w:t>筛分较大的石块和生活垃圾、废柴油、废润滑油</w:t>
      </w:r>
      <w:r>
        <w:rPr>
          <w:rFonts w:ascii="Times New Roman" w:hAnsi="Times New Roman" w:hint="eastAsia"/>
          <w:u w:val="single"/>
        </w:rPr>
        <w:t>以及油水分离器分离的废油等。</w:t>
      </w:r>
    </w:p>
    <w:p w:rsidR="004B4777" w:rsidRDefault="004B4777">
      <w:pPr>
        <w:ind w:firstLine="480"/>
        <w:rPr>
          <w:rFonts w:ascii="Times New Roman" w:hAnsi="Times New Roman" w:hint="eastAsia"/>
        </w:rPr>
      </w:pPr>
      <w:r>
        <w:rPr>
          <w:rFonts w:ascii="Times New Roman" w:hAnsi="Times New Roman" w:hint="eastAsia"/>
        </w:rPr>
        <w:t>1</w:t>
      </w:r>
      <w:r>
        <w:rPr>
          <w:rFonts w:ascii="Times New Roman" w:hAnsi="Times New Roman" w:hint="eastAsia"/>
        </w:rPr>
        <w:t>）</w:t>
      </w:r>
      <w:r>
        <w:rPr>
          <w:rFonts w:ascii="Times New Roman" w:hAnsi="Times New Roman" w:hint="eastAsia"/>
          <w:u w:val="single"/>
        </w:rPr>
        <w:t>清表固废</w:t>
      </w:r>
    </w:p>
    <w:p w:rsidR="004B4777" w:rsidRDefault="004B4777">
      <w:pPr>
        <w:ind w:firstLine="480"/>
        <w:rPr>
          <w:rFonts w:ascii="Times New Roman" w:hAnsi="Times New Roman" w:hint="eastAsia"/>
          <w:u w:val="single"/>
        </w:rPr>
      </w:pPr>
      <w:r>
        <w:rPr>
          <w:rFonts w:ascii="Times New Roman" w:hAnsi="Times New Roman" w:hint="eastAsia"/>
          <w:u w:val="single"/>
        </w:rPr>
        <w:t>采矿前地表应进行清理，采区范围内种植的经济林经砍伐后将树干送至造纸厂，树根运至生物质厂；剥离表土采用机械剥离，表层土运至附近砖厂制砖。</w:t>
      </w:r>
    </w:p>
    <w:p w:rsidR="004B4777" w:rsidRDefault="004B4777">
      <w:pPr>
        <w:ind w:firstLine="480"/>
        <w:rPr>
          <w:rFonts w:ascii="Times New Roman" w:hAnsi="Times New Roman" w:hint="eastAsia"/>
        </w:rPr>
      </w:pPr>
      <w:r>
        <w:rPr>
          <w:rFonts w:ascii="Times New Roman" w:hAnsi="Times New Roman" w:hint="eastAsia"/>
        </w:rPr>
        <w:t>2</w:t>
      </w:r>
      <w:r>
        <w:rPr>
          <w:rFonts w:ascii="Times New Roman" w:hAnsi="Times New Roman" w:hint="eastAsia"/>
        </w:rPr>
        <w:t>）筛分大块石</w:t>
      </w:r>
    </w:p>
    <w:p w:rsidR="004B4777" w:rsidRDefault="004B4777">
      <w:pPr>
        <w:ind w:firstLine="480"/>
        <w:rPr>
          <w:rFonts w:ascii="Times New Roman" w:hAnsi="Times New Roman" w:hint="eastAsia"/>
        </w:rPr>
      </w:pPr>
      <w:r>
        <w:rPr>
          <w:rFonts w:ascii="Times New Roman" w:hAnsi="Times New Roman" w:hint="eastAsia"/>
        </w:rPr>
        <w:t>生产过程中会从河中捞出较大的石块，直接排弃、回填到采砂区。</w:t>
      </w:r>
    </w:p>
    <w:p w:rsidR="004B4777" w:rsidRDefault="004B4777">
      <w:pPr>
        <w:ind w:firstLine="480"/>
        <w:rPr>
          <w:rFonts w:ascii="Times New Roman" w:hAnsi="Times New Roman" w:hint="eastAsia"/>
        </w:rPr>
      </w:pPr>
      <w:r>
        <w:rPr>
          <w:rFonts w:ascii="Times New Roman" w:hAnsi="Times New Roman" w:hint="eastAsia"/>
        </w:rPr>
        <w:t>3</w:t>
      </w:r>
      <w:r>
        <w:rPr>
          <w:rFonts w:ascii="Times New Roman" w:hAnsi="Times New Roman" w:hint="eastAsia"/>
        </w:rPr>
        <w:t>）生活垃圾</w:t>
      </w:r>
    </w:p>
    <w:p w:rsidR="004B4777" w:rsidRDefault="004B4777">
      <w:pPr>
        <w:ind w:firstLine="480"/>
        <w:rPr>
          <w:rFonts w:ascii="Times New Roman" w:hAnsi="Times New Roman" w:hint="eastAsia"/>
        </w:rPr>
      </w:pPr>
      <w:r>
        <w:rPr>
          <w:rFonts w:ascii="Times New Roman" w:hAnsi="Times New Roman" w:hint="eastAsia"/>
        </w:rPr>
        <w:t>本项目定员为</w:t>
      </w:r>
      <w:r>
        <w:rPr>
          <w:rFonts w:ascii="Times New Roman" w:hAnsi="Times New Roman" w:hint="eastAsia"/>
        </w:rPr>
        <w:t>210</w:t>
      </w:r>
      <w:r>
        <w:rPr>
          <w:rFonts w:ascii="Times New Roman" w:hAnsi="Times New Roman" w:hint="eastAsia"/>
        </w:rPr>
        <w:t>人，生产期按</w:t>
      </w:r>
      <w:r>
        <w:rPr>
          <w:rFonts w:ascii="Times New Roman" w:hAnsi="Times New Roman" w:hint="eastAsia"/>
        </w:rPr>
        <w:t>300d</w:t>
      </w:r>
      <w:r>
        <w:rPr>
          <w:rFonts w:ascii="Times New Roman" w:hAnsi="Times New Roman" w:hint="eastAsia"/>
        </w:rPr>
        <w:t>计。垃圾产生量</w:t>
      </w:r>
      <w:r>
        <w:rPr>
          <w:rFonts w:ascii="Times New Roman" w:hAnsi="Times New Roman" w:hint="eastAsia"/>
        </w:rPr>
        <w:t>1kg/</w:t>
      </w:r>
      <w:r>
        <w:rPr>
          <w:rFonts w:ascii="Times New Roman" w:hAnsi="Times New Roman" w:hint="eastAsia"/>
        </w:rPr>
        <w:t>人·</w:t>
      </w:r>
      <w:r>
        <w:rPr>
          <w:rFonts w:ascii="Times New Roman" w:hAnsi="Times New Roman" w:hint="eastAsia"/>
        </w:rPr>
        <w:t>d</w:t>
      </w:r>
      <w:r>
        <w:rPr>
          <w:rFonts w:ascii="Times New Roman" w:hAnsi="Times New Roman" w:hint="eastAsia"/>
        </w:rPr>
        <w:t>；项目排放的生活垃圾总量为</w:t>
      </w:r>
      <w:r>
        <w:rPr>
          <w:rFonts w:ascii="Times New Roman" w:hAnsi="Times New Roman" w:hint="eastAsia"/>
        </w:rPr>
        <w:t>63t/a</w:t>
      </w:r>
      <w:r>
        <w:rPr>
          <w:rFonts w:ascii="Times New Roman" w:hAnsi="Times New Roman" w:hint="eastAsia"/>
        </w:rPr>
        <w:t>。由各采砂船分别收集后，再委托当地环卫部门进行处理。</w:t>
      </w:r>
    </w:p>
    <w:p w:rsidR="004B4777" w:rsidRDefault="004B4777">
      <w:pPr>
        <w:ind w:firstLine="480"/>
        <w:rPr>
          <w:rFonts w:ascii="Times New Roman" w:hAnsi="Times New Roman" w:hint="eastAsia"/>
          <w:u w:val="single"/>
        </w:rPr>
      </w:pPr>
      <w:r>
        <w:rPr>
          <w:rFonts w:ascii="Times New Roman" w:hAnsi="Times New Roman" w:hint="eastAsia"/>
          <w:u w:val="single"/>
        </w:rPr>
        <w:t>4</w:t>
      </w:r>
      <w:r>
        <w:rPr>
          <w:rFonts w:ascii="Times New Roman" w:hAnsi="Times New Roman" w:hint="eastAsia"/>
          <w:u w:val="single"/>
        </w:rPr>
        <w:t>）废机油、废柴油以及油水分离器分离的废油</w:t>
      </w:r>
    </w:p>
    <w:p w:rsidR="004B4777" w:rsidRDefault="004B4777">
      <w:pPr>
        <w:ind w:firstLine="480"/>
        <w:rPr>
          <w:rFonts w:ascii="Times New Roman" w:hAnsi="Times New Roman" w:hint="eastAsia"/>
          <w:u w:val="single"/>
        </w:rPr>
      </w:pPr>
      <w:r>
        <w:rPr>
          <w:rFonts w:ascii="Times New Roman" w:hAnsi="Times New Roman" w:hint="eastAsia"/>
          <w:u w:val="single"/>
        </w:rPr>
        <w:t>润滑油及液压油需定期更换，产生废润滑油及废液压油，润滑油更换量约为</w:t>
      </w:r>
      <w:r>
        <w:rPr>
          <w:rFonts w:ascii="Times New Roman" w:hAnsi="Times New Roman" w:hint="eastAsia"/>
          <w:u w:val="single"/>
        </w:rPr>
        <w:t>4.0t/a</w:t>
      </w:r>
      <w:r>
        <w:rPr>
          <w:rFonts w:ascii="Times New Roman" w:hAnsi="Times New Roman" w:hint="eastAsia"/>
          <w:u w:val="single"/>
        </w:rPr>
        <w:t>，液压油更换量约为</w:t>
      </w:r>
      <w:r>
        <w:rPr>
          <w:rFonts w:ascii="Times New Roman" w:hAnsi="Times New Roman" w:hint="eastAsia"/>
          <w:u w:val="single"/>
        </w:rPr>
        <w:t>0.8t/a</w:t>
      </w:r>
      <w:r>
        <w:rPr>
          <w:rFonts w:ascii="Times New Roman" w:hAnsi="Times New Roman" w:hint="eastAsia"/>
          <w:u w:val="single"/>
        </w:rPr>
        <w:t>，废柴油</w:t>
      </w:r>
      <w:r>
        <w:rPr>
          <w:rFonts w:ascii="Times New Roman" w:hAnsi="Times New Roman" w:hint="eastAsia"/>
          <w:u w:val="single"/>
        </w:rPr>
        <w:t>3t/a</w:t>
      </w:r>
      <w:r>
        <w:rPr>
          <w:rFonts w:ascii="Times New Roman" w:hAnsi="Times New Roman" w:hint="eastAsia"/>
          <w:u w:val="single"/>
        </w:rPr>
        <w:t>。采砂船自带油水分离器，会产生少量油水分离器废油，产生量约</w:t>
      </w:r>
      <w:r>
        <w:rPr>
          <w:rFonts w:ascii="Times New Roman" w:hAnsi="Times New Roman" w:hint="eastAsia"/>
          <w:u w:val="single"/>
        </w:rPr>
        <w:t>3t/a</w:t>
      </w:r>
      <w:r>
        <w:rPr>
          <w:rFonts w:ascii="Times New Roman" w:hAnsi="Times New Roman" w:hint="eastAsia"/>
          <w:u w:val="single"/>
        </w:rPr>
        <w:t>。废机油、废柴油以及油水分离器分离的废油属于危险废物，废物代码为</w:t>
      </w:r>
      <w:r>
        <w:rPr>
          <w:rFonts w:ascii="Times New Roman" w:hAnsi="Times New Roman" w:hint="eastAsia"/>
          <w:u w:val="single"/>
        </w:rPr>
        <w:t>HW08 900-210-08</w:t>
      </w:r>
      <w:r>
        <w:rPr>
          <w:rFonts w:ascii="Times New Roman" w:hAnsi="Times New Roman" w:hint="eastAsia"/>
          <w:u w:val="single"/>
        </w:rPr>
        <w:t>，由专用桶收集，在采砂船设置专门储藏室储藏，再统一交由建设单位交由有资质单位处置。</w:t>
      </w:r>
    </w:p>
    <w:p w:rsidR="004B4777" w:rsidRDefault="004B4777">
      <w:pPr>
        <w:ind w:firstLine="480"/>
        <w:rPr>
          <w:rFonts w:ascii="Times New Roman" w:hAnsi="Times New Roman"/>
          <w:szCs w:val="20"/>
        </w:rPr>
      </w:pPr>
      <w:r>
        <w:rPr>
          <w:rFonts w:ascii="Times New Roman" w:hAnsi="Times New Roman" w:hint="eastAsia"/>
          <w:szCs w:val="20"/>
        </w:rPr>
        <w:t>本项目产生的各类固体废物均能妥善处置措，一般固体废物分类处置、统一清运，危险废物在各采砂船应设置专门的储藏室储藏回收的危险废物（储藏室应做到通风、防雨、防晒、防漏）委托有资质单位处置，最终排放量为零，本项目产生固废对外环境不会产生影响。</w:t>
      </w:r>
    </w:p>
    <w:p w:rsidR="004B4777" w:rsidRDefault="004B4777">
      <w:pPr>
        <w:pStyle w:val="2"/>
        <w:spacing w:before="0" w:after="0"/>
        <w:rPr>
          <w:rFonts w:ascii="Times New Roman" w:eastAsia="宋体" w:hAnsi="Times New Roman"/>
          <w:b/>
          <w:sz w:val="30"/>
          <w:szCs w:val="30"/>
        </w:rPr>
      </w:pPr>
      <w:bookmarkStart w:id="178" w:name="_Toc523854038"/>
      <w:r>
        <w:rPr>
          <w:rFonts w:ascii="Times New Roman" w:eastAsia="宋体" w:hAnsi="Times New Roman"/>
          <w:b/>
          <w:sz w:val="30"/>
          <w:szCs w:val="30"/>
        </w:rPr>
        <w:t>6.</w:t>
      </w:r>
      <w:r>
        <w:rPr>
          <w:rFonts w:ascii="Times New Roman" w:eastAsia="宋体" w:hAnsi="Times New Roman" w:hint="eastAsia"/>
          <w:b/>
          <w:sz w:val="30"/>
          <w:szCs w:val="30"/>
        </w:rPr>
        <w:t>7</w:t>
      </w:r>
      <w:r>
        <w:rPr>
          <w:rFonts w:ascii="Times New Roman" w:eastAsia="宋体" w:hAnsi="Times New Roman"/>
          <w:b/>
          <w:sz w:val="30"/>
          <w:szCs w:val="30"/>
        </w:rPr>
        <w:t xml:space="preserve"> </w:t>
      </w:r>
      <w:r>
        <w:rPr>
          <w:rFonts w:ascii="Times New Roman" w:eastAsia="宋体" w:hAnsi="Times New Roman"/>
          <w:b/>
          <w:sz w:val="30"/>
          <w:szCs w:val="30"/>
        </w:rPr>
        <w:t>生态环境影响分析</w:t>
      </w:r>
      <w:bookmarkEnd w:id="178"/>
    </w:p>
    <w:p w:rsidR="004B4777" w:rsidRDefault="004B4777">
      <w:pPr>
        <w:ind w:firstLine="480"/>
        <w:rPr>
          <w:rFonts w:ascii="Times New Roman" w:hAnsi="Times New Roman" w:hint="eastAsia"/>
        </w:rPr>
      </w:pPr>
      <w:r>
        <w:rPr>
          <w:rFonts w:ascii="Times New Roman" w:hAnsi="Times New Roman" w:hint="eastAsia"/>
        </w:rPr>
        <w:t>本章节</w:t>
      </w:r>
      <w:r>
        <w:rPr>
          <w:rFonts w:ascii="Times New Roman" w:hAnsi="Times New Roman"/>
        </w:rPr>
        <w:t>引用</w:t>
      </w:r>
      <w:r>
        <w:rPr>
          <w:rFonts w:ascii="Times New Roman" w:hAnsi="Times New Roman" w:hint="eastAsia"/>
        </w:rPr>
        <w:t>武汉市伊美净科技发展有限公司</w:t>
      </w:r>
      <w:r>
        <w:rPr>
          <w:rFonts w:ascii="Times New Roman" w:hAnsi="Times New Roman"/>
        </w:rPr>
        <w:t>生态专题报告</w:t>
      </w:r>
      <w:r>
        <w:rPr>
          <w:rFonts w:ascii="Times New Roman" w:hAnsi="Times New Roman" w:hint="eastAsia"/>
        </w:rPr>
        <w:t>结论，详细分析见生态专题报告。</w:t>
      </w:r>
    </w:p>
    <w:p w:rsidR="004B4777" w:rsidRDefault="004B4777">
      <w:pPr>
        <w:ind w:firstLine="480"/>
        <w:rPr>
          <w:rFonts w:ascii="Times New Roman" w:hAnsi="Times New Roman" w:hint="eastAsia"/>
        </w:rPr>
      </w:pPr>
      <w:r>
        <w:rPr>
          <w:rFonts w:ascii="Times New Roman" w:hAnsi="Times New Roman" w:hint="eastAsia"/>
        </w:rPr>
        <w:t>采砂工程对环境的不利影响主要集中在采砂期，采砂过程中产生的采挖噪音、</w:t>
      </w:r>
      <w:r>
        <w:rPr>
          <w:rFonts w:ascii="Times New Roman" w:hAnsi="Times New Roman" w:hint="eastAsia"/>
        </w:rPr>
        <w:lastRenderedPageBreak/>
        <w:t>采挖悬浮物等会对采挖区河段的生态环境产生不利的影响，其中洲滩采挖对生态环境的影响较为明显主要表现在：直接破坏动植物的生境，造成该区域动植物资源的损失；因开挖造成河床底质破坏等将对鱼类、虾类、龟鳖等水生生物资源及水生态产生影响。</w:t>
      </w:r>
    </w:p>
    <w:p w:rsidR="004B4777" w:rsidRDefault="004B4777">
      <w:pPr>
        <w:ind w:firstLine="480"/>
        <w:rPr>
          <w:rFonts w:ascii="Times New Roman" w:hAnsi="Times New Roman" w:hint="eastAsia"/>
        </w:rPr>
      </w:pPr>
      <w:r>
        <w:rPr>
          <w:rFonts w:ascii="Times New Roman" w:hAnsi="Times New Roman" w:hint="eastAsia"/>
        </w:rPr>
        <w:t>易婆塘采砂区与湖南湘阴横岭湖省级自然保护区实验区、横岭湖湖泊湿地及南洞庭湖银鱼三角帆蚌国家级水产种植资源保护区最近距离为</w:t>
      </w:r>
      <w:r>
        <w:rPr>
          <w:rFonts w:ascii="Times New Roman" w:hAnsi="Times New Roman" w:hint="eastAsia"/>
        </w:rPr>
        <w:t>103</w:t>
      </w:r>
      <w:r>
        <w:rPr>
          <w:rFonts w:ascii="Times New Roman" w:hAnsi="Times New Roman" w:hint="eastAsia"/>
        </w:rPr>
        <w:t>米，与湖南南洞庭湖省级自然保护区实验区最近距离为</w:t>
      </w:r>
      <w:r>
        <w:rPr>
          <w:rFonts w:ascii="Times New Roman" w:hAnsi="Times New Roman" w:hint="eastAsia"/>
        </w:rPr>
        <w:t>749</w:t>
      </w:r>
      <w:r>
        <w:rPr>
          <w:rFonts w:ascii="Times New Roman" w:hAnsi="Times New Roman" w:hint="eastAsia"/>
        </w:rPr>
        <w:t>米；斗米咀采砂区与湖南湘阴横岭湖省级自然保护区实验区和横岭湖湖泊湿地的最近距离为</w:t>
      </w:r>
      <w:r>
        <w:rPr>
          <w:rFonts w:ascii="Times New Roman" w:hAnsi="Times New Roman" w:hint="eastAsia"/>
        </w:rPr>
        <w:t>31</w:t>
      </w:r>
      <w:r>
        <w:rPr>
          <w:rFonts w:ascii="Times New Roman" w:hAnsi="Times New Roman" w:hint="eastAsia"/>
        </w:rPr>
        <w:t>米，与南洞庭湖大口鲶青虾中华鳖国家级水产种植资源保护区最近距离为</w:t>
      </w:r>
      <w:r>
        <w:rPr>
          <w:rFonts w:ascii="Times New Roman" w:hAnsi="Times New Roman" w:hint="eastAsia"/>
        </w:rPr>
        <w:t>385</w:t>
      </w:r>
      <w:r>
        <w:rPr>
          <w:rFonts w:ascii="Times New Roman" w:hAnsi="Times New Roman" w:hint="eastAsia"/>
        </w:rPr>
        <w:t>米。采砂区不直接占用保护区，对保护区的影响主要是对区域附近水生生物及其栖息地造成一定的压力。</w:t>
      </w:r>
    </w:p>
    <w:p w:rsidR="004B4777" w:rsidRDefault="004B4777">
      <w:pPr>
        <w:ind w:firstLine="480"/>
        <w:rPr>
          <w:rFonts w:ascii="Times New Roman" w:hAnsi="Times New Roman"/>
          <w:szCs w:val="24"/>
        </w:rPr>
      </w:pPr>
      <w:r>
        <w:rPr>
          <w:rFonts w:ascii="Times New Roman" w:hAnsi="Times New Roman" w:hint="eastAsia"/>
        </w:rPr>
        <w:t>采砂工程通过对采砂工艺和方案的优化，可有效降低采砂期噪声和振动的强度，从而减轻对水域生态环境的影响；通过采取驱鱼措施、增殖放流、生态监测、湿生植被恢复、渔政管理及风险防范等一系列措施，可有效的降低采砂工程对评价区水域的影响；相关监测和研究成果将为保护措施的调整提供有力的科学依据，对湘江段、资江段以及洞庭湖水域生态环境的保护将起到积极的作用。</w:t>
      </w:r>
    </w:p>
    <w:p w:rsidR="004B4777" w:rsidRDefault="004B4777">
      <w:pPr>
        <w:ind w:firstLine="480"/>
        <w:rPr>
          <w:rFonts w:ascii="Times New Roman" w:hAnsi="Times New Roman"/>
          <w:szCs w:val="20"/>
        </w:rPr>
        <w:sectPr w:rsidR="004B4777">
          <w:pgSz w:w="11906" w:h="16838"/>
          <w:pgMar w:top="1440" w:right="1800" w:bottom="1440" w:left="1800" w:header="851" w:footer="992" w:gutter="0"/>
          <w:cols w:space="720"/>
          <w:docGrid w:type="lines" w:linePitch="312"/>
        </w:sectPr>
      </w:pPr>
    </w:p>
    <w:p w:rsidR="004B4777" w:rsidRDefault="004B4777">
      <w:pPr>
        <w:pStyle w:val="1"/>
        <w:spacing w:before="0" w:after="0" w:line="360" w:lineRule="auto"/>
        <w:rPr>
          <w:rFonts w:ascii="Times New Roman" w:eastAsia="宋体" w:hAnsi="Times New Roman" w:hint="eastAsia"/>
          <w:b/>
          <w:sz w:val="32"/>
          <w:szCs w:val="32"/>
        </w:rPr>
      </w:pPr>
      <w:bookmarkStart w:id="179" w:name="_Toc523854039"/>
      <w:r>
        <w:rPr>
          <w:rFonts w:ascii="Times New Roman" w:eastAsia="宋体" w:hAnsi="Times New Roman"/>
          <w:b/>
          <w:sz w:val="32"/>
          <w:szCs w:val="32"/>
        </w:rPr>
        <w:lastRenderedPageBreak/>
        <w:t>第</w:t>
      </w:r>
      <w:r>
        <w:rPr>
          <w:rFonts w:ascii="Times New Roman" w:eastAsia="宋体" w:hAnsi="Times New Roman" w:hint="eastAsia"/>
          <w:b/>
          <w:sz w:val="32"/>
          <w:szCs w:val="32"/>
        </w:rPr>
        <w:t>7</w:t>
      </w:r>
      <w:r>
        <w:rPr>
          <w:rFonts w:ascii="Times New Roman" w:eastAsia="宋体" w:hAnsi="Times New Roman"/>
          <w:b/>
          <w:sz w:val="32"/>
          <w:szCs w:val="32"/>
        </w:rPr>
        <w:t>章</w:t>
      </w:r>
      <w:r>
        <w:rPr>
          <w:rFonts w:ascii="Times New Roman" w:eastAsia="宋体" w:hAnsi="Times New Roman" w:hint="eastAsia"/>
          <w:b/>
          <w:sz w:val="32"/>
          <w:szCs w:val="32"/>
        </w:rPr>
        <w:t xml:space="preserve"> </w:t>
      </w:r>
      <w:r>
        <w:rPr>
          <w:rFonts w:ascii="Times New Roman" w:eastAsia="宋体" w:hAnsi="Times New Roman" w:hint="eastAsia"/>
          <w:b/>
          <w:sz w:val="32"/>
          <w:szCs w:val="32"/>
        </w:rPr>
        <w:t>污染</w:t>
      </w:r>
      <w:r>
        <w:rPr>
          <w:rFonts w:ascii="Times New Roman" w:eastAsia="宋体" w:hAnsi="Times New Roman"/>
          <w:b/>
          <w:sz w:val="32"/>
          <w:szCs w:val="32"/>
        </w:rPr>
        <w:t>防治措施</w:t>
      </w:r>
      <w:bookmarkEnd w:id="179"/>
    </w:p>
    <w:p w:rsidR="004B4777" w:rsidRDefault="004B4777">
      <w:pPr>
        <w:pStyle w:val="2"/>
        <w:spacing w:before="0" w:after="0"/>
        <w:rPr>
          <w:rFonts w:ascii="Times New Roman" w:eastAsia="宋体" w:hAnsi="Times New Roman" w:hint="eastAsia"/>
          <w:b/>
          <w:sz w:val="30"/>
          <w:szCs w:val="30"/>
        </w:rPr>
      </w:pPr>
      <w:bookmarkStart w:id="180" w:name="_Toc523854040"/>
      <w:r>
        <w:rPr>
          <w:rFonts w:ascii="Times New Roman" w:eastAsia="宋体" w:hAnsi="Times New Roman" w:hint="eastAsia"/>
          <w:b/>
          <w:sz w:val="30"/>
          <w:szCs w:val="30"/>
        </w:rPr>
        <w:t>7</w:t>
      </w:r>
      <w:r>
        <w:rPr>
          <w:rFonts w:ascii="Times New Roman" w:eastAsia="宋体" w:hAnsi="Times New Roman"/>
          <w:b/>
          <w:sz w:val="30"/>
          <w:szCs w:val="30"/>
        </w:rPr>
        <w:t>.</w:t>
      </w:r>
      <w:r>
        <w:rPr>
          <w:rFonts w:ascii="Times New Roman" w:eastAsia="宋体" w:hAnsi="Times New Roman" w:hint="eastAsia"/>
          <w:b/>
          <w:sz w:val="30"/>
          <w:szCs w:val="30"/>
        </w:rPr>
        <w:t>1</w:t>
      </w:r>
      <w:r>
        <w:rPr>
          <w:rFonts w:ascii="Times New Roman" w:eastAsia="宋体" w:hAnsi="Times New Roman"/>
          <w:b/>
          <w:sz w:val="30"/>
          <w:szCs w:val="30"/>
        </w:rPr>
        <w:t xml:space="preserve"> </w:t>
      </w:r>
      <w:r>
        <w:rPr>
          <w:rFonts w:ascii="Times New Roman" w:eastAsia="宋体" w:hAnsi="Times New Roman" w:hint="eastAsia"/>
          <w:b/>
          <w:sz w:val="30"/>
          <w:szCs w:val="30"/>
        </w:rPr>
        <w:t>项目采砂过程中环境保护</w:t>
      </w:r>
      <w:r>
        <w:rPr>
          <w:rFonts w:ascii="Times New Roman" w:eastAsia="宋体" w:hAnsi="Times New Roman"/>
          <w:b/>
          <w:sz w:val="30"/>
          <w:szCs w:val="30"/>
        </w:rPr>
        <w:t>措施</w:t>
      </w:r>
      <w:bookmarkEnd w:id="180"/>
    </w:p>
    <w:p w:rsidR="004B4777" w:rsidRDefault="004B4777">
      <w:pPr>
        <w:snapToGrid w:val="0"/>
        <w:ind w:firstLine="449"/>
        <w:rPr>
          <w:rFonts w:ascii="Times New Roman" w:hAnsi="Times New Roman"/>
          <w:snapToGrid w:val="0"/>
          <w:kern w:val="0"/>
        </w:rPr>
      </w:pPr>
      <w:r>
        <w:rPr>
          <w:rFonts w:ascii="Times New Roman" w:hAnsi="Times New Roman" w:hint="eastAsia"/>
          <w:snapToGrid w:val="0"/>
          <w:kern w:val="0"/>
        </w:rPr>
        <w:t>本工程为在拟申请河砂开采区内采砂，可能造成的环境影响是施工作业产生的入河悬沙对河流生态环境和周围的环境敏感区的影响，以及河砂开采改变采砂区水下地形，从而造成附近水动力环境和冲淤环境发生变化，对周围的环境敏感目标造成影响。因此，本项目实施工程中应注意控制河砂开采强度和开采范围，防止越界开采和超强度开采。同时对采砂工艺和使用船型也应按照本报告预测使用的船型和工艺进行控制，避免采砂作业影响超出本报告预测范围。项目采砂过程中环境保护措施见表</w:t>
      </w:r>
      <w:r>
        <w:rPr>
          <w:rFonts w:ascii="Times New Roman" w:hAnsi="Times New Roman" w:hint="eastAsia"/>
          <w:snapToGrid w:val="0"/>
          <w:kern w:val="0"/>
        </w:rPr>
        <w:t>7.1-1</w:t>
      </w:r>
      <w:r>
        <w:rPr>
          <w:rFonts w:ascii="Times New Roman" w:hAnsi="Times New Roman" w:hint="eastAsia"/>
          <w:snapToGrid w:val="0"/>
          <w:kern w:val="0"/>
        </w:rPr>
        <w:t>。</w:t>
      </w:r>
    </w:p>
    <w:p w:rsidR="004B4777" w:rsidRDefault="004B4777">
      <w:pPr>
        <w:snapToGrid w:val="0"/>
        <w:ind w:firstLineChars="0" w:firstLine="0"/>
        <w:jc w:val="center"/>
        <w:rPr>
          <w:rFonts w:ascii="Times New Roman" w:hAnsi="Times New Roman" w:hint="eastAsia"/>
          <w:b/>
        </w:rPr>
      </w:pPr>
      <w:bookmarkStart w:id="181" w:name="_Hlk481584315"/>
      <w:r>
        <w:rPr>
          <w:rFonts w:ascii="Times New Roman" w:hAnsi="Times New Roman" w:hint="eastAsia"/>
          <w:b/>
        </w:rPr>
        <w:t>表</w:t>
      </w:r>
      <w:r>
        <w:rPr>
          <w:rFonts w:ascii="Times New Roman" w:hAnsi="Times New Roman" w:hint="eastAsia"/>
          <w:b/>
        </w:rPr>
        <w:t>7.1</w:t>
      </w:r>
      <w:r>
        <w:rPr>
          <w:rFonts w:ascii="Times New Roman" w:hAnsi="Times New Roman"/>
          <w:b/>
        </w:rPr>
        <w:t xml:space="preserve">-1    </w:t>
      </w:r>
      <w:r>
        <w:rPr>
          <w:rFonts w:ascii="Times New Roman" w:hAnsi="Times New Roman" w:hint="eastAsia"/>
          <w:b/>
        </w:rPr>
        <w:t>采砂过程中</w:t>
      </w:r>
      <w:r>
        <w:rPr>
          <w:rFonts w:ascii="Times New Roman" w:hAnsi="Times New Roman"/>
          <w:b/>
        </w:rPr>
        <w:t>环保措施一览表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67"/>
        <w:gridCol w:w="4078"/>
        <w:gridCol w:w="1134"/>
        <w:gridCol w:w="709"/>
        <w:gridCol w:w="759"/>
      </w:tblGrid>
      <w:tr w:rsidR="004B4777">
        <w:trPr>
          <w:trHeight w:val="397"/>
        </w:trPr>
        <w:tc>
          <w:tcPr>
            <w:tcW w:w="675"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阶段</w:t>
            </w:r>
          </w:p>
        </w:tc>
        <w:tc>
          <w:tcPr>
            <w:tcW w:w="1167"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主要</w:t>
            </w:r>
            <w:r>
              <w:rPr>
                <w:rFonts w:ascii="Times New Roman" w:hAnsi="Times New Roman"/>
                <w:sz w:val="21"/>
                <w:szCs w:val="21"/>
              </w:rPr>
              <w:t>污染或影响</w:t>
            </w:r>
          </w:p>
        </w:tc>
        <w:tc>
          <w:tcPr>
            <w:tcW w:w="4078"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环保措施</w:t>
            </w:r>
          </w:p>
        </w:tc>
        <w:tc>
          <w:tcPr>
            <w:tcW w:w="1134"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预期</w:t>
            </w:r>
            <w:r>
              <w:rPr>
                <w:rFonts w:ascii="Times New Roman" w:hAnsi="Times New Roman"/>
                <w:sz w:val="21"/>
                <w:szCs w:val="21"/>
              </w:rPr>
              <w:t>效果</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实施</w:t>
            </w:r>
            <w:r>
              <w:rPr>
                <w:rFonts w:ascii="Times New Roman" w:hAnsi="Times New Roman"/>
                <w:sz w:val="21"/>
                <w:szCs w:val="21"/>
              </w:rPr>
              <w:t>地点</w:t>
            </w:r>
          </w:p>
        </w:tc>
        <w:tc>
          <w:tcPr>
            <w:tcW w:w="759"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责任主体</w:t>
            </w:r>
          </w:p>
        </w:tc>
      </w:tr>
      <w:tr w:rsidR="004B4777">
        <w:trPr>
          <w:trHeight w:val="397"/>
        </w:trPr>
        <w:tc>
          <w:tcPr>
            <w:tcW w:w="675"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采砂</w:t>
            </w:r>
            <w:r>
              <w:rPr>
                <w:rFonts w:ascii="Times New Roman" w:hAnsi="Times New Roman"/>
                <w:sz w:val="21"/>
                <w:szCs w:val="21"/>
              </w:rPr>
              <w:t>过程</w:t>
            </w:r>
          </w:p>
        </w:tc>
        <w:tc>
          <w:tcPr>
            <w:tcW w:w="1167"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悬沙</w:t>
            </w:r>
            <w:r>
              <w:rPr>
                <w:rFonts w:ascii="Times New Roman" w:hAnsi="Times New Roman"/>
                <w:sz w:val="21"/>
                <w:szCs w:val="21"/>
              </w:rPr>
              <w:t>、水文动力和地形地貌的改变</w:t>
            </w:r>
          </w:p>
        </w:tc>
        <w:tc>
          <w:tcPr>
            <w:tcW w:w="4078"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注意控制</w:t>
            </w:r>
            <w:r>
              <w:rPr>
                <w:rFonts w:ascii="Times New Roman" w:hAnsi="Times New Roman"/>
                <w:sz w:val="21"/>
                <w:szCs w:val="21"/>
              </w:rPr>
              <w:t>河砂开采强度和开采范围，防治越界开采和超强度开采。河砂</w:t>
            </w:r>
            <w:r>
              <w:rPr>
                <w:rFonts w:ascii="Times New Roman" w:hAnsi="Times New Roman" w:hint="eastAsia"/>
                <w:sz w:val="21"/>
                <w:szCs w:val="21"/>
              </w:rPr>
              <w:t>开采区</w:t>
            </w:r>
            <w:r>
              <w:rPr>
                <w:rFonts w:ascii="Times New Roman" w:hAnsi="Times New Roman"/>
                <w:sz w:val="21"/>
                <w:szCs w:val="21"/>
              </w:rPr>
              <w:t>周围的的浑水区投放设置防污</w:t>
            </w:r>
            <w:r>
              <w:rPr>
                <w:rFonts w:ascii="Times New Roman" w:hAnsi="Times New Roman" w:hint="eastAsia"/>
                <w:sz w:val="21"/>
                <w:szCs w:val="21"/>
              </w:rPr>
              <w:t>帘</w:t>
            </w:r>
            <w:r>
              <w:rPr>
                <w:rFonts w:ascii="Times New Roman" w:hAnsi="Times New Roman"/>
                <w:sz w:val="21"/>
                <w:szCs w:val="21"/>
              </w:rPr>
              <w:t>，可以最大限度的控制悬浮物（</w:t>
            </w:r>
            <w:r>
              <w:rPr>
                <w:rFonts w:ascii="Times New Roman" w:hAnsi="Times New Roman" w:hint="eastAsia"/>
                <w:sz w:val="21"/>
                <w:szCs w:val="21"/>
              </w:rPr>
              <w:t>SS</w:t>
            </w:r>
            <w:r>
              <w:rPr>
                <w:rFonts w:ascii="Times New Roman" w:hAnsi="Times New Roman"/>
                <w:sz w:val="21"/>
                <w:szCs w:val="21"/>
              </w:rPr>
              <w:t>）</w:t>
            </w:r>
            <w:r>
              <w:rPr>
                <w:rFonts w:ascii="Times New Roman" w:hAnsi="Times New Roman" w:hint="eastAsia"/>
                <w:sz w:val="21"/>
                <w:szCs w:val="21"/>
              </w:rPr>
              <w:t>的</w:t>
            </w:r>
            <w:r>
              <w:rPr>
                <w:rFonts w:ascii="Times New Roman" w:hAnsi="Times New Roman"/>
                <w:sz w:val="21"/>
                <w:szCs w:val="21"/>
              </w:rPr>
              <w:t>扩散范围，缩短影响时间</w:t>
            </w:r>
            <w:r>
              <w:rPr>
                <w:rFonts w:ascii="Times New Roman" w:hAnsi="Times New Roman" w:hint="eastAsia"/>
                <w:sz w:val="21"/>
                <w:szCs w:val="21"/>
              </w:rPr>
              <w:t>。</w:t>
            </w:r>
          </w:p>
        </w:tc>
        <w:tc>
          <w:tcPr>
            <w:tcW w:w="1134"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避免</w:t>
            </w:r>
            <w:r>
              <w:rPr>
                <w:rFonts w:ascii="Times New Roman" w:hAnsi="Times New Roman"/>
                <w:sz w:val="21"/>
                <w:szCs w:val="21"/>
              </w:rPr>
              <w:t>采砂作业影响超出采砂范围</w:t>
            </w:r>
          </w:p>
        </w:tc>
        <w:tc>
          <w:tcPr>
            <w:tcW w:w="709"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采砂区</w:t>
            </w:r>
          </w:p>
        </w:tc>
        <w:tc>
          <w:tcPr>
            <w:tcW w:w="759" w:type="dxa"/>
            <w:vAlign w:val="center"/>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采砂</w:t>
            </w:r>
            <w:r>
              <w:rPr>
                <w:rFonts w:ascii="Times New Roman" w:hAnsi="Times New Roman"/>
                <w:sz w:val="21"/>
                <w:szCs w:val="21"/>
              </w:rPr>
              <w:t>单位</w:t>
            </w:r>
          </w:p>
        </w:tc>
      </w:tr>
    </w:tbl>
    <w:p w:rsidR="004B4777" w:rsidRDefault="004B4777">
      <w:pPr>
        <w:pStyle w:val="2"/>
        <w:spacing w:before="0" w:after="0"/>
        <w:rPr>
          <w:rFonts w:ascii="Times New Roman" w:eastAsia="宋体" w:hAnsi="Times New Roman" w:hint="eastAsia"/>
          <w:b/>
          <w:sz w:val="30"/>
          <w:szCs w:val="30"/>
        </w:rPr>
      </w:pPr>
      <w:bookmarkStart w:id="182" w:name="_Toc523854041"/>
      <w:bookmarkEnd w:id="181"/>
      <w:r>
        <w:rPr>
          <w:rFonts w:ascii="Times New Roman" w:eastAsia="宋体" w:hAnsi="Times New Roman" w:hint="eastAsia"/>
          <w:b/>
          <w:sz w:val="30"/>
          <w:szCs w:val="30"/>
        </w:rPr>
        <w:t>7</w:t>
      </w:r>
      <w:r>
        <w:rPr>
          <w:rFonts w:ascii="Times New Roman" w:eastAsia="宋体" w:hAnsi="Times New Roman"/>
          <w:b/>
          <w:sz w:val="30"/>
          <w:szCs w:val="30"/>
        </w:rPr>
        <w:t>.</w:t>
      </w:r>
      <w:r>
        <w:rPr>
          <w:rFonts w:ascii="Times New Roman" w:eastAsia="宋体" w:hAnsi="Times New Roman" w:hint="eastAsia"/>
          <w:b/>
          <w:sz w:val="30"/>
          <w:szCs w:val="30"/>
        </w:rPr>
        <w:t>2</w:t>
      </w:r>
      <w:r>
        <w:rPr>
          <w:rFonts w:ascii="Times New Roman" w:eastAsia="宋体" w:hAnsi="Times New Roman"/>
          <w:b/>
          <w:sz w:val="30"/>
          <w:szCs w:val="30"/>
        </w:rPr>
        <w:t xml:space="preserve"> </w:t>
      </w:r>
      <w:r>
        <w:rPr>
          <w:rFonts w:ascii="Times New Roman" w:eastAsia="宋体" w:hAnsi="Times New Roman" w:hint="eastAsia"/>
          <w:b/>
          <w:sz w:val="30"/>
          <w:szCs w:val="30"/>
        </w:rPr>
        <w:t>作业船舶污染防治</w:t>
      </w:r>
      <w:r>
        <w:rPr>
          <w:rFonts w:ascii="Times New Roman" w:eastAsia="宋体" w:hAnsi="Times New Roman"/>
          <w:b/>
          <w:sz w:val="30"/>
          <w:szCs w:val="30"/>
        </w:rPr>
        <w:t>措施</w:t>
      </w:r>
      <w:bookmarkEnd w:id="182"/>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7</w:t>
      </w:r>
      <w:r>
        <w:rPr>
          <w:rFonts w:ascii="Times New Roman" w:eastAsia="宋体" w:hAnsi="Times New Roman"/>
          <w:b/>
        </w:rPr>
        <w:t>.2.</w:t>
      </w:r>
      <w:r>
        <w:rPr>
          <w:rFonts w:ascii="Times New Roman" w:eastAsia="宋体" w:hAnsi="Times New Roman" w:hint="eastAsia"/>
          <w:b/>
        </w:rPr>
        <w:t>1</w:t>
      </w:r>
      <w:r>
        <w:rPr>
          <w:rFonts w:ascii="Times New Roman" w:eastAsia="宋体" w:hAnsi="Times New Roman"/>
          <w:b/>
        </w:rPr>
        <w:t xml:space="preserve"> </w:t>
      </w:r>
      <w:r>
        <w:rPr>
          <w:rFonts w:ascii="Times New Roman" w:eastAsia="宋体" w:hAnsi="Times New Roman" w:hint="eastAsia"/>
          <w:b/>
        </w:rPr>
        <w:t>水环境</w:t>
      </w:r>
      <w:r>
        <w:rPr>
          <w:rFonts w:ascii="Times New Roman" w:eastAsia="宋体" w:hAnsi="Times New Roman"/>
          <w:b/>
        </w:rPr>
        <w:t>污染防治措施</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为规范管理采砂区开采，减少乱采滥挖，减少采砂区开采对采砂河段水环境的影响，建设单位及采砂单位（各采砂船）应严格按照省政府及水利厅的有关规定进行采砂活动。在采砂区开采生产过程中应采取必要的措施，如对作业的船舶严格管理，各采砂船必须配备油水分离器、垃圾储存器等环保措施，严禁作业人员的生活污水、船舶上含污水、生活垃圾等污染物直接排入或倒入资江、湘江内。采砂弃料（大块废石）必须及时回填采坑，以免影响行洪和通航安全。</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具体措施如下：</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1</w:t>
      </w:r>
      <w:r>
        <w:rPr>
          <w:rFonts w:ascii="Times New Roman" w:hAnsi="Times New Roman" w:hint="eastAsia"/>
          <w:snapToGrid w:val="0"/>
          <w:kern w:val="0"/>
        </w:rPr>
        <w:t>）生活污水</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各采砂船均配套一套生活废水生化处理装置，用来处理采砂人员的生活污水，</w:t>
      </w:r>
      <w:r>
        <w:rPr>
          <w:rFonts w:ascii="Times New Roman" w:hAnsi="Times New Roman" w:hint="eastAsia"/>
          <w:snapToGrid w:val="0"/>
          <w:kern w:val="0"/>
          <w:u w:val="single"/>
        </w:rPr>
        <w:t>生活污水经处理后委托有资质单位接收处置。</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禁止各采砂船生活污水、生产废水直接排入资江、湘江。</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lastRenderedPageBreak/>
        <w:t>（</w:t>
      </w:r>
      <w:r>
        <w:rPr>
          <w:rFonts w:ascii="Times New Roman" w:hAnsi="Times New Roman" w:hint="eastAsia"/>
          <w:snapToGrid w:val="0"/>
          <w:kern w:val="0"/>
        </w:rPr>
        <w:t>2</w:t>
      </w:r>
      <w:r>
        <w:rPr>
          <w:rFonts w:ascii="Times New Roman" w:hAnsi="Times New Roman" w:hint="eastAsia"/>
          <w:snapToGrid w:val="0"/>
          <w:kern w:val="0"/>
        </w:rPr>
        <w:t>）船舶含油废水</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各采砂船必须配备油水分离器，分离出的油状物为危险废物，由建设单位统一收集，交由有资质单位处置，分离出的废水</w:t>
      </w:r>
      <w:r>
        <w:rPr>
          <w:rFonts w:ascii="Times New Roman" w:hAnsi="Times New Roman" w:hint="eastAsia"/>
          <w:snapToGrid w:val="0"/>
          <w:kern w:val="0"/>
          <w:u w:val="single"/>
        </w:rPr>
        <w:t>委托有资质单位接收处置。</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7</w:t>
      </w:r>
      <w:r>
        <w:rPr>
          <w:rFonts w:ascii="Times New Roman" w:eastAsia="宋体" w:hAnsi="Times New Roman"/>
          <w:b/>
        </w:rPr>
        <w:t>.2.</w:t>
      </w:r>
      <w:r>
        <w:rPr>
          <w:rFonts w:ascii="Times New Roman" w:eastAsia="宋体" w:hAnsi="Times New Roman" w:hint="eastAsia"/>
          <w:b/>
        </w:rPr>
        <w:t>2</w:t>
      </w:r>
      <w:r>
        <w:rPr>
          <w:rFonts w:ascii="Times New Roman" w:eastAsia="宋体" w:hAnsi="Times New Roman"/>
          <w:b/>
        </w:rPr>
        <w:t xml:space="preserve"> </w:t>
      </w:r>
      <w:r>
        <w:rPr>
          <w:rFonts w:ascii="Times New Roman" w:eastAsia="宋体" w:hAnsi="Times New Roman" w:hint="eastAsia"/>
          <w:b/>
        </w:rPr>
        <w:t>噪声</w:t>
      </w:r>
      <w:r>
        <w:rPr>
          <w:rFonts w:ascii="Times New Roman" w:eastAsia="宋体" w:hAnsi="Times New Roman"/>
          <w:b/>
        </w:rPr>
        <w:t>污染防治措施</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建设单位在租赁采砂船时，应优先选用低噪声设备、维修保养及时的采砂船，不租赁长久失修、噪声产生大的采砂船。另外，还应强制各采砂船制定如下防治噪声措施：</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1</w:t>
      </w:r>
      <w:r>
        <w:rPr>
          <w:rFonts w:ascii="Times New Roman" w:hAnsi="Times New Roman" w:hint="eastAsia"/>
          <w:snapToGrid w:val="0"/>
          <w:kern w:val="0"/>
        </w:rPr>
        <w:t>）采砂区开采单位应合理安排采区开采时间，应尽可能避免大量高噪声设备同时施工。采砂作业期间，要求单艘采砂船每天作业时间不得超过</w:t>
      </w:r>
      <w:r>
        <w:rPr>
          <w:rFonts w:ascii="Times New Roman" w:hAnsi="Times New Roman" w:hint="eastAsia"/>
          <w:snapToGrid w:val="0"/>
          <w:kern w:val="0"/>
        </w:rPr>
        <w:t>14</w:t>
      </w:r>
      <w:r>
        <w:rPr>
          <w:rFonts w:ascii="Times New Roman" w:hAnsi="Times New Roman" w:hint="eastAsia"/>
          <w:snapToGrid w:val="0"/>
          <w:kern w:val="0"/>
        </w:rPr>
        <w:t>小时（早上</w:t>
      </w:r>
      <w:r>
        <w:rPr>
          <w:rFonts w:ascii="Times New Roman" w:hAnsi="Times New Roman" w:hint="eastAsia"/>
          <w:snapToGrid w:val="0"/>
          <w:kern w:val="0"/>
        </w:rPr>
        <w:t>6:00</w:t>
      </w:r>
      <w:r>
        <w:rPr>
          <w:rFonts w:ascii="Times New Roman" w:hAnsi="Times New Roman" w:hint="eastAsia"/>
          <w:snapToGrid w:val="0"/>
          <w:kern w:val="0"/>
        </w:rPr>
        <w:t>～晚上</w:t>
      </w:r>
      <w:r>
        <w:rPr>
          <w:rFonts w:ascii="Times New Roman" w:hAnsi="Times New Roman" w:hint="eastAsia"/>
          <w:snapToGrid w:val="0"/>
          <w:kern w:val="0"/>
        </w:rPr>
        <w:t>20:00</w:t>
      </w:r>
      <w:r>
        <w:rPr>
          <w:rFonts w:ascii="Times New Roman" w:hAnsi="Times New Roman" w:hint="eastAsia"/>
          <w:snapToGrid w:val="0"/>
          <w:kern w:val="0"/>
        </w:rPr>
        <w:t>），并且夜间停止施工作业。</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2</w:t>
      </w:r>
      <w:r>
        <w:rPr>
          <w:rFonts w:ascii="Times New Roman" w:hAnsi="Times New Roman" w:hint="eastAsia"/>
          <w:snapToGrid w:val="0"/>
          <w:kern w:val="0"/>
        </w:rPr>
        <w:t>）采砂船必须具备平缓移动开采的作业方式，以减轻采区开采可能带来的不利影响。</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3</w:t>
      </w:r>
      <w:r>
        <w:rPr>
          <w:rFonts w:ascii="Times New Roman" w:hAnsi="Times New Roman" w:hint="eastAsia"/>
          <w:snapToGrid w:val="0"/>
          <w:kern w:val="0"/>
        </w:rPr>
        <w:t>）对各采砂船各类水泵进行减震、降噪设计，对高噪声设备安装隔声罩。</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4</w:t>
      </w:r>
      <w:r>
        <w:rPr>
          <w:rFonts w:ascii="Times New Roman" w:hAnsi="Times New Roman" w:hint="eastAsia"/>
          <w:snapToGrid w:val="0"/>
          <w:kern w:val="0"/>
        </w:rPr>
        <w:t>）对输砂管道安装吸声材料。</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5</w:t>
      </w:r>
      <w:r>
        <w:rPr>
          <w:rFonts w:ascii="Times New Roman" w:hAnsi="Times New Roman" w:hint="eastAsia"/>
          <w:snapToGrid w:val="0"/>
          <w:kern w:val="0"/>
        </w:rPr>
        <w:t>）对采砂工人进行个人自身主动性防噪保护（佩带耳塞，轮流在控制室、砂石筛分等高噪声工段值班等）。</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7</w:t>
      </w:r>
      <w:r>
        <w:rPr>
          <w:rFonts w:ascii="Times New Roman" w:eastAsia="宋体" w:hAnsi="Times New Roman"/>
          <w:b/>
        </w:rPr>
        <w:t>.2.</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hint="eastAsia"/>
          <w:b/>
        </w:rPr>
        <w:t>固废</w:t>
      </w:r>
      <w:r>
        <w:rPr>
          <w:rFonts w:ascii="Times New Roman" w:eastAsia="宋体" w:hAnsi="Times New Roman"/>
          <w:b/>
        </w:rPr>
        <w:t>污染防治措施</w:t>
      </w:r>
    </w:p>
    <w:p w:rsidR="004B4777" w:rsidRDefault="004B4777">
      <w:pPr>
        <w:snapToGrid w:val="0"/>
        <w:ind w:firstLine="449"/>
        <w:rPr>
          <w:rFonts w:ascii="Times New Roman" w:hAnsi="Times New Roman" w:hint="eastAsia"/>
          <w:snapToGrid w:val="0"/>
          <w:kern w:val="0"/>
          <w:u w:val="single"/>
        </w:rPr>
      </w:pPr>
      <w:r>
        <w:rPr>
          <w:rFonts w:ascii="Times New Roman" w:hAnsi="Times New Roman" w:hint="eastAsia"/>
          <w:snapToGrid w:val="0"/>
          <w:kern w:val="0"/>
          <w:u w:val="single"/>
        </w:rPr>
        <w:t>项目运营后，主要固体废物为生产过程中产生清表固废、筛分较大的石块和生活垃圾、废柴油、废润滑油以及油水分离器分离的废油等。</w:t>
      </w:r>
    </w:p>
    <w:p w:rsidR="004B4777" w:rsidRDefault="004B4777">
      <w:pPr>
        <w:snapToGrid w:val="0"/>
        <w:ind w:firstLine="449"/>
        <w:rPr>
          <w:rFonts w:ascii="Times New Roman" w:hAnsi="Times New Roman" w:hint="eastAsia"/>
          <w:snapToGrid w:val="0"/>
          <w:kern w:val="0"/>
          <w:u w:val="single"/>
        </w:rPr>
      </w:pPr>
      <w:r>
        <w:rPr>
          <w:rFonts w:ascii="Times New Roman" w:hAnsi="Times New Roman" w:hint="eastAsia"/>
          <w:snapToGrid w:val="0"/>
          <w:kern w:val="0"/>
          <w:u w:val="single"/>
        </w:rPr>
        <w:t>（</w:t>
      </w:r>
      <w:r>
        <w:rPr>
          <w:rFonts w:ascii="Times New Roman" w:hAnsi="Times New Roman" w:hint="eastAsia"/>
          <w:snapToGrid w:val="0"/>
          <w:kern w:val="0"/>
          <w:u w:val="single"/>
        </w:rPr>
        <w:t>1</w:t>
      </w:r>
      <w:r>
        <w:rPr>
          <w:rFonts w:ascii="Times New Roman" w:hAnsi="Times New Roman" w:hint="eastAsia"/>
          <w:snapToGrid w:val="0"/>
          <w:kern w:val="0"/>
          <w:u w:val="single"/>
        </w:rPr>
        <w:t>）采矿前地表应进行清理，采区范围内种植的经济林经砍伐后将树干送至造纸厂，树根运至生物质厂；剥离表土采用机械剥离，表层土运至附近砖厂制砖。</w:t>
      </w:r>
    </w:p>
    <w:p w:rsidR="004B4777" w:rsidRDefault="004B4777">
      <w:pPr>
        <w:snapToGrid w:val="0"/>
        <w:ind w:firstLine="449"/>
        <w:rPr>
          <w:rFonts w:ascii="Times New Roman" w:hAnsi="Times New Roman" w:hint="eastAsia"/>
          <w:snapToGrid w:val="0"/>
          <w:kern w:val="0"/>
          <w:u w:val="single"/>
        </w:rPr>
      </w:pPr>
      <w:r>
        <w:rPr>
          <w:rFonts w:ascii="Times New Roman" w:hAnsi="Times New Roman" w:hint="eastAsia"/>
          <w:snapToGrid w:val="0"/>
          <w:kern w:val="0"/>
          <w:u w:val="single"/>
        </w:rPr>
        <w:t>（</w:t>
      </w:r>
      <w:r>
        <w:rPr>
          <w:rFonts w:ascii="Times New Roman" w:hAnsi="Times New Roman" w:hint="eastAsia"/>
          <w:snapToGrid w:val="0"/>
          <w:kern w:val="0"/>
          <w:u w:val="single"/>
        </w:rPr>
        <w:t>2</w:t>
      </w:r>
      <w:r>
        <w:rPr>
          <w:rFonts w:ascii="Times New Roman" w:hAnsi="Times New Roman" w:hint="eastAsia"/>
          <w:snapToGrid w:val="0"/>
          <w:kern w:val="0"/>
          <w:u w:val="single"/>
        </w:rPr>
        <w:t>）生产过程中会从河中捞出较大的石块，其集中收集后在回填于采砂区。</w:t>
      </w:r>
    </w:p>
    <w:p w:rsidR="004B4777" w:rsidRDefault="004B4777">
      <w:pPr>
        <w:snapToGrid w:val="0"/>
        <w:ind w:firstLine="449"/>
        <w:rPr>
          <w:rFonts w:ascii="Times New Roman" w:hAnsi="Times New Roman" w:hint="eastAsia"/>
          <w:snapToGrid w:val="0"/>
          <w:kern w:val="0"/>
          <w:u w:val="single"/>
        </w:rPr>
      </w:pPr>
      <w:r>
        <w:rPr>
          <w:rFonts w:ascii="Times New Roman" w:hAnsi="Times New Roman" w:hint="eastAsia"/>
          <w:snapToGrid w:val="0"/>
          <w:kern w:val="0"/>
          <w:u w:val="single"/>
        </w:rPr>
        <w:t>（</w:t>
      </w:r>
      <w:r>
        <w:rPr>
          <w:rFonts w:ascii="Times New Roman" w:hAnsi="Times New Roman" w:hint="eastAsia"/>
          <w:snapToGrid w:val="0"/>
          <w:kern w:val="0"/>
          <w:u w:val="single"/>
        </w:rPr>
        <w:t>3</w:t>
      </w:r>
      <w:r>
        <w:rPr>
          <w:rFonts w:ascii="Times New Roman" w:hAnsi="Times New Roman" w:hint="eastAsia"/>
          <w:snapToGrid w:val="0"/>
          <w:kern w:val="0"/>
          <w:u w:val="single"/>
        </w:rPr>
        <w:t>）生活垃圾由各采砂船分别收集后，再委托当地环卫部门进行处理。</w:t>
      </w:r>
    </w:p>
    <w:p w:rsidR="004B4777" w:rsidRDefault="004B4777">
      <w:pPr>
        <w:snapToGrid w:val="0"/>
        <w:ind w:firstLine="449"/>
        <w:rPr>
          <w:rFonts w:ascii="Times New Roman" w:hAnsi="Times New Roman" w:hint="eastAsia"/>
          <w:snapToGrid w:val="0"/>
          <w:kern w:val="0"/>
          <w:u w:val="single"/>
        </w:rPr>
      </w:pPr>
      <w:r>
        <w:rPr>
          <w:rFonts w:ascii="Times New Roman" w:hAnsi="Times New Roman" w:hint="eastAsia"/>
          <w:snapToGrid w:val="0"/>
          <w:kern w:val="0"/>
          <w:u w:val="single"/>
        </w:rPr>
        <w:t>（</w:t>
      </w:r>
      <w:r>
        <w:rPr>
          <w:rFonts w:ascii="Times New Roman" w:hAnsi="Times New Roman" w:hint="eastAsia"/>
          <w:snapToGrid w:val="0"/>
          <w:kern w:val="0"/>
          <w:u w:val="single"/>
        </w:rPr>
        <w:t>4</w:t>
      </w:r>
      <w:r>
        <w:rPr>
          <w:rFonts w:ascii="Times New Roman" w:hAnsi="Times New Roman" w:hint="eastAsia"/>
          <w:snapToGrid w:val="0"/>
          <w:kern w:val="0"/>
          <w:u w:val="single"/>
        </w:rPr>
        <w:t>）各采砂船产生的废机油、废柴油以及油水分离器分离的废油等属于危险废物，废物代码为</w:t>
      </w:r>
      <w:r>
        <w:rPr>
          <w:rFonts w:ascii="Times New Roman" w:hAnsi="Times New Roman" w:hint="eastAsia"/>
          <w:snapToGrid w:val="0"/>
          <w:kern w:val="0"/>
          <w:u w:val="single"/>
        </w:rPr>
        <w:t>HW08 900-210-08</w:t>
      </w:r>
      <w:r>
        <w:rPr>
          <w:rFonts w:ascii="Times New Roman" w:hAnsi="Times New Roman" w:hint="eastAsia"/>
          <w:snapToGrid w:val="0"/>
          <w:kern w:val="0"/>
          <w:u w:val="single"/>
        </w:rPr>
        <w:t>，由专用桶收集，在采砂船设置专门储藏室储藏，再统一交由建设单位交由有资质单位处置。</w:t>
      </w:r>
    </w:p>
    <w:p w:rsidR="004B4777" w:rsidRDefault="004B4777">
      <w:pPr>
        <w:pStyle w:val="3"/>
        <w:spacing w:before="0" w:after="0"/>
        <w:rPr>
          <w:rFonts w:ascii="Times New Roman" w:eastAsia="宋体" w:hAnsi="Times New Roman" w:hint="eastAsia"/>
          <w:b/>
        </w:rPr>
      </w:pPr>
      <w:r>
        <w:rPr>
          <w:rFonts w:ascii="Times New Roman" w:eastAsia="宋体" w:hAnsi="Times New Roman" w:hint="eastAsia"/>
          <w:b/>
        </w:rPr>
        <w:t>7</w:t>
      </w:r>
      <w:r>
        <w:rPr>
          <w:rFonts w:ascii="Times New Roman" w:eastAsia="宋体" w:hAnsi="Times New Roman"/>
          <w:b/>
        </w:rPr>
        <w:t>.2.</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hint="eastAsia"/>
          <w:b/>
        </w:rPr>
        <w:t>废气</w:t>
      </w:r>
      <w:r>
        <w:rPr>
          <w:rFonts w:ascii="Times New Roman" w:eastAsia="宋体" w:hAnsi="Times New Roman"/>
          <w:b/>
        </w:rPr>
        <w:t>污染防治措施</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本项目废气产生源主要为装卸工段产生的粉尘。由于本项目采用湿式采砂工</w:t>
      </w:r>
      <w:r>
        <w:rPr>
          <w:rFonts w:ascii="Times New Roman" w:hAnsi="Times New Roman" w:hint="eastAsia"/>
          <w:snapToGrid w:val="0"/>
          <w:kern w:val="0"/>
        </w:rPr>
        <w:lastRenderedPageBreak/>
        <w:t>艺，在装卸阶段，也会喷洒水分，以使砂石保持含水率不低于</w:t>
      </w:r>
      <w:r>
        <w:rPr>
          <w:rFonts w:ascii="Times New Roman" w:hAnsi="Times New Roman" w:hint="eastAsia"/>
          <w:snapToGrid w:val="0"/>
          <w:kern w:val="0"/>
        </w:rPr>
        <w:t>20%</w:t>
      </w:r>
      <w:r>
        <w:rPr>
          <w:rFonts w:ascii="Times New Roman" w:hAnsi="Times New Roman" w:hint="eastAsia"/>
          <w:snapToGrid w:val="0"/>
          <w:kern w:val="0"/>
        </w:rPr>
        <w:t>，粉尘产量少也较小，因此，上述废气（粉尘）处理设施是可行的。对于船舶燃油废气，船舶发动机应采用符合环保要求的发动机。</w:t>
      </w:r>
    </w:p>
    <w:p w:rsidR="004B4777" w:rsidRDefault="004B4777">
      <w:pPr>
        <w:pStyle w:val="2"/>
        <w:spacing w:before="0" w:after="0"/>
        <w:rPr>
          <w:rFonts w:ascii="Times New Roman" w:eastAsia="宋体" w:hAnsi="Times New Roman" w:hint="eastAsia"/>
          <w:b/>
          <w:sz w:val="30"/>
          <w:szCs w:val="30"/>
          <w:u w:val="single"/>
        </w:rPr>
      </w:pPr>
      <w:bookmarkStart w:id="183" w:name="_Toc523854042"/>
      <w:r>
        <w:rPr>
          <w:rFonts w:ascii="Times New Roman" w:eastAsia="宋体" w:hAnsi="Times New Roman" w:hint="eastAsia"/>
          <w:b/>
          <w:sz w:val="30"/>
          <w:szCs w:val="30"/>
          <w:u w:val="single"/>
        </w:rPr>
        <w:t>7</w:t>
      </w:r>
      <w:r>
        <w:rPr>
          <w:rFonts w:ascii="Times New Roman" w:eastAsia="宋体" w:hAnsi="Times New Roman"/>
          <w:b/>
          <w:sz w:val="30"/>
          <w:szCs w:val="30"/>
          <w:u w:val="single"/>
        </w:rPr>
        <w:t xml:space="preserve">.3 </w:t>
      </w:r>
      <w:r>
        <w:rPr>
          <w:rFonts w:ascii="Times New Roman" w:eastAsia="宋体" w:hAnsi="Times New Roman" w:hint="eastAsia"/>
          <w:b/>
          <w:sz w:val="30"/>
          <w:szCs w:val="30"/>
          <w:u w:val="single"/>
        </w:rPr>
        <w:t>采砂期生态</w:t>
      </w:r>
      <w:r>
        <w:rPr>
          <w:rFonts w:ascii="Times New Roman" w:eastAsia="宋体" w:hAnsi="Times New Roman"/>
          <w:b/>
          <w:sz w:val="30"/>
          <w:szCs w:val="30"/>
          <w:u w:val="single"/>
        </w:rPr>
        <w:t>影响防治对策</w:t>
      </w:r>
      <w:bookmarkEnd w:id="183"/>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1</w:t>
      </w:r>
      <w:r>
        <w:rPr>
          <w:rFonts w:ascii="Times New Roman" w:eastAsia="宋体" w:hAnsi="Times New Roman"/>
          <w:b/>
          <w:u w:val="single"/>
        </w:rPr>
        <w:t xml:space="preserve"> </w:t>
      </w:r>
      <w:r>
        <w:rPr>
          <w:rFonts w:ascii="Times New Roman" w:eastAsia="宋体" w:hAnsi="Times New Roman" w:hint="eastAsia"/>
          <w:b/>
          <w:u w:val="single"/>
        </w:rPr>
        <w:t>对植物资源的保护</w:t>
      </w:r>
      <w:r>
        <w:rPr>
          <w:rFonts w:ascii="Times New Roman" w:eastAsia="宋体" w:hAnsi="Times New Roman"/>
          <w:b/>
          <w:u w:val="single"/>
        </w:rPr>
        <w:t>措施</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1</w:t>
      </w:r>
      <w:r>
        <w:rPr>
          <w:rFonts w:ascii="Times New Roman" w:hAnsi="Times New Roman"/>
          <w:b/>
          <w:szCs w:val="24"/>
          <w:u w:val="single"/>
        </w:rPr>
        <w:t xml:space="preserve">.1 </w:t>
      </w:r>
      <w:r>
        <w:rPr>
          <w:rFonts w:ascii="Times New Roman" w:hAnsi="Times New Roman" w:hint="eastAsia"/>
          <w:b/>
          <w:szCs w:val="24"/>
          <w:u w:val="single"/>
        </w:rPr>
        <w:t>避免与消减措施</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生态影响的避免就是采取适当的措施，尽可能在最大程度上避免不利的生态影响。根据本工程特点，建议以下生态影响的避免措施：</w:t>
      </w:r>
    </w:p>
    <w:p w:rsidR="004B4777" w:rsidRDefault="004B4777">
      <w:pPr>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szCs w:val="24"/>
          <w:u w:val="single"/>
        </w:rPr>
        <w:t>1</w:t>
      </w:r>
      <w:r>
        <w:rPr>
          <w:rFonts w:ascii="Times New Roman" w:hAnsi="Times New Roman"/>
          <w:szCs w:val="24"/>
          <w:u w:val="single"/>
        </w:rPr>
        <w:t>）</w:t>
      </w:r>
      <w:r>
        <w:rPr>
          <w:rFonts w:ascii="Times New Roman" w:hAnsi="Times New Roman" w:hint="eastAsia"/>
          <w:szCs w:val="24"/>
          <w:u w:val="single"/>
        </w:rPr>
        <w:t>对采砂区上层覆土进行综合利用，做好开采期上层覆土的处置，将上层覆土进行运输至附近砖厂进行综合利用，禁止上层覆土直接进入河道。</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防止外来入侵种的扩散。评价区主要的外来种主要为凤眼蓝、垂序商陆、一年蓬等。目前防止外来物种入侵的方法主要有植物检疫、人工方法防治、化学方法防治、生物防治等。结合工程特点，建议采取以下措施防止外来物种的入侵：加大宣传力度，对外来物种的危害以及传播途径向采砂人员进行宣传；对现有的外来种，利用工程采砂机会，进行打捞销毁，在临时占地的地方要及时绿化等。</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1</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 xml:space="preserve"> </w:t>
      </w:r>
      <w:r>
        <w:rPr>
          <w:rFonts w:ascii="Times New Roman" w:hAnsi="Times New Roman" w:hint="eastAsia"/>
          <w:b/>
          <w:szCs w:val="24"/>
          <w:u w:val="single"/>
        </w:rPr>
        <w:t>管理措施</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color w:val="000000"/>
          <w:kern w:val="0"/>
          <w:szCs w:val="24"/>
          <w:u w:val="single"/>
        </w:rPr>
        <w:t>工程管理机构设置生态环境管理人员，建立各种管理及报告制度，开展对工程影响区的环境教育，提高施工人员，移民和管理人员环境意识。通过动态完善</w:t>
      </w:r>
      <w:r>
        <w:rPr>
          <w:rFonts w:ascii="Times New Roman" w:hAnsi="Times New Roman" w:hint="eastAsia"/>
          <w:color w:val="000000"/>
          <w:kern w:val="0"/>
          <w:szCs w:val="24"/>
          <w:u w:val="single"/>
        </w:rPr>
        <w:t>的</w:t>
      </w:r>
      <w:r>
        <w:rPr>
          <w:rFonts w:ascii="Times New Roman" w:hAnsi="Times New Roman"/>
          <w:color w:val="000000"/>
          <w:kern w:val="0"/>
          <w:szCs w:val="24"/>
          <w:u w:val="single"/>
        </w:rPr>
        <w:t>管理，使生态向良性或有利方向发展。</w:t>
      </w:r>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 xml:space="preserve">2 </w:t>
      </w:r>
      <w:r>
        <w:rPr>
          <w:rFonts w:ascii="Times New Roman" w:eastAsia="宋体" w:hAnsi="Times New Roman" w:hint="eastAsia"/>
          <w:b/>
          <w:u w:val="single"/>
        </w:rPr>
        <w:t>对陆生动物的保护</w:t>
      </w:r>
      <w:r>
        <w:rPr>
          <w:rFonts w:ascii="Times New Roman" w:eastAsia="宋体" w:hAnsi="Times New Roman"/>
          <w:b/>
          <w:u w:val="single"/>
        </w:rPr>
        <w:t>措施</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w:t>
      </w:r>
      <w:r>
        <w:rPr>
          <w:rFonts w:ascii="Times New Roman" w:hAnsi="Times New Roman" w:hint="eastAsia"/>
          <w:b/>
          <w:szCs w:val="24"/>
          <w:u w:val="single"/>
        </w:rPr>
        <w:t>1</w:t>
      </w:r>
      <w:r>
        <w:rPr>
          <w:rFonts w:ascii="Times New Roman" w:hAnsi="Times New Roman"/>
          <w:b/>
          <w:szCs w:val="24"/>
          <w:u w:val="single"/>
        </w:rPr>
        <w:t xml:space="preserve"> </w:t>
      </w:r>
      <w:r>
        <w:rPr>
          <w:rFonts w:ascii="Times New Roman" w:hAnsi="Times New Roman" w:hint="eastAsia"/>
          <w:b/>
          <w:szCs w:val="24"/>
          <w:u w:val="single"/>
        </w:rPr>
        <w:t>避免与消减措施</w:t>
      </w:r>
    </w:p>
    <w:p w:rsidR="004B4777" w:rsidRDefault="004B4777">
      <w:pPr>
        <w:autoSpaceDE w:val="0"/>
        <w:autoSpaceDN w:val="0"/>
        <w:snapToGrid w:val="0"/>
        <w:ind w:firstLine="449"/>
        <w:rPr>
          <w:rFonts w:ascii="Times New Roman" w:hAnsi="Times New Roman"/>
          <w:szCs w:val="24"/>
          <w:u w:val="single"/>
        </w:rPr>
      </w:pPr>
      <w:r>
        <w:rPr>
          <w:rFonts w:ascii="Times New Roman" w:hAnsi="Times New Roman" w:hint="eastAsia"/>
          <w:szCs w:val="24"/>
          <w:u w:val="single"/>
        </w:rPr>
        <w:t>（</w:t>
      </w:r>
      <w:r>
        <w:rPr>
          <w:rFonts w:ascii="Times New Roman" w:hAnsi="Times New Roman" w:hint="eastAsia"/>
          <w:szCs w:val="24"/>
          <w:u w:val="single"/>
        </w:rPr>
        <w:t>1</w:t>
      </w:r>
      <w:r>
        <w:rPr>
          <w:rFonts w:ascii="Times New Roman" w:hAnsi="Times New Roman" w:hint="eastAsia"/>
          <w:szCs w:val="24"/>
          <w:u w:val="single"/>
        </w:rPr>
        <w:t>）</w:t>
      </w:r>
      <w:r>
        <w:rPr>
          <w:rFonts w:ascii="Times New Roman" w:hAnsi="Times New Roman"/>
          <w:szCs w:val="24"/>
          <w:u w:val="single"/>
        </w:rPr>
        <w:t>合理选择施工季节</w:t>
      </w:r>
      <w:r>
        <w:rPr>
          <w:rFonts w:ascii="Times New Roman" w:hAnsi="Times New Roman" w:hint="eastAsia"/>
          <w:szCs w:val="24"/>
          <w:u w:val="single"/>
        </w:rPr>
        <w:t>，降低鸟类的越冬期（每年的</w:t>
      </w:r>
      <w:r>
        <w:rPr>
          <w:rFonts w:ascii="Times New Roman" w:hAnsi="Times New Roman" w:hint="eastAsia"/>
          <w:szCs w:val="24"/>
          <w:u w:val="single"/>
        </w:rPr>
        <w:t>10</w:t>
      </w:r>
      <w:r>
        <w:rPr>
          <w:rFonts w:ascii="Times New Roman" w:hAnsi="Times New Roman" w:hint="eastAsia"/>
          <w:szCs w:val="24"/>
          <w:u w:val="single"/>
        </w:rPr>
        <w:t>月至翌年</w:t>
      </w:r>
      <w:r>
        <w:rPr>
          <w:rFonts w:ascii="Times New Roman" w:hAnsi="Times New Roman" w:hint="eastAsia"/>
          <w:szCs w:val="24"/>
          <w:u w:val="single"/>
        </w:rPr>
        <w:t>3</w:t>
      </w:r>
      <w:r>
        <w:rPr>
          <w:rFonts w:ascii="Times New Roman" w:hAnsi="Times New Roman" w:hint="eastAsia"/>
          <w:szCs w:val="24"/>
          <w:u w:val="single"/>
        </w:rPr>
        <w:t>月）噪声干扰。</w:t>
      </w:r>
    </w:p>
    <w:p w:rsidR="004B4777" w:rsidRDefault="004B4777">
      <w:pPr>
        <w:autoSpaceDE w:val="0"/>
        <w:autoSpaceDN w:val="0"/>
        <w:snapToGrid w:val="0"/>
        <w:ind w:firstLine="449"/>
        <w:rPr>
          <w:rFonts w:ascii="Times New Roman" w:hAnsi="Times New Roman"/>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w:t>
      </w:r>
      <w:r>
        <w:rPr>
          <w:rFonts w:ascii="Times New Roman" w:hAnsi="Times New Roman"/>
          <w:szCs w:val="24"/>
          <w:u w:val="single"/>
        </w:rPr>
        <w:t>野生鸟类和兽类大多是晨昏（早晨、黄昏）或夜间外出觅食，正午是鸟类休息时间。为了减少工程施工噪声对野生动物的惊扰，应改进施工技术，尽量选用低噪声的设备和工艺，降低噪声强度；合理安排施工时段和方式，禁止在晨昏、正午及夜晚施工，避免施工噪声对野生动物的惊扰。</w:t>
      </w:r>
    </w:p>
    <w:p w:rsidR="004B4777" w:rsidRDefault="004B4777">
      <w:pPr>
        <w:autoSpaceDE w:val="0"/>
        <w:autoSpaceDN w:val="0"/>
        <w:snapToGrid w:val="0"/>
        <w:ind w:firstLine="449"/>
        <w:rPr>
          <w:rFonts w:ascii="Times New Roman" w:hAnsi="Times New Roman"/>
          <w:szCs w:val="24"/>
          <w:u w:val="single"/>
        </w:rPr>
      </w:pPr>
      <w:r>
        <w:rPr>
          <w:rFonts w:ascii="Times New Roman" w:hAnsi="Times New Roman" w:hint="eastAsia"/>
          <w:szCs w:val="24"/>
          <w:u w:val="single"/>
        </w:rPr>
        <w:t>（</w:t>
      </w:r>
      <w:r>
        <w:rPr>
          <w:rFonts w:ascii="Times New Roman" w:hAnsi="Times New Roman" w:hint="eastAsia"/>
          <w:szCs w:val="24"/>
          <w:u w:val="single"/>
        </w:rPr>
        <w:t>3</w:t>
      </w:r>
      <w:r>
        <w:rPr>
          <w:rFonts w:ascii="Times New Roman" w:hAnsi="Times New Roman" w:hint="eastAsia"/>
          <w:szCs w:val="24"/>
          <w:u w:val="single"/>
        </w:rPr>
        <w:t>）使用质量符合要求，噪声相对较小的开采机械，并尽可能避免产生持续噪声对鸟类等陆生动物产生的影响。</w:t>
      </w:r>
    </w:p>
    <w:p w:rsidR="004B4777" w:rsidRDefault="004B4777">
      <w:pPr>
        <w:autoSpaceDE w:val="0"/>
        <w:autoSpaceDN w:val="0"/>
        <w:snapToGrid w:val="0"/>
        <w:ind w:firstLine="449"/>
        <w:rPr>
          <w:rFonts w:ascii="Times New Roman" w:hAnsi="Times New Roman"/>
          <w:szCs w:val="24"/>
          <w:u w:val="single"/>
        </w:rPr>
      </w:pPr>
      <w:r>
        <w:rPr>
          <w:rFonts w:ascii="Times New Roman" w:hAnsi="Times New Roman" w:hint="eastAsia"/>
          <w:szCs w:val="24"/>
          <w:u w:val="single"/>
        </w:rPr>
        <w:lastRenderedPageBreak/>
        <w:t>（</w:t>
      </w:r>
      <w:r>
        <w:rPr>
          <w:rFonts w:ascii="Times New Roman" w:hAnsi="Times New Roman" w:hint="eastAsia"/>
          <w:szCs w:val="24"/>
          <w:u w:val="single"/>
        </w:rPr>
        <w:t>4</w:t>
      </w:r>
      <w:r>
        <w:rPr>
          <w:rFonts w:ascii="Times New Roman" w:hAnsi="Times New Roman" w:hint="eastAsia"/>
          <w:szCs w:val="24"/>
          <w:u w:val="single"/>
        </w:rPr>
        <w:t>）作业人员的生活垃圾全部进行回收，集中送到岸上，统一处理，不能倒入采砂区水体中。</w:t>
      </w:r>
    </w:p>
    <w:p w:rsidR="004B4777" w:rsidRDefault="004B4777">
      <w:pPr>
        <w:autoSpaceDE w:val="0"/>
        <w:autoSpaceDN w:val="0"/>
        <w:snapToGrid w:val="0"/>
        <w:ind w:firstLine="449"/>
        <w:rPr>
          <w:rFonts w:ascii="Times New Roman" w:hAnsi="Times New Roman"/>
          <w:szCs w:val="24"/>
          <w:u w:val="single"/>
        </w:rPr>
      </w:pPr>
      <w:r>
        <w:rPr>
          <w:rFonts w:ascii="Times New Roman" w:hAnsi="Times New Roman" w:hint="eastAsia"/>
          <w:szCs w:val="24"/>
          <w:u w:val="single"/>
        </w:rPr>
        <w:t>（</w:t>
      </w:r>
      <w:r>
        <w:rPr>
          <w:rFonts w:ascii="Times New Roman" w:hAnsi="Times New Roman" w:hint="eastAsia"/>
          <w:szCs w:val="24"/>
          <w:u w:val="single"/>
        </w:rPr>
        <w:t>5</w:t>
      </w:r>
      <w:r>
        <w:rPr>
          <w:rFonts w:ascii="Times New Roman" w:hAnsi="Times New Roman" w:hint="eastAsia"/>
          <w:szCs w:val="24"/>
          <w:u w:val="single"/>
        </w:rPr>
        <w:t>）运砂船航行时应限速、禁鸣，以减缓对动物的影响。</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 xml:space="preserve"> </w:t>
      </w:r>
      <w:r>
        <w:rPr>
          <w:rFonts w:ascii="Times New Roman" w:hAnsi="Times New Roman" w:hint="eastAsia"/>
          <w:b/>
          <w:szCs w:val="24"/>
          <w:u w:val="single"/>
        </w:rPr>
        <w:t>管理措施</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1</w:t>
      </w:r>
      <w:r>
        <w:rPr>
          <w:rFonts w:ascii="Times New Roman" w:hAnsi="Times New Roman" w:hint="eastAsia"/>
          <w:color w:val="000000"/>
          <w:kern w:val="0"/>
          <w:szCs w:val="24"/>
          <w:u w:val="single"/>
        </w:rPr>
        <w:t>）根据《中华人民共和国野生动物保护法》严格遵守野生动植物保护等有关规定，禁止施工人员和当地人群从事狩猎野生动物的活动，在工程施工区内设置告示牌和警告牌，要求施工人员和当地居民保护野生动物及其栖息地生态环境，特别是国家级及省级重点保护动物及其生态环境的保护，严格按照《中华人民共和国野生动物保护法》相关规定，一经发现，从重处罚。</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2</w:t>
      </w:r>
      <w:r>
        <w:rPr>
          <w:rFonts w:ascii="Times New Roman" w:hAnsi="Times New Roman" w:hint="eastAsia"/>
          <w:color w:val="000000"/>
          <w:kern w:val="0"/>
          <w:szCs w:val="24"/>
          <w:u w:val="single"/>
        </w:rPr>
        <w:t>）强化采砂区管理，严禁越界采砂、禁采期采砂，坚决打击越界逾期采砂行为。采用红外线监控、远程监控等现代化手段对采砂区进行监测管理。</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3</w:t>
      </w:r>
      <w:r>
        <w:rPr>
          <w:rFonts w:ascii="Times New Roman" w:hAnsi="Times New Roman" w:hint="eastAsia"/>
          <w:color w:val="000000"/>
          <w:kern w:val="0"/>
          <w:szCs w:val="24"/>
          <w:u w:val="single"/>
        </w:rPr>
        <w:t>）加强船舶含油废水和生活污水的管理，严格按照船舶含油废水和生活污水的处理方案。</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4</w:t>
      </w:r>
      <w:r>
        <w:rPr>
          <w:rFonts w:ascii="Times New Roman" w:hAnsi="Times New Roman" w:hint="eastAsia"/>
          <w:color w:val="000000"/>
          <w:kern w:val="0"/>
          <w:szCs w:val="24"/>
          <w:u w:val="single"/>
        </w:rPr>
        <w:t>）要制定采砂人员生活和饮食卫生制度，防止自然疫源性疾病的流行。</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5</w:t>
      </w:r>
      <w:r>
        <w:rPr>
          <w:rFonts w:ascii="Times New Roman" w:hAnsi="Times New Roman" w:hint="eastAsia"/>
          <w:color w:val="000000"/>
          <w:kern w:val="0"/>
          <w:szCs w:val="24"/>
          <w:u w:val="single"/>
        </w:rPr>
        <w:t>）加强采砂区动物监测。</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 xml:space="preserve"> </w:t>
      </w:r>
      <w:r>
        <w:rPr>
          <w:rFonts w:ascii="Times New Roman" w:hAnsi="Times New Roman" w:hint="eastAsia"/>
          <w:b/>
          <w:szCs w:val="24"/>
          <w:u w:val="single"/>
        </w:rPr>
        <w:t>重点保护动物保护措施</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1</w:t>
      </w:r>
      <w:r>
        <w:rPr>
          <w:rFonts w:ascii="Times New Roman" w:hAnsi="Times New Roman" w:hint="eastAsia"/>
          <w:color w:val="000000"/>
          <w:kern w:val="0"/>
          <w:szCs w:val="24"/>
          <w:u w:val="single"/>
        </w:rPr>
        <w:t>）提高施工人员的保护意识，增强对保护动物的保护意识。通过开展讲座或发宣传册等形式，提高施工人员和当地群众对保护动物的保护意识，遵守《中华人民共和国野生动物保护法》，严禁施工人员猎捕。</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2</w:t>
      </w:r>
      <w:r>
        <w:rPr>
          <w:rFonts w:ascii="Times New Roman" w:hAnsi="Times New Roman" w:hint="eastAsia"/>
          <w:color w:val="000000"/>
          <w:kern w:val="0"/>
          <w:szCs w:val="24"/>
          <w:u w:val="single"/>
        </w:rPr>
        <w:t>）加强船舶废水和生活污水的的管理，经处理的废污水禁止排放到南洞庭湖保护区和横岭湖保护区水域内。</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3</w:t>
      </w:r>
      <w:r>
        <w:rPr>
          <w:rFonts w:ascii="Times New Roman" w:hAnsi="Times New Roman" w:hint="eastAsia"/>
          <w:color w:val="000000"/>
          <w:kern w:val="0"/>
          <w:szCs w:val="24"/>
          <w:u w:val="single"/>
        </w:rPr>
        <w:t>）采砂时一旦发现病伤的野生动物或者被遗弃的幼体、鸟卵等，不得私自处理，要及时通知林业野生动物管理部门，派专业技术人员进行救护。</w:t>
      </w:r>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 xml:space="preserve"> </w:t>
      </w:r>
      <w:r>
        <w:rPr>
          <w:rFonts w:ascii="Times New Roman" w:eastAsia="宋体" w:hAnsi="Times New Roman" w:hint="eastAsia"/>
          <w:b/>
          <w:u w:val="single"/>
        </w:rPr>
        <w:t>对水生生物的保护</w:t>
      </w:r>
      <w:r>
        <w:rPr>
          <w:rFonts w:ascii="Times New Roman" w:eastAsia="宋体" w:hAnsi="Times New Roman"/>
          <w:b/>
          <w:u w:val="single"/>
        </w:rPr>
        <w:t>措施</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 xml:space="preserve">.3.1 </w:t>
      </w:r>
      <w:r>
        <w:rPr>
          <w:rFonts w:ascii="Times New Roman" w:hAnsi="Times New Roman" w:hint="eastAsia"/>
          <w:b/>
          <w:szCs w:val="24"/>
          <w:u w:val="single"/>
        </w:rPr>
        <w:t>避免与消减措施</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1</w:t>
      </w:r>
      <w:r>
        <w:rPr>
          <w:rFonts w:ascii="Times New Roman" w:hAnsi="Times New Roman" w:hint="eastAsia"/>
          <w:szCs w:val="24"/>
          <w:u w:val="single"/>
        </w:rPr>
        <w:t>）合理规划采砂区，严格限制采砂范围，采取适当的围挡措施，避免采砂施工对非工程水域的影响，最大限度的限制影响区域；</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）严格限制采砂期，对于</w:t>
      </w:r>
      <w:r>
        <w:rPr>
          <w:rFonts w:ascii="Times New Roman" w:hAnsi="Times New Roman" w:hint="eastAsia"/>
          <w:szCs w:val="24"/>
          <w:u w:val="single"/>
        </w:rPr>
        <w:t>3</w:t>
      </w:r>
      <w:r>
        <w:rPr>
          <w:rFonts w:ascii="Times New Roman" w:hAnsi="Times New Roman" w:hint="eastAsia"/>
          <w:szCs w:val="24"/>
          <w:u w:val="single"/>
        </w:rPr>
        <w:t>～</w:t>
      </w:r>
      <w:r>
        <w:rPr>
          <w:rFonts w:ascii="Times New Roman" w:hAnsi="Times New Roman" w:hint="eastAsia"/>
          <w:szCs w:val="24"/>
          <w:u w:val="single"/>
        </w:rPr>
        <w:t>6</w:t>
      </w:r>
      <w:r>
        <w:rPr>
          <w:rFonts w:ascii="Times New Roman" w:hAnsi="Times New Roman" w:hint="eastAsia"/>
          <w:szCs w:val="24"/>
          <w:u w:val="single"/>
        </w:rPr>
        <w:t>月鱼类繁殖洄游期应调整采砂时间，避免采砂行为对鱼类繁殖洄游产生影响；</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lastRenderedPageBreak/>
        <w:t>（</w:t>
      </w:r>
      <w:r>
        <w:rPr>
          <w:rFonts w:ascii="Times New Roman" w:hAnsi="Times New Roman" w:hint="eastAsia"/>
          <w:szCs w:val="24"/>
          <w:u w:val="single"/>
        </w:rPr>
        <w:t>3</w:t>
      </w:r>
      <w:r>
        <w:rPr>
          <w:rFonts w:ascii="Times New Roman" w:hAnsi="Times New Roman" w:hint="eastAsia"/>
          <w:szCs w:val="24"/>
          <w:u w:val="single"/>
        </w:rPr>
        <w:t>）施工采砂船、运砂船选用低噪、高配置船只，对施工船只进行严格登记管理，避免其他非采砂船只的涉水影响；</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4</w:t>
      </w:r>
      <w:r>
        <w:rPr>
          <w:rFonts w:ascii="Times New Roman" w:hAnsi="Times New Roman" w:hint="eastAsia"/>
          <w:szCs w:val="24"/>
          <w:u w:val="single"/>
        </w:rPr>
        <w:t>）合理安排采砂时间，避免长期性、持续性采砂行为，尽可能避免产生持续噪声对鱼类等水生生物的影响；</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5</w:t>
      </w:r>
      <w:r>
        <w:rPr>
          <w:rFonts w:ascii="Times New Roman" w:hAnsi="Times New Roman" w:hint="eastAsia"/>
          <w:szCs w:val="24"/>
          <w:u w:val="single"/>
        </w:rPr>
        <w:t>）规定运砂船航运专门的航道，并设置限制区、禁鸣区，运砂线路远离保护区水域。</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6</w:t>
      </w:r>
      <w:r>
        <w:rPr>
          <w:rFonts w:ascii="Times New Roman" w:hAnsi="Times New Roman" w:hint="eastAsia"/>
          <w:szCs w:val="24"/>
          <w:u w:val="single"/>
        </w:rPr>
        <w:t>）采砂前驱赶采砂区域的水生动物</w:t>
      </w:r>
    </w:p>
    <w:p w:rsidR="004B4777" w:rsidRDefault="004B4777">
      <w:pPr>
        <w:autoSpaceDE w:val="0"/>
        <w:autoSpaceDN w:val="0"/>
        <w:snapToGrid w:val="0"/>
        <w:ind w:firstLine="449"/>
        <w:rPr>
          <w:rFonts w:ascii="Times New Roman" w:hAnsi="Times New Roman"/>
          <w:szCs w:val="24"/>
          <w:u w:val="single"/>
        </w:rPr>
      </w:pPr>
      <w:r>
        <w:rPr>
          <w:rFonts w:ascii="Times New Roman" w:hAnsi="Times New Roman" w:hint="eastAsia"/>
          <w:szCs w:val="24"/>
          <w:u w:val="single"/>
        </w:rPr>
        <w:t>采砂前采砂江段采用“海豚声音记录仪”对江豚进行监测，以了解采砂河段江豚活动情况、分布情况。采砂前采用超声波驱鱼驱豚等手段，对采砂区及其临近水域和鱼类、豚类分布密集的深潭、回水区进行驱赶作业，将鱼类、豚类驱离采砂影响区。</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 xml:space="preserve">.3.2 </w:t>
      </w:r>
      <w:r>
        <w:rPr>
          <w:rFonts w:ascii="Times New Roman" w:hAnsi="Times New Roman" w:hint="eastAsia"/>
          <w:b/>
          <w:szCs w:val="24"/>
          <w:u w:val="single"/>
        </w:rPr>
        <w:t>恢复与补偿措施</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1</w:t>
      </w:r>
      <w:r>
        <w:rPr>
          <w:rFonts w:ascii="Times New Roman" w:hAnsi="Times New Roman" w:hint="eastAsia"/>
          <w:color w:val="000000"/>
          <w:kern w:val="0"/>
          <w:szCs w:val="24"/>
          <w:u w:val="single"/>
        </w:rPr>
        <w:t>）鱼类生境修复</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采砂期破坏了产粘沉性卵鱼类如鲤、鲫、鮎等产卵生境，后续期建议采取人工鱼巢、生境改造、岸边带营造等措施对鱼类栖息地进行修复。</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1</w:t>
      </w:r>
      <w:r>
        <w:rPr>
          <w:rFonts w:ascii="Times New Roman" w:hAnsi="Times New Roman" w:hint="eastAsia"/>
          <w:color w:val="000000"/>
          <w:kern w:val="0"/>
          <w:szCs w:val="24"/>
          <w:u w:val="single"/>
        </w:rPr>
        <w:t>）人工鱼巢</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结合《湘阴县易婆塘斗米咀等</w:t>
      </w:r>
      <w:r>
        <w:rPr>
          <w:rFonts w:ascii="Times New Roman" w:hAnsi="Times New Roman" w:hint="eastAsia"/>
          <w:color w:val="000000"/>
          <w:kern w:val="0"/>
          <w:szCs w:val="24"/>
          <w:u w:val="single"/>
        </w:rPr>
        <w:t>4</w:t>
      </w:r>
      <w:r>
        <w:rPr>
          <w:rFonts w:ascii="Times New Roman" w:hAnsi="Times New Roman" w:hint="eastAsia"/>
          <w:color w:val="000000"/>
          <w:kern w:val="0"/>
          <w:szCs w:val="24"/>
          <w:u w:val="single"/>
        </w:rPr>
        <w:t>个采区采砂对南洞庭湖大口鲶青虾中华鳖国家级水产种质资源保护区影响专题论证报告》中的人工鱼巢设置措施进行生境修复。</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《湘阴县易婆塘斗米咀等</w:t>
      </w:r>
      <w:r>
        <w:rPr>
          <w:rFonts w:ascii="Times New Roman" w:hAnsi="Times New Roman" w:hint="eastAsia"/>
          <w:color w:val="000000"/>
          <w:kern w:val="0"/>
          <w:szCs w:val="24"/>
          <w:u w:val="single"/>
        </w:rPr>
        <w:t>4</w:t>
      </w:r>
      <w:r>
        <w:rPr>
          <w:rFonts w:ascii="Times New Roman" w:hAnsi="Times New Roman" w:hint="eastAsia"/>
          <w:color w:val="000000"/>
          <w:kern w:val="0"/>
          <w:szCs w:val="24"/>
          <w:u w:val="single"/>
        </w:rPr>
        <w:t>个采区采砂对南洞庭湖大口鲶青虾中华鳖国家级水产种质资源保护区影响专题论证报告》中拟每年设置人工鱼巢</w:t>
      </w:r>
      <w:r>
        <w:rPr>
          <w:rFonts w:ascii="Times New Roman" w:hAnsi="Times New Roman" w:hint="eastAsia"/>
          <w:color w:val="000000"/>
          <w:kern w:val="0"/>
          <w:szCs w:val="24"/>
          <w:u w:val="single"/>
        </w:rPr>
        <w:t>15000</w:t>
      </w:r>
      <w:r>
        <w:rPr>
          <w:rFonts w:ascii="Times New Roman" w:hAnsi="Times New Roman" w:hint="eastAsia"/>
          <w:color w:val="000000"/>
          <w:kern w:val="0"/>
          <w:szCs w:val="24"/>
          <w:u w:val="single"/>
        </w:rPr>
        <w:t>个，其中易婆塘采区设置障</w:t>
      </w:r>
      <w:r>
        <w:rPr>
          <w:rFonts w:ascii="Times New Roman" w:hAnsi="Times New Roman" w:hint="eastAsia"/>
          <w:color w:val="000000"/>
          <w:kern w:val="0"/>
          <w:szCs w:val="24"/>
          <w:u w:val="single"/>
        </w:rPr>
        <w:t>10000</w:t>
      </w:r>
      <w:r>
        <w:rPr>
          <w:rFonts w:ascii="Times New Roman" w:hAnsi="Times New Roman" w:hint="eastAsia"/>
          <w:color w:val="000000"/>
          <w:kern w:val="0"/>
          <w:szCs w:val="24"/>
          <w:u w:val="single"/>
        </w:rPr>
        <w:t>个，斗米咀采区设置</w:t>
      </w:r>
      <w:r>
        <w:rPr>
          <w:rFonts w:ascii="Times New Roman" w:hAnsi="Times New Roman" w:hint="eastAsia"/>
          <w:color w:val="000000"/>
          <w:kern w:val="0"/>
          <w:szCs w:val="24"/>
          <w:u w:val="single"/>
        </w:rPr>
        <w:t>5000</w:t>
      </w:r>
      <w:r>
        <w:rPr>
          <w:rFonts w:ascii="Times New Roman" w:hAnsi="Times New Roman" w:hint="eastAsia"/>
          <w:color w:val="000000"/>
          <w:kern w:val="0"/>
          <w:szCs w:val="24"/>
          <w:u w:val="single"/>
        </w:rPr>
        <w:t>个。人工鱼巢应设置在原天然产卵场附近，或新建栖息地处。人工鱼巢的设置时间为每年的</w:t>
      </w:r>
      <w:r>
        <w:rPr>
          <w:rFonts w:ascii="Times New Roman" w:hAnsi="Times New Roman" w:hint="eastAsia"/>
          <w:color w:val="000000"/>
          <w:kern w:val="0"/>
          <w:szCs w:val="24"/>
          <w:u w:val="single"/>
        </w:rPr>
        <w:t>3</w:t>
      </w: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6</w:t>
      </w:r>
      <w:r>
        <w:rPr>
          <w:rFonts w:ascii="Times New Roman" w:hAnsi="Times New Roman" w:hint="eastAsia"/>
          <w:color w:val="000000"/>
          <w:kern w:val="0"/>
          <w:szCs w:val="24"/>
          <w:u w:val="single"/>
        </w:rPr>
        <w:t>月份。人工鱼巢的设置、管理和效果评估应符合湖南省地方标准《淡水人工鱼巢增殖技术规程》（</w:t>
      </w:r>
      <w:r>
        <w:rPr>
          <w:rFonts w:ascii="Times New Roman" w:hAnsi="Times New Roman" w:hint="eastAsia"/>
          <w:color w:val="000000"/>
          <w:kern w:val="0"/>
          <w:szCs w:val="24"/>
          <w:u w:val="single"/>
        </w:rPr>
        <w:t>DB43/T 1077-2015</w:t>
      </w:r>
      <w:r>
        <w:rPr>
          <w:rFonts w:ascii="Times New Roman" w:hAnsi="Times New Roman" w:hint="eastAsia"/>
          <w:color w:val="000000"/>
          <w:kern w:val="0"/>
          <w:szCs w:val="24"/>
          <w:u w:val="single"/>
        </w:rPr>
        <w:t>）的要求，保护区管理单位负责实施，省畜牧水产局监督实施。</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2</w:t>
      </w:r>
      <w:r>
        <w:rPr>
          <w:rFonts w:ascii="Times New Roman" w:hAnsi="Times New Roman" w:hint="eastAsia"/>
          <w:color w:val="000000"/>
          <w:kern w:val="0"/>
          <w:szCs w:val="24"/>
          <w:u w:val="single"/>
        </w:rPr>
        <w:t>）生境改造</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hint="eastAsia"/>
          <w:color w:val="000000"/>
          <w:kern w:val="0"/>
          <w:szCs w:val="24"/>
          <w:u w:val="single"/>
        </w:rPr>
        <w:t>建议在易婆塘采砂区后续期河滩面积较大适宜产卵的河段进行生境改造，主要利用采砂废弃砾石、卵石材料，在河底设置斜坡，</w:t>
      </w:r>
      <w:r>
        <w:rPr>
          <w:rFonts w:ascii="Times New Roman" w:hAnsi="Times New Roman"/>
          <w:color w:val="000000"/>
          <w:kern w:val="0"/>
          <w:szCs w:val="24"/>
          <w:u w:val="single"/>
        </w:rPr>
        <w:t>坡度控制在</w:t>
      </w:r>
      <w:r>
        <w:rPr>
          <w:rFonts w:ascii="Times New Roman" w:hAnsi="Times New Roman"/>
          <w:color w:val="000000"/>
          <w:kern w:val="0"/>
          <w:szCs w:val="24"/>
          <w:u w:val="single"/>
        </w:rPr>
        <w:t>1:8-1:10</w:t>
      </w:r>
      <w:r>
        <w:rPr>
          <w:rFonts w:ascii="Times New Roman" w:hAnsi="Times New Roman"/>
          <w:color w:val="000000"/>
          <w:kern w:val="0"/>
          <w:szCs w:val="24"/>
          <w:u w:val="single"/>
        </w:rPr>
        <w:t>，采用填石构造方式，形成类似鱼坡生境条件，从而增加局部区域水动力学，为鱼类产卵及上溯创造条件，并且可以使水力梯度尽可能平缓、确保河流底床稳定、在低水情况下仍保证有足够的水深、增加结构多样性。</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3</w:t>
      </w:r>
      <w:r>
        <w:rPr>
          <w:rFonts w:ascii="Times New Roman" w:hAnsi="Times New Roman" w:hint="eastAsia"/>
          <w:color w:val="000000"/>
          <w:kern w:val="0"/>
          <w:szCs w:val="24"/>
          <w:u w:val="single"/>
        </w:rPr>
        <w:t>）岸边带营造</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hint="eastAsia"/>
          <w:color w:val="000000"/>
          <w:kern w:val="0"/>
          <w:szCs w:val="24"/>
          <w:u w:val="single"/>
        </w:rPr>
        <w:lastRenderedPageBreak/>
        <w:t>结合当地植被现状在涉及采砂开挖、开挖受损的河段岸边种植挺水植物，营造水生生物生长繁殖的生境，物种选择以当地现有物种为主，可选择芦苇、水蓼、水毛花等。在低水位以下种植黑藻、金鱼藻、竹叶眼子菜等，这些植物在水中的耐水性较强，不会因长期浸在水中而死亡，成熟后可以减缓水流并吸引水生生物的繁殖、生长。</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2</w:t>
      </w:r>
      <w:r>
        <w:rPr>
          <w:rFonts w:ascii="Times New Roman" w:hAnsi="Times New Roman" w:hint="eastAsia"/>
          <w:color w:val="000000"/>
          <w:kern w:val="0"/>
          <w:szCs w:val="24"/>
          <w:u w:val="single"/>
        </w:rPr>
        <w:t>）增殖放流</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鱼类人工种群建立及增殖放流是目前保护鱼类物种、增加鱼类种群数量的重要措施之一。采取人工增殖放流可以对那些种群数量已经减少或面临各种影响将大量减少的鱼类进行人工增殖，补充其资源量，在一定程度上缓解工程对鱼类资源的不利影响。但鱼类增殖放流涉及面广，管理操作过程较为复杂，对水域生态系统影响深远，技术含量比较高，需要对放流水域生态环境和鱼类资源现状了解非常清楚，对放流对象生物学特性、苗种繁育技术、放流和效果评价技术等研究较为深入，对增殖放流进行合理的规划和布局，制定科学增殖放流方案。</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增殖放流工作应根据《中国水生生物资源养护行动纲要》、《水生生物增殖放流管理规定》。放流种苗供应单位应选择信誉良好、管理规范、具备相应的技术力量的国家级或省级水产原良种场和良种繁育场、渔业资源增殖站、野生水生生物驯养繁殖基地或救护中心以及其他具有相关资质的种苗生产单位，必要时可通过招标形式确定。放流的幼鱼必须是由野生亲本人工繁殖的子一代。放流种类必须是无伤残和病害、体格健壮，符合渔业行政主管部门制定放流苗种种质技术规范。放流前，种苗供应单位应提供放流种苗种质鉴定和疫病检验检疫报告，以保证用于增殖放流种苗的质量，避免对增殖放流水域生态造成不良影响。鱼类放流活动应与当地水利水产管理机构协调，并在该机构的监督与指导下进行。</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hint="eastAsia"/>
          <w:color w:val="000000"/>
          <w:kern w:val="0"/>
          <w:szCs w:val="24"/>
          <w:u w:val="single"/>
        </w:rPr>
        <w:t>①</w:t>
      </w:r>
      <w:r>
        <w:rPr>
          <w:rFonts w:ascii="Times New Roman" w:hAnsi="Times New Roman"/>
          <w:color w:val="000000"/>
          <w:kern w:val="0"/>
          <w:szCs w:val="24"/>
          <w:u w:val="single"/>
        </w:rPr>
        <w:t>放流种类</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本项目涉及的放流种类主要是</w:t>
      </w:r>
      <w:r>
        <w:rPr>
          <w:rFonts w:ascii="Times New Roman" w:hAnsi="Times New Roman" w:hint="eastAsia"/>
          <w:color w:val="000000"/>
          <w:kern w:val="0"/>
          <w:szCs w:val="24"/>
          <w:u w:val="single"/>
        </w:rPr>
        <w:t>适应本地区水域常见种且因受采砂活动影响的经济种类，确定本次放流对象为：青鱼、草鱼、鲢、鳙、胭脂鱼、长吻鮠、黄颡鱼、鮎、鳜、中华绒螯蟹。</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hint="eastAsia"/>
          <w:color w:val="000000"/>
          <w:kern w:val="0"/>
          <w:szCs w:val="24"/>
          <w:u w:val="single"/>
        </w:rPr>
        <w:t>②放流标准</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放流的苗种必须是由野生亲本人工繁殖的子一代。放流的苗种必须是无伤残和病害、体格健壮。鱼类苗种生产和管理符合农业部颁发的《水产苗种管理办法》。</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hint="eastAsia"/>
          <w:color w:val="000000"/>
          <w:kern w:val="0"/>
          <w:szCs w:val="24"/>
          <w:u w:val="single"/>
        </w:rPr>
        <w:t>③放流苗种数量和规格</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本项目实施的鱼类增殖放流为</w:t>
      </w:r>
      <w:r>
        <w:rPr>
          <w:rFonts w:ascii="Times New Roman" w:hAnsi="Times New Roman" w:hint="eastAsia"/>
          <w:color w:val="000000"/>
          <w:kern w:val="0"/>
          <w:szCs w:val="24"/>
          <w:u w:val="single"/>
        </w:rPr>
        <w:t>采砂</w:t>
      </w:r>
      <w:r>
        <w:rPr>
          <w:rFonts w:ascii="Times New Roman" w:hAnsi="Times New Roman"/>
          <w:color w:val="000000"/>
          <w:kern w:val="0"/>
          <w:szCs w:val="24"/>
          <w:u w:val="single"/>
        </w:rPr>
        <w:t>工程和</w:t>
      </w:r>
      <w:r>
        <w:rPr>
          <w:rFonts w:ascii="Times New Roman" w:hAnsi="Times New Roman" w:hint="eastAsia"/>
          <w:color w:val="000000"/>
          <w:kern w:val="0"/>
          <w:szCs w:val="24"/>
          <w:u w:val="single"/>
        </w:rPr>
        <w:t>后续期</w:t>
      </w:r>
      <w:r>
        <w:rPr>
          <w:rFonts w:ascii="Times New Roman" w:hAnsi="Times New Roman"/>
          <w:color w:val="000000"/>
          <w:kern w:val="0"/>
          <w:szCs w:val="24"/>
          <w:u w:val="single"/>
        </w:rPr>
        <w:t>的补偿性放流，因此，增殖放流</w:t>
      </w:r>
      <w:r>
        <w:rPr>
          <w:rFonts w:ascii="Times New Roman" w:hAnsi="Times New Roman"/>
          <w:color w:val="000000"/>
          <w:kern w:val="0"/>
          <w:szCs w:val="24"/>
          <w:u w:val="single"/>
        </w:rPr>
        <w:lastRenderedPageBreak/>
        <w:t>数量的确定与</w:t>
      </w:r>
      <w:r>
        <w:rPr>
          <w:rFonts w:ascii="Times New Roman" w:hAnsi="Times New Roman" w:hint="eastAsia"/>
          <w:color w:val="000000"/>
          <w:kern w:val="0"/>
          <w:szCs w:val="24"/>
          <w:u w:val="single"/>
        </w:rPr>
        <w:t>采砂</w:t>
      </w:r>
      <w:r>
        <w:rPr>
          <w:rFonts w:ascii="Times New Roman" w:hAnsi="Times New Roman"/>
          <w:color w:val="000000"/>
          <w:kern w:val="0"/>
          <w:szCs w:val="24"/>
          <w:u w:val="single"/>
        </w:rPr>
        <w:t>工程和</w:t>
      </w:r>
      <w:r>
        <w:rPr>
          <w:rFonts w:ascii="Times New Roman" w:hAnsi="Times New Roman" w:hint="eastAsia"/>
          <w:color w:val="000000"/>
          <w:kern w:val="0"/>
          <w:szCs w:val="24"/>
          <w:u w:val="single"/>
        </w:rPr>
        <w:t>后续期</w:t>
      </w:r>
      <w:r>
        <w:rPr>
          <w:rFonts w:ascii="Times New Roman" w:hAnsi="Times New Roman"/>
          <w:color w:val="000000"/>
          <w:kern w:val="0"/>
          <w:szCs w:val="24"/>
          <w:u w:val="single"/>
        </w:rPr>
        <w:t>对鱼类资源的影响范围和程度密切相关，且放流效果与放流鱼类规格、质量、水体鱼类群落结构等均有一定关系。由于增殖放流数量的确定需要考虑的因素较为复杂，不确定的因素较多，针对开放性的天然水体合理放流数量的确定很困难</w:t>
      </w:r>
      <w:r>
        <w:rPr>
          <w:rFonts w:ascii="Times New Roman" w:hAnsi="Times New Roman" w:hint="eastAsia"/>
          <w:color w:val="000000"/>
          <w:kern w:val="0"/>
          <w:szCs w:val="24"/>
          <w:u w:val="single"/>
        </w:rPr>
        <w:t>。</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鱼类放流任务应在</w:t>
      </w:r>
      <w:r>
        <w:rPr>
          <w:rFonts w:ascii="Times New Roman" w:hAnsi="Times New Roman"/>
          <w:color w:val="000000"/>
          <w:kern w:val="0"/>
          <w:szCs w:val="24"/>
          <w:u w:val="single"/>
        </w:rPr>
        <w:t>5</w:t>
      </w:r>
      <w:r>
        <w:rPr>
          <w:rFonts w:ascii="Times New Roman" w:hAnsi="Times New Roman"/>
          <w:color w:val="000000"/>
          <w:kern w:val="0"/>
          <w:szCs w:val="24"/>
          <w:u w:val="single"/>
        </w:rPr>
        <w:t>年内完成。</w:t>
      </w:r>
    </w:p>
    <w:p w:rsidR="004B4777" w:rsidRDefault="004B4777">
      <w:pPr>
        <w:autoSpaceDE w:val="0"/>
        <w:autoSpaceDN w:val="0"/>
        <w:snapToGrid w:val="0"/>
        <w:ind w:firstLine="449"/>
        <w:rPr>
          <w:rFonts w:ascii="Times New Roman" w:hAnsi="Times New Roman"/>
          <w:color w:val="000000"/>
          <w:kern w:val="0"/>
          <w:szCs w:val="24"/>
          <w:u w:val="single"/>
        </w:rPr>
      </w:pPr>
      <w:r>
        <w:rPr>
          <w:rFonts w:ascii="Times New Roman" w:hAnsi="Times New Roman"/>
          <w:color w:val="000000"/>
          <w:kern w:val="0"/>
          <w:szCs w:val="24"/>
          <w:u w:val="single"/>
        </w:rPr>
        <w:t>此外，人工增殖放流组织实施费包括放流苗种的监理费、苗种检验检疫费、放流现场组织管理费等，该项费用预计</w:t>
      </w:r>
      <w:r>
        <w:rPr>
          <w:rFonts w:ascii="Times New Roman" w:hAnsi="Times New Roman" w:hint="eastAsia"/>
          <w:color w:val="000000"/>
          <w:kern w:val="0"/>
          <w:szCs w:val="24"/>
          <w:u w:val="single"/>
        </w:rPr>
        <w:t>10</w:t>
      </w:r>
      <w:r>
        <w:rPr>
          <w:rFonts w:ascii="Times New Roman" w:hAnsi="Times New Roman"/>
          <w:color w:val="000000"/>
          <w:kern w:val="0"/>
          <w:szCs w:val="24"/>
          <w:u w:val="single"/>
        </w:rPr>
        <w:t>万元。即开展人工增殖放流共需经费</w:t>
      </w:r>
      <w:r>
        <w:rPr>
          <w:rFonts w:ascii="Times New Roman" w:hAnsi="Times New Roman" w:hint="eastAsia"/>
          <w:color w:val="000000"/>
          <w:kern w:val="0"/>
          <w:szCs w:val="24"/>
          <w:u w:val="single"/>
        </w:rPr>
        <w:t>107.5</w:t>
      </w:r>
      <w:r>
        <w:rPr>
          <w:rFonts w:ascii="Times New Roman" w:hAnsi="Times New Roman"/>
          <w:color w:val="000000"/>
          <w:kern w:val="0"/>
          <w:szCs w:val="24"/>
          <w:u w:val="single"/>
        </w:rPr>
        <w:t>万元。鱼类增殖放流经费预算详见下表</w:t>
      </w:r>
      <w:r>
        <w:rPr>
          <w:rFonts w:ascii="Times New Roman" w:hAnsi="Times New Roman" w:hint="eastAsia"/>
          <w:color w:val="000000"/>
          <w:kern w:val="0"/>
          <w:szCs w:val="24"/>
          <w:u w:val="single"/>
        </w:rPr>
        <w:t>7.3</w:t>
      </w:r>
      <w:r>
        <w:rPr>
          <w:rFonts w:ascii="Times New Roman" w:hAnsi="Times New Roman"/>
          <w:color w:val="000000"/>
          <w:kern w:val="0"/>
          <w:szCs w:val="24"/>
          <w:u w:val="single"/>
        </w:rPr>
        <w:t>-</w:t>
      </w:r>
      <w:r>
        <w:rPr>
          <w:rFonts w:ascii="Times New Roman" w:hAnsi="Times New Roman" w:hint="eastAsia"/>
          <w:color w:val="000000"/>
          <w:kern w:val="0"/>
          <w:szCs w:val="24"/>
          <w:u w:val="single"/>
        </w:rPr>
        <w:t>1</w:t>
      </w:r>
      <w:r>
        <w:rPr>
          <w:rFonts w:ascii="Times New Roman" w:hAnsi="Times New Roman"/>
          <w:color w:val="000000"/>
          <w:kern w:val="0"/>
          <w:szCs w:val="24"/>
          <w:u w:val="single"/>
        </w:rPr>
        <w:t>。</w:t>
      </w:r>
    </w:p>
    <w:p w:rsidR="004B4777" w:rsidRDefault="004B4777">
      <w:pPr>
        <w:snapToGrid w:val="0"/>
        <w:ind w:firstLineChars="0" w:firstLine="0"/>
        <w:jc w:val="center"/>
        <w:rPr>
          <w:rFonts w:ascii="Times New Roman" w:hAnsi="Times New Roman" w:hint="eastAsia"/>
          <w:b/>
          <w:u w:val="single"/>
        </w:rPr>
      </w:pPr>
      <w:r>
        <w:rPr>
          <w:rFonts w:ascii="Times New Roman" w:hAnsi="Times New Roman" w:hint="eastAsia"/>
          <w:b/>
          <w:u w:val="single"/>
        </w:rPr>
        <w:t>表</w:t>
      </w:r>
      <w:r>
        <w:rPr>
          <w:rFonts w:ascii="Times New Roman" w:hAnsi="Times New Roman" w:hint="eastAsia"/>
          <w:b/>
          <w:u w:val="single"/>
        </w:rPr>
        <w:t>7.3-1</w:t>
      </w:r>
      <w:r>
        <w:rPr>
          <w:rFonts w:ascii="Times New Roman" w:hAnsi="Times New Roman" w:hint="eastAsia"/>
          <w:b/>
          <w:u w:val="single"/>
        </w:rPr>
        <w:t>工程生态补偿增殖放流计划</w:t>
      </w:r>
    </w:p>
    <w:tbl>
      <w:tblPr>
        <w:tblW w:w="0" w:type="auto"/>
        <w:jc w:val="center"/>
        <w:tblInd w:w="0" w:type="dxa"/>
        <w:tblLayout w:type="fixed"/>
        <w:tblLook w:val="0000"/>
      </w:tblPr>
      <w:tblGrid>
        <w:gridCol w:w="776"/>
        <w:gridCol w:w="1881"/>
        <w:gridCol w:w="1145"/>
        <w:gridCol w:w="1699"/>
        <w:gridCol w:w="1515"/>
        <w:gridCol w:w="1513"/>
      </w:tblGrid>
      <w:tr w:rsidR="004B4777">
        <w:trPr>
          <w:trHeight w:val="285"/>
          <w:jc w:val="center"/>
        </w:trPr>
        <w:tc>
          <w:tcPr>
            <w:tcW w:w="776" w:type="dxa"/>
            <w:vMerge w:val="restart"/>
            <w:tcBorders>
              <w:top w:val="single" w:sz="4" w:space="0" w:color="auto"/>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序号</w:t>
            </w:r>
          </w:p>
        </w:tc>
        <w:tc>
          <w:tcPr>
            <w:tcW w:w="1881" w:type="dxa"/>
            <w:vMerge w:val="restart"/>
            <w:tcBorders>
              <w:top w:val="single" w:sz="4" w:space="0" w:color="auto"/>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放流种类</w:t>
            </w:r>
          </w:p>
        </w:tc>
        <w:tc>
          <w:tcPr>
            <w:tcW w:w="1145" w:type="dxa"/>
            <w:tcBorders>
              <w:top w:val="single" w:sz="4" w:space="0" w:color="auto"/>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规格</w:t>
            </w:r>
          </w:p>
        </w:tc>
        <w:tc>
          <w:tcPr>
            <w:tcW w:w="1699" w:type="dxa"/>
            <w:tcBorders>
              <w:top w:val="single" w:sz="4" w:space="0" w:color="auto"/>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单价</w:t>
            </w:r>
          </w:p>
        </w:tc>
        <w:tc>
          <w:tcPr>
            <w:tcW w:w="1515" w:type="dxa"/>
            <w:tcBorders>
              <w:top w:val="single" w:sz="4" w:space="0" w:color="auto"/>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数量</w:t>
            </w:r>
          </w:p>
        </w:tc>
        <w:tc>
          <w:tcPr>
            <w:tcW w:w="1513" w:type="dxa"/>
            <w:tcBorders>
              <w:top w:val="single" w:sz="4" w:space="0" w:color="auto"/>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经费</w:t>
            </w:r>
          </w:p>
        </w:tc>
      </w:tr>
      <w:tr w:rsidR="004B4777">
        <w:trPr>
          <w:trHeight w:val="285"/>
          <w:jc w:val="center"/>
        </w:trPr>
        <w:tc>
          <w:tcPr>
            <w:tcW w:w="776" w:type="dxa"/>
            <w:vMerge/>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p>
        </w:tc>
        <w:tc>
          <w:tcPr>
            <w:tcW w:w="1881" w:type="dxa"/>
            <w:vMerge/>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w:t>
            </w:r>
            <w:r>
              <w:rPr>
                <w:rFonts w:ascii="Times New Roman" w:hAnsi="Times New Roman" w:hint="eastAsia"/>
                <w:snapToGrid w:val="0"/>
                <w:kern w:val="0"/>
                <w:sz w:val="21"/>
                <w:szCs w:val="21"/>
                <w:u w:val="single"/>
              </w:rPr>
              <w:t>cm</w:t>
            </w:r>
            <w:r>
              <w:rPr>
                <w:rFonts w:ascii="Times New Roman" w:hAnsi="Times New Roman" w:hint="eastAsia"/>
                <w:snapToGrid w:val="0"/>
                <w:kern w:val="0"/>
                <w:sz w:val="21"/>
                <w:szCs w:val="21"/>
                <w:u w:val="single"/>
              </w:rPr>
              <w:t>）</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（元</w:t>
            </w:r>
            <w:r>
              <w:rPr>
                <w:rFonts w:ascii="Times New Roman" w:hAnsi="Times New Roman" w:hint="eastAsia"/>
                <w:snapToGrid w:val="0"/>
                <w:kern w:val="0"/>
                <w:sz w:val="21"/>
                <w:szCs w:val="21"/>
                <w:u w:val="single"/>
              </w:rPr>
              <w:t>/</w:t>
            </w:r>
            <w:r>
              <w:rPr>
                <w:rFonts w:ascii="Times New Roman" w:hAnsi="Times New Roman" w:hint="eastAsia"/>
                <w:snapToGrid w:val="0"/>
                <w:kern w:val="0"/>
                <w:sz w:val="21"/>
                <w:szCs w:val="21"/>
                <w:u w:val="single"/>
              </w:rPr>
              <w:t>尾）</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（万尾）</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（万元）</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青鱼</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0.4</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0.8</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草鱼</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0.4</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0.8</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鲢</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0.4</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0.8</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鳙</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0.4</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0.8</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胭脂鱼</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15</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1.5</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4.5</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6</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长吻鮠</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15</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1.2</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3.6</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7</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黄颡鱼</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0.8</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2.5</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鮎</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0.6</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1.2</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9</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鳜</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w:t>
            </w:r>
            <w:r>
              <w:rPr>
                <w:rFonts w:ascii="Times New Roman" w:hAnsi="Times New Roman"/>
                <w:snapToGrid w:val="0"/>
                <w:kern w:val="0"/>
                <w:sz w:val="21"/>
                <w:szCs w:val="21"/>
                <w:u w:val="single"/>
              </w:rPr>
              <w:t>10</w:t>
            </w: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0.8</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2.5</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w:t>
            </w:r>
          </w:p>
        </w:tc>
        <w:tc>
          <w:tcPr>
            <w:tcW w:w="1881"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中华绒螯蟹</w:t>
            </w:r>
          </w:p>
        </w:tc>
        <w:tc>
          <w:tcPr>
            <w:tcW w:w="114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p>
        </w:tc>
        <w:tc>
          <w:tcPr>
            <w:tcW w:w="1699"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11</w:t>
            </w:r>
          </w:p>
        </w:tc>
        <w:tc>
          <w:tcPr>
            <w:tcW w:w="6240" w:type="dxa"/>
            <w:gridSpan w:val="4"/>
            <w:tcBorders>
              <w:top w:val="single" w:sz="4" w:space="0" w:color="auto"/>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人工增殖放流组织实施费用（</w:t>
            </w:r>
            <w:r>
              <w:rPr>
                <w:rFonts w:ascii="Times New Roman" w:hAnsi="Times New Roman"/>
                <w:snapToGrid w:val="0"/>
                <w:kern w:val="0"/>
                <w:sz w:val="21"/>
                <w:szCs w:val="21"/>
                <w:u w:val="single"/>
              </w:rPr>
              <w:t>5</w:t>
            </w:r>
            <w:r>
              <w:rPr>
                <w:rFonts w:ascii="Times New Roman" w:hAnsi="Times New Roman" w:hint="eastAsia"/>
                <w:snapToGrid w:val="0"/>
                <w:kern w:val="0"/>
                <w:sz w:val="21"/>
                <w:szCs w:val="21"/>
                <w:u w:val="single"/>
              </w:rPr>
              <w:t>年）</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w:t>
            </w:r>
          </w:p>
        </w:tc>
      </w:tr>
      <w:tr w:rsidR="004B4777">
        <w:trPr>
          <w:trHeight w:val="315"/>
          <w:jc w:val="center"/>
        </w:trPr>
        <w:tc>
          <w:tcPr>
            <w:tcW w:w="776" w:type="dxa"/>
            <w:tcBorders>
              <w:top w:val="nil"/>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12</w:t>
            </w:r>
          </w:p>
        </w:tc>
        <w:tc>
          <w:tcPr>
            <w:tcW w:w="4725" w:type="dxa"/>
            <w:gridSpan w:val="3"/>
            <w:tcBorders>
              <w:top w:val="single" w:sz="4" w:space="0" w:color="auto"/>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一年</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21</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19.5</w:t>
            </w:r>
          </w:p>
        </w:tc>
      </w:tr>
      <w:tr w:rsidR="004B4777">
        <w:trPr>
          <w:trHeight w:val="315"/>
          <w:jc w:val="center"/>
        </w:trPr>
        <w:tc>
          <w:tcPr>
            <w:tcW w:w="5501" w:type="dxa"/>
            <w:gridSpan w:val="4"/>
            <w:tcBorders>
              <w:top w:val="single" w:sz="4" w:space="0" w:color="auto"/>
              <w:left w:val="single" w:sz="4" w:space="0" w:color="auto"/>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合计</w:t>
            </w:r>
          </w:p>
        </w:tc>
        <w:tc>
          <w:tcPr>
            <w:tcW w:w="1515"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105</w:t>
            </w:r>
          </w:p>
        </w:tc>
        <w:tc>
          <w:tcPr>
            <w:tcW w:w="1513" w:type="dxa"/>
            <w:tcBorders>
              <w:top w:val="nil"/>
              <w:left w:val="nil"/>
              <w:bottom w:val="single" w:sz="4" w:space="0" w:color="auto"/>
              <w:right w:val="single" w:sz="4" w:space="0" w:color="auto"/>
            </w:tcBorders>
            <w:vAlign w:val="center"/>
          </w:tcPr>
          <w:p w:rsidR="004B4777" w:rsidRDefault="004B4777">
            <w:pPr>
              <w:autoSpaceDE w:val="0"/>
              <w:autoSpaceDN w:val="0"/>
              <w:adjustRightInd w:val="0"/>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107.5</w:t>
            </w:r>
          </w:p>
        </w:tc>
      </w:tr>
    </w:tbl>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 xml:space="preserve">.3.3 </w:t>
      </w:r>
      <w:r>
        <w:rPr>
          <w:rFonts w:ascii="Times New Roman" w:hAnsi="Times New Roman" w:hint="eastAsia"/>
          <w:b/>
          <w:szCs w:val="24"/>
          <w:u w:val="single"/>
        </w:rPr>
        <w:t>管理措施</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1</w:t>
      </w:r>
      <w:r>
        <w:rPr>
          <w:rFonts w:ascii="Times New Roman" w:hAnsi="Times New Roman" w:hint="eastAsia"/>
          <w:color w:val="000000"/>
          <w:kern w:val="0"/>
          <w:szCs w:val="24"/>
          <w:u w:val="single"/>
        </w:rPr>
        <w:t>）强化渔政管理</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强化渔政管理是保护水生生物资源的重要措施。按渔业法规定、制定合理的网目。严禁电鱼、炸鱼等各种非法作业，保证鱼类在产卵期和生长期的正常繁育，确保鱼类资源可持续利用。</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将水生态保护纳入工程监理，环境保护部门和渔业主管部门等有关管理部门应加强对采区采砂作业的监督和管理，督促、监督和落实各项水生态保护措施，减缓工程影响。</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w:t>
      </w:r>
      <w:r>
        <w:rPr>
          <w:rFonts w:ascii="Times New Roman" w:hAnsi="Times New Roman" w:hint="eastAsia"/>
          <w:color w:val="000000"/>
          <w:kern w:val="0"/>
          <w:szCs w:val="24"/>
          <w:u w:val="single"/>
        </w:rPr>
        <w:t>2</w:t>
      </w:r>
      <w:r>
        <w:rPr>
          <w:rFonts w:ascii="Times New Roman" w:hAnsi="Times New Roman" w:hint="eastAsia"/>
          <w:color w:val="000000"/>
          <w:kern w:val="0"/>
          <w:szCs w:val="24"/>
          <w:u w:val="single"/>
        </w:rPr>
        <w:t>）加强采砂期管理</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采砂期间，以公告、宣传单、板报和会议等形式，加强对采砂人员的环境保护宣</w:t>
      </w:r>
      <w:r>
        <w:rPr>
          <w:rFonts w:ascii="Times New Roman" w:hAnsi="Times New Roman" w:hint="eastAsia"/>
          <w:color w:val="000000"/>
          <w:kern w:val="0"/>
          <w:szCs w:val="24"/>
          <w:u w:val="single"/>
        </w:rPr>
        <w:lastRenderedPageBreak/>
        <w:t>传教育和保护野生动物常识的宣传，提高采砂人员的水环境保护意识，使其在采砂过程中能自觉保护水生态环境，并遵守相关的生态保护规定；严禁在采砂河段进行捕鱼或从事其它有碍水生环境保护的活动。</w:t>
      </w:r>
    </w:p>
    <w:p w:rsidR="004B4777" w:rsidRDefault="004B4777">
      <w:pPr>
        <w:autoSpaceDE w:val="0"/>
        <w:autoSpaceDN w:val="0"/>
        <w:snapToGrid w:val="0"/>
        <w:ind w:firstLine="449"/>
        <w:rPr>
          <w:rFonts w:ascii="Times New Roman" w:hAnsi="Times New Roman" w:hint="eastAsia"/>
          <w:color w:val="000000"/>
          <w:kern w:val="0"/>
          <w:szCs w:val="24"/>
          <w:u w:val="single"/>
        </w:rPr>
      </w:pPr>
      <w:r>
        <w:rPr>
          <w:rFonts w:ascii="Times New Roman" w:hAnsi="Times New Roman" w:hint="eastAsia"/>
          <w:color w:val="000000"/>
          <w:kern w:val="0"/>
          <w:szCs w:val="24"/>
          <w:u w:val="single"/>
        </w:rPr>
        <w:t>强化采砂区管理，严禁越界采砂、禁采期采砂，坚决打击越界逾期采砂行为。采用红外线监控、远程观测等现代化手段对采砂区进行监测管理。</w:t>
      </w:r>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4</w:t>
      </w:r>
      <w:r>
        <w:rPr>
          <w:rFonts w:ascii="Times New Roman" w:eastAsia="宋体" w:hAnsi="Times New Roman"/>
          <w:b/>
          <w:u w:val="single"/>
        </w:rPr>
        <w:t xml:space="preserve"> </w:t>
      </w:r>
      <w:r>
        <w:rPr>
          <w:rFonts w:ascii="Times New Roman" w:eastAsia="宋体" w:hAnsi="Times New Roman" w:hint="eastAsia"/>
          <w:b/>
          <w:u w:val="single"/>
        </w:rPr>
        <w:t>生态红线保护</w:t>
      </w:r>
      <w:r>
        <w:rPr>
          <w:rFonts w:ascii="Times New Roman" w:eastAsia="宋体" w:hAnsi="Times New Roman"/>
          <w:b/>
          <w:u w:val="single"/>
        </w:rPr>
        <w:t>措施</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易婆塘采区紧邻生态保护红线边界，采砂活动对生态红线区影响较大，应严格限制采砂区，做好近生态红线区的围堰处理，采砂覆土及时收集处理；洗砂区远离生态红线范围，尽量减少采砂行为对河道水质产生的干扰，防止洗砂水质直接流入生态红线区。</w:t>
      </w:r>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5</w:t>
      </w:r>
      <w:r>
        <w:rPr>
          <w:rFonts w:ascii="Times New Roman" w:eastAsia="宋体" w:hAnsi="Times New Roman"/>
          <w:b/>
          <w:u w:val="single"/>
        </w:rPr>
        <w:t xml:space="preserve"> </w:t>
      </w:r>
      <w:r>
        <w:rPr>
          <w:rFonts w:ascii="Times New Roman" w:eastAsia="宋体" w:hAnsi="Times New Roman" w:hint="eastAsia"/>
          <w:b/>
          <w:u w:val="single"/>
        </w:rPr>
        <w:t>风险防范</w:t>
      </w:r>
      <w:r>
        <w:rPr>
          <w:rFonts w:ascii="Times New Roman" w:eastAsia="宋体" w:hAnsi="Times New Roman"/>
          <w:b/>
          <w:u w:val="single"/>
        </w:rPr>
        <w:t>措施</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5</w:t>
      </w:r>
      <w:r>
        <w:rPr>
          <w:rFonts w:ascii="Times New Roman" w:hAnsi="Times New Roman"/>
          <w:b/>
          <w:szCs w:val="24"/>
          <w:u w:val="single"/>
        </w:rPr>
        <w:t xml:space="preserve">.1 </w:t>
      </w:r>
      <w:r>
        <w:rPr>
          <w:rFonts w:ascii="Times New Roman" w:hAnsi="Times New Roman" w:hint="eastAsia"/>
          <w:b/>
          <w:szCs w:val="24"/>
          <w:u w:val="single"/>
        </w:rPr>
        <w:t>航运安全管理</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为保护航运安全（三级航道及以上）主航道中心线两侧各</w:t>
      </w:r>
      <w:r>
        <w:rPr>
          <w:rFonts w:ascii="Times New Roman" w:hAnsi="Times New Roman" w:hint="eastAsia"/>
          <w:szCs w:val="24"/>
          <w:u w:val="single"/>
        </w:rPr>
        <w:t xml:space="preserve"> 60m </w:t>
      </w:r>
      <w:r>
        <w:rPr>
          <w:rFonts w:ascii="Times New Roman" w:hAnsi="Times New Roman" w:hint="eastAsia"/>
          <w:szCs w:val="24"/>
          <w:u w:val="single"/>
        </w:rPr>
        <w:t>范围、（四级航道）主航道按中心线两侧各</w:t>
      </w:r>
      <w:r>
        <w:rPr>
          <w:rFonts w:ascii="Times New Roman" w:hAnsi="Times New Roman" w:hint="eastAsia"/>
          <w:szCs w:val="24"/>
          <w:u w:val="single"/>
        </w:rPr>
        <w:t xml:space="preserve"> 50m </w:t>
      </w:r>
      <w:r>
        <w:rPr>
          <w:rFonts w:ascii="Times New Roman" w:hAnsi="Times New Roman" w:hint="eastAsia"/>
          <w:szCs w:val="24"/>
          <w:u w:val="single"/>
        </w:rPr>
        <w:t>范围及航道整治建筑物、助航标志及测量标志两侧</w:t>
      </w:r>
      <w:r>
        <w:rPr>
          <w:rFonts w:ascii="Times New Roman" w:hAnsi="Times New Roman" w:hint="eastAsia"/>
          <w:szCs w:val="24"/>
          <w:u w:val="single"/>
        </w:rPr>
        <w:t xml:space="preserve"> 50m </w:t>
      </w:r>
      <w:r>
        <w:rPr>
          <w:rFonts w:ascii="Times New Roman" w:hAnsi="Times New Roman" w:hint="eastAsia"/>
          <w:szCs w:val="24"/>
          <w:u w:val="single"/>
        </w:rPr>
        <w:t>范围禁采。尽可能结合航道整治与疏浚工程，按航道和通航安全的要求，科学、有序进行采砂，为通航和航道整治创造有利条件。加强对采砂船只的有效监管，控制采砂船数，对无船名物船号、无船籍和无船舶证书的三无船舶查出和取缔，并禁止严重超载，违章航行，消除水上交通安全的隐患，防查并重。要加大打击非法采船只的力度，各地对采砂船和运输船只须进行清理、登记造册、建立档案。对违法过度挖沙破坏航道的坚决打击，维护航道秩序和通航安全。航道周边的采区首位端均需设置警示提醒标志，确保通航安全。</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斗米咀处有一灯塔，河砂开采过程中对需注意，灯塔周围不得开采，保证灯塔安全。采砂过程中还需保护航道整治建筑工程的护岸等，应在采区主航道旁采砂范围首末端设置标识牌，提醒往来船只。在开采过程中严格控制采量和采挖范围，避免过量开采影响通航条件和水上交通安全。严格控制采挖深度，避免形成深潭，恶化航道，严格控制各采区采量和开采范围，避免过量开采影响通航安全和水上交通安全。</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具体从以下</w:t>
      </w:r>
      <w:r>
        <w:rPr>
          <w:rFonts w:ascii="Times New Roman" w:hAnsi="Times New Roman" w:hint="eastAsia"/>
          <w:szCs w:val="24"/>
          <w:u w:val="single"/>
        </w:rPr>
        <w:t xml:space="preserve"> 3 </w:t>
      </w:r>
      <w:r>
        <w:rPr>
          <w:rFonts w:ascii="Times New Roman" w:hAnsi="Times New Roman" w:hint="eastAsia"/>
          <w:szCs w:val="24"/>
          <w:u w:val="single"/>
        </w:rPr>
        <w:t>个方面着手：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1</w:t>
      </w:r>
      <w:r>
        <w:rPr>
          <w:rFonts w:ascii="Times New Roman" w:hAnsi="Times New Roman" w:hint="eastAsia"/>
          <w:szCs w:val="24"/>
          <w:u w:val="single"/>
        </w:rPr>
        <w:t>）采砂作业时必须设置明显的标志，供过往船舶识别，以便及时采取避让措施。</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）维护采砂秩序，采、运船只不得占用主航道；船舶进、出采区尽量分道航行，</w:t>
      </w:r>
      <w:r>
        <w:rPr>
          <w:rFonts w:ascii="Times New Roman" w:hAnsi="Times New Roman" w:hint="eastAsia"/>
          <w:szCs w:val="24"/>
          <w:u w:val="single"/>
        </w:rPr>
        <w:lastRenderedPageBreak/>
        <w:t>必须服从海事部门的水上水下作业通航安全管理；当采区规模较大时，应派专人指挥安全生产。</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3</w:t>
      </w:r>
      <w:r>
        <w:rPr>
          <w:rFonts w:ascii="Times New Roman" w:hAnsi="Times New Roman" w:hint="eastAsia"/>
          <w:szCs w:val="24"/>
          <w:u w:val="single"/>
        </w:rPr>
        <w:t>）加强弃渣管理，以免碍航和影响行洪。</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5</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 xml:space="preserve"> </w:t>
      </w:r>
      <w:r>
        <w:rPr>
          <w:rFonts w:ascii="Times New Roman" w:hAnsi="Times New Roman" w:hint="eastAsia"/>
          <w:b/>
          <w:szCs w:val="24"/>
          <w:u w:val="single"/>
        </w:rPr>
        <w:t>水生生物救护</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采砂期，如果发现采砂附近水域有长江江豚、中华鳖等保护水生生物应立即停止采砂并进行上报，进行水生生物的密切跟踪，并采区一定的驱鱼措施，使其远离采砂影响区后开始进行采砂。</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采砂期间，若发生采砂行为直接伤害长江江豚等保护水生生物的事件，采砂方应及时向渔政管理机构进行报告，以便采取有效措施，对受伤珍稀水生生物进行救治救护。需要配备必要的救护设备。临时救护设备包括：运输设备、增氧设备、药品等医疗卫生设备、各种网具等。</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一旦发现豚类和大型鱼类受伤或死亡，应立即通知岳阳市、湘阴县渔政部门，并组织人力将受伤或死亡的动物捞起。针对受伤的动物，请专业人员根据伤势轻重采取治疗。</w:t>
      </w:r>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6</w:t>
      </w:r>
      <w:r>
        <w:rPr>
          <w:rFonts w:ascii="Times New Roman" w:eastAsia="宋体" w:hAnsi="Times New Roman"/>
          <w:b/>
          <w:u w:val="single"/>
        </w:rPr>
        <w:t xml:space="preserve"> </w:t>
      </w:r>
      <w:r>
        <w:rPr>
          <w:rFonts w:ascii="Times New Roman" w:eastAsia="宋体" w:hAnsi="Times New Roman" w:hint="eastAsia"/>
          <w:b/>
          <w:u w:val="single"/>
        </w:rPr>
        <w:t>生态监测</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6</w:t>
      </w:r>
      <w:r>
        <w:rPr>
          <w:rFonts w:ascii="Times New Roman" w:hAnsi="Times New Roman"/>
          <w:b/>
          <w:szCs w:val="24"/>
          <w:u w:val="single"/>
        </w:rPr>
        <w:t xml:space="preserve">.1 </w:t>
      </w:r>
      <w:r>
        <w:rPr>
          <w:rFonts w:ascii="Times New Roman" w:hAnsi="Times New Roman" w:hint="eastAsia"/>
          <w:b/>
          <w:szCs w:val="24"/>
          <w:u w:val="single"/>
        </w:rPr>
        <w:t>陆生生态监测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1</w:t>
      </w:r>
      <w:r>
        <w:rPr>
          <w:rFonts w:ascii="Times New Roman" w:hAnsi="Times New Roman" w:hint="eastAsia"/>
          <w:szCs w:val="24"/>
          <w:u w:val="single"/>
        </w:rPr>
        <w:t>）陆生植物监测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①监测区域</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监测区域设置在斗米咀、易婆塘采砂区下游保护区（横岭湖省级自然保护区）、湘江、资江两岸等区域内。其中斗米咀采区设置</w:t>
      </w:r>
      <w:r>
        <w:rPr>
          <w:rFonts w:ascii="Times New Roman" w:hAnsi="Times New Roman" w:hint="eastAsia"/>
          <w:szCs w:val="24"/>
          <w:u w:val="single"/>
        </w:rPr>
        <w:t>3</w:t>
      </w:r>
      <w:r>
        <w:rPr>
          <w:rFonts w:ascii="Times New Roman" w:hAnsi="Times New Roman" w:hint="eastAsia"/>
          <w:szCs w:val="24"/>
          <w:u w:val="single"/>
        </w:rPr>
        <w:t>处、易婆塘采区设置</w:t>
      </w:r>
      <w:r>
        <w:rPr>
          <w:rFonts w:ascii="Times New Roman" w:hAnsi="Times New Roman" w:hint="eastAsia"/>
          <w:szCs w:val="24"/>
          <w:u w:val="single"/>
        </w:rPr>
        <w:t>2</w:t>
      </w:r>
      <w:r>
        <w:rPr>
          <w:rFonts w:ascii="Times New Roman" w:hAnsi="Times New Roman" w:hint="eastAsia"/>
          <w:szCs w:val="24"/>
          <w:u w:val="single"/>
        </w:rPr>
        <w:t>处（见生态专题附图</w:t>
      </w:r>
      <w:r>
        <w:rPr>
          <w:rFonts w:ascii="Times New Roman" w:hAnsi="Times New Roman" w:hint="eastAsia"/>
          <w:szCs w:val="24"/>
          <w:u w:val="single"/>
        </w:rPr>
        <w:t>9</w:t>
      </w:r>
      <w:r>
        <w:rPr>
          <w:rFonts w:ascii="Times New Roman" w:hAnsi="Times New Roman" w:hint="eastAsia"/>
          <w:szCs w:val="24"/>
          <w:u w:val="single"/>
        </w:rPr>
        <w:t>）。</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②监测内容</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开采期：斗米咀、易婆塘采砂区下游保护区（横岭湖省级自然保护区）、湘江、资江两岸区域内植物物种种类、高度、盖度、生长状态、种群动态、种群大小、群落物种多样性、人为干扰活动的类型和强度等。</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后续期：后续期对植物的影响主要是人为干扰及器械活动的影响，此时监测主要是对附近保护区及采砂河段两岸生境较好植物种类及植被的监测，主要包括植物物种种类、盖度、生活力、种群大小、种群动态、群落物种多样性、主要植被类型、分布等。</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lastRenderedPageBreak/>
        <w:t>③监测方式</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通过利用样方调查法对斗米咀、易婆塘采砂区下游保护区（横岭湖省级自然保护区）、湘江、资江两岸区域内主要的植物物种及典型的植物群落的地理位置、地形地貌、气候条件、土壤状况、植被情况、人为活动情况等进行定性或定量描述。对群落植物的监测主要包括个体定位、高度、盖度、物候期、个体生长状态等。此外，监测过程中应密切关注外来入侵种的种类、数量、入侵速度。</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④监测时间和频次</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监测时间应根据植物生长季节，一般选择夏季。监测频次应根据监测对象确定，对于胸径≥</w:t>
      </w:r>
      <w:r>
        <w:rPr>
          <w:rFonts w:ascii="Times New Roman" w:hAnsi="Times New Roman" w:hint="eastAsia"/>
          <w:szCs w:val="24"/>
          <w:u w:val="single"/>
        </w:rPr>
        <w:t>1cm</w:t>
      </w:r>
      <w:r>
        <w:rPr>
          <w:rFonts w:ascii="Times New Roman" w:hAnsi="Times New Roman" w:hint="eastAsia"/>
          <w:szCs w:val="24"/>
          <w:u w:val="single"/>
        </w:rPr>
        <w:t>的木本植物每</w:t>
      </w:r>
      <w:r>
        <w:rPr>
          <w:rFonts w:ascii="Times New Roman" w:hAnsi="Times New Roman" w:hint="eastAsia"/>
          <w:szCs w:val="24"/>
          <w:u w:val="single"/>
        </w:rPr>
        <w:t>5</w:t>
      </w:r>
      <w:r>
        <w:rPr>
          <w:rFonts w:ascii="Times New Roman" w:hAnsi="Times New Roman" w:hint="eastAsia"/>
          <w:szCs w:val="24"/>
          <w:u w:val="single"/>
        </w:rPr>
        <w:t>年监测一次；胸经＜</w:t>
      </w:r>
      <w:r>
        <w:rPr>
          <w:rFonts w:ascii="Times New Roman" w:hAnsi="Times New Roman" w:hint="eastAsia"/>
          <w:szCs w:val="24"/>
          <w:u w:val="single"/>
        </w:rPr>
        <w:t>1cm</w:t>
      </w:r>
      <w:r>
        <w:rPr>
          <w:rFonts w:ascii="Times New Roman" w:hAnsi="Times New Roman" w:hint="eastAsia"/>
          <w:szCs w:val="24"/>
          <w:u w:val="single"/>
        </w:rPr>
        <w:t>的木本植物每年</w:t>
      </w:r>
      <w:r>
        <w:rPr>
          <w:rFonts w:ascii="Times New Roman" w:hAnsi="Times New Roman" w:hint="eastAsia"/>
          <w:szCs w:val="24"/>
          <w:u w:val="single"/>
        </w:rPr>
        <w:t>1~2</w:t>
      </w:r>
      <w:r>
        <w:rPr>
          <w:rFonts w:ascii="Times New Roman" w:hAnsi="Times New Roman" w:hint="eastAsia"/>
          <w:szCs w:val="24"/>
          <w:u w:val="single"/>
        </w:rPr>
        <w:t>次；灌丛群落灌木植物每</w:t>
      </w:r>
      <w:r>
        <w:rPr>
          <w:rFonts w:ascii="Times New Roman" w:hAnsi="Times New Roman" w:hint="eastAsia"/>
          <w:szCs w:val="24"/>
          <w:u w:val="single"/>
        </w:rPr>
        <w:t>3</w:t>
      </w:r>
      <w:r>
        <w:rPr>
          <w:rFonts w:ascii="Times New Roman" w:hAnsi="Times New Roman" w:hint="eastAsia"/>
          <w:szCs w:val="24"/>
          <w:u w:val="single"/>
        </w:rPr>
        <w:t>年监测一次；草本植物每年监测</w:t>
      </w:r>
      <w:r>
        <w:rPr>
          <w:rFonts w:ascii="Times New Roman" w:hAnsi="Times New Roman" w:hint="eastAsia"/>
          <w:szCs w:val="24"/>
          <w:u w:val="single"/>
        </w:rPr>
        <w:t>1</w:t>
      </w:r>
      <w:r>
        <w:rPr>
          <w:rFonts w:ascii="Times New Roman" w:hAnsi="Times New Roman" w:hint="eastAsia"/>
          <w:szCs w:val="24"/>
          <w:u w:val="single"/>
        </w:rPr>
        <w:t>次。监测时间一经确定，应保持长期不变，以利于对比。</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）陆生动物监测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①监测区域</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监测区域设置在斗米咀、易婆塘采砂区及下游</w:t>
      </w:r>
      <w:r>
        <w:rPr>
          <w:rFonts w:ascii="Times New Roman" w:hAnsi="Times New Roman" w:hint="eastAsia"/>
          <w:szCs w:val="24"/>
          <w:u w:val="single"/>
        </w:rPr>
        <w:t>2</w:t>
      </w:r>
      <w:r>
        <w:rPr>
          <w:rFonts w:ascii="Times New Roman" w:hAnsi="Times New Roman" w:hint="eastAsia"/>
          <w:szCs w:val="24"/>
          <w:u w:val="single"/>
        </w:rPr>
        <w:t>个自然保护区（沅江南洞庭湖自然保护区和横岭湖省级自然保护区）各设置</w:t>
      </w:r>
      <w:r>
        <w:rPr>
          <w:rFonts w:ascii="Times New Roman" w:hAnsi="Times New Roman" w:hint="eastAsia"/>
          <w:szCs w:val="24"/>
          <w:u w:val="single"/>
        </w:rPr>
        <w:t>1</w:t>
      </w:r>
      <w:r>
        <w:rPr>
          <w:rFonts w:ascii="Times New Roman" w:hAnsi="Times New Roman" w:hint="eastAsia"/>
          <w:szCs w:val="24"/>
          <w:u w:val="single"/>
        </w:rPr>
        <w:t>个监测点。监测点位基本与陆生植物监测点位保持一致。</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②监测内容</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两栖类、爬行类以及哺乳类：主要监测两栖动物、爬行动物、哺乳动物的种类、物种分布范围、生境类型、人为干扰程度等。</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③监测工具及器材：</w:t>
      </w:r>
      <w:r>
        <w:rPr>
          <w:rFonts w:ascii="Times New Roman" w:hAnsi="Times New Roman" w:hint="eastAsia"/>
          <w:szCs w:val="24"/>
          <w:u w:val="single"/>
        </w:rPr>
        <w:t>GPS</w:t>
      </w:r>
      <w:r>
        <w:rPr>
          <w:rFonts w:ascii="Times New Roman" w:hAnsi="Times New Roman" w:hint="eastAsia"/>
          <w:szCs w:val="24"/>
          <w:u w:val="single"/>
        </w:rPr>
        <w:t>定位仪、数码相机、双筒望远镜、地形图、地图、毒瓶、头灯或手电筒、捕网、蛇叉、广口瓶、解剖镜、录音设备、绘图笔、记步器、石膏粉、救护药品及个人用品等。</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野外物种初步鉴定书籍：《中国两栖动物图鉴》、《中国爬行动物图鉴》、《中国鸟类野外手册》、《中国兽类野外手册》等。</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两栖类、爬行类以及哺乳类：样方法、样线法。</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鸟类：样线法、分区直数法。</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④监测时间和频次</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监测时间：采砂期</w:t>
      </w:r>
      <w:r>
        <w:rPr>
          <w:rFonts w:ascii="Times New Roman" w:hAnsi="Times New Roman" w:hint="eastAsia"/>
          <w:szCs w:val="24"/>
          <w:u w:val="single"/>
        </w:rPr>
        <w:t>4</w:t>
      </w:r>
      <w:r>
        <w:rPr>
          <w:rFonts w:ascii="Times New Roman" w:hAnsi="Times New Roman" w:hint="eastAsia"/>
          <w:szCs w:val="24"/>
          <w:u w:val="single"/>
        </w:rPr>
        <w:t>年，采砂后续期</w:t>
      </w:r>
      <w:r>
        <w:rPr>
          <w:rFonts w:ascii="Times New Roman" w:hAnsi="Times New Roman" w:hint="eastAsia"/>
          <w:szCs w:val="24"/>
          <w:u w:val="single"/>
        </w:rPr>
        <w:t>1</w:t>
      </w:r>
      <w:r>
        <w:rPr>
          <w:rFonts w:ascii="Times New Roman" w:hAnsi="Times New Roman" w:hint="eastAsia"/>
          <w:szCs w:val="24"/>
          <w:u w:val="single"/>
        </w:rPr>
        <w:t>年，共</w:t>
      </w:r>
      <w:r>
        <w:rPr>
          <w:rFonts w:ascii="Times New Roman" w:hAnsi="Times New Roman" w:hint="eastAsia"/>
          <w:szCs w:val="24"/>
          <w:u w:val="single"/>
        </w:rPr>
        <w:t>5</w:t>
      </w:r>
      <w:r>
        <w:rPr>
          <w:rFonts w:ascii="Times New Roman" w:hAnsi="Times New Roman" w:hint="eastAsia"/>
          <w:szCs w:val="24"/>
          <w:u w:val="single"/>
        </w:rPr>
        <w:t>年。</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两栖类、爬行类、哺乳类的监测频次：于两栖类、爬行类、哺乳类活动频繁的季节监测，两栖类、爬行类和兽类在惊蛰后的</w:t>
      </w:r>
      <w:r>
        <w:rPr>
          <w:rFonts w:ascii="Times New Roman" w:hAnsi="Times New Roman" w:hint="eastAsia"/>
          <w:szCs w:val="24"/>
          <w:u w:val="single"/>
        </w:rPr>
        <w:t>5</w:t>
      </w:r>
      <w:r>
        <w:rPr>
          <w:rFonts w:ascii="Times New Roman" w:hAnsi="Times New Roman" w:hint="eastAsia"/>
          <w:szCs w:val="24"/>
          <w:u w:val="single"/>
        </w:rPr>
        <w:t>个月内（</w:t>
      </w:r>
      <w:r>
        <w:rPr>
          <w:rFonts w:ascii="Times New Roman" w:hAnsi="Times New Roman" w:hint="eastAsia"/>
          <w:szCs w:val="24"/>
          <w:u w:val="single"/>
        </w:rPr>
        <w:t>4</w:t>
      </w:r>
      <w:r>
        <w:rPr>
          <w:rFonts w:ascii="Times New Roman" w:hAnsi="Times New Roman" w:hint="eastAsia"/>
          <w:szCs w:val="24"/>
          <w:u w:val="single"/>
        </w:rPr>
        <w:t>月</w:t>
      </w:r>
      <w:r>
        <w:rPr>
          <w:rFonts w:ascii="Times New Roman" w:hAnsi="Times New Roman" w:hint="eastAsia"/>
          <w:szCs w:val="24"/>
          <w:u w:val="single"/>
        </w:rPr>
        <w:t>-8</w:t>
      </w:r>
      <w:r>
        <w:rPr>
          <w:rFonts w:ascii="Times New Roman" w:hAnsi="Times New Roman" w:hint="eastAsia"/>
          <w:szCs w:val="24"/>
          <w:u w:val="single"/>
        </w:rPr>
        <w:t>月）监测，每年监测</w:t>
      </w:r>
      <w:r>
        <w:rPr>
          <w:rFonts w:ascii="Times New Roman" w:hAnsi="Times New Roman" w:hint="eastAsia"/>
          <w:szCs w:val="24"/>
          <w:u w:val="single"/>
        </w:rPr>
        <w:t>2</w:t>
      </w:r>
      <w:r>
        <w:rPr>
          <w:rFonts w:ascii="Times New Roman" w:hAnsi="Times New Roman" w:hint="eastAsia"/>
          <w:szCs w:val="24"/>
          <w:u w:val="single"/>
        </w:rPr>
        <w:t>次，</w:t>
      </w:r>
      <w:r>
        <w:rPr>
          <w:rFonts w:ascii="Times New Roman" w:hAnsi="Times New Roman" w:hint="eastAsia"/>
          <w:szCs w:val="24"/>
          <w:u w:val="single"/>
        </w:rPr>
        <w:lastRenderedPageBreak/>
        <w:t>每次监测时间为</w:t>
      </w:r>
      <w:r>
        <w:rPr>
          <w:rFonts w:ascii="Times New Roman" w:hAnsi="Times New Roman" w:hint="eastAsia"/>
          <w:szCs w:val="24"/>
          <w:u w:val="single"/>
        </w:rPr>
        <w:t>1</w:t>
      </w:r>
      <w:r>
        <w:rPr>
          <w:rFonts w:ascii="Times New Roman" w:hAnsi="Times New Roman" w:hint="eastAsia"/>
          <w:szCs w:val="24"/>
          <w:u w:val="single"/>
        </w:rPr>
        <w:t>周。</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鸟类监测频次：鸟类主要在繁殖期、迁徙期、越冬期监测。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繁殖期（春末、夏季）监测</w:t>
      </w:r>
      <w:r>
        <w:rPr>
          <w:rFonts w:ascii="Times New Roman" w:hAnsi="Times New Roman" w:hint="eastAsia"/>
          <w:szCs w:val="24"/>
          <w:u w:val="single"/>
        </w:rPr>
        <w:t>2</w:t>
      </w:r>
      <w:r>
        <w:rPr>
          <w:rFonts w:ascii="Times New Roman" w:hAnsi="Times New Roman" w:hint="eastAsia"/>
          <w:szCs w:val="24"/>
          <w:u w:val="single"/>
        </w:rPr>
        <w:t>次，每次</w:t>
      </w:r>
      <w:r>
        <w:rPr>
          <w:rFonts w:ascii="Times New Roman" w:hAnsi="Times New Roman" w:hint="eastAsia"/>
          <w:szCs w:val="24"/>
          <w:u w:val="single"/>
        </w:rPr>
        <w:t>2</w:t>
      </w:r>
      <w:r>
        <w:rPr>
          <w:rFonts w:ascii="Times New Roman" w:hAnsi="Times New Roman" w:hint="eastAsia"/>
          <w:szCs w:val="24"/>
          <w:u w:val="single"/>
        </w:rPr>
        <w:t>天；迁徙期监测</w:t>
      </w:r>
      <w:r>
        <w:rPr>
          <w:rFonts w:ascii="Times New Roman" w:hAnsi="Times New Roman" w:hint="eastAsia"/>
          <w:szCs w:val="24"/>
          <w:u w:val="single"/>
        </w:rPr>
        <w:t>2</w:t>
      </w:r>
      <w:r>
        <w:rPr>
          <w:rFonts w:ascii="Times New Roman" w:hAnsi="Times New Roman" w:hint="eastAsia"/>
          <w:szCs w:val="24"/>
          <w:u w:val="single"/>
        </w:rPr>
        <w:t>次，每次</w:t>
      </w:r>
      <w:r>
        <w:rPr>
          <w:rFonts w:ascii="Times New Roman" w:hAnsi="Times New Roman" w:hint="eastAsia"/>
          <w:szCs w:val="24"/>
          <w:u w:val="single"/>
        </w:rPr>
        <w:t>2</w:t>
      </w:r>
      <w:r>
        <w:rPr>
          <w:rFonts w:ascii="Times New Roman" w:hAnsi="Times New Roman" w:hint="eastAsia"/>
          <w:szCs w:val="24"/>
          <w:u w:val="single"/>
        </w:rPr>
        <w:t>天；越冬期（</w:t>
      </w:r>
      <w:r>
        <w:rPr>
          <w:rFonts w:ascii="Times New Roman" w:hAnsi="Times New Roman" w:hint="eastAsia"/>
          <w:szCs w:val="24"/>
          <w:u w:val="single"/>
        </w:rPr>
        <w:t>10</w:t>
      </w:r>
      <w:r>
        <w:rPr>
          <w:rFonts w:ascii="Times New Roman" w:hAnsi="Times New Roman" w:hint="eastAsia"/>
          <w:szCs w:val="24"/>
          <w:u w:val="single"/>
        </w:rPr>
        <w:t>月</w:t>
      </w:r>
      <w:r>
        <w:rPr>
          <w:rFonts w:ascii="Times New Roman" w:hAnsi="Times New Roman" w:hint="eastAsia"/>
          <w:szCs w:val="24"/>
          <w:u w:val="single"/>
        </w:rPr>
        <w:t>~</w:t>
      </w:r>
      <w:r>
        <w:rPr>
          <w:rFonts w:ascii="Times New Roman" w:hAnsi="Times New Roman" w:hint="eastAsia"/>
          <w:szCs w:val="24"/>
          <w:u w:val="single"/>
        </w:rPr>
        <w:t>第二年</w:t>
      </w:r>
      <w:r>
        <w:rPr>
          <w:rFonts w:ascii="Times New Roman" w:hAnsi="Times New Roman" w:hint="eastAsia"/>
          <w:szCs w:val="24"/>
          <w:u w:val="single"/>
        </w:rPr>
        <w:t>3</w:t>
      </w:r>
      <w:r>
        <w:rPr>
          <w:rFonts w:ascii="Times New Roman" w:hAnsi="Times New Roman" w:hint="eastAsia"/>
          <w:szCs w:val="24"/>
          <w:u w:val="single"/>
        </w:rPr>
        <w:t>月）监测</w:t>
      </w:r>
      <w:r>
        <w:rPr>
          <w:rFonts w:ascii="Times New Roman" w:hAnsi="Times New Roman" w:hint="eastAsia"/>
          <w:szCs w:val="24"/>
          <w:u w:val="single"/>
        </w:rPr>
        <w:t>2</w:t>
      </w:r>
      <w:r>
        <w:rPr>
          <w:rFonts w:ascii="Times New Roman" w:hAnsi="Times New Roman" w:hint="eastAsia"/>
          <w:szCs w:val="24"/>
          <w:u w:val="single"/>
        </w:rPr>
        <w:t>次，每次</w:t>
      </w:r>
      <w:r>
        <w:rPr>
          <w:rFonts w:ascii="Times New Roman" w:hAnsi="Times New Roman" w:hint="eastAsia"/>
          <w:szCs w:val="24"/>
          <w:u w:val="single"/>
        </w:rPr>
        <w:t>2~3</w:t>
      </w:r>
      <w:r>
        <w:rPr>
          <w:rFonts w:ascii="Times New Roman" w:hAnsi="Times New Roman" w:hint="eastAsia"/>
          <w:szCs w:val="24"/>
          <w:u w:val="single"/>
        </w:rPr>
        <w:t>天。</w:t>
      </w:r>
    </w:p>
    <w:p w:rsidR="004B4777" w:rsidRDefault="004B4777">
      <w:pPr>
        <w:autoSpaceDE w:val="0"/>
        <w:autoSpaceDN w:val="0"/>
        <w:snapToGrid w:val="0"/>
        <w:ind w:firstLineChars="0" w:firstLine="0"/>
        <w:outlineLvl w:val="3"/>
        <w:rPr>
          <w:rFonts w:ascii="Times New Roman" w:hAnsi="Times New Roman" w:hint="eastAsia"/>
          <w:b/>
          <w:szCs w:val="24"/>
          <w:u w:val="single"/>
        </w:rPr>
      </w:pPr>
      <w:r>
        <w:rPr>
          <w:rFonts w:ascii="Times New Roman" w:hAnsi="Times New Roman" w:hint="eastAsia"/>
          <w:b/>
          <w:szCs w:val="24"/>
          <w:u w:val="single"/>
        </w:rPr>
        <w:t>7</w:t>
      </w:r>
      <w:r>
        <w:rPr>
          <w:rFonts w:ascii="Times New Roman" w:hAnsi="Times New Roman"/>
          <w:b/>
          <w:szCs w:val="24"/>
          <w:u w:val="single"/>
        </w:rPr>
        <w:t>.</w:t>
      </w:r>
      <w:r>
        <w:rPr>
          <w:rFonts w:ascii="Times New Roman" w:hAnsi="Times New Roman" w:hint="eastAsia"/>
          <w:b/>
          <w:szCs w:val="24"/>
          <w:u w:val="single"/>
        </w:rPr>
        <w:t>3</w:t>
      </w:r>
      <w:r>
        <w:rPr>
          <w:rFonts w:ascii="Times New Roman" w:hAnsi="Times New Roman"/>
          <w:b/>
          <w:szCs w:val="24"/>
          <w:u w:val="single"/>
        </w:rPr>
        <w:t>.</w:t>
      </w:r>
      <w:r>
        <w:rPr>
          <w:rFonts w:ascii="Times New Roman" w:hAnsi="Times New Roman" w:hint="eastAsia"/>
          <w:b/>
          <w:szCs w:val="24"/>
          <w:u w:val="single"/>
        </w:rPr>
        <w:t>4</w:t>
      </w:r>
      <w:r>
        <w:rPr>
          <w:rFonts w:ascii="Times New Roman" w:hAnsi="Times New Roman"/>
          <w:b/>
          <w:szCs w:val="24"/>
          <w:u w:val="single"/>
        </w:rPr>
        <w:t>.</w:t>
      </w:r>
      <w:r>
        <w:rPr>
          <w:rFonts w:ascii="Times New Roman" w:hAnsi="Times New Roman" w:hint="eastAsia"/>
          <w:b/>
          <w:szCs w:val="24"/>
          <w:u w:val="single"/>
        </w:rPr>
        <w:t>2</w:t>
      </w:r>
      <w:r>
        <w:rPr>
          <w:rFonts w:ascii="Times New Roman" w:hAnsi="Times New Roman"/>
          <w:b/>
          <w:szCs w:val="24"/>
          <w:u w:val="single"/>
        </w:rPr>
        <w:t xml:space="preserve"> </w:t>
      </w:r>
      <w:r>
        <w:rPr>
          <w:rFonts w:ascii="Times New Roman" w:hAnsi="Times New Roman" w:hint="eastAsia"/>
          <w:b/>
          <w:szCs w:val="24"/>
          <w:u w:val="single"/>
        </w:rPr>
        <w:t>水生生态监测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开展采砂区、后续期水生态常态监测，通过监测科学评估采砂影响，及时提出保护对策。</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1</w:t>
      </w:r>
      <w:r>
        <w:rPr>
          <w:rFonts w:ascii="Times New Roman" w:hAnsi="Times New Roman" w:hint="eastAsia"/>
          <w:szCs w:val="24"/>
          <w:u w:val="single"/>
        </w:rPr>
        <w:t>）监测断面</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监测断面主要设置在斗米咀采区上下游各</w:t>
      </w:r>
      <w:r>
        <w:rPr>
          <w:rFonts w:ascii="Times New Roman" w:hAnsi="Times New Roman" w:hint="eastAsia"/>
          <w:szCs w:val="24"/>
          <w:u w:val="single"/>
        </w:rPr>
        <w:t>500m</w:t>
      </w:r>
      <w:r>
        <w:rPr>
          <w:rFonts w:ascii="Times New Roman" w:hAnsi="Times New Roman" w:hint="eastAsia"/>
          <w:szCs w:val="24"/>
          <w:u w:val="single"/>
        </w:rPr>
        <w:t>河段，总共设置</w:t>
      </w:r>
      <w:r>
        <w:rPr>
          <w:rFonts w:ascii="Times New Roman" w:hAnsi="Times New Roman" w:hint="eastAsia"/>
          <w:szCs w:val="24"/>
          <w:u w:val="single"/>
        </w:rPr>
        <w:t>3</w:t>
      </w:r>
      <w:r>
        <w:rPr>
          <w:rFonts w:ascii="Times New Roman" w:hAnsi="Times New Roman" w:hint="eastAsia"/>
          <w:szCs w:val="24"/>
          <w:u w:val="single"/>
        </w:rPr>
        <w:t>处监测面；易婆塘采区上下游各</w:t>
      </w:r>
      <w:r>
        <w:rPr>
          <w:rFonts w:ascii="Times New Roman" w:hAnsi="Times New Roman" w:hint="eastAsia"/>
          <w:szCs w:val="24"/>
          <w:u w:val="single"/>
        </w:rPr>
        <w:t>500m</w:t>
      </w:r>
      <w:r>
        <w:rPr>
          <w:rFonts w:ascii="Times New Roman" w:hAnsi="Times New Roman" w:hint="eastAsia"/>
          <w:szCs w:val="24"/>
          <w:u w:val="single"/>
        </w:rPr>
        <w:t>河段，总共设置</w:t>
      </w:r>
      <w:r>
        <w:rPr>
          <w:rFonts w:ascii="Times New Roman" w:hAnsi="Times New Roman" w:hint="eastAsia"/>
          <w:szCs w:val="24"/>
          <w:u w:val="single"/>
        </w:rPr>
        <w:t>2</w:t>
      </w:r>
      <w:r>
        <w:rPr>
          <w:rFonts w:ascii="Times New Roman" w:hAnsi="Times New Roman" w:hint="eastAsia"/>
          <w:szCs w:val="24"/>
          <w:u w:val="single"/>
        </w:rPr>
        <w:t>处监测面。</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2</w:t>
      </w:r>
      <w:r>
        <w:rPr>
          <w:rFonts w:ascii="Times New Roman" w:hAnsi="Times New Roman" w:hint="eastAsia"/>
          <w:szCs w:val="24"/>
          <w:u w:val="single"/>
        </w:rPr>
        <w:t>）监测内容与监测要素</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①水生生态要素监测：水文、水动力学特征，水体理化性质（主要为</w:t>
      </w:r>
      <w:r>
        <w:rPr>
          <w:rFonts w:ascii="Times New Roman" w:hAnsi="Times New Roman" w:hint="eastAsia"/>
          <w:szCs w:val="24"/>
          <w:u w:val="single"/>
        </w:rPr>
        <w:t>N</w:t>
      </w:r>
      <w:r>
        <w:rPr>
          <w:rFonts w:ascii="Times New Roman" w:hAnsi="Times New Roman" w:hint="eastAsia"/>
          <w:szCs w:val="24"/>
          <w:u w:val="single"/>
        </w:rPr>
        <w:t>、</w:t>
      </w:r>
      <w:r>
        <w:rPr>
          <w:rFonts w:ascii="Times New Roman" w:hAnsi="Times New Roman" w:hint="eastAsia"/>
          <w:szCs w:val="24"/>
          <w:u w:val="single"/>
        </w:rPr>
        <w:t>P</w:t>
      </w:r>
      <w:r>
        <w:rPr>
          <w:rFonts w:ascii="Times New Roman" w:hAnsi="Times New Roman" w:hint="eastAsia"/>
          <w:szCs w:val="24"/>
          <w:u w:val="single"/>
        </w:rPr>
        <w:t>各种形式组分动态及浓度场分布）；浮游植物、浮游动物、底栖动物、周丛生物的种类、现存量及时空分布等监测。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②鱼类资源监测：分湘江河段、资江河段、洞庭湖区三个区域开展渔获物组成、种群结构、资源量及产卵场的监测。</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3</w:t>
      </w:r>
      <w:r>
        <w:rPr>
          <w:rFonts w:ascii="Times New Roman" w:hAnsi="Times New Roman" w:hint="eastAsia"/>
          <w:szCs w:val="24"/>
          <w:u w:val="single"/>
        </w:rPr>
        <w:t>）监测频次</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水质、浮游动植物、底栖动物、水生维管束植物，每年监则</w:t>
      </w:r>
      <w:r>
        <w:rPr>
          <w:rFonts w:ascii="Times New Roman" w:hAnsi="Times New Roman" w:hint="eastAsia"/>
          <w:szCs w:val="24"/>
          <w:u w:val="single"/>
        </w:rPr>
        <w:t>3</w:t>
      </w:r>
      <w:r>
        <w:rPr>
          <w:rFonts w:ascii="Times New Roman" w:hAnsi="Times New Roman" w:hint="eastAsia"/>
          <w:szCs w:val="24"/>
          <w:u w:val="single"/>
        </w:rPr>
        <w:t>次，在</w:t>
      </w:r>
      <w:r>
        <w:rPr>
          <w:rFonts w:ascii="Times New Roman" w:hAnsi="Times New Roman" w:hint="eastAsia"/>
          <w:szCs w:val="24"/>
          <w:u w:val="single"/>
        </w:rPr>
        <w:t>4~5</w:t>
      </w:r>
      <w:r>
        <w:rPr>
          <w:rFonts w:ascii="Times New Roman" w:hAnsi="Times New Roman" w:hint="eastAsia"/>
          <w:szCs w:val="24"/>
          <w:u w:val="single"/>
        </w:rPr>
        <w:t>月、</w:t>
      </w:r>
      <w:r>
        <w:rPr>
          <w:rFonts w:ascii="Times New Roman" w:hAnsi="Times New Roman" w:hint="eastAsia"/>
          <w:szCs w:val="24"/>
          <w:u w:val="single"/>
        </w:rPr>
        <w:t>8</w:t>
      </w:r>
      <w:r>
        <w:rPr>
          <w:rFonts w:ascii="Times New Roman" w:hAnsi="Times New Roman" w:hint="eastAsia"/>
          <w:szCs w:val="24"/>
          <w:u w:val="single"/>
        </w:rPr>
        <w:t>月各监测</w:t>
      </w:r>
      <w:r>
        <w:rPr>
          <w:rFonts w:ascii="Times New Roman" w:hAnsi="Times New Roman" w:hint="eastAsia"/>
          <w:szCs w:val="24"/>
          <w:u w:val="single"/>
        </w:rPr>
        <w:t>1</w:t>
      </w:r>
      <w:r>
        <w:rPr>
          <w:rFonts w:ascii="Times New Roman" w:hAnsi="Times New Roman" w:hint="eastAsia"/>
          <w:szCs w:val="24"/>
          <w:u w:val="single"/>
        </w:rPr>
        <w:t>次；鱼类种群动态监测在</w:t>
      </w:r>
      <w:r>
        <w:rPr>
          <w:rFonts w:ascii="Times New Roman" w:hAnsi="Times New Roman" w:hint="eastAsia"/>
          <w:szCs w:val="24"/>
          <w:u w:val="single"/>
        </w:rPr>
        <w:t>3</w:t>
      </w:r>
      <w:r>
        <w:rPr>
          <w:rFonts w:ascii="Times New Roman" w:hAnsi="Times New Roman" w:hint="eastAsia"/>
          <w:szCs w:val="24"/>
          <w:u w:val="single"/>
        </w:rPr>
        <w:t>～</w:t>
      </w:r>
      <w:r>
        <w:rPr>
          <w:rFonts w:ascii="Times New Roman" w:hAnsi="Times New Roman" w:hint="eastAsia"/>
          <w:szCs w:val="24"/>
          <w:u w:val="single"/>
        </w:rPr>
        <w:t>6</w:t>
      </w:r>
      <w:r>
        <w:rPr>
          <w:rFonts w:ascii="Times New Roman" w:hAnsi="Times New Roman" w:hint="eastAsia"/>
          <w:szCs w:val="24"/>
          <w:u w:val="single"/>
        </w:rPr>
        <w:t>月、</w:t>
      </w:r>
      <w:r>
        <w:rPr>
          <w:rFonts w:ascii="Times New Roman" w:hAnsi="Times New Roman" w:hint="eastAsia"/>
          <w:szCs w:val="24"/>
          <w:u w:val="single"/>
        </w:rPr>
        <w:t>10</w:t>
      </w:r>
      <w:r>
        <w:rPr>
          <w:rFonts w:ascii="Times New Roman" w:hAnsi="Times New Roman" w:hint="eastAsia"/>
          <w:szCs w:val="24"/>
          <w:u w:val="single"/>
        </w:rPr>
        <w:t>～</w:t>
      </w:r>
      <w:r>
        <w:rPr>
          <w:rFonts w:ascii="Times New Roman" w:hAnsi="Times New Roman" w:hint="eastAsia"/>
          <w:szCs w:val="24"/>
          <w:u w:val="single"/>
        </w:rPr>
        <w:t>11</w:t>
      </w:r>
      <w:r>
        <w:rPr>
          <w:rFonts w:ascii="Times New Roman" w:hAnsi="Times New Roman" w:hint="eastAsia"/>
          <w:szCs w:val="24"/>
          <w:u w:val="single"/>
        </w:rPr>
        <w:t>月进行，鱼类产卵场监测在</w:t>
      </w:r>
      <w:r>
        <w:rPr>
          <w:rFonts w:ascii="Times New Roman" w:hAnsi="Times New Roman" w:hint="eastAsia"/>
          <w:szCs w:val="24"/>
          <w:u w:val="single"/>
        </w:rPr>
        <w:t>4</w:t>
      </w:r>
      <w:r>
        <w:rPr>
          <w:rFonts w:ascii="Times New Roman" w:hAnsi="Times New Roman" w:hint="eastAsia"/>
          <w:szCs w:val="24"/>
          <w:u w:val="single"/>
        </w:rPr>
        <w:t>～</w:t>
      </w:r>
      <w:r>
        <w:rPr>
          <w:rFonts w:ascii="Times New Roman" w:hAnsi="Times New Roman" w:hint="eastAsia"/>
          <w:szCs w:val="24"/>
          <w:u w:val="single"/>
        </w:rPr>
        <w:t>6</w:t>
      </w:r>
      <w:r>
        <w:rPr>
          <w:rFonts w:ascii="Times New Roman" w:hAnsi="Times New Roman" w:hint="eastAsia"/>
          <w:szCs w:val="24"/>
          <w:u w:val="single"/>
        </w:rPr>
        <w:t>月进行。</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w:t>
      </w:r>
      <w:r>
        <w:rPr>
          <w:rFonts w:ascii="Times New Roman" w:hAnsi="Times New Roman" w:hint="eastAsia"/>
          <w:szCs w:val="24"/>
          <w:u w:val="single"/>
        </w:rPr>
        <w:t>4</w:t>
      </w:r>
      <w:r>
        <w:rPr>
          <w:rFonts w:ascii="Times New Roman" w:hAnsi="Times New Roman" w:hint="eastAsia"/>
          <w:szCs w:val="24"/>
          <w:u w:val="single"/>
        </w:rPr>
        <w:t>）监测时期</w:t>
      </w:r>
    </w:p>
    <w:p w:rsidR="004B4777" w:rsidRDefault="004B4777">
      <w:pPr>
        <w:autoSpaceDE w:val="0"/>
        <w:autoSpaceDN w:val="0"/>
        <w:snapToGrid w:val="0"/>
        <w:ind w:firstLine="449"/>
        <w:rPr>
          <w:rFonts w:ascii="Times New Roman" w:hAnsi="Times New Roman" w:hint="eastAsia"/>
          <w:szCs w:val="24"/>
          <w:u w:val="single"/>
        </w:rPr>
      </w:pPr>
      <w:r>
        <w:rPr>
          <w:rFonts w:ascii="Times New Roman" w:hAnsi="Times New Roman" w:hint="eastAsia"/>
          <w:szCs w:val="24"/>
          <w:u w:val="single"/>
        </w:rPr>
        <w:t>采砂期</w:t>
      </w:r>
      <w:r>
        <w:rPr>
          <w:rFonts w:ascii="Times New Roman" w:hAnsi="Times New Roman" w:hint="eastAsia"/>
          <w:szCs w:val="24"/>
          <w:u w:val="single"/>
        </w:rPr>
        <w:t>4</w:t>
      </w:r>
      <w:r>
        <w:rPr>
          <w:rFonts w:ascii="Times New Roman" w:hAnsi="Times New Roman" w:hint="eastAsia"/>
          <w:szCs w:val="24"/>
          <w:u w:val="single"/>
        </w:rPr>
        <w:t>年，采砂后续期</w:t>
      </w:r>
      <w:r>
        <w:rPr>
          <w:rFonts w:ascii="Times New Roman" w:hAnsi="Times New Roman" w:hint="eastAsia"/>
          <w:szCs w:val="24"/>
          <w:u w:val="single"/>
        </w:rPr>
        <w:t>1</w:t>
      </w:r>
      <w:r>
        <w:rPr>
          <w:rFonts w:ascii="Times New Roman" w:hAnsi="Times New Roman" w:hint="eastAsia"/>
          <w:szCs w:val="24"/>
          <w:u w:val="single"/>
        </w:rPr>
        <w:t>年，共</w:t>
      </w:r>
      <w:r>
        <w:rPr>
          <w:rFonts w:ascii="Times New Roman" w:hAnsi="Times New Roman" w:hint="eastAsia"/>
          <w:szCs w:val="24"/>
          <w:u w:val="single"/>
        </w:rPr>
        <w:t>5</w:t>
      </w:r>
      <w:r>
        <w:rPr>
          <w:rFonts w:ascii="Times New Roman" w:hAnsi="Times New Roman" w:hint="eastAsia"/>
          <w:szCs w:val="24"/>
          <w:u w:val="single"/>
        </w:rPr>
        <w:t>年。</w:t>
      </w:r>
    </w:p>
    <w:p w:rsidR="004B4777" w:rsidRDefault="004B4777">
      <w:pPr>
        <w:pStyle w:val="3"/>
        <w:spacing w:before="0" w:after="0"/>
        <w:rPr>
          <w:rFonts w:ascii="Times New Roman" w:eastAsia="宋体" w:hAnsi="Times New Roman" w:hint="eastAsia"/>
          <w:b/>
          <w:u w:val="single"/>
        </w:rPr>
      </w:pPr>
      <w:r>
        <w:rPr>
          <w:rFonts w:ascii="Times New Roman" w:eastAsia="宋体" w:hAnsi="Times New Roman" w:hint="eastAsia"/>
          <w:b/>
          <w:u w:val="single"/>
        </w:rPr>
        <w:t>7</w:t>
      </w:r>
      <w:r>
        <w:rPr>
          <w:rFonts w:ascii="Times New Roman" w:eastAsia="宋体" w:hAnsi="Times New Roman"/>
          <w:b/>
          <w:u w:val="single"/>
        </w:rPr>
        <w:t>.</w:t>
      </w:r>
      <w:r>
        <w:rPr>
          <w:rFonts w:ascii="Times New Roman" w:eastAsia="宋体" w:hAnsi="Times New Roman" w:hint="eastAsia"/>
          <w:b/>
          <w:u w:val="single"/>
        </w:rPr>
        <w:t>3</w:t>
      </w:r>
      <w:r>
        <w:rPr>
          <w:rFonts w:ascii="Times New Roman" w:eastAsia="宋体" w:hAnsi="Times New Roman"/>
          <w:b/>
          <w:u w:val="single"/>
        </w:rPr>
        <w:t>.</w:t>
      </w:r>
      <w:r>
        <w:rPr>
          <w:rFonts w:ascii="Times New Roman" w:eastAsia="宋体" w:hAnsi="Times New Roman" w:hint="eastAsia"/>
          <w:b/>
          <w:u w:val="single"/>
        </w:rPr>
        <w:t>5</w:t>
      </w:r>
      <w:r>
        <w:rPr>
          <w:rFonts w:ascii="Times New Roman" w:eastAsia="宋体" w:hAnsi="Times New Roman"/>
          <w:b/>
          <w:u w:val="single"/>
        </w:rPr>
        <w:t xml:space="preserve"> </w:t>
      </w:r>
      <w:r>
        <w:rPr>
          <w:rFonts w:ascii="Times New Roman" w:eastAsia="宋体" w:hAnsi="Times New Roman" w:hint="eastAsia"/>
          <w:b/>
          <w:u w:val="single"/>
        </w:rPr>
        <w:t>生态环境保护经费预算</w:t>
      </w:r>
    </w:p>
    <w:p w:rsidR="004B4777" w:rsidRDefault="004B4777">
      <w:pPr>
        <w:widowControl/>
        <w:adjustRightInd w:val="0"/>
        <w:snapToGrid w:val="0"/>
        <w:ind w:firstLine="449"/>
        <w:jc w:val="left"/>
        <w:rPr>
          <w:rFonts w:ascii="Times New Roman" w:hAnsi="Times New Roman"/>
          <w:color w:val="000000"/>
          <w:szCs w:val="24"/>
          <w:u w:val="single"/>
        </w:rPr>
      </w:pPr>
      <w:r>
        <w:rPr>
          <w:rFonts w:ascii="Times New Roman" w:hAnsi="Times New Roman" w:hint="eastAsia"/>
          <w:color w:val="000000"/>
          <w:szCs w:val="24"/>
          <w:u w:val="single"/>
        </w:rPr>
        <w:t>采砂</w:t>
      </w:r>
      <w:r>
        <w:rPr>
          <w:rFonts w:ascii="Times New Roman" w:hAnsi="Times New Roman"/>
          <w:color w:val="000000"/>
          <w:szCs w:val="24"/>
          <w:u w:val="single"/>
        </w:rPr>
        <w:t>工程对</w:t>
      </w:r>
      <w:r>
        <w:rPr>
          <w:rFonts w:ascii="Times New Roman" w:hAnsi="Times New Roman" w:hint="eastAsia"/>
          <w:color w:val="000000"/>
          <w:szCs w:val="24"/>
          <w:u w:val="single"/>
        </w:rPr>
        <w:t>评价区所在的洞庭湖</w:t>
      </w:r>
      <w:r>
        <w:rPr>
          <w:rFonts w:ascii="Times New Roman" w:hAnsi="Times New Roman"/>
          <w:color w:val="000000"/>
          <w:szCs w:val="24"/>
          <w:u w:val="single"/>
        </w:rPr>
        <w:t>流域影响的生态环境保护经费包括</w:t>
      </w:r>
      <w:r>
        <w:rPr>
          <w:rFonts w:ascii="Times New Roman" w:hAnsi="Times New Roman" w:hint="eastAsia"/>
          <w:color w:val="000000"/>
          <w:szCs w:val="24"/>
          <w:u w:val="single"/>
        </w:rPr>
        <w:t>生态护坡、</w:t>
      </w:r>
      <w:r>
        <w:rPr>
          <w:rFonts w:ascii="Times New Roman" w:hAnsi="Times New Roman"/>
          <w:color w:val="000000"/>
          <w:szCs w:val="24"/>
          <w:u w:val="single"/>
        </w:rPr>
        <w:t>水生生物增殖放流、</w:t>
      </w:r>
      <w:r>
        <w:rPr>
          <w:rFonts w:ascii="Times New Roman" w:hAnsi="Times New Roman" w:hint="eastAsia"/>
          <w:color w:val="000000"/>
          <w:szCs w:val="24"/>
          <w:u w:val="single"/>
        </w:rPr>
        <w:t>生态</w:t>
      </w:r>
      <w:r>
        <w:rPr>
          <w:rFonts w:ascii="Times New Roman" w:hAnsi="Times New Roman"/>
          <w:color w:val="000000"/>
          <w:szCs w:val="24"/>
          <w:u w:val="single"/>
        </w:rPr>
        <w:t>监测等。经过估算，</w:t>
      </w:r>
      <w:r>
        <w:rPr>
          <w:rFonts w:ascii="Times New Roman" w:hAnsi="Times New Roman" w:hint="eastAsia"/>
          <w:color w:val="000000"/>
          <w:szCs w:val="24"/>
          <w:u w:val="single"/>
        </w:rPr>
        <w:t>生态环境</w:t>
      </w:r>
      <w:r>
        <w:rPr>
          <w:rFonts w:ascii="Times New Roman" w:hAnsi="Times New Roman"/>
          <w:color w:val="000000"/>
          <w:szCs w:val="24"/>
          <w:u w:val="single"/>
        </w:rPr>
        <w:t>保护经费用共</w:t>
      </w:r>
      <w:r>
        <w:rPr>
          <w:rFonts w:ascii="Times New Roman" w:hAnsi="Times New Roman" w:hint="eastAsia"/>
          <w:color w:val="000000"/>
          <w:szCs w:val="24"/>
          <w:u w:val="single"/>
        </w:rPr>
        <w:t>232</w:t>
      </w:r>
      <w:r>
        <w:rPr>
          <w:rFonts w:ascii="Times New Roman" w:hAnsi="Times New Roman"/>
          <w:color w:val="000000"/>
          <w:szCs w:val="24"/>
          <w:u w:val="single"/>
        </w:rPr>
        <w:t>.5</w:t>
      </w:r>
      <w:r>
        <w:rPr>
          <w:rFonts w:ascii="Times New Roman" w:hAnsi="Times New Roman"/>
          <w:color w:val="000000"/>
          <w:szCs w:val="24"/>
          <w:u w:val="single"/>
        </w:rPr>
        <w:t>万元。详细预算见表</w:t>
      </w:r>
      <w:r>
        <w:rPr>
          <w:rFonts w:ascii="Times New Roman" w:hAnsi="Times New Roman" w:hint="eastAsia"/>
          <w:color w:val="000000"/>
          <w:szCs w:val="24"/>
          <w:u w:val="single"/>
        </w:rPr>
        <w:t>7.3-2</w:t>
      </w:r>
      <w:r>
        <w:rPr>
          <w:rFonts w:ascii="Times New Roman" w:hAnsi="Times New Roman"/>
          <w:color w:val="000000"/>
          <w:szCs w:val="24"/>
          <w:u w:val="single"/>
        </w:rPr>
        <w:t>。</w:t>
      </w:r>
    </w:p>
    <w:tbl>
      <w:tblPr>
        <w:tblW w:w="0" w:type="auto"/>
        <w:jc w:val="center"/>
        <w:tblInd w:w="0" w:type="dxa"/>
        <w:tblLayout w:type="fixed"/>
        <w:tblLook w:val="0000"/>
      </w:tblPr>
      <w:tblGrid>
        <w:gridCol w:w="1952"/>
        <w:gridCol w:w="646"/>
        <w:gridCol w:w="689"/>
        <w:gridCol w:w="5242"/>
      </w:tblGrid>
      <w:tr w:rsidR="004B4777">
        <w:trPr>
          <w:trHeight w:val="285"/>
          <w:jc w:val="center"/>
        </w:trPr>
        <w:tc>
          <w:tcPr>
            <w:tcW w:w="8529" w:type="dxa"/>
            <w:gridSpan w:val="4"/>
            <w:tcBorders>
              <w:top w:val="nil"/>
              <w:left w:val="nil"/>
              <w:bottom w:val="single" w:sz="4" w:space="0" w:color="auto"/>
              <w:right w:val="nil"/>
            </w:tcBorders>
            <w:vAlign w:val="center"/>
          </w:tcPr>
          <w:p w:rsidR="004B4777" w:rsidRDefault="004B4777">
            <w:pPr>
              <w:snapToGrid w:val="0"/>
              <w:ind w:firstLineChars="0" w:firstLine="0"/>
              <w:jc w:val="center"/>
              <w:rPr>
                <w:rFonts w:ascii="Times New Roman" w:hAnsi="Times New Roman" w:cs="宋体"/>
                <w:color w:val="000000"/>
                <w:kern w:val="0"/>
                <w:sz w:val="21"/>
                <w:szCs w:val="21"/>
                <w:u w:val="single"/>
              </w:rPr>
            </w:pPr>
            <w:r>
              <w:rPr>
                <w:rFonts w:ascii="Times New Roman" w:hAnsi="Times New Roman" w:hint="eastAsia"/>
                <w:b/>
                <w:u w:val="single"/>
              </w:rPr>
              <w:t>表</w:t>
            </w:r>
            <w:r>
              <w:rPr>
                <w:rFonts w:ascii="Times New Roman" w:hAnsi="Times New Roman" w:hint="eastAsia"/>
                <w:b/>
                <w:u w:val="single"/>
              </w:rPr>
              <w:t xml:space="preserve">7.3-2 </w:t>
            </w:r>
            <w:r>
              <w:rPr>
                <w:rFonts w:ascii="Times New Roman" w:hAnsi="Times New Roman" w:hint="eastAsia"/>
                <w:b/>
                <w:u w:val="single"/>
              </w:rPr>
              <w:t>采砂项目工程生态保护经费预算表</w:t>
            </w:r>
          </w:p>
        </w:tc>
      </w:tr>
      <w:tr w:rsidR="004B4777">
        <w:trPr>
          <w:trHeight w:val="570"/>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项</w:t>
            </w:r>
            <w:r>
              <w:rPr>
                <w:rFonts w:ascii="Times New Roman" w:hAnsi="Times New Roman" w:hint="eastAsia"/>
                <w:snapToGrid w:val="0"/>
                <w:kern w:val="0"/>
                <w:sz w:val="21"/>
                <w:szCs w:val="21"/>
                <w:u w:val="single"/>
              </w:rPr>
              <w:t xml:space="preserve">  </w:t>
            </w:r>
            <w:r>
              <w:rPr>
                <w:rFonts w:ascii="Times New Roman" w:hAnsi="Times New Roman" w:hint="eastAsia"/>
                <w:snapToGrid w:val="0"/>
                <w:kern w:val="0"/>
                <w:sz w:val="21"/>
                <w:szCs w:val="21"/>
                <w:u w:val="single"/>
              </w:rPr>
              <w:t>目</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实施年限（年）</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预算经费（万元）</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备注</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lastRenderedPageBreak/>
              <w:t>一、水域生态修复</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30</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1</w:t>
            </w:r>
            <w:r>
              <w:rPr>
                <w:rFonts w:ascii="Times New Roman" w:hAnsi="Times New Roman"/>
                <w:snapToGrid w:val="0"/>
                <w:kern w:val="0"/>
                <w:sz w:val="21"/>
                <w:szCs w:val="21"/>
                <w:u w:val="single"/>
              </w:rPr>
              <w:t>.</w:t>
            </w:r>
            <w:r>
              <w:rPr>
                <w:rFonts w:ascii="Times New Roman" w:hAnsi="Times New Roman" w:hint="eastAsia"/>
                <w:snapToGrid w:val="0"/>
                <w:kern w:val="0"/>
                <w:sz w:val="21"/>
                <w:szCs w:val="21"/>
                <w:u w:val="single"/>
              </w:rPr>
              <w:t>栖息地修复</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30</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对采砂临近保护区河道附近水域范围内</w:t>
            </w:r>
          </w:p>
        </w:tc>
      </w:tr>
      <w:tr w:rsidR="004B4777">
        <w:trPr>
          <w:trHeight w:val="85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二、人工增殖放流</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107.5</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建议对已有成熟人工繁育技术的国家Ⅱ级保护野生水生动物胭脂鱼，重要经济鱼类长吻鮠、鮎、黄颡鱼、鳜、草鱼、鲢、鳙、青鱼以及重要饵料生物中华绒螯蟹等实施人工增殖放流，此后根据监测情况作适当调整。</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三、生态监测</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80</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w:t>
            </w:r>
            <w:r>
              <w:rPr>
                <w:rFonts w:ascii="Times New Roman" w:hAnsi="Times New Roman" w:hint="eastAsia"/>
                <w:snapToGrid w:val="0"/>
                <w:kern w:val="0"/>
                <w:sz w:val="21"/>
                <w:szCs w:val="21"/>
                <w:u w:val="single"/>
              </w:rPr>
              <w:t>陆生植物监测</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25</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在采砂工程占用的洲滩和河床两岸进行湿生植物监测。</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r>
              <w:rPr>
                <w:rFonts w:ascii="Times New Roman" w:hAnsi="Times New Roman" w:hint="eastAsia"/>
                <w:snapToGrid w:val="0"/>
                <w:kern w:val="0"/>
                <w:sz w:val="21"/>
                <w:szCs w:val="21"/>
                <w:u w:val="single"/>
              </w:rPr>
              <w:t>陆生动物监测</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25</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在采砂工程占用的洲滩附近沿岸进行陆生动物监测。</w:t>
            </w:r>
          </w:p>
        </w:tc>
      </w:tr>
      <w:tr w:rsidR="004B4777">
        <w:trPr>
          <w:trHeight w:val="570"/>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w:t>
            </w:r>
            <w:r>
              <w:rPr>
                <w:rFonts w:ascii="Times New Roman" w:hAnsi="Times New Roman" w:hint="eastAsia"/>
                <w:snapToGrid w:val="0"/>
                <w:kern w:val="0"/>
                <w:sz w:val="21"/>
                <w:szCs w:val="21"/>
                <w:u w:val="single"/>
              </w:rPr>
              <w:t>水生生物监测</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30</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采砂期和后续期应在采砂河段进行浮游生物、底栖动物、水生维管植物、鱼类种群动态、鱼类产卵场等动态监测。</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四、采砂期与渔政管理</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15</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w:t>
            </w:r>
          </w:p>
        </w:tc>
      </w:tr>
      <w:tr w:rsidR="004B4777">
        <w:trPr>
          <w:trHeight w:val="315"/>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 xml:space="preserve">1. </w:t>
            </w:r>
            <w:r>
              <w:rPr>
                <w:rFonts w:ascii="Times New Roman" w:hAnsi="Times New Roman" w:hint="eastAsia"/>
                <w:snapToGrid w:val="0"/>
                <w:kern w:val="0"/>
                <w:sz w:val="21"/>
                <w:szCs w:val="21"/>
                <w:u w:val="single"/>
              </w:rPr>
              <w:t>采砂期管理</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设置宣传栏、印刷宣传单、宣传海报等</w:t>
            </w:r>
          </w:p>
        </w:tc>
      </w:tr>
      <w:tr w:rsidR="004B4777">
        <w:trPr>
          <w:trHeight w:val="570"/>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 xml:space="preserve">2. </w:t>
            </w:r>
            <w:r>
              <w:rPr>
                <w:rFonts w:ascii="Times New Roman" w:hAnsi="Times New Roman" w:hint="eastAsia"/>
                <w:snapToGrid w:val="0"/>
                <w:kern w:val="0"/>
                <w:sz w:val="21"/>
                <w:szCs w:val="21"/>
                <w:u w:val="single"/>
              </w:rPr>
              <w:t>渔政管理</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配备必要的救护设备。临时救护设备包括：运输设备、增氧设备、药品等医疗卫生设备、各种网具等。</w:t>
            </w:r>
          </w:p>
        </w:tc>
      </w:tr>
      <w:tr w:rsidR="004B4777">
        <w:trPr>
          <w:trHeight w:val="570"/>
          <w:jc w:val="center"/>
        </w:trPr>
        <w:tc>
          <w:tcPr>
            <w:tcW w:w="1952" w:type="dxa"/>
            <w:tcBorders>
              <w:top w:val="nil"/>
              <w:left w:val="single" w:sz="4" w:space="0" w:color="auto"/>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合计</w:t>
            </w:r>
          </w:p>
        </w:tc>
        <w:tc>
          <w:tcPr>
            <w:tcW w:w="646"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 xml:space="preserve">　</w:t>
            </w:r>
          </w:p>
        </w:tc>
        <w:tc>
          <w:tcPr>
            <w:tcW w:w="689"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r>
              <w:rPr>
                <w:rFonts w:ascii="Times New Roman" w:hAnsi="Times New Roman" w:hint="eastAsia"/>
                <w:snapToGrid w:val="0"/>
                <w:kern w:val="0"/>
                <w:sz w:val="21"/>
                <w:szCs w:val="21"/>
                <w:u w:val="single"/>
              </w:rPr>
              <w:t>3</w:t>
            </w:r>
            <w:r>
              <w:rPr>
                <w:rFonts w:ascii="Times New Roman" w:hAnsi="Times New Roman"/>
                <w:snapToGrid w:val="0"/>
                <w:kern w:val="0"/>
                <w:sz w:val="21"/>
                <w:szCs w:val="21"/>
                <w:u w:val="single"/>
              </w:rPr>
              <w:t>2.5</w:t>
            </w:r>
          </w:p>
        </w:tc>
        <w:tc>
          <w:tcPr>
            <w:tcW w:w="5242" w:type="dxa"/>
            <w:tcBorders>
              <w:top w:val="nil"/>
              <w:left w:val="nil"/>
              <w:bottom w:val="single" w:sz="4" w:space="0" w:color="auto"/>
              <w:right w:val="single" w:sz="4" w:space="0" w:color="auto"/>
            </w:tcBorders>
            <w:vAlign w:val="center"/>
          </w:tcPr>
          <w:p w:rsidR="004B4777" w:rsidRDefault="004B4777">
            <w:pPr>
              <w:spacing w:line="250" w:lineRule="exact"/>
              <w:ind w:firstLineChars="0" w:firstLine="0"/>
              <w:jc w:val="center"/>
              <w:rPr>
                <w:rFonts w:ascii="Times New Roman" w:hAnsi="Times New Roman"/>
                <w:snapToGrid w:val="0"/>
                <w:kern w:val="0"/>
                <w:sz w:val="21"/>
                <w:szCs w:val="21"/>
                <w:u w:val="single"/>
              </w:rPr>
            </w:pPr>
            <w:r>
              <w:rPr>
                <w:rFonts w:ascii="Times New Roman" w:hAnsi="Times New Roman" w:hint="eastAsia"/>
                <w:snapToGrid w:val="0"/>
                <w:kern w:val="0"/>
                <w:sz w:val="21"/>
                <w:szCs w:val="21"/>
                <w:u w:val="single"/>
              </w:rPr>
              <w:t>采砂项目生态环境影响的生态保护经费包括水域生态修复、增殖放流、生态监测、强化管理等。</w:t>
            </w:r>
          </w:p>
        </w:tc>
      </w:tr>
    </w:tbl>
    <w:p w:rsidR="004B4777" w:rsidRDefault="004B4777">
      <w:pPr>
        <w:pStyle w:val="2"/>
        <w:spacing w:before="0" w:after="0"/>
        <w:rPr>
          <w:rFonts w:ascii="Times New Roman" w:eastAsia="宋体" w:hAnsi="Times New Roman" w:hint="eastAsia"/>
          <w:b/>
          <w:sz w:val="30"/>
          <w:szCs w:val="30"/>
        </w:rPr>
      </w:pPr>
      <w:bookmarkStart w:id="184" w:name="_Toc523854043"/>
      <w:r>
        <w:rPr>
          <w:rFonts w:ascii="Times New Roman" w:eastAsia="宋体" w:hAnsi="Times New Roman" w:hint="eastAsia"/>
          <w:b/>
          <w:sz w:val="30"/>
          <w:szCs w:val="30"/>
        </w:rPr>
        <w:t>7</w:t>
      </w:r>
      <w:r>
        <w:rPr>
          <w:rFonts w:ascii="Times New Roman" w:eastAsia="宋体" w:hAnsi="Times New Roman"/>
          <w:b/>
          <w:sz w:val="30"/>
          <w:szCs w:val="30"/>
        </w:rPr>
        <w:t>.</w:t>
      </w:r>
      <w:r>
        <w:rPr>
          <w:rFonts w:ascii="Times New Roman" w:eastAsia="宋体" w:hAnsi="Times New Roman" w:hint="eastAsia"/>
          <w:b/>
          <w:sz w:val="30"/>
          <w:szCs w:val="30"/>
        </w:rPr>
        <w:t>4</w:t>
      </w:r>
      <w:r>
        <w:rPr>
          <w:rFonts w:ascii="Times New Roman" w:eastAsia="宋体" w:hAnsi="Times New Roman"/>
          <w:b/>
          <w:sz w:val="30"/>
          <w:szCs w:val="30"/>
        </w:rPr>
        <w:t xml:space="preserve"> </w:t>
      </w:r>
      <w:r>
        <w:rPr>
          <w:rFonts w:ascii="Times New Roman" w:eastAsia="宋体" w:hAnsi="Times New Roman" w:hint="eastAsia"/>
          <w:b/>
          <w:sz w:val="30"/>
          <w:szCs w:val="30"/>
        </w:rPr>
        <w:t>环保措施汇总</w:t>
      </w:r>
      <w:bookmarkEnd w:id="184"/>
    </w:p>
    <w:p w:rsidR="004B4777" w:rsidRDefault="004B4777">
      <w:pPr>
        <w:snapToGrid w:val="0"/>
        <w:ind w:firstLineChars="0" w:firstLine="0"/>
        <w:jc w:val="left"/>
        <w:rPr>
          <w:rFonts w:ascii="Times New Roman" w:hAnsi="Times New Roman" w:hint="eastAsia"/>
          <w:szCs w:val="24"/>
          <w:u w:val="single"/>
        </w:rPr>
      </w:pPr>
      <w:r>
        <w:rPr>
          <w:rFonts w:ascii="Times New Roman" w:hAnsi="Times New Roman" w:hint="eastAsia"/>
          <w:szCs w:val="24"/>
        </w:rPr>
        <w:t xml:space="preserve">    </w:t>
      </w:r>
      <w:r>
        <w:rPr>
          <w:rFonts w:ascii="Times New Roman" w:hAnsi="Times New Roman" w:hint="eastAsia"/>
          <w:szCs w:val="24"/>
          <w:u w:val="single"/>
        </w:rPr>
        <w:t>本项目环保竣工验收一览表见表</w:t>
      </w:r>
      <w:r>
        <w:rPr>
          <w:rFonts w:ascii="Times New Roman" w:hAnsi="Times New Roman" w:hint="eastAsia"/>
          <w:szCs w:val="24"/>
          <w:u w:val="single"/>
        </w:rPr>
        <w:t>7.4-1</w:t>
      </w:r>
      <w:r>
        <w:rPr>
          <w:rFonts w:ascii="Times New Roman" w:hAnsi="Times New Roman" w:hint="eastAsia"/>
          <w:szCs w:val="24"/>
          <w:u w:val="single"/>
        </w:rPr>
        <w:t>。</w:t>
      </w:r>
    </w:p>
    <w:p w:rsidR="004B4777" w:rsidRDefault="004B4777">
      <w:pPr>
        <w:snapToGrid w:val="0"/>
        <w:ind w:firstLineChars="0" w:firstLine="0"/>
        <w:jc w:val="center"/>
        <w:rPr>
          <w:rFonts w:ascii="Times New Roman" w:hAnsi="Times New Roman" w:hint="eastAsia"/>
          <w:b/>
          <w:u w:val="single"/>
        </w:rPr>
      </w:pPr>
      <w:r>
        <w:rPr>
          <w:rFonts w:ascii="Times New Roman" w:hAnsi="Times New Roman" w:hint="eastAsia"/>
          <w:b/>
          <w:u w:val="single"/>
        </w:rPr>
        <w:t>表</w:t>
      </w:r>
      <w:r>
        <w:rPr>
          <w:rFonts w:ascii="Times New Roman" w:hAnsi="Times New Roman" w:hint="eastAsia"/>
          <w:b/>
          <w:u w:val="single"/>
        </w:rPr>
        <w:t>7.4</w:t>
      </w:r>
      <w:r>
        <w:rPr>
          <w:rFonts w:ascii="Times New Roman" w:hAnsi="Times New Roman"/>
          <w:b/>
          <w:u w:val="single"/>
        </w:rPr>
        <w:t>-</w:t>
      </w:r>
      <w:r>
        <w:rPr>
          <w:rFonts w:ascii="Times New Roman" w:hAnsi="Times New Roman" w:hint="eastAsia"/>
          <w:b/>
          <w:u w:val="single"/>
        </w:rPr>
        <w:t>1</w:t>
      </w:r>
      <w:r>
        <w:rPr>
          <w:rFonts w:ascii="Times New Roman" w:hAnsi="Times New Roman"/>
          <w:b/>
          <w:u w:val="single"/>
        </w:rPr>
        <w:t xml:space="preserve">    </w:t>
      </w:r>
      <w:r>
        <w:rPr>
          <w:rFonts w:ascii="Times New Roman" w:hAnsi="Times New Roman" w:hint="eastAsia"/>
          <w:b/>
          <w:u w:val="single"/>
        </w:rPr>
        <w:t>本工程环保竣工验收</w:t>
      </w:r>
      <w:r>
        <w:rPr>
          <w:rFonts w:ascii="Times New Roman" w:hAnsi="Times New Roman"/>
          <w:b/>
          <w:u w:val="single"/>
        </w:rPr>
        <w:t>一览表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9"/>
        <w:gridCol w:w="3048"/>
        <w:gridCol w:w="1276"/>
        <w:gridCol w:w="3176"/>
      </w:tblGrid>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项目</w:t>
            </w:r>
          </w:p>
        </w:tc>
        <w:tc>
          <w:tcPr>
            <w:tcW w:w="3048"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措施内容</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保护目标</w:t>
            </w:r>
          </w:p>
        </w:tc>
        <w:tc>
          <w:tcPr>
            <w:tcW w:w="3176" w:type="dxa"/>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作用及效果</w:t>
            </w:r>
          </w:p>
        </w:tc>
      </w:tr>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废气</w:t>
            </w:r>
          </w:p>
        </w:tc>
        <w:tc>
          <w:tcPr>
            <w:tcW w:w="3048"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船舶发动机型号符合环保要求；采用湿式采砂工艺，洒水降尘</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环境空气</w:t>
            </w:r>
          </w:p>
        </w:tc>
        <w:tc>
          <w:tcPr>
            <w:tcW w:w="31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执行《大气污染物排放标准》</w:t>
            </w:r>
          </w:p>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w:t>
            </w:r>
            <w:r>
              <w:rPr>
                <w:rFonts w:ascii="Times New Roman" w:hAnsi="Times New Roman" w:hint="eastAsia"/>
                <w:snapToGrid w:val="0"/>
                <w:kern w:val="0"/>
                <w:sz w:val="21"/>
                <w:szCs w:val="21"/>
                <w:u w:val="single"/>
              </w:rPr>
              <w:t>GB16297-1996</w:t>
            </w:r>
            <w:r>
              <w:rPr>
                <w:rFonts w:ascii="Times New Roman" w:hAnsi="Times New Roman" w:hint="eastAsia"/>
                <w:snapToGrid w:val="0"/>
                <w:kern w:val="0"/>
                <w:sz w:val="21"/>
                <w:szCs w:val="21"/>
                <w:u w:val="single"/>
              </w:rPr>
              <w:t>）中的二级标准无组织排放源强</w:t>
            </w:r>
          </w:p>
        </w:tc>
      </w:tr>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废水</w:t>
            </w:r>
          </w:p>
        </w:tc>
        <w:tc>
          <w:tcPr>
            <w:tcW w:w="3048" w:type="dxa"/>
            <w:vAlign w:val="center"/>
          </w:tcPr>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①生活污水采用一体化生活污水生化处理装置；</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②含油废水采用油水分离器处理</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③</w:t>
            </w:r>
            <w:r>
              <w:rPr>
                <w:rFonts w:ascii="Times New Roman" w:hAnsi="Times New Roman" w:hint="eastAsia"/>
                <w:snapToGrid w:val="0"/>
                <w:sz w:val="21"/>
                <w:szCs w:val="21"/>
                <w:u w:val="single"/>
              </w:rPr>
              <w:t>开采区周边设置防污帘</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水环境</w:t>
            </w:r>
          </w:p>
        </w:tc>
        <w:tc>
          <w:tcPr>
            <w:tcW w:w="31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委托有资质单位定点接收处置</w:t>
            </w:r>
          </w:p>
        </w:tc>
      </w:tr>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噪声</w:t>
            </w:r>
          </w:p>
        </w:tc>
        <w:tc>
          <w:tcPr>
            <w:tcW w:w="3048" w:type="dxa"/>
            <w:vAlign w:val="center"/>
          </w:tcPr>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①选用低噪声设备；</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②限制采砂时间；</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③对各类水泵减震降噪设计，对高噪声设备设置隔声罩；</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④对输砂管道安装吸声材料。</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声环境</w:t>
            </w:r>
          </w:p>
        </w:tc>
        <w:tc>
          <w:tcPr>
            <w:tcW w:w="31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《工业企业厂界环境噪声排放标</w:t>
            </w:r>
          </w:p>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准》（</w:t>
            </w:r>
            <w:r>
              <w:rPr>
                <w:rFonts w:ascii="Times New Roman" w:hAnsi="Times New Roman" w:hint="eastAsia"/>
                <w:snapToGrid w:val="0"/>
                <w:kern w:val="0"/>
                <w:sz w:val="21"/>
                <w:szCs w:val="21"/>
                <w:u w:val="single"/>
              </w:rPr>
              <w:t>GB 12348-2008</w:t>
            </w:r>
            <w:r>
              <w:rPr>
                <w:rFonts w:ascii="Times New Roman" w:hAnsi="Times New Roman" w:hint="eastAsia"/>
                <w:snapToGrid w:val="0"/>
                <w:kern w:val="0"/>
                <w:sz w:val="21"/>
                <w:szCs w:val="21"/>
                <w:u w:val="single"/>
              </w:rPr>
              <w:t>）</w:t>
            </w:r>
            <w:r>
              <w:rPr>
                <w:rFonts w:ascii="Times New Roman" w:hAnsi="Times New Roman" w:hint="eastAsia"/>
                <w:snapToGrid w:val="0"/>
                <w:kern w:val="0"/>
                <w:sz w:val="21"/>
                <w:szCs w:val="21"/>
                <w:u w:val="single"/>
              </w:rPr>
              <w:t>2</w:t>
            </w:r>
            <w:r>
              <w:rPr>
                <w:rFonts w:ascii="Times New Roman" w:hAnsi="Times New Roman" w:hint="eastAsia"/>
                <w:snapToGrid w:val="0"/>
                <w:kern w:val="0"/>
                <w:sz w:val="21"/>
                <w:szCs w:val="21"/>
                <w:u w:val="single"/>
              </w:rPr>
              <w:t>类标准</w:t>
            </w:r>
          </w:p>
        </w:tc>
      </w:tr>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固废</w:t>
            </w:r>
          </w:p>
        </w:tc>
        <w:tc>
          <w:tcPr>
            <w:tcW w:w="3048" w:type="dxa"/>
            <w:vAlign w:val="center"/>
          </w:tcPr>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①生活垃圾收集后交由当地环卫部门处理；</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②采砂大块废石及时回填采砂区；</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③废机油、废柴油交有危险固废处理资质单位处理。</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固废</w:t>
            </w:r>
          </w:p>
        </w:tc>
        <w:tc>
          <w:tcPr>
            <w:tcW w:w="31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妥善处置，处置率达</w:t>
            </w:r>
            <w:r>
              <w:rPr>
                <w:rFonts w:ascii="Times New Roman" w:hAnsi="Times New Roman" w:hint="eastAsia"/>
                <w:snapToGrid w:val="0"/>
                <w:kern w:val="0"/>
                <w:sz w:val="21"/>
                <w:szCs w:val="21"/>
                <w:u w:val="single"/>
              </w:rPr>
              <w:t>100%</w:t>
            </w:r>
          </w:p>
        </w:tc>
      </w:tr>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水生生态</w:t>
            </w:r>
          </w:p>
        </w:tc>
        <w:tc>
          <w:tcPr>
            <w:tcW w:w="3048" w:type="dxa"/>
            <w:vAlign w:val="center"/>
          </w:tcPr>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snapToGrid w:val="0"/>
                <w:kern w:val="0"/>
                <w:sz w:val="21"/>
                <w:szCs w:val="21"/>
                <w:u w:val="single"/>
              </w:rPr>
              <w:fldChar w:fldCharType="begin"/>
            </w:r>
            <w:r>
              <w:rPr>
                <w:rFonts w:ascii="Times New Roman" w:hAnsi="Times New Roman"/>
                <w:snapToGrid w:val="0"/>
                <w:kern w:val="0"/>
                <w:sz w:val="21"/>
                <w:szCs w:val="21"/>
                <w:u w:val="single"/>
              </w:rPr>
              <w:instrText xml:space="preserve"> </w:instrText>
            </w:r>
            <w:r>
              <w:rPr>
                <w:rFonts w:ascii="Times New Roman" w:hAnsi="Times New Roman" w:hint="eastAsia"/>
                <w:snapToGrid w:val="0"/>
                <w:kern w:val="0"/>
                <w:sz w:val="21"/>
                <w:szCs w:val="21"/>
                <w:u w:val="single"/>
              </w:rPr>
              <w:instrText>= 1 \* GB3</w:instrText>
            </w:r>
            <w:r>
              <w:rPr>
                <w:rFonts w:ascii="Times New Roman" w:hAnsi="Times New Roman"/>
                <w:snapToGrid w:val="0"/>
                <w:kern w:val="0"/>
                <w:sz w:val="21"/>
                <w:szCs w:val="21"/>
                <w:u w:val="single"/>
              </w:rPr>
              <w:instrText xml:space="preserve"> </w:instrText>
            </w:r>
            <w:r>
              <w:rPr>
                <w:rFonts w:ascii="Times New Roman" w:hAnsi="Times New Roman"/>
                <w:snapToGrid w:val="0"/>
                <w:kern w:val="0"/>
                <w:sz w:val="21"/>
                <w:szCs w:val="21"/>
                <w:u w:val="single"/>
              </w:rPr>
              <w:fldChar w:fldCharType="separate"/>
            </w:r>
            <w:r>
              <w:rPr>
                <w:rFonts w:ascii="Times New Roman" w:hAnsi="Times New Roman" w:hint="eastAsia"/>
                <w:snapToGrid w:val="0"/>
                <w:kern w:val="0"/>
                <w:sz w:val="21"/>
                <w:szCs w:val="21"/>
                <w:u w:val="single"/>
                <w:lang w:val="en-US" w:eastAsia="zh-CN"/>
              </w:rPr>
              <w:t>①</w:t>
            </w:r>
            <w:r>
              <w:rPr>
                <w:rFonts w:ascii="Times New Roman" w:hAnsi="Times New Roman"/>
                <w:snapToGrid w:val="0"/>
                <w:kern w:val="0"/>
                <w:sz w:val="21"/>
                <w:szCs w:val="21"/>
                <w:u w:val="single"/>
              </w:rPr>
              <w:fldChar w:fldCharType="end"/>
            </w:r>
            <w:r>
              <w:rPr>
                <w:rFonts w:ascii="Times New Roman" w:hAnsi="Times New Roman" w:hint="eastAsia"/>
                <w:snapToGrid w:val="0"/>
                <w:kern w:val="0"/>
                <w:sz w:val="21"/>
                <w:szCs w:val="21"/>
                <w:u w:val="single"/>
              </w:rPr>
              <w:t>水域生态修复；</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snapToGrid w:val="0"/>
                <w:kern w:val="0"/>
                <w:sz w:val="21"/>
                <w:szCs w:val="21"/>
                <w:u w:val="single"/>
              </w:rPr>
              <w:fldChar w:fldCharType="begin"/>
            </w:r>
            <w:r>
              <w:rPr>
                <w:rFonts w:ascii="Times New Roman" w:hAnsi="Times New Roman"/>
                <w:snapToGrid w:val="0"/>
                <w:kern w:val="0"/>
                <w:sz w:val="21"/>
                <w:szCs w:val="21"/>
                <w:u w:val="single"/>
              </w:rPr>
              <w:instrText xml:space="preserve"> </w:instrText>
            </w:r>
            <w:r>
              <w:rPr>
                <w:rFonts w:ascii="Times New Roman" w:hAnsi="Times New Roman" w:hint="eastAsia"/>
                <w:snapToGrid w:val="0"/>
                <w:kern w:val="0"/>
                <w:sz w:val="21"/>
                <w:szCs w:val="21"/>
                <w:u w:val="single"/>
              </w:rPr>
              <w:instrText>= 2 \* GB3</w:instrText>
            </w:r>
            <w:r>
              <w:rPr>
                <w:rFonts w:ascii="Times New Roman" w:hAnsi="Times New Roman"/>
                <w:snapToGrid w:val="0"/>
                <w:kern w:val="0"/>
                <w:sz w:val="21"/>
                <w:szCs w:val="21"/>
                <w:u w:val="single"/>
              </w:rPr>
              <w:instrText xml:space="preserve"> </w:instrText>
            </w:r>
            <w:r>
              <w:rPr>
                <w:rFonts w:ascii="Times New Roman" w:hAnsi="Times New Roman"/>
                <w:snapToGrid w:val="0"/>
                <w:kern w:val="0"/>
                <w:sz w:val="21"/>
                <w:szCs w:val="21"/>
                <w:u w:val="single"/>
              </w:rPr>
              <w:fldChar w:fldCharType="separate"/>
            </w:r>
            <w:r>
              <w:rPr>
                <w:rFonts w:ascii="Times New Roman" w:hAnsi="Times New Roman" w:hint="eastAsia"/>
                <w:snapToGrid w:val="0"/>
                <w:kern w:val="0"/>
                <w:sz w:val="21"/>
                <w:szCs w:val="21"/>
                <w:u w:val="single"/>
                <w:lang w:val="en-US" w:eastAsia="zh-CN"/>
              </w:rPr>
              <w:t>②</w:t>
            </w:r>
            <w:r>
              <w:rPr>
                <w:rFonts w:ascii="Times New Roman" w:hAnsi="Times New Roman"/>
                <w:snapToGrid w:val="0"/>
                <w:kern w:val="0"/>
                <w:sz w:val="21"/>
                <w:szCs w:val="21"/>
                <w:u w:val="single"/>
              </w:rPr>
              <w:fldChar w:fldCharType="end"/>
            </w:r>
            <w:r>
              <w:rPr>
                <w:rFonts w:ascii="Times New Roman" w:hAnsi="Times New Roman" w:hint="eastAsia"/>
                <w:snapToGrid w:val="0"/>
                <w:kern w:val="0"/>
                <w:sz w:val="21"/>
                <w:szCs w:val="21"/>
                <w:u w:val="single"/>
              </w:rPr>
              <w:t>人工增殖放流；</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③生态监测；</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④采砂期和渔政管理；</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水生生态</w:t>
            </w:r>
          </w:p>
        </w:tc>
        <w:tc>
          <w:tcPr>
            <w:tcW w:w="31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水生生态不受破坏</w:t>
            </w:r>
          </w:p>
        </w:tc>
      </w:tr>
      <w:tr w:rsidR="004B4777">
        <w:trPr>
          <w:trHeight w:val="397"/>
        </w:trPr>
        <w:tc>
          <w:tcPr>
            <w:tcW w:w="1029"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风险措施</w:t>
            </w:r>
          </w:p>
        </w:tc>
        <w:tc>
          <w:tcPr>
            <w:tcW w:w="3048" w:type="dxa"/>
            <w:vAlign w:val="center"/>
          </w:tcPr>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①建立健全安全防污机制；</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②降低风、浪、流、雾的影响；</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lastRenderedPageBreak/>
              <w:t>③加强对加燃料油过程的监管；</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④加强船舶废弃物的接收管理工作；</w:t>
            </w:r>
          </w:p>
          <w:p w:rsidR="004B4777" w:rsidRDefault="004B4777">
            <w:pPr>
              <w:autoSpaceDE w:val="0"/>
              <w:autoSpaceDN w:val="0"/>
              <w:adjustRightInd w:val="0"/>
              <w:spacing w:line="250" w:lineRule="exact"/>
              <w:ind w:firstLineChars="0" w:firstLine="0"/>
              <w:jc w:val="left"/>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⑤制定环境风险应急预案。</w:t>
            </w:r>
          </w:p>
        </w:tc>
        <w:tc>
          <w:tcPr>
            <w:tcW w:w="12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lastRenderedPageBreak/>
              <w:t>风险防范</w:t>
            </w:r>
          </w:p>
        </w:tc>
        <w:tc>
          <w:tcPr>
            <w:tcW w:w="3176" w:type="dxa"/>
            <w:vAlign w:val="center"/>
          </w:tcPr>
          <w:p w:rsidR="004B4777" w:rsidRDefault="004B4777">
            <w:pPr>
              <w:spacing w:line="250" w:lineRule="exact"/>
              <w:ind w:firstLineChars="0" w:firstLine="0"/>
              <w:jc w:val="center"/>
              <w:rPr>
                <w:rFonts w:ascii="Times New Roman" w:hAnsi="Times New Roman" w:hint="eastAsia"/>
                <w:snapToGrid w:val="0"/>
                <w:kern w:val="0"/>
                <w:sz w:val="21"/>
                <w:szCs w:val="21"/>
                <w:u w:val="single"/>
              </w:rPr>
            </w:pPr>
            <w:r>
              <w:rPr>
                <w:rFonts w:ascii="Times New Roman" w:hAnsi="Times New Roman" w:hint="eastAsia"/>
                <w:snapToGrid w:val="0"/>
                <w:kern w:val="0"/>
                <w:sz w:val="21"/>
                <w:szCs w:val="21"/>
                <w:u w:val="single"/>
              </w:rPr>
              <w:t>减少和控制事故发生</w:t>
            </w:r>
          </w:p>
        </w:tc>
      </w:tr>
    </w:tbl>
    <w:p w:rsidR="004B4777" w:rsidRDefault="004B4777">
      <w:pPr>
        <w:widowControl/>
        <w:snapToGrid w:val="0"/>
        <w:ind w:firstLine="449"/>
        <w:rPr>
          <w:rFonts w:ascii="Times New Roman" w:hAnsi="Times New Roman"/>
          <w:szCs w:val="24"/>
        </w:rPr>
      </w:pPr>
    </w:p>
    <w:p w:rsidR="004B4777" w:rsidRDefault="004B4777">
      <w:pPr>
        <w:widowControl/>
        <w:snapToGrid w:val="0"/>
        <w:ind w:firstLine="449"/>
        <w:rPr>
          <w:rFonts w:ascii="Times New Roman" w:hAnsi="Times New Roman"/>
          <w:szCs w:val="24"/>
        </w:rPr>
      </w:pPr>
    </w:p>
    <w:p w:rsidR="004B4777" w:rsidRDefault="004B4777">
      <w:pPr>
        <w:widowControl/>
        <w:snapToGrid w:val="0"/>
        <w:ind w:firstLine="489"/>
        <w:rPr>
          <w:rFonts w:ascii="Times New Roman" w:hAnsi="Times New Roman" w:hint="eastAsia"/>
          <w:spacing w:val="10"/>
          <w:szCs w:val="24"/>
        </w:rPr>
      </w:pPr>
    </w:p>
    <w:p w:rsidR="004B4777" w:rsidRDefault="004B4777">
      <w:pPr>
        <w:widowControl/>
        <w:spacing w:line="264" w:lineRule="auto"/>
        <w:ind w:firstLine="489"/>
        <w:jc w:val="left"/>
        <w:rPr>
          <w:rFonts w:ascii="Times New Roman" w:hAnsi="Times New Roman" w:hint="eastAsia"/>
          <w:spacing w:val="10"/>
        </w:rPr>
        <w:sectPr w:rsidR="004B4777">
          <w:headerReference w:type="even" r:id="rId71"/>
          <w:headerReference w:type="default" r:id="rId72"/>
          <w:footerReference w:type="default" r:id="rId73"/>
          <w:headerReference w:type="first" r:id="rId74"/>
          <w:pgSz w:w="11907" w:h="16840"/>
          <w:pgMar w:top="1440" w:right="1797" w:bottom="1440" w:left="1797" w:header="851" w:footer="992" w:gutter="0"/>
          <w:cols w:space="720"/>
          <w:docGrid w:type="linesAndChars" w:linePitch="421" w:charSpace="-3161"/>
        </w:sectPr>
      </w:pPr>
    </w:p>
    <w:p w:rsidR="004B4777" w:rsidRDefault="004B4777">
      <w:pPr>
        <w:pStyle w:val="1"/>
        <w:snapToGrid w:val="0"/>
        <w:spacing w:before="0" w:after="0" w:line="360" w:lineRule="auto"/>
        <w:rPr>
          <w:rFonts w:ascii="Times New Roman" w:eastAsia="宋体" w:hAnsi="Times New Roman"/>
          <w:b/>
          <w:sz w:val="32"/>
          <w:szCs w:val="32"/>
        </w:rPr>
      </w:pPr>
      <w:bookmarkStart w:id="185" w:name="_Toc16443"/>
      <w:bookmarkStart w:id="186" w:name="_Toc82944785"/>
      <w:bookmarkStart w:id="187" w:name="_Toc84214525"/>
      <w:bookmarkStart w:id="188" w:name="_Toc152324641"/>
      <w:bookmarkStart w:id="189" w:name="_Toc523854044"/>
      <w:r>
        <w:rPr>
          <w:rFonts w:ascii="Times New Roman" w:eastAsia="宋体" w:hAnsi="Times New Roman"/>
          <w:b/>
          <w:sz w:val="32"/>
          <w:szCs w:val="32"/>
        </w:rPr>
        <w:lastRenderedPageBreak/>
        <w:t>第</w:t>
      </w:r>
      <w:r>
        <w:rPr>
          <w:rFonts w:ascii="Times New Roman" w:eastAsia="宋体" w:hAnsi="Times New Roman" w:hint="eastAsia"/>
          <w:b/>
          <w:sz w:val="32"/>
          <w:szCs w:val="32"/>
        </w:rPr>
        <w:t>8</w:t>
      </w:r>
      <w:r>
        <w:rPr>
          <w:rFonts w:ascii="Times New Roman" w:eastAsia="宋体" w:hAnsi="Times New Roman"/>
          <w:b/>
          <w:sz w:val="32"/>
          <w:szCs w:val="32"/>
        </w:rPr>
        <w:t>章</w:t>
      </w:r>
      <w:r>
        <w:rPr>
          <w:rFonts w:ascii="Times New Roman" w:eastAsia="宋体" w:hAnsi="Times New Roman"/>
          <w:b/>
          <w:sz w:val="32"/>
          <w:szCs w:val="32"/>
        </w:rPr>
        <w:t xml:space="preserve"> </w:t>
      </w:r>
      <w:bookmarkEnd w:id="185"/>
      <w:r>
        <w:rPr>
          <w:rFonts w:ascii="Times New Roman" w:eastAsia="宋体" w:hAnsi="Times New Roman"/>
          <w:b/>
          <w:sz w:val="32"/>
          <w:szCs w:val="32"/>
        </w:rPr>
        <w:t>环境风险分析与评价</w:t>
      </w:r>
      <w:bookmarkEnd w:id="189"/>
    </w:p>
    <w:p w:rsidR="004B4777" w:rsidRDefault="004B4777">
      <w:pPr>
        <w:pStyle w:val="2"/>
        <w:snapToGrid w:val="0"/>
        <w:spacing w:before="0" w:after="0"/>
        <w:rPr>
          <w:rFonts w:ascii="Times New Roman" w:eastAsia="宋体" w:hAnsi="Times New Roman" w:hint="eastAsia"/>
          <w:b/>
          <w:sz w:val="30"/>
          <w:szCs w:val="30"/>
        </w:rPr>
      </w:pPr>
      <w:bookmarkStart w:id="190" w:name="_Toc13814"/>
      <w:bookmarkStart w:id="191" w:name="_Toc49250870"/>
      <w:bookmarkStart w:id="192" w:name="_Toc51414463"/>
      <w:bookmarkStart w:id="193" w:name="_Toc51318187"/>
      <w:bookmarkStart w:id="194" w:name="_Toc79165548"/>
      <w:bookmarkStart w:id="195" w:name="_Toc165525037"/>
      <w:bookmarkStart w:id="196" w:name="_Toc51398852"/>
      <w:bookmarkStart w:id="197" w:name="_Toc49218942"/>
      <w:bookmarkStart w:id="198" w:name="_Toc165517165"/>
      <w:bookmarkStart w:id="199" w:name="_Toc165517723"/>
      <w:bookmarkStart w:id="200" w:name="_Toc43213711"/>
      <w:bookmarkStart w:id="201" w:name="_Toc165519747"/>
      <w:bookmarkStart w:id="202" w:name="_Toc45644413"/>
      <w:bookmarkStart w:id="203" w:name="_Toc50708119"/>
      <w:bookmarkStart w:id="204" w:name="_Toc523854045"/>
      <w:r>
        <w:rPr>
          <w:rFonts w:ascii="Times New Roman" w:eastAsia="宋体" w:hAnsi="Times New Roman" w:hint="eastAsia"/>
          <w:b/>
          <w:sz w:val="30"/>
          <w:szCs w:val="30"/>
        </w:rPr>
        <w:t>8</w:t>
      </w:r>
      <w:r>
        <w:rPr>
          <w:rFonts w:ascii="Times New Roman" w:eastAsia="宋体" w:hAnsi="Times New Roman"/>
          <w:b/>
          <w:sz w:val="30"/>
          <w:szCs w:val="30"/>
        </w:rPr>
        <w:t xml:space="preserve">.1 </w:t>
      </w:r>
      <w:r>
        <w:rPr>
          <w:rFonts w:ascii="Times New Roman" w:eastAsia="宋体" w:hAnsi="Times New Roman" w:hint="eastAsia"/>
          <w:b/>
          <w:sz w:val="30"/>
          <w:szCs w:val="30"/>
        </w:rPr>
        <w:t>环境风险</w:t>
      </w:r>
      <w:r>
        <w:rPr>
          <w:rFonts w:ascii="Times New Roman" w:eastAsia="宋体" w:hAnsi="Times New Roman"/>
          <w:b/>
          <w:sz w:val="30"/>
          <w:szCs w:val="30"/>
        </w:rPr>
        <w:t>评价目的</w:t>
      </w:r>
      <w:bookmarkEnd w:id="204"/>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重点评价事故对厂（场）界外人群的伤害、环境质量的恶化及对生态系统影响。</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针对本项目生产过程中存在的主要危险物质，根据《建设项目环境风险评价技术导则》（</w:t>
      </w:r>
      <w:r>
        <w:rPr>
          <w:rFonts w:ascii="Times New Roman" w:hAnsi="Times New Roman"/>
          <w:snapToGrid w:val="0"/>
          <w:kern w:val="0"/>
        </w:rPr>
        <w:t>HJ/T169-2004</w:t>
      </w:r>
      <w:r>
        <w:rPr>
          <w:rFonts w:ascii="Times New Roman" w:hAnsi="Times New Roman"/>
          <w:snapToGrid w:val="0"/>
          <w:kern w:val="0"/>
        </w:rPr>
        <w:t>）要求，从环境保护方面进行风险识别、源项分析、风险计算和评价及风险管理等评价，对主要风险性物质泄露对周围环境质量的影响情况提出相对可操作性的防范措施。</w:t>
      </w:r>
    </w:p>
    <w:p w:rsidR="004B4777" w:rsidRDefault="004B4777">
      <w:pPr>
        <w:pStyle w:val="2"/>
        <w:snapToGrid w:val="0"/>
        <w:spacing w:before="0" w:after="0"/>
        <w:rPr>
          <w:rFonts w:ascii="Times New Roman" w:eastAsia="宋体" w:hAnsi="Times New Roman"/>
          <w:b/>
          <w:sz w:val="30"/>
          <w:szCs w:val="30"/>
        </w:rPr>
      </w:pPr>
      <w:bookmarkStart w:id="205" w:name="_Hlk481695463"/>
      <w:bookmarkStart w:id="206" w:name="_Toc523854046"/>
      <w:r>
        <w:rPr>
          <w:rFonts w:ascii="Times New Roman" w:eastAsia="宋体" w:hAnsi="Times New Roman" w:hint="eastAsia"/>
          <w:b/>
          <w:sz w:val="30"/>
          <w:szCs w:val="30"/>
        </w:rPr>
        <w:t>8</w:t>
      </w:r>
      <w:r>
        <w:rPr>
          <w:rFonts w:ascii="Times New Roman" w:eastAsia="宋体" w:hAnsi="Times New Roman"/>
          <w:b/>
          <w:sz w:val="30"/>
          <w:szCs w:val="30"/>
        </w:rPr>
        <w:t xml:space="preserve">.2 </w:t>
      </w:r>
      <w:bookmarkEnd w:id="190"/>
      <w:r>
        <w:rPr>
          <w:rFonts w:ascii="Times New Roman" w:eastAsia="宋体" w:hAnsi="Times New Roman"/>
          <w:b/>
          <w:sz w:val="30"/>
          <w:szCs w:val="30"/>
        </w:rPr>
        <w:t>风险</w:t>
      </w:r>
      <w:r>
        <w:rPr>
          <w:rFonts w:ascii="Times New Roman" w:eastAsia="宋体" w:hAnsi="Times New Roman" w:hint="eastAsia"/>
          <w:b/>
          <w:sz w:val="30"/>
          <w:szCs w:val="30"/>
        </w:rPr>
        <w:t>识别</w:t>
      </w:r>
      <w:bookmarkEnd w:id="206"/>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风险识别主要包括两大部分，即生产过程所涉及的生产设施风险识别和物质风险识别。</w:t>
      </w:r>
    </w:p>
    <w:p w:rsidR="004B4777" w:rsidRDefault="004B4777">
      <w:pPr>
        <w:pStyle w:val="3"/>
        <w:snapToGrid w:val="0"/>
        <w:spacing w:before="0" w:after="0"/>
        <w:rPr>
          <w:rFonts w:ascii="Times New Roman" w:eastAsia="宋体" w:hAnsi="Times New Roman"/>
          <w:b/>
        </w:rPr>
      </w:pPr>
      <w:bookmarkStart w:id="207" w:name="_Hlk481739791"/>
      <w:bookmarkEnd w:id="205"/>
      <w:r>
        <w:rPr>
          <w:rFonts w:ascii="Times New Roman" w:eastAsia="宋体" w:hAnsi="Times New Roman" w:hint="eastAsia"/>
          <w:b/>
        </w:rPr>
        <w:t>8</w:t>
      </w:r>
      <w:r>
        <w:rPr>
          <w:rFonts w:ascii="Times New Roman" w:eastAsia="宋体" w:hAnsi="Times New Roman"/>
          <w:b/>
        </w:rPr>
        <w:t xml:space="preserve">.2.1 </w:t>
      </w:r>
      <w:r>
        <w:rPr>
          <w:rFonts w:ascii="Times New Roman" w:eastAsia="宋体" w:hAnsi="Times New Roman" w:hint="eastAsia"/>
          <w:b/>
        </w:rPr>
        <w:t>生产设施</w:t>
      </w:r>
      <w:r>
        <w:rPr>
          <w:rFonts w:ascii="Times New Roman" w:eastAsia="宋体" w:hAnsi="Times New Roman"/>
          <w:b/>
        </w:rPr>
        <w:t>风险的识别</w:t>
      </w:r>
    </w:p>
    <w:p w:rsidR="004B4777" w:rsidRDefault="004B4777">
      <w:pPr>
        <w:snapToGrid w:val="0"/>
        <w:ind w:firstLine="449"/>
        <w:rPr>
          <w:rFonts w:ascii="Times New Roman" w:hAnsi="Times New Roman" w:hint="eastAsia"/>
          <w:snapToGrid w:val="0"/>
          <w:kern w:val="0"/>
        </w:rPr>
      </w:pPr>
      <w:bookmarkStart w:id="208" w:name="_Toc51398856"/>
      <w:bookmarkStart w:id="209" w:name="_Toc50708123"/>
      <w:bookmarkStart w:id="210" w:name="_Toc51414467"/>
      <w:bookmarkStart w:id="211" w:name="_Toc49250874"/>
      <w:bookmarkStart w:id="212" w:name="_Toc51318191"/>
      <w:bookmarkEnd w:id="207"/>
      <w:r>
        <w:rPr>
          <w:rFonts w:ascii="Times New Roman" w:hAnsi="Times New Roman"/>
          <w:snapToGrid w:val="0"/>
          <w:kern w:val="0"/>
        </w:rPr>
        <w:t>本项目生产运行过程风险识别包括</w:t>
      </w:r>
      <w:r>
        <w:rPr>
          <w:rFonts w:ascii="Times New Roman" w:hAnsi="Times New Roman" w:hint="eastAsia"/>
          <w:snapToGrid w:val="0"/>
          <w:kern w:val="0"/>
        </w:rPr>
        <w:t>：</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1</w:t>
      </w:r>
      <w:r>
        <w:rPr>
          <w:rFonts w:ascii="Times New Roman" w:hAnsi="Times New Roman" w:hint="eastAsia"/>
          <w:snapToGrid w:val="0"/>
          <w:kern w:val="0"/>
        </w:rPr>
        <w:t>）储罐</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油罐主要用于临时储存燃料柴油，一旦发生泄漏，将会部分以蒸汽的形式挥发到空气中，部分将会以液体的形式扩散流入河流，遇明火将会发生火灾、爆炸，危害程度较大。</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w:t>
      </w:r>
      <w:r>
        <w:rPr>
          <w:rFonts w:ascii="Times New Roman" w:hAnsi="Times New Roman" w:hint="eastAsia"/>
          <w:snapToGrid w:val="0"/>
          <w:kern w:val="0"/>
        </w:rPr>
        <w:t>2</w:t>
      </w:r>
      <w:r>
        <w:rPr>
          <w:rFonts w:ascii="Times New Roman" w:hAnsi="Times New Roman" w:hint="eastAsia"/>
          <w:snapToGrid w:val="0"/>
          <w:kern w:val="0"/>
        </w:rPr>
        <w:t>）装卸油作业</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装卸油作业是</w:t>
      </w:r>
      <w:r>
        <w:rPr>
          <w:rFonts w:ascii="Times New Roman" w:hAnsi="Times New Roman"/>
          <w:snapToGrid w:val="0"/>
          <w:kern w:val="0"/>
        </w:rPr>
        <w:t>指油罐车给储罐装卸油</w:t>
      </w:r>
      <w:r>
        <w:rPr>
          <w:rFonts w:ascii="Times New Roman" w:hAnsi="Times New Roman" w:hint="eastAsia"/>
          <w:snapToGrid w:val="0"/>
          <w:kern w:val="0"/>
        </w:rPr>
        <w:t>，由于人员、车辆流动，不安全因素较多。譬如：未熄火给油罐加油、机动车油箱漏油，</w:t>
      </w:r>
      <w:r>
        <w:rPr>
          <w:rFonts w:ascii="Times New Roman" w:hAnsi="Times New Roman"/>
          <w:snapToGrid w:val="0"/>
          <w:kern w:val="0"/>
        </w:rPr>
        <w:t>作</w:t>
      </w:r>
      <w:r>
        <w:rPr>
          <w:rFonts w:ascii="Times New Roman" w:hAnsi="Times New Roman" w:hint="eastAsia"/>
          <w:snapToGrid w:val="0"/>
          <w:kern w:val="0"/>
        </w:rPr>
        <w:t>业过程中因修车或机械碰撞产生火花、加油时泄漏等均容易引发火灾爆炸事故。</w:t>
      </w:r>
    </w:p>
    <w:p w:rsidR="004B4777" w:rsidRDefault="004B4777">
      <w:pPr>
        <w:pStyle w:val="3"/>
        <w:snapToGrid w:val="0"/>
        <w:spacing w:before="0" w:after="0"/>
        <w:rPr>
          <w:rFonts w:ascii="Times New Roman" w:eastAsia="宋体" w:hAnsi="Times New Roman"/>
          <w:b/>
        </w:rPr>
      </w:pPr>
      <w:r>
        <w:rPr>
          <w:rFonts w:ascii="Times New Roman" w:eastAsia="宋体" w:hAnsi="Times New Roman" w:hint="eastAsia"/>
          <w:b/>
        </w:rPr>
        <w:t>8</w:t>
      </w:r>
      <w:r>
        <w:rPr>
          <w:rFonts w:ascii="Times New Roman" w:eastAsia="宋体" w:hAnsi="Times New Roman"/>
          <w:b/>
        </w:rPr>
        <w:t xml:space="preserve">.2.2 </w:t>
      </w:r>
      <w:r>
        <w:rPr>
          <w:rFonts w:ascii="Times New Roman" w:eastAsia="宋体" w:hAnsi="Times New Roman" w:hint="eastAsia"/>
          <w:b/>
        </w:rPr>
        <w:t>物质</w:t>
      </w:r>
      <w:r>
        <w:rPr>
          <w:rFonts w:ascii="Times New Roman" w:eastAsia="宋体" w:hAnsi="Times New Roman"/>
          <w:b/>
        </w:rPr>
        <w:t>风险的识别</w:t>
      </w:r>
    </w:p>
    <w:p w:rsidR="004B4777" w:rsidRDefault="004B4777">
      <w:pPr>
        <w:snapToGrid w:val="0"/>
        <w:ind w:firstLine="449"/>
        <w:rPr>
          <w:rFonts w:ascii="Times New Roman" w:hAnsi="Times New Roman" w:hint="eastAsia"/>
          <w:snapToGrid w:val="0"/>
          <w:kern w:val="0"/>
        </w:rPr>
      </w:pPr>
      <w:r>
        <w:rPr>
          <w:rFonts w:ascii="Times New Roman" w:hAnsi="Times New Roman" w:hint="eastAsia"/>
          <w:snapToGrid w:val="0"/>
          <w:kern w:val="0"/>
        </w:rPr>
        <w:t>本项目涉及的主要物料为汽油、柴油，根据化学物质的毒理学数据、火灾危害性等资料分析建设项目有关物质的火灾危害特性、毒性及对环境的危害。</w:t>
      </w:r>
    </w:p>
    <w:p w:rsidR="004B4777" w:rsidRDefault="004B4777">
      <w:pPr>
        <w:snapToGrid w:val="0"/>
        <w:ind w:firstLine="449"/>
        <w:rPr>
          <w:rFonts w:ascii="Times New Roman" w:hAnsi="Times New Roman"/>
          <w:snapToGrid w:val="0"/>
          <w:kern w:val="0"/>
        </w:rPr>
      </w:pPr>
      <w:r>
        <w:rPr>
          <w:rFonts w:ascii="Times New Roman" w:hAnsi="Times New Roman" w:hint="eastAsia"/>
          <w:snapToGrid w:val="0"/>
          <w:kern w:val="0"/>
        </w:rPr>
        <w:t>根据《物质危险性标准》对项目所涉及的物料进行分类，分类标准详见表</w:t>
      </w:r>
      <w:r>
        <w:rPr>
          <w:rFonts w:ascii="Times New Roman" w:hAnsi="Times New Roman" w:hint="eastAsia"/>
          <w:snapToGrid w:val="0"/>
          <w:kern w:val="0"/>
        </w:rPr>
        <w:t>8.2-1</w:t>
      </w:r>
      <w:r>
        <w:rPr>
          <w:rFonts w:ascii="Times New Roman" w:hAnsi="Times New Roman" w:hint="eastAsia"/>
          <w:snapToGrid w:val="0"/>
          <w:kern w:val="0"/>
        </w:rPr>
        <w:t>。</w:t>
      </w:r>
      <w:r>
        <w:rPr>
          <w:rFonts w:ascii="Times New Roman" w:hAnsi="Times New Roman" w:hint="eastAsia"/>
          <w:snapToGrid w:val="0"/>
          <w:kern w:val="0"/>
        </w:rPr>
        <w:lastRenderedPageBreak/>
        <w:t>柴油的理化性质和危险特性见表</w:t>
      </w:r>
      <w:r>
        <w:rPr>
          <w:rFonts w:ascii="Times New Roman" w:hAnsi="Times New Roman" w:hint="eastAsia"/>
          <w:snapToGrid w:val="0"/>
          <w:kern w:val="0"/>
        </w:rPr>
        <w:t>8.2-2</w:t>
      </w:r>
      <w:r>
        <w:rPr>
          <w:rFonts w:ascii="Times New Roman" w:hAnsi="Times New Roman" w:hint="eastAsia"/>
          <w:snapToGrid w:val="0"/>
          <w:kern w:val="0"/>
        </w:rPr>
        <w:t>。</w:t>
      </w:r>
    </w:p>
    <w:p w:rsidR="004B4777" w:rsidRDefault="004B4777">
      <w:pPr>
        <w:snapToGrid w:val="0"/>
        <w:ind w:firstLineChars="0" w:firstLine="0"/>
        <w:jc w:val="center"/>
        <w:rPr>
          <w:rFonts w:ascii="Times New Roman" w:hAnsi="Times New Roman" w:hint="eastAsia"/>
          <w:b/>
          <w:szCs w:val="24"/>
        </w:rPr>
      </w:pPr>
      <w:r>
        <w:rPr>
          <w:rFonts w:ascii="Times New Roman" w:hAnsi="Times New Roman" w:hint="eastAsia"/>
          <w:b/>
          <w:szCs w:val="24"/>
        </w:rPr>
        <w:t>表</w:t>
      </w:r>
      <w:r>
        <w:rPr>
          <w:rFonts w:ascii="Times New Roman" w:hAnsi="Times New Roman" w:hint="eastAsia"/>
          <w:b/>
          <w:szCs w:val="24"/>
        </w:rPr>
        <w:t xml:space="preserve">8.2-1    </w:t>
      </w:r>
      <w:r>
        <w:rPr>
          <w:rFonts w:ascii="Times New Roman" w:hAnsi="Times New Roman"/>
          <w:b/>
          <w:kern w:val="0"/>
          <w:szCs w:val="24"/>
        </w:rPr>
        <w:t>物质危险性标准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
        <w:gridCol w:w="457"/>
        <w:gridCol w:w="2284"/>
        <w:gridCol w:w="2187"/>
        <w:gridCol w:w="3145"/>
      </w:tblGrid>
      <w:tr w:rsidR="004B4777">
        <w:trPr>
          <w:cantSplit/>
          <w:trHeight w:val="397"/>
          <w:jc w:val="center"/>
        </w:trPr>
        <w:tc>
          <w:tcPr>
            <w:tcW w:w="913" w:type="dxa"/>
            <w:gridSpan w:val="2"/>
            <w:vAlign w:val="center"/>
          </w:tcPr>
          <w:p w:rsidR="004B4777" w:rsidRDefault="004B4777">
            <w:pPr>
              <w:snapToGrid w:val="0"/>
              <w:spacing w:line="240" w:lineRule="auto"/>
              <w:ind w:firstLineChars="0" w:firstLine="0"/>
              <w:jc w:val="center"/>
              <w:rPr>
                <w:rFonts w:ascii="Times New Roman" w:hAnsi="Times New Roman"/>
                <w:sz w:val="21"/>
                <w:szCs w:val="21"/>
              </w:rPr>
            </w:pPr>
          </w:p>
        </w:tc>
        <w:tc>
          <w:tcPr>
            <w:tcW w:w="2284"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LD</w:t>
            </w:r>
            <w:r>
              <w:rPr>
                <w:rFonts w:ascii="Times New Roman" w:hAnsi="Times New Roman"/>
                <w:sz w:val="21"/>
                <w:szCs w:val="21"/>
                <w:vertAlign w:val="subscript"/>
              </w:rPr>
              <w:t>50</w:t>
            </w:r>
            <w:r>
              <w:rPr>
                <w:rFonts w:ascii="Times New Roman" w:hAnsi="Times New Roman"/>
                <w:sz w:val="21"/>
                <w:szCs w:val="21"/>
              </w:rPr>
              <w:t>(</w:t>
            </w:r>
            <w:r>
              <w:rPr>
                <w:rFonts w:ascii="Times New Roman" w:hAnsi="Times New Roman"/>
                <w:sz w:val="21"/>
                <w:szCs w:val="21"/>
              </w:rPr>
              <w:t>大鼠经口</w:t>
            </w:r>
            <w:r>
              <w:rPr>
                <w:rFonts w:ascii="Times New Roman" w:hAnsi="Times New Roman"/>
                <w:sz w:val="21"/>
                <w:szCs w:val="21"/>
              </w:rPr>
              <w:t>)mg/kg</w:t>
            </w:r>
          </w:p>
        </w:tc>
        <w:tc>
          <w:tcPr>
            <w:tcW w:w="218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LD</w:t>
            </w:r>
            <w:r>
              <w:rPr>
                <w:rFonts w:ascii="Times New Roman" w:hAnsi="Times New Roman"/>
                <w:sz w:val="21"/>
                <w:szCs w:val="21"/>
                <w:vertAlign w:val="subscript"/>
              </w:rPr>
              <w:t>50</w:t>
            </w:r>
            <w:r>
              <w:rPr>
                <w:rFonts w:ascii="Times New Roman" w:hAnsi="Times New Roman"/>
                <w:sz w:val="21"/>
                <w:szCs w:val="21"/>
              </w:rPr>
              <w:t>(</w:t>
            </w:r>
            <w:r>
              <w:rPr>
                <w:rFonts w:ascii="Times New Roman" w:hAnsi="Times New Roman"/>
                <w:sz w:val="21"/>
                <w:szCs w:val="21"/>
              </w:rPr>
              <w:t>大鼠经皮</w:t>
            </w:r>
            <w:r>
              <w:rPr>
                <w:rFonts w:ascii="Times New Roman" w:hAnsi="Times New Roman"/>
                <w:sz w:val="21"/>
                <w:szCs w:val="21"/>
              </w:rPr>
              <w:t>)mg/kg</w:t>
            </w:r>
          </w:p>
        </w:tc>
        <w:tc>
          <w:tcPr>
            <w:tcW w:w="3145"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LC</w:t>
            </w:r>
            <w:r>
              <w:rPr>
                <w:rFonts w:ascii="Times New Roman" w:hAnsi="Times New Roman"/>
                <w:sz w:val="21"/>
                <w:szCs w:val="21"/>
                <w:vertAlign w:val="subscript"/>
              </w:rPr>
              <w:t>50</w:t>
            </w:r>
            <w:r>
              <w:rPr>
                <w:rFonts w:ascii="Times New Roman" w:hAnsi="Times New Roman"/>
                <w:sz w:val="21"/>
                <w:szCs w:val="21"/>
              </w:rPr>
              <w:t>（小鼠吸入，</w:t>
            </w:r>
            <w:r>
              <w:rPr>
                <w:rFonts w:ascii="Times New Roman" w:hAnsi="Times New Roman"/>
                <w:sz w:val="21"/>
                <w:szCs w:val="21"/>
              </w:rPr>
              <w:t>4</w:t>
            </w:r>
            <w:r>
              <w:rPr>
                <w:rFonts w:ascii="Times New Roman" w:hAnsi="Times New Roman"/>
                <w:sz w:val="21"/>
                <w:szCs w:val="21"/>
              </w:rPr>
              <w:t>小时）</w:t>
            </w:r>
            <w:r>
              <w:rPr>
                <w:rFonts w:ascii="Times New Roman" w:hAnsi="Times New Roman"/>
                <w:sz w:val="21"/>
                <w:szCs w:val="21"/>
              </w:rPr>
              <w:t>mg/L</w:t>
            </w:r>
          </w:p>
        </w:tc>
      </w:tr>
      <w:tr w:rsidR="004B4777">
        <w:trPr>
          <w:cantSplit/>
          <w:trHeight w:val="397"/>
          <w:jc w:val="center"/>
        </w:trPr>
        <w:tc>
          <w:tcPr>
            <w:tcW w:w="456" w:type="dxa"/>
            <w:vMerge w:val="restart"/>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有毒物质</w:t>
            </w:r>
          </w:p>
        </w:tc>
        <w:tc>
          <w:tcPr>
            <w:tcW w:w="457" w:type="dxa"/>
            <w:vAlign w:val="center"/>
          </w:tcPr>
          <w:p w:rsidR="004B4777" w:rsidRDefault="004B4777">
            <w:pPr>
              <w:snapToGrid w:val="0"/>
              <w:spacing w:line="240" w:lineRule="auto"/>
              <w:ind w:firstLineChars="0" w:firstLine="0"/>
              <w:jc w:val="center"/>
              <w:rPr>
                <w:rFonts w:ascii="Times New Roman" w:hAnsi="Times New Roman"/>
                <w:bCs/>
                <w:sz w:val="21"/>
                <w:szCs w:val="21"/>
              </w:rPr>
            </w:pPr>
            <w:r>
              <w:rPr>
                <w:rFonts w:ascii="Times New Roman" w:hAnsi="Times New Roman"/>
                <w:bCs/>
                <w:sz w:val="21"/>
                <w:szCs w:val="21"/>
              </w:rPr>
              <w:t>1</w:t>
            </w:r>
          </w:p>
        </w:tc>
        <w:tc>
          <w:tcPr>
            <w:tcW w:w="2284"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&lt;5</w:t>
            </w:r>
          </w:p>
        </w:tc>
        <w:tc>
          <w:tcPr>
            <w:tcW w:w="218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&lt;1</w:t>
            </w:r>
          </w:p>
        </w:tc>
        <w:tc>
          <w:tcPr>
            <w:tcW w:w="3145"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&lt;0.01</w:t>
            </w:r>
          </w:p>
        </w:tc>
      </w:tr>
      <w:tr w:rsidR="004B4777">
        <w:trPr>
          <w:cantSplit/>
          <w:trHeight w:val="397"/>
          <w:jc w:val="center"/>
        </w:trPr>
        <w:tc>
          <w:tcPr>
            <w:tcW w:w="456" w:type="dxa"/>
            <w:vMerge/>
            <w:vAlign w:val="center"/>
          </w:tcPr>
          <w:p w:rsidR="004B4777" w:rsidRDefault="004B4777">
            <w:pPr>
              <w:snapToGrid w:val="0"/>
              <w:spacing w:line="240" w:lineRule="auto"/>
              <w:ind w:firstLineChars="0" w:firstLine="0"/>
              <w:jc w:val="center"/>
              <w:rPr>
                <w:rFonts w:ascii="Times New Roman" w:hAnsi="Times New Roman"/>
                <w:sz w:val="21"/>
                <w:szCs w:val="21"/>
              </w:rPr>
            </w:pPr>
          </w:p>
        </w:tc>
        <w:tc>
          <w:tcPr>
            <w:tcW w:w="45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w:t>
            </w:r>
          </w:p>
        </w:tc>
        <w:tc>
          <w:tcPr>
            <w:tcW w:w="2284"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5&lt;LD</w:t>
            </w:r>
            <w:r>
              <w:rPr>
                <w:rFonts w:ascii="Times New Roman" w:hAnsi="Times New Roman"/>
                <w:sz w:val="21"/>
                <w:szCs w:val="21"/>
                <w:vertAlign w:val="subscript"/>
              </w:rPr>
              <w:t>50</w:t>
            </w:r>
            <w:r>
              <w:rPr>
                <w:rFonts w:ascii="Times New Roman" w:hAnsi="Times New Roman"/>
                <w:sz w:val="21"/>
                <w:szCs w:val="21"/>
              </w:rPr>
              <w:t>&lt;25</w:t>
            </w:r>
          </w:p>
        </w:tc>
        <w:tc>
          <w:tcPr>
            <w:tcW w:w="218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10&lt;LD</w:t>
            </w:r>
            <w:r>
              <w:rPr>
                <w:rFonts w:ascii="Times New Roman" w:hAnsi="Times New Roman"/>
                <w:sz w:val="21"/>
                <w:szCs w:val="21"/>
                <w:vertAlign w:val="subscript"/>
              </w:rPr>
              <w:t>50</w:t>
            </w:r>
            <w:r>
              <w:rPr>
                <w:rFonts w:ascii="Times New Roman" w:hAnsi="Times New Roman"/>
                <w:sz w:val="21"/>
                <w:szCs w:val="21"/>
              </w:rPr>
              <w:t>&lt;50</w:t>
            </w:r>
          </w:p>
        </w:tc>
        <w:tc>
          <w:tcPr>
            <w:tcW w:w="3145"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0.1&lt;LC</w:t>
            </w:r>
            <w:r>
              <w:rPr>
                <w:rFonts w:ascii="Times New Roman" w:hAnsi="Times New Roman"/>
                <w:sz w:val="21"/>
                <w:szCs w:val="21"/>
                <w:vertAlign w:val="subscript"/>
              </w:rPr>
              <w:t>50</w:t>
            </w:r>
            <w:r>
              <w:rPr>
                <w:rFonts w:ascii="Times New Roman" w:hAnsi="Times New Roman"/>
                <w:sz w:val="21"/>
                <w:szCs w:val="21"/>
              </w:rPr>
              <w:t>&lt;0.5</w:t>
            </w:r>
          </w:p>
        </w:tc>
      </w:tr>
      <w:tr w:rsidR="004B4777">
        <w:trPr>
          <w:cantSplit/>
          <w:trHeight w:val="397"/>
          <w:jc w:val="center"/>
        </w:trPr>
        <w:tc>
          <w:tcPr>
            <w:tcW w:w="456" w:type="dxa"/>
            <w:vMerge/>
            <w:vAlign w:val="center"/>
          </w:tcPr>
          <w:p w:rsidR="004B4777" w:rsidRDefault="004B4777">
            <w:pPr>
              <w:snapToGrid w:val="0"/>
              <w:spacing w:line="240" w:lineRule="auto"/>
              <w:ind w:firstLineChars="0" w:firstLine="0"/>
              <w:jc w:val="center"/>
              <w:rPr>
                <w:rFonts w:ascii="Times New Roman" w:hAnsi="Times New Roman"/>
                <w:sz w:val="21"/>
                <w:szCs w:val="21"/>
              </w:rPr>
            </w:pPr>
          </w:p>
        </w:tc>
        <w:tc>
          <w:tcPr>
            <w:tcW w:w="45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3</w:t>
            </w:r>
          </w:p>
        </w:tc>
        <w:tc>
          <w:tcPr>
            <w:tcW w:w="2284"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25&lt;LD</w:t>
            </w:r>
            <w:r>
              <w:rPr>
                <w:rFonts w:ascii="Times New Roman" w:hAnsi="Times New Roman"/>
                <w:sz w:val="21"/>
                <w:szCs w:val="21"/>
                <w:vertAlign w:val="subscript"/>
              </w:rPr>
              <w:t>50</w:t>
            </w:r>
            <w:r>
              <w:rPr>
                <w:rFonts w:ascii="Times New Roman" w:hAnsi="Times New Roman"/>
                <w:sz w:val="21"/>
                <w:szCs w:val="21"/>
              </w:rPr>
              <w:t>&lt;200</w:t>
            </w:r>
          </w:p>
        </w:tc>
        <w:tc>
          <w:tcPr>
            <w:tcW w:w="218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50&lt;LD</w:t>
            </w:r>
            <w:r>
              <w:rPr>
                <w:rFonts w:ascii="Times New Roman" w:hAnsi="Times New Roman"/>
                <w:sz w:val="21"/>
                <w:szCs w:val="21"/>
                <w:vertAlign w:val="subscript"/>
              </w:rPr>
              <w:t>50</w:t>
            </w:r>
            <w:r>
              <w:rPr>
                <w:rFonts w:ascii="Times New Roman" w:hAnsi="Times New Roman"/>
                <w:sz w:val="21"/>
                <w:szCs w:val="21"/>
              </w:rPr>
              <w:t>&lt;400</w:t>
            </w:r>
          </w:p>
        </w:tc>
        <w:tc>
          <w:tcPr>
            <w:tcW w:w="3145"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0.5&lt;LC</w:t>
            </w:r>
            <w:r>
              <w:rPr>
                <w:rFonts w:ascii="Times New Roman" w:hAnsi="Times New Roman"/>
                <w:sz w:val="21"/>
                <w:szCs w:val="21"/>
                <w:vertAlign w:val="subscript"/>
              </w:rPr>
              <w:t>50</w:t>
            </w:r>
            <w:r>
              <w:rPr>
                <w:rFonts w:ascii="Times New Roman" w:hAnsi="Times New Roman"/>
                <w:sz w:val="21"/>
                <w:szCs w:val="21"/>
              </w:rPr>
              <w:t>&lt;2</w:t>
            </w:r>
          </w:p>
        </w:tc>
      </w:tr>
      <w:tr w:rsidR="004B4777">
        <w:trPr>
          <w:cantSplit/>
          <w:trHeight w:val="397"/>
          <w:jc w:val="center"/>
        </w:trPr>
        <w:tc>
          <w:tcPr>
            <w:tcW w:w="456" w:type="dxa"/>
            <w:vMerge w:val="restart"/>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易燃物质</w:t>
            </w:r>
          </w:p>
        </w:tc>
        <w:tc>
          <w:tcPr>
            <w:tcW w:w="45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w:t>
            </w:r>
          </w:p>
        </w:tc>
        <w:tc>
          <w:tcPr>
            <w:tcW w:w="7616" w:type="dxa"/>
            <w:gridSpan w:val="3"/>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可燃气体</w:t>
            </w:r>
            <w:r>
              <w:rPr>
                <w:rFonts w:ascii="Times New Roman" w:hAnsi="Times New Roman"/>
                <w:sz w:val="21"/>
                <w:szCs w:val="21"/>
              </w:rPr>
              <w:t>—</w:t>
            </w:r>
            <w:r>
              <w:rPr>
                <w:rFonts w:ascii="Times New Roman" w:hAnsi="Times New Roman"/>
                <w:sz w:val="21"/>
                <w:szCs w:val="21"/>
              </w:rPr>
              <w:t>在常压下以气态存在并与空气混合形成可燃混合物；其沸点（常压下）是</w:t>
            </w:r>
            <w:r>
              <w:rPr>
                <w:rFonts w:ascii="Times New Roman" w:hAnsi="Times New Roman"/>
                <w:sz w:val="21"/>
                <w:szCs w:val="21"/>
              </w:rPr>
              <w:t>20</w:t>
            </w:r>
            <w:r>
              <w:rPr>
                <w:rFonts w:ascii="Times New Roman" w:hAnsi="Times New Roman" w:cs="宋体" w:hint="eastAsia"/>
                <w:sz w:val="21"/>
                <w:szCs w:val="21"/>
              </w:rPr>
              <w:t>℃</w:t>
            </w:r>
            <w:r>
              <w:rPr>
                <w:rFonts w:ascii="Times New Roman" w:hAnsi="Times New Roman"/>
                <w:sz w:val="21"/>
                <w:szCs w:val="21"/>
              </w:rPr>
              <w:t>或</w:t>
            </w:r>
            <w:r>
              <w:rPr>
                <w:rFonts w:ascii="Times New Roman" w:hAnsi="Times New Roman"/>
                <w:sz w:val="21"/>
                <w:szCs w:val="21"/>
              </w:rPr>
              <w:t>20</w:t>
            </w:r>
            <w:r>
              <w:rPr>
                <w:rFonts w:ascii="Times New Roman" w:hAnsi="Times New Roman" w:cs="宋体" w:hint="eastAsia"/>
                <w:sz w:val="21"/>
                <w:szCs w:val="21"/>
              </w:rPr>
              <w:t>℃</w:t>
            </w:r>
            <w:r>
              <w:rPr>
                <w:rFonts w:ascii="Times New Roman" w:hAnsi="Times New Roman"/>
                <w:sz w:val="21"/>
                <w:szCs w:val="21"/>
              </w:rPr>
              <w:t>以下的物质</w:t>
            </w:r>
          </w:p>
        </w:tc>
      </w:tr>
      <w:tr w:rsidR="004B4777">
        <w:trPr>
          <w:cantSplit/>
          <w:trHeight w:val="397"/>
          <w:jc w:val="center"/>
        </w:trPr>
        <w:tc>
          <w:tcPr>
            <w:tcW w:w="456" w:type="dxa"/>
            <w:vMerge/>
            <w:vAlign w:val="center"/>
          </w:tcPr>
          <w:p w:rsidR="004B4777" w:rsidRDefault="004B4777">
            <w:pPr>
              <w:snapToGrid w:val="0"/>
              <w:spacing w:line="240" w:lineRule="auto"/>
              <w:ind w:firstLineChars="0" w:firstLine="0"/>
              <w:jc w:val="center"/>
              <w:rPr>
                <w:rFonts w:ascii="Times New Roman" w:hAnsi="Times New Roman"/>
                <w:sz w:val="21"/>
                <w:szCs w:val="21"/>
              </w:rPr>
            </w:pPr>
          </w:p>
        </w:tc>
        <w:tc>
          <w:tcPr>
            <w:tcW w:w="45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2</w:t>
            </w:r>
          </w:p>
        </w:tc>
        <w:tc>
          <w:tcPr>
            <w:tcW w:w="7616" w:type="dxa"/>
            <w:gridSpan w:val="3"/>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易燃液体</w:t>
            </w:r>
            <w:r>
              <w:rPr>
                <w:rFonts w:ascii="Times New Roman" w:hAnsi="Times New Roman"/>
                <w:sz w:val="21"/>
                <w:szCs w:val="21"/>
              </w:rPr>
              <w:t>—</w:t>
            </w:r>
            <w:r>
              <w:rPr>
                <w:rFonts w:ascii="Times New Roman" w:hAnsi="Times New Roman"/>
                <w:sz w:val="21"/>
                <w:szCs w:val="21"/>
              </w:rPr>
              <w:t>闪点低于</w:t>
            </w:r>
            <w:r>
              <w:rPr>
                <w:rFonts w:ascii="Times New Roman" w:hAnsi="Times New Roman"/>
                <w:sz w:val="21"/>
                <w:szCs w:val="21"/>
              </w:rPr>
              <w:t>21</w:t>
            </w:r>
            <w:r>
              <w:rPr>
                <w:rFonts w:ascii="Times New Roman" w:hAnsi="Times New Roman" w:cs="宋体" w:hint="eastAsia"/>
                <w:sz w:val="21"/>
                <w:szCs w:val="21"/>
              </w:rPr>
              <w:t>℃</w:t>
            </w:r>
            <w:r>
              <w:rPr>
                <w:rFonts w:ascii="Times New Roman" w:hAnsi="Times New Roman"/>
                <w:sz w:val="21"/>
                <w:szCs w:val="21"/>
              </w:rPr>
              <w:t>，沸点高于</w:t>
            </w:r>
            <w:r>
              <w:rPr>
                <w:rFonts w:ascii="Times New Roman" w:hAnsi="Times New Roman"/>
                <w:sz w:val="21"/>
                <w:szCs w:val="21"/>
              </w:rPr>
              <w:t>20</w:t>
            </w:r>
            <w:r>
              <w:rPr>
                <w:rFonts w:ascii="Times New Roman" w:hAnsi="Times New Roman" w:cs="宋体" w:hint="eastAsia"/>
                <w:sz w:val="21"/>
                <w:szCs w:val="21"/>
              </w:rPr>
              <w:t>℃</w:t>
            </w:r>
            <w:r>
              <w:rPr>
                <w:rFonts w:ascii="Times New Roman" w:hAnsi="Times New Roman"/>
                <w:sz w:val="21"/>
                <w:szCs w:val="21"/>
              </w:rPr>
              <w:t>的物质</w:t>
            </w:r>
          </w:p>
        </w:tc>
      </w:tr>
      <w:tr w:rsidR="004B4777">
        <w:trPr>
          <w:cantSplit/>
          <w:trHeight w:val="397"/>
          <w:jc w:val="center"/>
        </w:trPr>
        <w:tc>
          <w:tcPr>
            <w:tcW w:w="456" w:type="dxa"/>
            <w:vMerge/>
            <w:vAlign w:val="center"/>
          </w:tcPr>
          <w:p w:rsidR="004B4777" w:rsidRDefault="004B4777">
            <w:pPr>
              <w:snapToGrid w:val="0"/>
              <w:spacing w:line="240" w:lineRule="auto"/>
              <w:ind w:firstLineChars="0" w:firstLine="0"/>
              <w:jc w:val="center"/>
              <w:rPr>
                <w:rFonts w:ascii="Times New Roman" w:hAnsi="Times New Roman"/>
                <w:sz w:val="21"/>
                <w:szCs w:val="21"/>
              </w:rPr>
            </w:pPr>
          </w:p>
        </w:tc>
        <w:tc>
          <w:tcPr>
            <w:tcW w:w="457" w:type="dxa"/>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3</w:t>
            </w:r>
          </w:p>
        </w:tc>
        <w:tc>
          <w:tcPr>
            <w:tcW w:w="7616" w:type="dxa"/>
            <w:gridSpan w:val="3"/>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可燃液体</w:t>
            </w:r>
            <w:r>
              <w:rPr>
                <w:rFonts w:ascii="Times New Roman" w:hAnsi="Times New Roman"/>
                <w:sz w:val="21"/>
                <w:szCs w:val="21"/>
              </w:rPr>
              <w:t>—</w:t>
            </w:r>
            <w:r>
              <w:rPr>
                <w:rFonts w:ascii="Times New Roman" w:hAnsi="Times New Roman"/>
                <w:sz w:val="21"/>
                <w:szCs w:val="21"/>
              </w:rPr>
              <w:t>闪点低于</w:t>
            </w:r>
            <w:r>
              <w:rPr>
                <w:rFonts w:ascii="Times New Roman" w:hAnsi="Times New Roman"/>
                <w:sz w:val="21"/>
                <w:szCs w:val="21"/>
              </w:rPr>
              <w:t>55</w:t>
            </w:r>
            <w:r>
              <w:rPr>
                <w:rFonts w:ascii="Times New Roman" w:hAnsi="Times New Roman" w:cs="宋体" w:hint="eastAsia"/>
                <w:sz w:val="21"/>
                <w:szCs w:val="21"/>
              </w:rPr>
              <w:t>℃</w:t>
            </w:r>
            <w:r>
              <w:rPr>
                <w:rFonts w:ascii="Times New Roman" w:hAnsi="Times New Roman"/>
                <w:sz w:val="21"/>
                <w:szCs w:val="21"/>
              </w:rPr>
              <w:t>，压力下保持液态，在实际操作条件下（如高温高压）可以引起重大事故的物质</w:t>
            </w:r>
          </w:p>
        </w:tc>
      </w:tr>
      <w:tr w:rsidR="004B4777">
        <w:trPr>
          <w:cantSplit/>
          <w:trHeight w:val="397"/>
          <w:jc w:val="center"/>
        </w:trPr>
        <w:tc>
          <w:tcPr>
            <w:tcW w:w="913" w:type="dxa"/>
            <w:gridSpan w:val="2"/>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爆炸性物质</w:t>
            </w:r>
          </w:p>
        </w:tc>
        <w:tc>
          <w:tcPr>
            <w:tcW w:w="7616" w:type="dxa"/>
            <w:gridSpan w:val="3"/>
            <w:vAlign w:val="center"/>
          </w:tcPr>
          <w:p w:rsidR="004B4777" w:rsidRDefault="004B4777">
            <w:pPr>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在火焰影响下可以爆炸，或者对冲击、摩擦比硝基苯更为敏感的物质</w:t>
            </w:r>
          </w:p>
        </w:tc>
      </w:tr>
    </w:tbl>
    <w:p w:rsidR="004B4777" w:rsidRDefault="004B4777">
      <w:pPr>
        <w:ind w:firstLineChars="0" w:firstLine="0"/>
        <w:jc w:val="center"/>
        <w:rPr>
          <w:rFonts w:ascii="Times New Roman" w:hAnsi="Times New Roman" w:hint="eastAsia"/>
          <w:szCs w:val="24"/>
        </w:rPr>
      </w:pPr>
      <w:r>
        <w:rPr>
          <w:rFonts w:ascii="Times New Roman" w:hAnsi="Times New Roman"/>
          <w:b/>
          <w:spacing w:val="6"/>
          <w:szCs w:val="24"/>
        </w:rPr>
        <w:t>表</w:t>
      </w:r>
      <w:r>
        <w:rPr>
          <w:rFonts w:ascii="Times New Roman" w:hAnsi="Times New Roman" w:hint="eastAsia"/>
          <w:b/>
          <w:spacing w:val="6"/>
          <w:szCs w:val="24"/>
        </w:rPr>
        <w:t>8.2-</w:t>
      </w:r>
      <w:r>
        <w:rPr>
          <w:rFonts w:ascii="Times New Roman" w:hAnsi="Times New Roman"/>
          <w:b/>
          <w:spacing w:val="6"/>
          <w:szCs w:val="24"/>
        </w:rPr>
        <w:t>2</w:t>
      </w:r>
      <w:r>
        <w:rPr>
          <w:rFonts w:ascii="Times New Roman" w:hAnsi="Times New Roman" w:hint="eastAsia"/>
          <w:b/>
          <w:spacing w:val="6"/>
          <w:szCs w:val="24"/>
        </w:rPr>
        <w:t xml:space="preserve">  </w:t>
      </w:r>
      <w:r>
        <w:rPr>
          <w:rFonts w:ascii="Times New Roman" w:hAnsi="Times New Roman"/>
          <w:b/>
          <w:spacing w:val="6"/>
          <w:szCs w:val="24"/>
        </w:rPr>
        <w:t xml:space="preserve">  </w:t>
      </w:r>
      <w:r>
        <w:rPr>
          <w:rFonts w:ascii="Times New Roman" w:hAnsi="Times New Roman" w:hint="eastAsia"/>
          <w:b/>
          <w:spacing w:val="6"/>
          <w:szCs w:val="24"/>
        </w:rPr>
        <w:t>柴油</w:t>
      </w:r>
      <w:r>
        <w:rPr>
          <w:rFonts w:ascii="Times New Roman" w:hAnsi="Times New Roman"/>
          <w:b/>
          <w:spacing w:val="6"/>
          <w:szCs w:val="24"/>
        </w:rPr>
        <w:t>的理化性质和危险特性</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top w:w="28" w:type="dxa"/>
          <w:left w:w="57" w:type="dxa"/>
          <w:bottom w:w="28" w:type="dxa"/>
          <w:right w:w="28" w:type="dxa"/>
        </w:tblCellMar>
        <w:tblLook w:val="0000"/>
      </w:tblPr>
      <w:tblGrid>
        <w:gridCol w:w="620"/>
        <w:gridCol w:w="1965"/>
        <w:gridCol w:w="1145"/>
        <w:gridCol w:w="2568"/>
        <w:gridCol w:w="2100"/>
      </w:tblGrid>
      <w:tr w:rsidR="004B4777">
        <w:trPr>
          <w:cantSplit/>
          <w:trHeight w:val="308"/>
          <w:jc w:val="center"/>
        </w:trPr>
        <w:tc>
          <w:tcPr>
            <w:tcW w:w="620" w:type="dxa"/>
            <w:vMerge w:val="restart"/>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标</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识</w:t>
            </w:r>
          </w:p>
        </w:tc>
        <w:tc>
          <w:tcPr>
            <w:tcW w:w="3110" w:type="dxa"/>
            <w:gridSpan w:val="2"/>
          </w:tcPr>
          <w:p w:rsidR="004B4777" w:rsidRDefault="004B4777">
            <w:pPr>
              <w:autoSpaceDE w:val="0"/>
              <w:autoSpaceDN w:val="0"/>
              <w:spacing w:line="300" w:lineRule="exact"/>
              <w:ind w:firstLineChars="0" w:firstLine="0"/>
              <w:rPr>
                <w:rFonts w:ascii="Times New Roman" w:hAnsi="Times New Roman"/>
                <w:spacing w:val="-20"/>
                <w:kern w:val="0"/>
                <w:sz w:val="21"/>
                <w:szCs w:val="21"/>
              </w:rPr>
            </w:pPr>
            <w:r>
              <w:rPr>
                <w:rFonts w:ascii="Times New Roman" w:hAnsi="Times New Roman"/>
                <w:spacing w:val="-20"/>
                <w:kern w:val="0"/>
                <w:sz w:val="21"/>
                <w:szCs w:val="21"/>
              </w:rPr>
              <w:t>中文名</w:t>
            </w:r>
            <w:r>
              <w:rPr>
                <w:rFonts w:ascii="Times New Roman" w:hAnsi="Times New Roman"/>
                <w:spacing w:val="-20"/>
                <w:kern w:val="0"/>
                <w:sz w:val="21"/>
                <w:szCs w:val="21"/>
              </w:rPr>
              <w:t xml:space="preserve">: </w:t>
            </w:r>
            <w:r>
              <w:rPr>
                <w:rFonts w:ascii="Times New Roman" w:hAnsi="Times New Roman"/>
                <w:sz w:val="21"/>
                <w:szCs w:val="21"/>
              </w:rPr>
              <w:t>柴油</w:t>
            </w:r>
          </w:p>
        </w:tc>
        <w:tc>
          <w:tcPr>
            <w:tcW w:w="4668" w:type="dxa"/>
            <w:gridSpan w:val="2"/>
          </w:tcPr>
          <w:p w:rsidR="004B4777" w:rsidRDefault="004B4777">
            <w:pPr>
              <w:autoSpaceDE w:val="0"/>
              <w:autoSpaceDN w:val="0"/>
              <w:spacing w:line="300" w:lineRule="exact"/>
              <w:ind w:firstLineChars="0" w:firstLine="0"/>
              <w:rPr>
                <w:rFonts w:ascii="Times New Roman" w:hAnsi="Times New Roman"/>
                <w:spacing w:val="-10"/>
                <w:kern w:val="0"/>
                <w:sz w:val="21"/>
                <w:szCs w:val="21"/>
              </w:rPr>
            </w:pPr>
            <w:r>
              <w:rPr>
                <w:rFonts w:ascii="Times New Roman" w:hAnsi="Times New Roman"/>
                <w:spacing w:val="-10"/>
                <w:kern w:val="0"/>
                <w:sz w:val="21"/>
                <w:szCs w:val="21"/>
              </w:rPr>
              <w:t>英文名：</w:t>
            </w:r>
            <w:r>
              <w:rPr>
                <w:rFonts w:ascii="Times New Roman" w:hAnsi="Times New Roman"/>
                <w:sz w:val="21"/>
                <w:szCs w:val="21"/>
              </w:rPr>
              <w:t>Diesel oil</w:t>
            </w:r>
            <w:r>
              <w:rPr>
                <w:rFonts w:ascii="Times New Roman" w:hAnsi="Times New Roman"/>
                <w:sz w:val="21"/>
                <w:szCs w:val="21"/>
              </w:rPr>
              <w:t>；</w:t>
            </w:r>
            <w:r>
              <w:rPr>
                <w:rFonts w:ascii="Times New Roman" w:hAnsi="Times New Roman"/>
                <w:sz w:val="21"/>
                <w:szCs w:val="21"/>
              </w:rPr>
              <w:t>Diesel fuel  </w:t>
            </w:r>
          </w:p>
        </w:tc>
      </w:tr>
      <w:tr w:rsidR="004B4777">
        <w:trPr>
          <w:cantSplit/>
          <w:trHeight w:val="317"/>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3110" w:type="dxa"/>
            <w:gridSpan w:val="2"/>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分子式：</w:t>
            </w:r>
            <w:r>
              <w:rPr>
                <w:rFonts w:ascii="Times New Roman" w:hAnsi="Times New Roman"/>
                <w:sz w:val="21"/>
                <w:szCs w:val="21"/>
              </w:rPr>
              <w:t>/</w:t>
            </w:r>
          </w:p>
        </w:tc>
        <w:tc>
          <w:tcPr>
            <w:tcW w:w="2568" w:type="dxa"/>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分子量：</w:t>
            </w:r>
            <w:r>
              <w:rPr>
                <w:rFonts w:ascii="Times New Roman" w:hAnsi="Times New Roman"/>
                <w:sz w:val="21"/>
                <w:szCs w:val="21"/>
              </w:rPr>
              <w:t>/</w:t>
            </w:r>
          </w:p>
        </w:tc>
        <w:tc>
          <w:tcPr>
            <w:tcW w:w="2100" w:type="dxa"/>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分子式：</w:t>
            </w:r>
            <w:r>
              <w:rPr>
                <w:rFonts w:ascii="Times New Roman" w:hAnsi="Times New Roman"/>
                <w:sz w:val="21"/>
                <w:szCs w:val="21"/>
              </w:rPr>
              <w:t>/</w:t>
            </w:r>
          </w:p>
        </w:tc>
      </w:tr>
      <w:tr w:rsidR="004B4777">
        <w:trPr>
          <w:cantSplit/>
          <w:trHeight w:val="266"/>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3110" w:type="dxa"/>
            <w:gridSpan w:val="2"/>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危规号：</w:t>
            </w:r>
            <w:r>
              <w:rPr>
                <w:rFonts w:ascii="Times New Roman" w:hAnsi="Times New Roman"/>
                <w:sz w:val="21"/>
                <w:szCs w:val="21"/>
              </w:rPr>
              <w:t>/</w:t>
            </w:r>
          </w:p>
        </w:tc>
        <w:tc>
          <w:tcPr>
            <w:tcW w:w="2568" w:type="dxa"/>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RTECS</w:t>
            </w:r>
            <w:r>
              <w:rPr>
                <w:rFonts w:ascii="Times New Roman" w:hAnsi="Times New Roman"/>
                <w:kern w:val="0"/>
                <w:sz w:val="21"/>
                <w:szCs w:val="21"/>
              </w:rPr>
              <w:t>号：</w:t>
            </w:r>
          </w:p>
        </w:tc>
        <w:tc>
          <w:tcPr>
            <w:tcW w:w="2100" w:type="dxa"/>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危规号：</w:t>
            </w:r>
            <w:r>
              <w:rPr>
                <w:rFonts w:ascii="Times New Roman" w:hAnsi="Times New Roman"/>
                <w:sz w:val="21"/>
                <w:szCs w:val="21"/>
              </w:rPr>
              <w:t>/</w:t>
            </w:r>
          </w:p>
        </w:tc>
      </w:tr>
      <w:tr w:rsidR="004B4777">
        <w:trPr>
          <w:cantSplit/>
          <w:trHeight w:val="244"/>
          <w:jc w:val="center"/>
        </w:trPr>
        <w:tc>
          <w:tcPr>
            <w:tcW w:w="620" w:type="dxa"/>
            <w:vMerge w:val="restart"/>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理</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化</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性</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质</w:t>
            </w:r>
          </w:p>
        </w:tc>
        <w:tc>
          <w:tcPr>
            <w:tcW w:w="7778" w:type="dxa"/>
            <w:gridSpan w:val="4"/>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性状：</w:t>
            </w:r>
            <w:r>
              <w:rPr>
                <w:rFonts w:ascii="Times New Roman" w:hAnsi="Times New Roman"/>
                <w:sz w:val="21"/>
                <w:szCs w:val="21"/>
              </w:rPr>
              <w:t>稍有粘性的棕色液体</w:t>
            </w:r>
          </w:p>
        </w:tc>
      </w:tr>
      <w:tr w:rsidR="004B4777">
        <w:trPr>
          <w:cantSplit/>
          <w:trHeight w:val="284"/>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熔点</w:t>
            </w:r>
            <w:r>
              <w:rPr>
                <w:rFonts w:ascii="Times New Roman" w:hAnsi="Times New Roman"/>
                <w:color w:val="000000"/>
                <w:kern w:val="0"/>
                <w:sz w:val="21"/>
                <w:szCs w:val="21"/>
              </w:rPr>
              <w:t>(</w:t>
            </w:r>
            <w:r>
              <w:rPr>
                <w:rFonts w:ascii="Times New Roman" w:hAnsi="Times New Roman" w:cs="宋体" w:hint="eastAsia"/>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sz w:val="21"/>
                <w:szCs w:val="21"/>
              </w:rPr>
              <w:t>-18</w:t>
            </w:r>
          </w:p>
        </w:tc>
        <w:tc>
          <w:tcPr>
            <w:tcW w:w="5813" w:type="dxa"/>
            <w:gridSpan w:val="3"/>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溶解性：</w:t>
            </w:r>
            <w:r>
              <w:rPr>
                <w:rFonts w:ascii="Times New Roman" w:hAnsi="Times New Roman"/>
                <w:color w:val="000000"/>
                <w:sz w:val="21"/>
                <w:szCs w:val="21"/>
              </w:rPr>
              <w:t>/</w:t>
            </w:r>
          </w:p>
        </w:tc>
      </w:tr>
      <w:tr w:rsidR="004B4777">
        <w:trPr>
          <w:cantSplit/>
          <w:trHeight w:val="233"/>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沸点</w:t>
            </w:r>
            <w:r>
              <w:rPr>
                <w:rFonts w:ascii="Times New Roman" w:hAnsi="Times New Roman"/>
                <w:color w:val="000000"/>
                <w:kern w:val="0"/>
                <w:sz w:val="21"/>
                <w:szCs w:val="21"/>
              </w:rPr>
              <w:t>(</w:t>
            </w:r>
            <w:r>
              <w:rPr>
                <w:rFonts w:ascii="Times New Roman" w:hAnsi="Times New Roman" w:cs="宋体" w:hint="eastAsia"/>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sz w:val="21"/>
                <w:szCs w:val="21"/>
              </w:rPr>
              <w:t>282-338</w:t>
            </w:r>
          </w:p>
        </w:tc>
        <w:tc>
          <w:tcPr>
            <w:tcW w:w="5813" w:type="dxa"/>
            <w:gridSpan w:val="3"/>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饱和蒸气压</w:t>
            </w:r>
            <w:r>
              <w:rPr>
                <w:rFonts w:ascii="Times New Roman" w:hAnsi="Times New Roman"/>
                <w:color w:val="000000"/>
                <w:kern w:val="0"/>
                <w:sz w:val="21"/>
                <w:szCs w:val="21"/>
              </w:rPr>
              <w:t>(kPa)</w:t>
            </w:r>
            <w:r>
              <w:rPr>
                <w:rFonts w:ascii="Times New Roman" w:hAnsi="Times New Roman"/>
                <w:color w:val="000000"/>
                <w:kern w:val="0"/>
                <w:sz w:val="21"/>
                <w:szCs w:val="21"/>
              </w:rPr>
              <w:t>：</w:t>
            </w:r>
            <w:r>
              <w:rPr>
                <w:rFonts w:ascii="Times New Roman" w:hAnsi="Times New Roman"/>
                <w:color w:val="000000"/>
                <w:sz w:val="21"/>
                <w:szCs w:val="21"/>
              </w:rPr>
              <w:t>/</w:t>
            </w:r>
          </w:p>
        </w:tc>
      </w:tr>
      <w:tr w:rsidR="004B4777">
        <w:trPr>
          <w:cantSplit/>
          <w:trHeight w:val="261"/>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临界温度</w:t>
            </w:r>
            <w:r>
              <w:rPr>
                <w:rFonts w:ascii="Times New Roman" w:hAnsi="Times New Roman"/>
                <w:color w:val="000000"/>
                <w:kern w:val="0"/>
                <w:sz w:val="21"/>
                <w:szCs w:val="21"/>
              </w:rPr>
              <w:t>(</w:t>
            </w:r>
            <w:r>
              <w:rPr>
                <w:rFonts w:ascii="Times New Roman" w:hAnsi="Times New Roman" w:cs="宋体" w:hint="eastAsia"/>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 xml:space="preserve"> </w:t>
            </w:r>
            <w:r>
              <w:rPr>
                <w:rFonts w:ascii="Times New Roman" w:hAnsi="Times New Roman"/>
                <w:color w:val="000000"/>
                <w:sz w:val="21"/>
                <w:szCs w:val="21"/>
              </w:rPr>
              <w:t>/</w:t>
            </w:r>
          </w:p>
        </w:tc>
        <w:tc>
          <w:tcPr>
            <w:tcW w:w="5813" w:type="dxa"/>
            <w:gridSpan w:val="3"/>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相对密度：</w:t>
            </w:r>
            <w:r>
              <w:rPr>
                <w:rFonts w:ascii="Times New Roman" w:hAnsi="Times New Roman"/>
                <w:color w:val="000000"/>
                <w:kern w:val="0"/>
                <w:sz w:val="21"/>
                <w:szCs w:val="21"/>
              </w:rPr>
              <w:t>(</w:t>
            </w:r>
            <w:r>
              <w:rPr>
                <w:rFonts w:ascii="Times New Roman" w:hAnsi="Times New Roman"/>
                <w:color w:val="000000"/>
                <w:kern w:val="0"/>
                <w:sz w:val="21"/>
                <w:szCs w:val="21"/>
              </w:rPr>
              <w:t>水</w:t>
            </w:r>
            <w:r>
              <w:rPr>
                <w:rFonts w:ascii="Times New Roman" w:hAnsi="Times New Roman"/>
                <w:color w:val="000000"/>
                <w:kern w:val="0"/>
                <w:sz w:val="21"/>
                <w:szCs w:val="21"/>
              </w:rPr>
              <w:t>=1)</w:t>
            </w:r>
            <w:r>
              <w:rPr>
                <w:rFonts w:ascii="Times New Roman" w:hAnsi="Times New Roman"/>
                <w:color w:val="000000"/>
                <w:kern w:val="0"/>
                <w:sz w:val="21"/>
                <w:szCs w:val="21"/>
              </w:rPr>
              <w:t>：</w:t>
            </w:r>
            <w:r>
              <w:rPr>
                <w:rFonts w:ascii="Times New Roman" w:hAnsi="Times New Roman"/>
                <w:color w:val="000000"/>
                <w:sz w:val="21"/>
                <w:szCs w:val="21"/>
              </w:rPr>
              <w:t>0.84-0.9</w:t>
            </w:r>
            <w:r>
              <w:rPr>
                <w:rFonts w:ascii="Times New Roman" w:hAnsi="Times New Roman"/>
                <w:color w:val="000000"/>
                <w:sz w:val="21"/>
                <w:szCs w:val="21"/>
              </w:rPr>
              <w:t>，（</w:t>
            </w:r>
            <w:r>
              <w:rPr>
                <w:rFonts w:ascii="Times New Roman" w:hAnsi="Times New Roman"/>
                <w:color w:val="000000"/>
                <w:sz w:val="21"/>
                <w:szCs w:val="21"/>
              </w:rPr>
              <w:t>0</w:t>
            </w:r>
            <w:r>
              <w:rPr>
                <w:rFonts w:ascii="Times New Roman" w:hAnsi="Times New Roman"/>
                <w:color w:val="000000"/>
                <w:sz w:val="21"/>
                <w:szCs w:val="21"/>
              </w:rPr>
              <w:t>＃柴油</w:t>
            </w:r>
            <w:r>
              <w:rPr>
                <w:rFonts w:ascii="Times New Roman" w:hAnsi="Times New Roman"/>
                <w:sz w:val="21"/>
                <w:szCs w:val="21"/>
              </w:rPr>
              <w:t>0.84</w:t>
            </w:r>
            <w:r>
              <w:rPr>
                <w:rFonts w:ascii="Times New Roman" w:hAnsi="Times New Roman"/>
                <w:sz w:val="21"/>
                <w:szCs w:val="21"/>
              </w:rPr>
              <w:t>～</w:t>
            </w:r>
            <w:r>
              <w:rPr>
                <w:rFonts w:ascii="Times New Roman" w:hAnsi="Times New Roman"/>
                <w:sz w:val="21"/>
                <w:szCs w:val="21"/>
              </w:rPr>
              <w:t>0.86</w:t>
            </w:r>
            <w:r>
              <w:rPr>
                <w:rFonts w:ascii="Times New Roman" w:hAnsi="Times New Roman"/>
                <w:color w:val="000000"/>
                <w:sz w:val="21"/>
                <w:szCs w:val="21"/>
              </w:rPr>
              <w:t>）；</w:t>
            </w:r>
            <w:r>
              <w:rPr>
                <w:rFonts w:ascii="Times New Roman" w:hAnsi="Times New Roman"/>
                <w:color w:val="000000"/>
                <w:sz w:val="21"/>
                <w:szCs w:val="21"/>
              </w:rPr>
              <w:t xml:space="preserve"> </w:t>
            </w:r>
            <w:r>
              <w:rPr>
                <w:rFonts w:ascii="Times New Roman" w:hAnsi="Times New Roman"/>
                <w:color w:val="000000"/>
                <w:kern w:val="0"/>
                <w:sz w:val="21"/>
                <w:szCs w:val="21"/>
              </w:rPr>
              <w:t>(</w:t>
            </w:r>
            <w:r>
              <w:rPr>
                <w:rFonts w:ascii="Times New Roman" w:hAnsi="Times New Roman"/>
                <w:color w:val="000000"/>
                <w:kern w:val="0"/>
                <w:sz w:val="21"/>
                <w:szCs w:val="21"/>
              </w:rPr>
              <w:t>空气</w:t>
            </w:r>
            <w:r>
              <w:rPr>
                <w:rFonts w:ascii="Times New Roman" w:hAnsi="Times New Roman"/>
                <w:color w:val="000000"/>
                <w:kern w:val="0"/>
                <w:sz w:val="21"/>
                <w:szCs w:val="21"/>
              </w:rPr>
              <w:t>=1)</w:t>
            </w:r>
            <w:r>
              <w:rPr>
                <w:rFonts w:ascii="Times New Roman" w:hAnsi="Times New Roman"/>
                <w:color w:val="000000"/>
                <w:kern w:val="0"/>
                <w:sz w:val="21"/>
                <w:szCs w:val="21"/>
              </w:rPr>
              <w:t>：</w:t>
            </w:r>
            <w:r>
              <w:rPr>
                <w:rFonts w:ascii="Times New Roman" w:hAnsi="Times New Roman"/>
                <w:color w:val="000000"/>
                <w:sz w:val="21"/>
                <w:szCs w:val="21"/>
              </w:rPr>
              <w:t>/</w:t>
            </w:r>
          </w:p>
        </w:tc>
      </w:tr>
      <w:tr w:rsidR="004B4777">
        <w:trPr>
          <w:cantSplit/>
          <w:trHeight w:val="240"/>
          <w:jc w:val="center"/>
        </w:trPr>
        <w:tc>
          <w:tcPr>
            <w:tcW w:w="620" w:type="dxa"/>
            <w:vMerge w:val="restart"/>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燃</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烧</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爆</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炸</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危</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险</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性</w:t>
            </w: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燃烧性：</w:t>
            </w:r>
            <w:r>
              <w:rPr>
                <w:rFonts w:ascii="Times New Roman" w:hAnsi="Times New Roman"/>
                <w:color w:val="000000"/>
                <w:sz w:val="21"/>
                <w:szCs w:val="21"/>
              </w:rPr>
              <w:t>助燃</w:t>
            </w:r>
          </w:p>
        </w:tc>
        <w:tc>
          <w:tcPr>
            <w:tcW w:w="5813" w:type="dxa"/>
            <w:gridSpan w:val="3"/>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燃烧分解产物：</w:t>
            </w:r>
            <w:r>
              <w:rPr>
                <w:rFonts w:ascii="Times New Roman" w:hAnsi="Times New Roman"/>
                <w:color w:val="000000"/>
                <w:sz w:val="21"/>
                <w:szCs w:val="21"/>
              </w:rPr>
              <w:t>一氧化碳、二氧化碳</w:t>
            </w:r>
            <w:r>
              <w:rPr>
                <w:rFonts w:ascii="Times New Roman" w:hAnsi="Times New Roman"/>
                <w:color w:val="000000"/>
                <w:kern w:val="0"/>
                <w:sz w:val="21"/>
                <w:szCs w:val="21"/>
              </w:rPr>
              <w:t xml:space="preserve"> </w:t>
            </w:r>
          </w:p>
        </w:tc>
      </w:tr>
      <w:tr w:rsidR="004B4777">
        <w:trPr>
          <w:cantSplit/>
          <w:trHeight w:val="223"/>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闪点</w:t>
            </w:r>
            <w:r>
              <w:rPr>
                <w:rFonts w:ascii="Times New Roman" w:hAnsi="Times New Roman"/>
                <w:color w:val="000000"/>
                <w:kern w:val="0"/>
                <w:sz w:val="21"/>
                <w:szCs w:val="21"/>
              </w:rPr>
              <w:t>(</w:t>
            </w:r>
            <w:r>
              <w:rPr>
                <w:rFonts w:ascii="Times New Roman" w:hAnsi="Times New Roman" w:cs="宋体" w:hint="eastAsia"/>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sz w:val="21"/>
                <w:szCs w:val="21"/>
              </w:rPr>
              <w:t>38</w:t>
            </w:r>
          </w:p>
        </w:tc>
        <w:tc>
          <w:tcPr>
            <w:tcW w:w="5813" w:type="dxa"/>
            <w:gridSpan w:val="3"/>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最小引燃能量</w:t>
            </w:r>
            <w:r>
              <w:rPr>
                <w:rFonts w:ascii="Times New Roman" w:hAnsi="Times New Roman"/>
                <w:color w:val="000000"/>
                <w:kern w:val="0"/>
                <w:sz w:val="21"/>
                <w:szCs w:val="21"/>
              </w:rPr>
              <w:t>(mJ)</w:t>
            </w:r>
            <w:r>
              <w:rPr>
                <w:rFonts w:ascii="Times New Roman" w:hAnsi="Times New Roman"/>
                <w:color w:val="000000"/>
                <w:kern w:val="0"/>
                <w:sz w:val="21"/>
                <w:szCs w:val="21"/>
              </w:rPr>
              <w:t>：</w:t>
            </w:r>
            <w:r>
              <w:rPr>
                <w:rFonts w:ascii="Times New Roman" w:hAnsi="Times New Roman"/>
                <w:color w:val="000000"/>
                <w:kern w:val="0"/>
                <w:sz w:val="21"/>
                <w:szCs w:val="21"/>
              </w:rPr>
              <w:t xml:space="preserve"> </w:t>
            </w:r>
          </w:p>
        </w:tc>
      </w:tr>
      <w:tr w:rsidR="004B4777">
        <w:trPr>
          <w:cantSplit/>
          <w:trHeight w:val="251"/>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爆炸极限</w:t>
            </w:r>
            <w:r>
              <w:rPr>
                <w:rFonts w:ascii="Times New Roman" w:hAnsi="Times New Roman"/>
                <w:color w:val="000000"/>
                <w:kern w:val="0"/>
                <w:sz w:val="21"/>
                <w:szCs w:val="21"/>
              </w:rPr>
              <w:t>(V</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sz w:val="21"/>
                <w:szCs w:val="21"/>
              </w:rPr>
              <w:t>/</w:t>
            </w:r>
          </w:p>
        </w:tc>
        <w:tc>
          <w:tcPr>
            <w:tcW w:w="3713" w:type="dxa"/>
            <w:gridSpan w:val="2"/>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稳定性：稳定</w:t>
            </w:r>
          </w:p>
        </w:tc>
        <w:tc>
          <w:tcPr>
            <w:tcW w:w="2100"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爆炸极限</w:t>
            </w:r>
            <w:r>
              <w:rPr>
                <w:rFonts w:ascii="Times New Roman" w:hAnsi="Times New Roman"/>
                <w:color w:val="000000"/>
                <w:kern w:val="0"/>
                <w:sz w:val="21"/>
                <w:szCs w:val="21"/>
              </w:rPr>
              <w:t>(V</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sz w:val="21"/>
                <w:szCs w:val="21"/>
              </w:rPr>
              <w:t>/</w:t>
            </w:r>
          </w:p>
        </w:tc>
      </w:tr>
      <w:tr w:rsidR="004B4777">
        <w:trPr>
          <w:cantSplit/>
          <w:trHeight w:val="248"/>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1965" w:type="dxa"/>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自燃温度</w:t>
            </w:r>
            <w:r>
              <w:rPr>
                <w:rFonts w:ascii="Times New Roman" w:hAnsi="Times New Roman"/>
                <w:color w:val="000000"/>
                <w:kern w:val="0"/>
                <w:sz w:val="21"/>
                <w:szCs w:val="21"/>
              </w:rPr>
              <w:t>(</w:t>
            </w:r>
            <w:r>
              <w:rPr>
                <w:rFonts w:ascii="Times New Roman" w:hAnsi="Times New Roman" w:cs="宋体" w:hint="eastAsia"/>
                <w:color w:val="000000"/>
                <w:kern w:val="0"/>
                <w:sz w:val="21"/>
                <w:szCs w:val="21"/>
              </w:rPr>
              <w:t>℃</w:t>
            </w:r>
            <w:r>
              <w:rPr>
                <w:rFonts w:ascii="Times New Roman" w:hAnsi="Times New Roman"/>
                <w:color w:val="000000"/>
                <w:kern w:val="0"/>
                <w:sz w:val="21"/>
                <w:szCs w:val="21"/>
              </w:rPr>
              <w:t>)</w:t>
            </w:r>
            <w:r>
              <w:rPr>
                <w:rFonts w:ascii="Times New Roman" w:hAnsi="Times New Roman"/>
                <w:color w:val="000000"/>
                <w:kern w:val="0"/>
                <w:sz w:val="21"/>
                <w:szCs w:val="21"/>
              </w:rPr>
              <w:t>：</w:t>
            </w:r>
            <w:r>
              <w:rPr>
                <w:rFonts w:ascii="Times New Roman" w:hAnsi="Times New Roman"/>
                <w:color w:val="000000"/>
                <w:sz w:val="21"/>
                <w:szCs w:val="21"/>
              </w:rPr>
              <w:t>257</w:t>
            </w:r>
          </w:p>
        </w:tc>
        <w:tc>
          <w:tcPr>
            <w:tcW w:w="5813" w:type="dxa"/>
            <w:gridSpan w:val="3"/>
          </w:tcPr>
          <w:p w:rsidR="004B4777" w:rsidRDefault="004B4777">
            <w:pPr>
              <w:autoSpaceDE w:val="0"/>
              <w:autoSpaceDN w:val="0"/>
              <w:spacing w:line="300" w:lineRule="exact"/>
              <w:ind w:firstLineChars="0" w:firstLine="0"/>
              <w:rPr>
                <w:rFonts w:ascii="Times New Roman" w:hAnsi="Times New Roman"/>
                <w:color w:val="000000"/>
                <w:kern w:val="0"/>
                <w:sz w:val="21"/>
                <w:szCs w:val="21"/>
              </w:rPr>
            </w:pPr>
            <w:r>
              <w:rPr>
                <w:rFonts w:ascii="Times New Roman" w:hAnsi="Times New Roman"/>
                <w:color w:val="000000"/>
                <w:kern w:val="0"/>
                <w:sz w:val="21"/>
                <w:szCs w:val="21"/>
              </w:rPr>
              <w:t>禁忌物：</w:t>
            </w:r>
            <w:r>
              <w:rPr>
                <w:rFonts w:ascii="Times New Roman" w:hAnsi="Times New Roman"/>
                <w:color w:val="000000"/>
                <w:sz w:val="21"/>
                <w:szCs w:val="21"/>
              </w:rPr>
              <w:t>强氧化剂、卤素。</w:t>
            </w:r>
            <w:r>
              <w:rPr>
                <w:rFonts w:ascii="Times New Roman" w:hAnsi="Times New Roman"/>
                <w:color w:val="000000"/>
                <w:kern w:val="0"/>
                <w:sz w:val="21"/>
                <w:szCs w:val="21"/>
              </w:rPr>
              <w:t xml:space="preserve"> </w:t>
            </w:r>
          </w:p>
        </w:tc>
      </w:tr>
      <w:tr w:rsidR="004B4777">
        <w:trPr>
          <w:cantSplit/>
          <w:trHeight w:val="1193"/>
          <w:jc w:val="center"/>
        </w:trPr>
        <w:tc>
          <w:tcPr>
            <w:tcW w:w="620" w:type="dxa"/>
            <w:vMerge/>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危险特性：</w:t>
            </w:r>
            <w:r>
              <w:rPr>
                <w:rFonts w:ascii="Times New Roman" w:hAnsi="Times New Roman"/>
                <w:sz w:val="21"/>
                <w:szCs w:val="21"/>
              </w:rPr>
              <w:t>遇明火、高热或与氧化剂接触，有引起燃烧爆炸的危险。若遇高热，容器内压增大，有开裂和爆炸的危险。</w:t>
            </w:r>
          </w:p>
          <w:p w:rsidR="004B4777" w:rsidRDefault="004B4777">
            <w:pPr>
              <w:spacing w:line="280" w:lineRule="exact"/>
              <w:ind w:firstLineChars="0" w:firstLine="0"/>
              <w:rPr>
                <w:rFonts w:ascii="Times New Roman" w:hAnsi="Times New Roman"/>
                <w:sz w:val="21"/>
                <w:szCs w:val="21"/>
              </w:rPr>
            </w:pPr>
            <w:r>
              <w:rPr>
                <w:rFonts w:ascii="Times New Roman" w:hAnsi="Times New Roman"/>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4B4777">
        <w:trPr>
          <w:cantSplit/>
          <w:trHeight w:val="282"/>
          <w:jc w:val="center"/>
        </w:trPr>
        <w:tc>
          <w:tcPr>
            <w:tcW w:w="620" w:type="dxa"/>
            <w:vAlign w:val="center"/>
          </w:tcPr>
          <w:p w:rsidR="004B4777" w:rsidRDefault="004B4777">
            <w:pPr>
              <w:autoSpaceDE w:val="0"/>
              <w:autoSpaceDN w:val="0"/>
              <w:spacing w:line="270" w:lineRule="exact"/>
              <w:ind w:firstLineChars="0" w:firstLine="0"/>
              <w:jc w:val="center"/>
              <w:rPr>
                <w:rFonts w:ascii="Times New Roman" w:hAnsi="Times New Roman"/>
                <w:kern w:val="0"/>
                <w:sz w:val="21"/>
                <w:szCs w:val="21"/>
              </w:rPr>
            </w:pPr>
            <w:r>
              <w:rPr>
                <w:rFonts w:ascii="Times New Roman" w:hAnsi="Times New Roman"/>
                <w:kern w:val="0"/>
                <w:sz w:val="21"/>
                <w:szCs w:val="21"/>
              </w:rPr>
              <w:t>标准</w:t>
            </w: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sz w:val="21"/>
                <w:szCs w:val="21"/>
              </w:rPr>
              <w:t>车间卫生标准：中国</w:t>
            </w:r>
            <w:r>
              <w:rPr>
                <w:rFonts w:ascii="Times New Roman" w:hAnsi="Times New Roman"/>
                <w:sz w:val="21"/>
                <w:szCs w:val="21"/>
              </w:rPr>
              <w:t>MAC(mg</w:t>
            </w:r>
            <w:r>
              <w:rPr>
                <w:rFonts w:ascii="Times New Roman" w:hAnsi="Times New Roman"/>
                <w:sz w:val="21"/>
                <w:szCs w:val="21"/>
              </w:rPr>
              <w:t>／</w:t>
            </w: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w:t>
            </w:r>
            <w:r>
              <w:rPr>
                <w:rFonts w:ascii="Times New Roman" w:hAnsi="Times New Roman"/>
                <w:sz w:val="21"/>
                <w:szCs w:val="21"/>
              </w:rPr>
              <w:t>；短时接触容许浓度限值</w:t>
            </w:r>
            <w:r>
              <w:rPr>
                <w:rFonts w:ascii="Times New Roman" w:hAnsi="Times New Roman"/>
                <w:sz w:val="21"/>
                <w:szCs w:val="21"/>
              </w:rPr>
              <w:t xml:space="preserve"> (mg</w:t>
            </w:r>
            <w:r>
              <w:rPr>
                <w:rFonts w:ascii="Times New Roman" w:hAnsi="Times New Roman"/>
                <w:sz w:val="21"/>
                <w:szCs w:val="21"/>
              </w:rPr>
              <w:t>／</w:t>
            </w: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w:t>
            </w:r>
            <w:r>
              <w:rPr>
                <w:rFonts w:ascii="Times New Roman" w:hAnsi="Times New Roman"/>
                <w:sz w:val="21"/>
                <w:szCs w:val="21"/>
              </w:rPr>
              <w:t>：</w:t>
            </w:r>
            <w:r>
              <w:rPr>
                <w:rFonts w:ascii="Times New Roman" w:hAnsi="Times New Roman"/>
                <w:sz w:val="21"/>
                <w:szCs w:val="21"/>
              </w:rPr>
              <w:t>/</w:t>
            </w:r>
          </w:p>
        </w:tc>
      </w:tr>
      <w:tr w:rsidR="004B4777">
        <w:trPr>
          <w:trHeight w:val="322"/>
          <w:jc w:val="center"/>
        </w:trPr>
        <w:tc>
          <w:tcPr>
            <w:tcW w:w="620" w:type="dxa"/>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毒性</w:t>
            </w: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sz w:val="21"/>
                <w:szCs w:val="21"/>
              </w:rPr>
              <w:t>LD</w:t>
            </w:r>
            <w:r>
              <w:rPr>
                <w:rFonts w:ascii="Times New Roman" w:hAnsi="Times New Roman"/>
                <w:sz w:val="21"/>
                <w:szCs w:val="21"/>
                <w:vertAlign w:val="subscript"/>
              </w:rPr>
              <w:t>50</w:t>
            </w:r>
            <w:r>
              <w:rPr>
                <w:rFonts w:ascii="Times New Roman" w:hAnsi="Times New Roman"/>
                <w:sz w:val="21"/>
                <w:szCs w:val="21"/>
              </w:rPr>
              <w:t>：</w:t>
            </w:r>
            <w:r>
              <w:rPr>
                <w:rFonts w:ascii="Times New Roman" w:hAnsi="Times New Roman"/>
                <w:sz w:val="21"/>
                <w:szCs w:val="21"/>
              </w:rPr>
              <w:t>/             LC</w:t>
            </w:r>
            <w:r>
              <w:rPr>
                <w:rFonts w:ascii="Times New Roman" w:hAnsi="Times New Roman"/>
                <w:sz w:val="21"/>
                <w:szCs w:val="21"/>
                <w:vertAlign w:val="subscript"/>
              </w:rPr>
              <w:t>50</w:t>
            </w:r>
            <w:r>
              <w:rPr>
                <w:rFonts w:ascii="Times New Roman" w:hAnsi="Times New Roman"/>
                <w:sz w:val="21"/>
                <w:szCs w:val="21"/>
              </w:rPr>
              <w:t>：</w:t>
            </w:r>
            <w:r>
              <w:rPr>
                <w:rFonts w:ascii="Times New Roman" w:hAnsi="Times New Roman"/>
                <w:sz w:val="21"/>
                <w:szCs w:val="21"/>
              </w:rPr>
              <w:t>/</w:t>
            </w:r>
          </w:p>
        </w:tc>
      </w:tr>
      <w:tr w:rsidR="004B4777">
        <w:trPr>
          <w:trHeight w:val="494"/>
          <w:jc w:val="center"/>
        </w:trPr>
        <w:tc>
          <w:tcPr>
            <w:tcW w:w="620" w:type="dxa"/>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对人</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体危害</w:t>
            </w: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sz w:val="21"/>
                <w:szCs w:val="21"/>
              </w:rPr>
              <w:t>皮肤接触可为主要吸收途径，可致急性肾脏损害。柴油可引起接触性皮炎、油性痤疮。吸入其雾滴或液体呛入可引起吸入性肺炎。能经胎盘进入胎儿血中。柴油废气可引起眼、鼻刺激症状，头晕及头痛。</w:t>
            </w:r>
          </w:p>
        </w:tc>
      </w:tr>
      <w:tr w:rsidR="004B4777">
        <w:trPr>
          <w:trHeight w:val="1047"/>
          <w:jc w:val="center"/>
        </w:trPr>
        <w:tc>
          <w:tcPr>
            <w:tcW w:w="620" w:type="dxa"/>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急</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救</w:t>
            </w:r>
          </w:p>
        </w:tc>
        <w:tc>
          <w:tcPr>
            <w:tcW w:w="7778" w:type="dxa"/>
            <w:gridSpan w:val="4"/>
            <w:vAlign w:val="center"/>
          </w:tcPr>
          <w:p w:rsidR="004B4777" w:rsidRDefault="004B4777">
            <w:pPr>
              <w:spacing w:line="300" w:lineRule="exact"/>
              <w:ind w:firstLineChars="0" w:firstLine="0"/>
              <w:rPr>
                <w:rFonts w:ascii="Times New Roman" w:hAnsi="Times New Roman"/>
                <w:sz w:val="21"/>
                <w:szCs w:val="21"/>
              </w:rPr>
            </w:pPr>
            <w:r>
              <w:rPr>
                <w:rFonts w:ascii="Times New Roman" w:hAnsi="Times New Roman"/>
                <w:kern w:val="0"/>
                <w:sz w:val="21"/>
                <w:szCs w:val="21"/>
              </w:rPr>
              <w:t>皮肤接触：</w:t>
            </w:r>
            <w:r>
              <w:rPr>
                <w:rFonts w:ascii="Times New Roman" w:hAnsi="Times New Roman"/>
                <w:sz w:val="21"/>
                <w:szCs w:val="21"/>
              </w:rPr>
              <w:t>立即脱去污染的衣着，用肥皂水和清水彻底冲洗皮肤。就医。</w:t>
            </w:r>
            <w:r>
              <w:rPr>
                <w:rFonts w:ascii="Times New Roman" w:hAnsi="Times New Roman"/>
                <w:kern w:val="0"/>
                <w:sz w:val="21"/>
                <w:szCs w:val="21"/>
              </w:rPr>
              <w:t>眼睛接触：</w:t>
            </w:r>
            <w:r>
              <w:rPr>
                <w:rFonts w:ascii="Times New Roman" w:hAnsi="Times New Roman"/>
                <w:sz w:val="21"/>
                <w:szCs w:val="21"/>
              </w:rPr>
              <w:t>提起眼睑，用流动清水或生理盐水冲洗。就医。</w:t>
            </w:r>
            <w:r>
              <w:rPr>
                <w:rFonts w:ascii="Times New Roman" w:hAnsi="Times New Roman"/>
                <w:kern w:val="0"/>
                <w:sz w:val="21"/>
                <w:szCs w:val="21"/>
              </w:rPr>
              <w:t>吸入：</w:t>
            </w:r>
            <w:r>
              <w:rPr>
                <w:rFonts w:ascii="Times New Roman" w:hAnsi="Times New Roman"/>
                <w:sz w:val="21"/>
                <w:szCs w:val="21"/>
              </w:rPr>
              <w:t>迅速脱离现场至空气新鲜处。保持呼吸道通畅。如呼吸困难，给输氧。如呼吸停止，立即进行人工呼吸。就医。食入：尽快彻底洗胃。就医。</w:t>
            </w:r>
          </w:p>
        </w:tc>
      </w:tr>
      <w:tr w:rsidR="004B4777">
        <w:trPr>
          <w:trHeight w:val="1203"/>
          <w:jc w:val="center"/>
        </w:trPr>
        <w:tc>
          <w:tcPr>
            <w:tcW w:w="620" w:type="dxa"/>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lastRenderedPageBreak/>
              <w:t>防</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护</w:t>
            </w: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kern w:val="0"/>
                <w:sz w:val="21"/>
                <w:szCs w:val="21"/>
              </w:rPr>
              <w:t>工程控制：</w:t>
            </w:r>
            <w:r>
              <w:rPr>
                <w:rFonts w:ascii="Times New Roman" w:hAnsi="Times New Roman"/>
                <w:sz w:val="21"/>
                <w:szCs w:val="21"/>
              </w:rPr>
              <w:t>密闭操作，注意通风。</w:t>
            </w:r>
            <w:r>
              <w:rPr>
                <w:rFonts w:ascii="Times New Roman" w:hAnsi="Times New Roman"/>
                <w:kern w:val="0"/>
                <w:sz w:val="21"/>
                <w:szCs w:val="21"/>
              </w:rPr>
              <w:t>呼吸系统防护：</w:t>
            </w:r>
            <w:r>
              <w:rPr>
                <w:rFonts w:ascii="Times New Roman" w:hAnsi="Times New Roman"/>
                <w:sz w:val="21"/>
                <w:szCs w:val="21"/>
              </w:rPr>
              <w:t>空气中浓度超标时，建议佩戴自吸过滤式防毒面具（半面罩）。紧急事态抢救或撤离时，应该佩戴空气呼吸器。</w:t>
            </w:r>
            <w:r>
              <w:rPr>
                <w:rFonts w:ascii="Times New Roman" w:hAnsi="Times New Roman"/>
                <w:kern w:val="0"/>
                <w:sz w:val="21"/>
                <w:szCs w:val="21"/>
              </w:rPr>
              <w:t>眼睛防护：</w:t>
            </w:r>
            <w:r>
              <w:rPr>
                <w:rFonts w:ascii="Times New Roman" w:hAnsi="Times New Roman"/>
                <w:sz w:val="21"/>
                <w:szCs w:val="21"/>
              </w:rPr>
              <w:t>戴化学安全防护眼镜。</w:t>
            </w:r>
            <w:r>
              <w:rPr>
                <w:rFonts w:ascii="Times New Roman" w:hAnsi="Times New Roman"/>
                <w:kern w:val="0"/>
                <w:sz w:val="21"/>
                <w:szCs w:val="21"/>
              </w:rPr>
              <w:t>身体防护：</w:t>
            </w:r>
            <w:r>
              <w:rPr>
                <w:rFonts w:ascii="Times New Roman" w:hAnsi="Times New Roman"/>
                <w:sz w:val="21"/>
                <w:szCs w:val="21"/>
              </w:rPr>
              <w:t>穿一般作业防护服。</w:t>
            </w:r>
            <w:r>
              <w:rPr>
                <w:rFonts w:ascii="Times New Roman" w:hAnsi="Times New Roman"/>
                <w:kern w:val="0"/>
                <w:sz w:val="21"/>
                <w:szCs w:val="21"/>
              </w:rPr>
              <w:t>手防护：</w:t>
            </w:r>
            <w:r>
              <w:rPr>
                <w:rFonts w:ascii="Times New Roman" w:hAnsi="Times New Roman"/>
                <w:sz w:val="21"/>
                <w:szCs w:val="21"/>
              </w:rPr>
              <w:t>戴橡胶耐油手套。</w:t>
            </w:r>
            <w:r>
              <w:rPr>
                <w:rFonts w:ascii="Times New Roman" w:hAnsi="Times New Roman"/>
                <w:kern w:val="0"/>
                <w:sz w:val="21"/>
                <w:szCs w:val="21"/>
              </w:rPr>
              <w:t>其他：</w:t>
            </w:r>
            <w:r>
              <w:rPr>
                <w:rFonts w:ascii="Times New Roman" w:hAnsi="Times New Roman"/>
                <w:sz w:val="21"/>
                <w:szCs w:val="21"/>
              </w:rPr>
              <w:t>工作现场严禁吸烟。避免长期反复接触。</w:t>
            </w:r>
            <w:r>
              <w:rPr>
                <w:rFonts w:ascii="Times New Roman" w:hAnsi="Times New Roman"/>
                <w:sz w:val="21"/>
                <w:szCs w:val="21"/>
              </w:rPr>
              <w:t> </w:t>
            </w:r>
          </w:p>
        </w:tc>
      </w:tr>
      <w:tr w:rsidR="004B4777">
        <w:trPr>
          <w:trHeight w:val="1457"/>
          <w:jc w:val="center"/>
        </w:trPr>
        <w:tc>
          <w:tcPr>
            <w:tcW w:w="620" w:type="dxa"/>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泄</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漏</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处</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理</w:t>
            </w: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sz w:val="21"/>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r>
              <w:rPr>
                <w:rFonts w:ascii="Times New Roman" w:hAnsi="Times New Roman"/>
                <w:spacing w:val="-2"/>
                <w:sz w:val="21"/>
                <w:szCs w:val="21"/>
              </w:rPr>
              <w:t>。</w:t>
            </w:r>
          </w:p>
        </w:tc>
      </w:tr>
      <w:tr w:rsidR="004B4777">
        <w:trPr>
          <w:trHeight w:val="909"/>
          <w:jc w:val="center"/>
        </w:trPr>
        <w:tc>
          <w:tcPr>
            <w:tcW w:w="620" w:type="dxa"/>
            <w:vAlign w:val="center"/>
          </w:tcPr>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贮</w:t>
            </w:r>
          </w:p>
          <w:p w:rsidR="004B4777" w:rsidRDefault="004B4777">
            <w:pPr>
              <w:autoSpaceDE w:val="0"/>
              <w:autoSpaceDN w:val="0"/>
              <w:spacing w:line="280" w:lineRule="exact"/>
              <w:ind w:firstLineChars="0" w:firstLine="0"/>
              <w:jc w:val="center"/>
              <w:rPr>
                <w:rFonts w:ascii="Times New Roman" w:hAnsi="Times New Roman"/>
                <w:kern w:val="0"/>
                <w:sz w:val="21"/>
                <w:szCs w:val="21"/>
              </w:rPr>
            </w:pPr>
            <w:r>
              <w:rPr>
                <w:rFonts w:ascii="Times New Roman" w:hAnsi="Times New Roman"/>
                <w:kern w:val="0"/>
                <w:sz w:val="21"/>
                <w:szCs w:val="21"/>
              </w:rPr>
              <w:t>运</w:t>
            </w:r>
          </w:p>
        </w:tc>
        <w:tc>
          <w:tcPr>
            <w:tcW w:w="7778" w:type="dxa"/>
            <w:gridSpan w:val="4"/>
            <w:vAlign w:val="center"/>
          </w:tcPr>
          <w:p w:rsidR="004B4777" w:rsidRDefault="004B4777">
            <w:pPr>
              <w:autoSpaceDE w:val="0"/>
              <w:autoSpaceDN w:val="0"/>
              <w:spacing w:line="300" w:lineRule="exact"/>
              <w:ind w:firstLineChars="0" w:firstLine="0"/>
              <w:rPr>
                <w:rFonts w:ascii="Times New Roman" w:hAnsi="Times New Roman"/>
                <w:kern w:val="0"/>
                <w:sz w:val="21"/>
                <w:szCs w:val="21"/>
              </w:rPr>
            </w:pPr>
            <w:r>
              <w:rPr>
                <w:rFonts w:ascii="Times New Roman" w:hAnsi="Times New Roman"/>
                <w:sz w:val="21"/>
                <w:szCs w:val="21"/>
              </w:rPr>
              <w:t>储存于阴凉、通风的库房。远离火种、热源。应与氧化剂、卤素分开存放，切忌混储。采用防爆型照明、通风设施。禁止使用易产生火花的机械设备和工具。储区应备有泄漏应急处理设备和合适的收容材料。</w:t>
            </w:r>
          </w:p>
        </w:tc>
      </w:tr>
    </w:tbl>
    <w:p w:rsidR="004B4777" w:rsidRDefault="004B4777">
      <w:pPr>
        <w:pStyle w:val="3"/>
        <w:snapToGrid w:val="0"/>
        <w:spacing w:before="100" w:beforeAutospacing="1" w:after="0"/>
        <w:rPr>
          <w:rFonts w:ascii="Times New Roman" w:eastAsia="宋体" w:hAnsi="Times New Roman" w:hint="eastAsia"/>
          <w:b/>
        </w:rPr>
      </w:pPr>
      <w:bookmarkStart w:id="213" w:name="_Hlk481740067"/>
      <w:r>
        <w:rPr>
          <w:rFonts w:ascii="Times New Roman" w:eastAsia="宋体" w:hAnsi="Times New Roman" w:hint="eastAsia"/>
          <w:b/>
        </w:rPr>
        <w:t>8</w:t>
      </w:r>
      <w:r>
        <w:rPr>
          <w:rFonts w:ascii="Times New Roman" w:eastAsia="宋体" w:hAnsi="Times New Roman"/>
          <w:b/>
        </w:rPr>
        <w:t xml:space="preserve">.2.3 </w:t>
      </w:r>
      <w:r>
        <w:rPr>
          <w:rFonts w:ascii="Times New Roman" w:eastAsia="宋体" w:hAnsi="Times New Roman"/>
          <w:b/>
        </w:rPr>
        <w:t>风险</w:t>
      </w:r>
      <w:r>
        <w:rPr>
          <w:rFonts w:ascii="Times New Roman" w:eastAsia="宋体" w:hAnsi="Times New Roman" w:hint="eastAsia"/>
          <w:b/>
        </w:rPr>
        <w:t>源识别</w:t>
      </w:r>
    </w:p>
    <w:bookmarkEnd w:id="213"/>
    <w:p w:rsidR="004B4777" w:rsidRDefault="004B4777">
      <w:pPr>
        <w:snapToGrid w:val="0"/>
        <w:ind w:firstLine="449"/>
        <w:rPr>
          <w:rFonts w:ascii="Times New Roman" w:hAnsi="Times New Roman" w:hint="eastAsia"/>
          <w:bCs/>
          <w:snapToGrid w:val="0"/>
          <w:kern w:val="0"/>
          <w:szCs w:val="24"/>
        </w:rPr>
      </w:pPr>
      <w:r>
        <w:rPr>
          <w:rFonts w:ascii="Times New Roman" w:hAnsi="Times New Roman" w:hint="eastAsia"/>
          <w:bCs/>
          <w:snapToGrid w:val="0"/>
          <w:kern w:val="0"/>
          <w:szCs w:val="24"/>
        </w:rPr>
        <w:t>重大危险源的识别指标有两种情况：</w:t>
      </w:r>
    </w:p>
    <w:p w:rsidR="004B4777" w:rsidRDefault="004B4777">
      <w:pPr>
        <w:snapToGrid w:val="0"/>
        <w:ind w:firstLine="449"/>
        <w:rPr>
          <w:rFonts w:ascii="Times New Roman" w:hAnsi="Times New Roman" w:hint="eastAsia"/>
          <w:bCs/>
          <w:snapToGrid w:val="0"/>
          <w:kern w:val="0"/>
          <w:szCs w:val="24"/>
        </w:rPr>
      </w:pPr>
      <w:r>
        <w:rPr>
          <w:rFonts w:ascii="Times New Roman" w:hAnsi="Times New Roman" w:hint="eastAsia"/>
          <w:bCs/>
          <w:snapToGrid w:val="0"/>
          <w:kern w:val="0"/>
          <w:szCs w:val="24"/>
        </w:rPr>
        <w:t>单元内存在的危险物质为单一品种，则该物质的数量即为单元内危险物质的总量，若单元或超过相应的临界值，则定为重大危险源。</w:t>
      </w:r>
    </w:p>
    <w:p w:rsidR="004B4777" w:rsidRDefault="004B4777">
      <w:pPr>
        <w:snapToGrid w:val="0"/>
        <w:ind w:firstLine="449"/>
        <w:rPr>
          <w:rFonts w:ascii="Times New Roman" w:hAnsi="Times New Roman" w:hint="eastAsia"/>
          <w:bCs/>
          <w:snapToGrid w:val="0"/>
          <w:kern w:val="0"/>
          <w:szCs w:val="24"/>
        </w:rPr>
      </w:pPr>
      <w:r>
        <w:rPr>
          <w:rFonts w:ascii="Times New Roman" w:hAnsi="Times New Roman" w:hint="eastAsia"/>
          <w:bCs/>
          <w:snapToGrid w:val="0"/>
          <w:kern w:val="0"/>
          <w:szCs w:val="24"/>
        </w:rPr>
        <w:t>单元内存在的危险物质为多品种时，则按下式计算，若满足下式，则定为重大危险源。</w:t>
      </w:r>
    </w:p>
    <w:p w:rsidR="004B4777" w:rsidRDefault="001F6CA0">
      <w:pPr>
        <w:ind w:firstLine="449"/>
        <w:jc w:val="center"/>
        <w:rPr>
          <w:rFonts w:ascii="Times New Roman" w:hAnsi="Times New Roman"/>
          <w:szCs w:val="20"/>
        </w:rPr>
      </w:pPr>
      <w:r>
        <w:rPr>
          <w:rFonts w:ascii="Times New Roman" w:hAnsi="Times New Roman"/>
          <w:noProof/>
          <w:position w:val="-30"/>
          <w:szCs w:val="20"/>
        </w:rPr>
        <w:drawing>
          <wp:inline distT="0" distB="0" distL="0" distR="0">
            <wp:extent cx="1381125" cy="447675"/>
            <wp:effectExtent l="0" t="0" r="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75"/>
                    <a:srcRect/>
                    <a:stretch>
                      <a:fillRect/>
                    </a:stretch>
                  </pic:blipFill>
                  <pic:spPr bwMode="auto">
                    <a:xfrm>
                      <a:off x="0" y="0"/>
                      <a:ext cx="1381125" cy="447675"/>
                    </a:xfrm>
                    <a:prstGeom prst="rect">
                      <a:avLst/>
                    </a:prstGeom>
                    <a:noFill/>
                    <a:ln w="9525">
                      <a:noFill/>
                      <a:miter lim="800000"/>
                      <a:headEnd/>
                      <a:tailEnd/>
                    </a:ln>
                  </pic:spPr>
                </pic:pic>
              </a:graphicData>
            </a:graphic>
          </wp:inline>
        </w:drawing>
      </w:r>
    </w:p>
    <w:p w:rsidR="004B4777" w:rsidRDefault="004B4777">
      <w:pPr>
        <w:spacing w:line="500" w:lineRule="exact"/>
        <w:ind w:firstLine="449"/>
        <w:rPr>
          <w:rFonts w:ascii="Times New Roman" w:hAnsi="Times New Roman"/>
        </w:rPr>
      </w:pPr>
      <w:r>
        <w:rPr>
          <w:rFonts w:ascii="Times New Roman" w:hAnsi="Times New Roman"/>
        </w:rPr>
        <w:t>式中，</w:t>
      </w:r>
      <w:r>
        <w:rPr>
          <w:rFonts w:ascii="Times New Roman" w:hAnsi="Times New Roman"/>
        </w:rPr>
        <w:t>q</w:t>
      </w:r>
      <w:r>
        <w:rPr>
          <w:rFonts w:ascii="Times New Roman" w:hAnsi="Times New Roman"/>
          <w:vertAlign w:val="subscript"/>
        </w:rPr>
        <w:t>1</w:t>
      </w:r>
      <w:r>
        <w:rPr>
          <w:rFonts w:ascii="Times New Roman" w:hAnsi="Times New Roman"/>
        </w:rPr>
        <w:t>,q</w:t>
      </w:r>
      <w:r>
        <w:rPr>
          <w:rFonts w:ascii="Times New Roman" w:hAnsi="Times New Roman"/>
          <w:vertAlign w:val="subscript"/>
        </w:rPr>
        <w:t>2</w:t>
      </w:r>
      <w:r>
        <w:rPr>
          <w:rFonts w:ascii="Times New Roman" w:hAnsi="Times New Roman"/>
        </w:rPr>
        <w:t>…,q</w:t>
      </w:r>
      <w:r>
        <w:rPr>
          <w:rFonts w:ascii="Times New Roman" w:hAnsi="Times New Roman"/>
          <w:vertAlign w:val="subscript"/>
        </w:rPr>
        <w:t>n</w:t>
      </w:r>
      <w:r>
        <w:rPr>
          <w:rFonts w:ascii="Times New Roman" w:hAnsi="Times New Roman"/>
        </w:rPr>
        <w:t>--</w:t>
      </w:r>
      <w:r>
        <w:rPr>
          <w:rFonts w:ascii="Times New Roman" w:hAnsi="Times New Roman"/>
          <w:bCs/>
          <w:snapToGrid w:val="0"/>
          <w:kern w:val="0"/>
          <w:szCs w:val="24"/>
        </w:rPr>
        <w:t>每一种危险物品的现存量。</w:t>
      </w:r>
    </w:p>
    <w:p w:rsidR="004B4777" w:rsidRDefault="004B4777">
      <w:pPr>
        <w:ind w:firstLine="449"/>
        <w:rPr>
          <w:rFonts w:ascii="Times New Roman" w:hAnsi="Times New Roman"/>
        </w:rPr>
      </w:pPr>
      <w:r>
        <w:rPr>
          <w:rFonts w:ascii="Times New Roman" w:hAnsi="Times New Roman"/>
        </w:rPr>
        <w:tab/>
      </w:r>
      <w:r>
        <w:rPr>
          <w:rFonts w:ascii="Times New Roman" w:hAnsi="Times New Roman"/>
        </w:rPr>
        <w:tab/>
        <w:t>Q</w:t>
      </w:r>
      <w:r>
        <w:rPr>
          <w:rFonts w:ascii="Times New Roman" w:hAnsi="Times New Roman"/>
          <w:vertAlign w:val="subscript"/>
        </w:rPr>
        <w:t>1</w:t>
      </w:r>
      <w:r>
        <w:rPr>
          <w:rFonts w:ascii="Times New Roman" w:hAnsi="Times New Roman"/>
        </w:rPr>
        <w:t>，</w:t>
      </w:r>
      <w:r>
        <w:rPr>
          <w:rFonts w:ascii="Times New Roman" w:hAnsi="Times New Roman"/>
        </w:rPr>
        <w:t>Q</w:t>
      </w:r>
      <w:r>
        <w:rPr>
          <w:rFonts w:ascii="Times New Roman" w:hAnsi="Times New Roman"/>
          <w:vertAlign w:val="subscript"/>
        </w:rPr>
        <w:t>2</w:t>
      </w:r>
      <w:r>
        <w:rPr>
          <w:rFonts w:ascii="Times New Roman" w:hAnsi="Times New Roman"/>
        </w:rPr>
        <w:t>…Q</w:t>
      </w:r>
      <w:r>
        <w:rPr>
          <w:rFonts w:ascii="Times New Roman" w:hAnsi="Times New Roman"/>
          <w:vertAlign w:val="subscript"/>
        </w:rPr>
        <w:t>n</w:t>
      </w:r>
      <w:r>
        <w:rPr>
          <w:rFonts w:ascii="Times New Roman" w:hAnsi="Times New Roman"/>
        </w:rPr>
        <w:t>--</w:t>
      </w:r>
      <w:r>
        <w:rPr>
          <w:rFonts w:ascii="Times New Roman" w:hAnsi="Times New Roman"/>
          <w:bCs/>
          <w:snapToGrid w:val="0"/>
          <w:kern w:val="0"/>
          <w:szCs w:val="24"/>
        </w:rPr>
        <w:t>对应危险物品的临界量。</w:t>
      </w:r>
    </w:p>
    <w:p w:rsidR="004B4777" w:rsidRDefault="004B4777">
      <w:pPr>
        <w:pStyle w:val="01"/>
        <w:snapToGrid w:val="0"/>
        <w:spacing w:before="0" w:line="360" w:lineRule="auto"/>
        <w:ind w:firstLine="448"/>
        <w:rPr>
          <w:bCs/>
          <w:snapToGrid w:val="0"/>
          <w:kern w:val="0"/>
          <w:sz w:val="24"/>
          <w:szCs w:val="24"/>
        </w:rPr>
      </w:pPr>
      <w:r>
        <w:rPr>
          <w:rFonts w:hint="eastAsia"/>
          <w:bCs/>
          <w:snapToGrid w:val="0"/>
          <w:kern w:val="0"/>
          <w:sz w:val="24"/>
          <w:szCs w:val="24"/>
        </w:rPr>
        <w:t>根据《物质危险性标准》（《建设项目环境风险评价技术导则》附录</w:t>
      </w:r>
      <w:r>
        <w:rPr>
          <w:rFonts w:hint="eastAsia"/>
          <w:bCs/>
          <w:snapToGrid w:val="0"/>
          <w:kern w:val="0"/>
          <w:sz w:val="24"/>
          <w:szCs w:val="24"/>
        </w:rPr>
        <w:t>A.1</w:t>
      </w:r>
      <w:r>
        <w:rPr>
          <w:rFonts w:hint="eastAsia"/>
          <w:bCs/>
          <w:snapToGrid w:val="0"/>
          <w:kern w:val="0"/>
          <w:sz w:val="24"/>
          <w:szCs w:val="24"/>
        </w:rPr>
        <w:t>表</w:t>
      </w:r>
      <w:r>
        <w:rPr>
          <w:rFonts w:hint="eastAsia"/>
          <w:bCs/>
          <w:snapToGrid w:val="0"/>
          <w:kern w:val="0"/>
          <w:sz w:val="24"/>
          <w:szCs w:val="24"/>
        </w:rPr>
        <w:t>1</w:t>
      </w:r>
      <w:r>
        <w:rPr>
          <w:rFonts w:hint="eastAsia"/>
          <w:bCs/>
          <w:snapToGrid w:val="0"/>
          <w:kern w:val="0"/>
          <w:sz w:val="24"/>
          <w:szCs w:val="24"/>
        </w:rPr>
        <w:t>）、《重大危险源辨识》（</w:t>
      </w:r>
      <w:r>
        <w:rPr>
          <w:rFonts w:hint="eastAsia"/>
          <w:bCs/>
          <w:snapToGrid w:val="0"/>
          <w:kern w:val="0"/>
          <w:sz w:val="24"/>
          <w:szCs w:val="24"/>
        </w:rPr>
        <w:t>GB18218-2009</w:t>
      </w:r>
      <w:r>
        <w:rPr>
          <w:rFonts w:hint="eastAsia"/>
          <w:bCs/>
          <w:snapToGrid w:val="0"/>
          <w:kern w:val="0"/>
          <w:sz w:val="24"/>
          <w:szCs w:val="24"/>
        </w:rPr>
        <w:t>）、《职业性接触毒物危害程度分级》（</w:t>
      </w:r>
      <w:r>
        <w:rPr>
          <w:rFonts w:hint="eastAsia"/>
          <w:bCs/>
          <w:snapToGrid w:val="0"/>
          <w:kern w:val="0"/>
          <w:sz w:val="24"/>
          <w:szCs w:val="24"/>
        </w:rPr>
        <w:t>GB50844-85</w:t>
      </w:r>
      <w:r>
        <w:rPr>
          <w:rFonts w:hint="eastAsia"/>
          <w:bCs/>
          <w:snapToGrid w:val="0"/>
          <w:kern w:val="0"/>
          <w:sz w:val="24"/>
          <w:szCs w:val="24"/>
        </w:rPr>
        <w:t>）对柴油相关要求。</w:t>
      </w:r>
      <w:r>
        <w:rPr>
          <w:bCs/>
          <w:snapToGrid w:val="0"/>
          <w:kern w:val="0"/>
          <w:sz w:val="24"/>
          <w:szCs w:val="24"/>
        </w:rPr>
        <w:t>本项目采砂船和运砂船储油量为</w:t>
      </w:r>
      <w:r>
        <w:rPr>
          <w:bCs/>
          <w:snapToGrid w:val="0"/>
          <w:kern w:val="0"/>
          <w:sz w:val="24"/>
          <w:szCs w:val="24"/>
        </w:rPr>
        <w:t>10t</w:t>
      </w:r>
      <w:r>
        <w:rPr>
          <w:rFonts w:hint="eastAsia"/>
          <w:bCs/>
          <w:snapToGrid w:val="0"/>
          <w:kern w:val="0"/>
          <w:sz w:val="24"/>
          <w:szCs w:val="24"/>
        </w:rPr>
        <w:t>，柴油的贮存区临界量为</w:t>
      </w:r>
      <w:r>
        <w:rPr>
          <w:rFonts w:hint="eastAsia"/>
          <w:bCs/>
          <w:snapToGrid w:val="0"/>
          <w:kern w:val="0"/>
          <w:sz w:val="24"/>
          <w:szCs w:val="24"/>
        </w:rPr>
        <w:t>5000t</w:t>
      </w:r>
      <w:r>
        <w:rPr>
          <w:rFonts w:hint="eastAsia"/>
          <w:bCs/>
          <w:snapToGrid w:val="0"/>
          <w:kern w:val="0"/>
          <w:sz w:val="24"/>
          <w:szCs w:val="24"/>
        </w:rPr>
        <w:t>，</w:t>
      </w:r>
      <w:r>
        <w:rPr>
          <w:bCs/>
          <w:snapToGrid w:val="0"/>
          <w:kern w:val="0"/>
          <w:sz w:val="24"/>
          <w:szCs w:val="24"/>
        </w:rPr>
        <w:t>不构成重大危险源</w:t>
      </w:r>
      <w:r>
        <w:rPr>
          <w:rFonts w:hint="eastAsia"/>
          <w:bCs/>
          <w:snapToGrid w:val="0"/>
          <w:kern w:val="0"/>
          <w:sz w:val="24"/>
          <w:szCs w:val="24"/>
        </w:rPr>
        <w:t>。</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8</w:t>
      </w:r>
      <w:r>
        <w:rPr>
          <w:rFonts w:ascii="Times New Roman" w:eastAsia="宋体" w:hAnsi="Times New Roman"/>
          <w:b/>
        </w:rPr>
        <w:t xml:space="preserve">.2.4 </w:t>
      </w:r>
      <w:r>
        <w:rPr>
          <w:rFonts w:ascii="Times New Roman" w:eastAsia="宋体" w:hAnsi="Times New Roman" w:hint="eastAsia"/>
          <w:b/>
        </w:rPr>
        <w:t>评价等级</w:t>
      </w:r>
      <w:r>
        <w:rPr>
          <w:rFonts w:ascii="Times New Roman" w:eastAsia="宋体" w:hAnsi="Times New Roman"/>
          <w:b/>
        </w:rPr>
        <w:t>确定</w:t>
      </w:r>
    </w:p>
    <w:p w:rsidR="004B4777" w:rsidRDefault="004B4777">
      <w:pPr>
        <w:pStyle w:val="01"/>
        <w:snapToGrid w:val="0"/>
        <w:spacing w:before="0" w:line="360" w:lineRule="auto"/>
        <w:ind w:firstLine="448"/>
        <w:rPr>
          <w:bCs/>
          <w:snapToGrid w:val="0"/>
          <w:kern w:val="0"/>
          <w:sz w:val="24"/>
          <w:szCs w:val="24"/>
        </w:rPr>
      </w:pPr>
      <w:bookmarkStart w:id="214" w:name="_Toc130374530"/>
      <w:r>
        <w:rPr>
          <w:bCs/>
          <w:snapToGrid w:val="0"/>
          <w:kern w:val="0"/>
          <w:sz w:val="24"/>
          <w:szCs w:val="24"/>
        </w:rPr>
        <w:t>根据《建设项目环境风险评价技术导则》（</w:t>
      </w:r>
      <w:r>
        <w:rPr>
          <w:bCs/>
          <w:snapToGrid w:val="0"/>
          <w:kern w:val="0"/>
          <w:sz w:val="24"/>
          <w:szCs w:val="24"/>
        </w:rPr>
        <w:t>HJ/T169-2004</w:t>
      </w:r>
      <w:r>
        <w:rPr>
          <w:bCs/>
          <w:snapToGrid w:val="0"/>
          <w:kern w:val="0"/>
          <w:sz w:val="24"/>
          <w:szCs w:val="24"/>
        </w:rPr>
        <w:t>），项目占地属于</w:t>
      </w:r>
      <w:r>
        <w:rPr>
          <w:rFonts w:hint="eastAsia"/>
          <w:bCs/>
          <w:snapToGrid w:val="0"/>
          <w:kern w:val="0"/>
          <w:sz w:val="24"/>
          <w:szCs w:val="24"/>
        </w:rPr>
        <w:t>一般</w:t>
      </w:r>
      <w:r>
        <w:rPr>
          <w:bCs/>
          <w:snapToGrid w:val="0"/>
          <w:kern w:val="0"/>
          <w:sz w:val="24"/>
          <w:szCs w:val="24"/>
        </w:rPr>
        <w:t>生态敏感区，</w:t>
      </w:r>
      <w:r>
        <w:rPr>
          <w:rFonts w:hint="eastAsia"/>
          <w:bCs/>
          <w:snapToGrid w:val="0"/>
          <w:kern w:val="0"/>
          <w:sz w:val="24"/>
          <w:szCs w:val="24"/>
        </w:rPr>
        <w:t>但由于该采砂区临近</w:t>
      </w:r>
      <w:r>
        <w:rPr>
          <w:rFonts w:hint="eastAsia"/>
          <w:bCs/>
          <w:snapToGrid w:val="0"/>
          <w:kern w:val="0"/>
          <w:sz w:val="24"/>
          <w:szCs w:val="24"/>
        </w:rPr>
        <w:t>2</w:t>
      </w:r>
      <w:r>
        <w:rPr>
          <w:rFonts w:hint="eastAsia"/>
          <w:bCs/>
          <w:snapToGrid w:val="0"/>
          <w:kern w:val="0"/>
          <w:sz w:val="24"/>
          <w:szCs w:val="24"/>
        </w:rPr>
        <w:t>个特殊生态敏感区：湖南横岭湖省级自然保护区、湖南南洞庭湖省级自然保护区；</w:t>
      </w:r>
      <w:r>
        <w:rPr>
          <w:rFonts w:hint="eastAsia"/>
          <w:bCs/>
          <w:snapToGrid w:val="0"/>
          <w:kern w:val="0"/>
          <w:sz w:val="24"/>
          <w:szCs w:val="24"/>
        </w:rPr>
        <w:t>3</w:t>
      </w:r>
      <w:r>
        <w:rPr>
          <w:rFonts w:hint="eastAsia"/>
          <w:bCs/>
          <w:snapToGrid w:val="0"/>
          <w:kern w:val="0"/>
          <w:sz w:val="24"/>
          <w:szCs w:val="24"/>
        </w:rPr>
        <w:t>个重要生态敏感区：横岭湖湖泊湿地、南洞庭湖大口鲶青虾中华鳖国家级水产种质资源保护区、南洞庭湖银鱼三角帆蚌国家级水产种质资源保护区</w:t>
      </w:r>
      <w:r>
        <w:rPr>
          <w:bCs/>
          <w:snapToGrid w:val="0"/>
          <w:kern w:val="0"/>
          <w:sz w:val="24"/>
          <w:szCs w:val="24"/>
        </w:rPr>
        <w:t>，</w:t>
      </w:r>
      <w:r>
        <w:rPr>
          <w:rFonts w:hint="eastAsia"/>
          <w:bCs/>
          <w:snapToGrid w:val="0"/>
          <w:kern w:val="0"/>
          <w:sz w:val="24"/>
          <w:szCs w:val="24"/>
        </w:rPr>
        <w:t>故</w:t>
      </w:r>
      <w:r>
        <w:rPr>
          <w:bCs/>
          <w:snapToGrid w:val="0"/>
          <w:kern w:val="0"/>
          <w:sz w:val="24"/>
          <w:szCs w:val="24"/>
        </w:rPr>
        <w:t>确定本项目的环境风险评价工作等级为一级。</w:t>
      </w:r>
      <w:r>
        <w:rPr>
          <w:bCs/>
          <w:snapToGrid w:val="0"/>
          <w:kern w:val="0"/>
          <w:sz w:val="24"/>
          <w:szCs w:val="24"/>
        </w:rPr>
        <w:lastRenderedPageBreak/>
        <w:t>评价工作级别判定见表</w:t>
      </w:r>
      <w:r>
        <w:rPr>
          <w:rFonts w:hint="eastAsia"/>
          <w:bCs/>
          <w:snapToGrid w:val="0"/>
          <w:kern w:val="0"/>
          <w:sz w:val="24"/>
          <w:szCs w:val="24"/>
        </w:rPr>
        <w:t>8</w:t>
      </w:r>
      <w:r>
        <w:rPr>
          <w:bCs/>
          <w:snapToGrid w:val="0"/>
          <w:kern w:val="0"/>
          <w:sz w:val="24"/>
          <w:szCs w:val="24"/>
        </w:rPr>
        <w:t>.2-3</w:t>
      </w:r>
      <w:r>
        <w:rPr>
          <w:bCs/>
          <w:snapToGrid w:val="0"/>
          <w:kern w:val="0"/>
          <w:sz w:val="24"/>
          <w:szCs w:val="24"/>
        </w:rPr>
        <w:t>。</w:t>
      </w:r>
    </w:p>
    <w:p w:rsidR="004B4777" w:rsidRDefault="004B4777">
      <w:pPr>
        <w:snapToGrid w:val="0"/>
        <w:spacing w:line="240" w:lineRule="auto"/>
        <w:ind w:firstLineChars="0" w:firstLine="0"/>
        <w:jc w:val="center"/>
        <w:rPr>
          <w:rFonts w:ascii="Times New Roman" w:hAnsi="Times New Roman"/>
          <w:b/>
          <w:color w:val="000000"/>
          <w:szCs w:val="24"/>
        </w:rPr>
      </w:pPr>
      <w:r>
        <w:rPr>
          <w:rFonts w:ascii="Times New Roman" w:hAnsi="Times New Roman"/>
          <w:b/>
          <w:color w:val="000000"/>
          <w:szCs w:val="24"/>
        </w:rPr>
        <w:t>表</w:t>
      </w:r>
      <w:r>
        <w:rPr>
          <w:rFonts w:ascii="Times New Roman" w:hAnsi="Times New Roman"/>
          <w:b/>
          <w:color w:val="000000"/>
          <w:szCs w:val="24"/>
        </w:rPr>
        <w:t>8.2-</w:t>
      </w:r>
      <w:r>
        <w:rPr>
          <w:rFonts w:ascii="Times New Roman" w:hAnsi="Times New Roman" w:hint="eastAsia"/>
          <w:b/>
          <w:color w:val="000000"/>
          <w:szCs w:val="24"/>
        </w:rPr>
        <w:t>3</w:t>
      </w:r>
      <w:r>
        <w:rPr>
          <w:rFonts w:ascii="Times New Roman" w:hAnsi="Times New Roman"/>
          <w:b/>
          <w:color w:val="000000"/>
          <w:szCs w:val="24"/>
        </w:rPr>
        <w:t xml:space="preserve">    </w:t>
      </w:r>
      <w:r>
        <w:rPr>
          <w:rFonts w:ascii="Times New Roman" w:hAnsi="Times New Roman"/>
          <w:b/>
          <w:color w:val="000000"/>
          <w:szCs w:val="24"/>
        </w:rPr>
        <w:t>评价工作级别判定表</w:t>
      </w:r>
    </w:p>
    <w:tbl>
      <w:tblPr>
        <w:tblpPr w:leftFromText="180" w:rightFromText="180" w:vertAnchor="text" w:horzAnchor="margin" w:tblpXSpec="center" w:tblpY="62"/>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1614"/>
        <w:gridCol w:w="1754"/>
        <w:gridCol w:w="1733"/>
        <w:gridCol w:w="1745"/>
        <w:gridCol w:w="1682"/>
      </w:tblGrid>
      <w:tr w:rsidR="004B4777">
        <w:trPr>
          <w:trHeight w:val="340"/>
        </w:trPr>
        <w:tc>
          <w:tcPr>
            <w:tcW w:w="161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p>
        </w:tc>
        <w:tc>
          <w:tcPr>
            <w:tcW w:w="175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剧毒危险性物质</w:t>
            </w:r>
          </w:p>
        </w:tc>
        <w:tc>
          <w:tcPr>
            <w:tcW w:w="1733"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一般毒性危险物质</w:t>
            </w:r>
          </w:p>
        </w:tc>
        <w:tc>
          <w:tcPr>
            <w:tcW w:w="1745"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可燃、易燃</w:t>
            </w:r>
          </w:p>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危险性物质</w:t>
            </w:r>
          </w:p>
        </w:tc>
        <w:tc>
          <w:tcPr>
            <w:tcW w:w="1682"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爆炸危险性</w:t>
            </w:r>
          </w:p>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物质</w:t>
            </w:r>
          </w:p>
        </w:tc>
      </w:tr>
      <w:tr w:rsidR="004B4777">
        <w:trPr>
          <w:trHeight w:val="340"/>
        </w:trPr>
        <w:tc>
          <w:tcPr>
            <w:tcW w:w="161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重大危险源</w:t>
            </w:r>
          </w:p>
        </w:tc>
        <w:tc>
          <w:tcPr>
            <w:tcW w:w="175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c>
          <w:tcPr>
            <w:tcW w:w="1733" w:type="dxa"/>
            <w:tcBorders>
              <w:bottom w:val="single" w:sz="6" w:space="0" w:color="auto"/>
            </w:tcBorders>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二</w:t>
            </w:r>
          </w:p>
        </w:tc>
        <w:tc>
          <w:tcPr>
            <w:tcW w:w="1745" w:type="dxa"/>
            <w:tcBorders>
              <w:bottom w:val="single" w:sz="6" w:space="0" w:color="auto"/>
            </w:tcBorders>
            <w:shd w:val="clear" w:color="auto" w:fill="auto"/>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c>
          <w:tcPr>
            <w:tcW w:w="1682" w:type="dxa"/>
            <w:tcBorders>
              <w:bottom w:val="single" w:sz="6" w:space="0" w:color="auto"/>
            </w:tcBorders>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r>
      <w:tr w:rsidR="004B4777">
        <w:trPr>
          <w:trHeight w:val="340"/>
        </w:trPr>
        <w:tc>
          <w:tcPr>
            <w:tcW w:w="161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非重大危险源</w:t>
            </w:r>
          </w:p>
        </w:tc>
        <w:tc>
          <w:tcPr>
            <w:tcW w:w="1754" w:type="dxa"/>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二</w:t>
            </w:r>
          </w:p>
        </w:tc>
        <w:tc>
          <w:tcPr>
            <w:tcW w:w="1733" w:type="dxa"/>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二</w:t>
            </w:r>
          </w:p>
        </w:tc>
        <w:tc>
          <w:tcPr>
            <w:tcW w:w="1745" w:type="dxa"/>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二</w:t>
            </w:r>
          </w:p>
        </w:tc>
        <w:tc>
          <w:tcPr>
            <w:tcW w:w="1682" w:type="dxa"/>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二</w:t>
            </w:r>
          </w:p>
        </w:tc>
      </w:tr>
      <w:tr w:rsidR="004B4777">
        <w:trPr>
          <w:trHeight w:val="340"/>
        </w:trPr>
        <w:tc>
          <w:tcPr>
            <w:tcW w:w="161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环境敏感地区</w:t>
            </w:r>
          </w:p>
        </w:tc>
        <w:tc>
          <w:tcPr>
            <w:tcW w:w="1754"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c>
          <w:tcPr>
            <w:tcW w:w="1733"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c>
          <w:tcPr>
            <w:tcW w:w="1745"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c>
          <w:tcPr>
            <w:tcW w:w="1682" w:type="dxa"/>
            <w:shd w:val="clear" w:color="auto" w:fill="FFFFFF"/>
            <w:vAlign w:val="center"/>
          </w:tcPr>
          <w:p w:rsidR="004B4777" w:rsidRDefault="004B4777">
            <w:pPr>
              <w:snapToGrid w:val="0"/>
              <w:spacing w:line="240" w:lineRule="auto"/>
              <w:ind w:firstLineChars="0" w:firstLine="0"/>
              <w:jc w:val="center"/>
              <w:rPr>
                <w:rFonts w:ascii="Times New Roman" w:hAnsi="Times New Roman"/>
                <w:color w:val="000000"/>
                <w:sz w:val="21"/>
                <w:szCs w:val="21"/>
              </w:rPr>
            </w:pPr>
            <w:r>
              <w:rPr>
                <w:rFonts w:ascii="Times New Roman" w:hAnsi="Times New Roman"/>
                <w:color w:val="000000"/>
                <w:sz w:val="21"/>
                <w:szCs w:val="21"/>
              </w:rPr>
              <w:t>一</w:t>
            </w:r>
          </w:p>
        </w:tc>
      </w:tr>
    </w:tbl>
    <w:p w:rsidR="004B4777" w:rsidRDefault="004B4777">
      <w:pPr>
        <w:pStyle w:val="2"/>
        <w:snapToGrid w:val="0"/>
        <w:spacing w:before="0" w:after="0"/>
        <w:rPr>
          <w:rFonts w:ascii="Times New Roman" w:eastAsia="宋体" w:hAnsi="Times New Roman"/>
          <w:b/>
          <w:sz w:val="30"/>
          <w:szCs w:val="30"/>
        </w:rPr>
      </w:pPr>
      <w:bookmarkStart w:id="215" w:name="_Toc5839"/>
      <w:bookmarkStart w:id="216" w:name="_Toc226869878"/>
      <w:bookmarkStart w:id="217" w:name="_Toc240715282"/>
      <w:bookmarkStart w:id="218" w:name="_Toc523854047"/>
      <w:bookmarkEnd w:id="208"/>
      <w:bookmarkEnd w:id="209"/>
      <w:bookmarkEnd w:id="210"/>
      <w:bookmarkEnd w:id="211"/>
      <w:bookmarkEnd w:id="212"/>
      <w:bookmarkEnd w:id="214"/>
      <w:r>
        <w:rPr>
          <w:rFonts w:ascii="Times New Roman" w:eastAsia="宋体" w:hAnsi="Times New Roman" w:hint="eastAsia"/>
          <w:b/>
          <w:sz w:val="30"/>
          <w:szCs w:val="30"/>
        </w:rPr>
        <w:t>8</w:t>
      </w:r>
      <w:r>
        <w:rPr>
          <w:rFonts w:ascii="Times New Roman" w:eastAsia="宋体" w:hAnsi="Times New Roman"/>
          <w:b/>
          <w:sz w:val="30"/>
          <w:szCs w:val="30"/>
        </w:rPr>
        <w:t xml:space="preserve">.3 </w:t>
      </w:r>
      <w:r>
        <w:rPr>
          <w:rFonts w:ascii="Times New Roman" w:eastAsia="宋体" w:hAnsi="Times New Roman"/>
          <w:b/>
          <w:sz w:val="30"/>
          <w:szCs w:val="30"/>
        </w:rPr>
        <w:t>风险事故识别</w:t>
      </w:r>
      <w:bookmarkEnd w:id="215"/>
      <w:bookmarkEnd w:id="216"/>
      <w:bookmarkEnd w:id="217"/>
      <w:bookmarkEnd w:id="218"/>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本项目采砂可能引起的风险事故有：由于恶劣气象条件或者不当操作引起的船舶碰撞等所引起溢油风险事故以及加油作业过程中跑、冒、滴漏油事故。</w:t>
      </w:r>
    </w:p>
    <w:bookmarkEnd w:id="191"/>
    <w:bookmarkEnd w:id="192"/>
    <w:bookmarkEnd w:id="193"/>
    <w:bookmarkEnd w:id="194"/>
    <w:bookmarkEnd w:id="195"/>
    <w:bookmarkEnd w:id="196"/>
    <w:bookmarkEnd w:id="197"/>
    <w:bookmarkEnd w:id="198"/>
    <w:bookmarkEnd w:id="199"/>
    <w:bookmarkEnd w:id="200"/>
    <w:bookmarkEnd w:id="201"/>
    <w:bookmarkEnd w:id="202"/>
    <w:bookmarkEnd w:id="203"/>
    <w:p w:rsidR="004B4777" w:rsidRDefault="004B4777">
      <w:pPr>
        <w:pStyle w:val="3"/>
        <w:snapToGrid w:val="0"/>
        <w:spacing w:before="0" w:after="0"/>
        <w:rPr>
          <w:rFonts w:ascii="Times New Roman" w:eastAsia="宋体" w:hAnsi="Times New Roman"/>
          <w:b/>
        </w:rPr>
      </w:pPr>
      <w:r>
        <w:rPr>
          <w:rFonts w:ascii="Times New Roman" w:eastAsia="宋体" w:hAnsi="Times New Roman" w:hint="eastAsia"/>
          <w:b/>
        </w:rPr>
        <w:t>8</w:t>
      </w:r>
      <w:r>
        <w:rPr>
          <w:rFonts w:ascii="Times New Roman" w:eastAsia="宋体" w:hAnsi="Times New Roman"/>
          <w:b/>
        </w:rPr>
        <w:t xml:space="preserve">.3.1 </w:t>
      </w:r>
      <w:r>
        <w:rPr>
          <w:rFonts w:ascii="Times New Roman" w:eastAsia="宋体" w:hAnsi="Times New Roman"/>
          <w:b/>
        </w:rPr>
        <w:t>溢油事故发生的原因</w:t>
      </w:r>
    </w:p>
    <w:p w:rsidR="004B4777" w:rsidRDefault="004B4777" w:rsidP="004B4777">
      <w:pPr>
        <w:pStyle w:val="01"/>
        <w:snapToGrid w:val="0"/>
        <w:spacing w:before="0" w:line="360" w:lineRule="auto"/>
        <w:ind w:firstLineChars="200" w:firstLine="449"/>
        <w:rPr>
          <w:bCs/>
          <w:snapToGrid w:val="0"/>
          <w:kern w:val="0"/>
          <w:sz w:val="24"/>
          <w:szCs w:val="24"/>
        </w:rPr>
      </w:pPr>
      <w:r>
        <w:rPr>
          <w:bCs/>
          <w:snapToGrid w:val="0"/>
          <w:kern w:val="0"/>
          <w:sz w:val="24"/>
          <w:szCs w:val="24"/>
        </w:rPr>
        <w:t>根据采砂作业特点及项目所在流域环境特点分析，引起溢油事故发生的主要原因如下：</w:t>
      </w:r>
    </w:p>
    <w:p w:rsidR="004B4777" w:rsidRDefault="004B4777">
      <w:pPr>
        <w:pStyle w:val="01"/>
        <w:snapToGrid w:val="0"/>
        <w:spacing w:before="0" w:line="360" w:lineRule="auto"/>
        <w:ind w:firstLine="448"/>
        <w:rPr>
          <w:bCs/>
          <w:snapToGrid w:val="0"/>
          <w:kern w:val="0"/>
          <w:sz w:val="24"/>
          <w:szCs w:val="24"/>
        </w:rPr>
      </w:pPr>
      <w:r>
        <w:rPr>
          <w:bCs/>
          <w:snapToGrid w:val="0"/>
          <w:kern w:val="0"/>
          <w:sz w:val="24"/>
          <w:szCs w:val="24"/>
        </w:rPr>
        <w:t>（</w:t>
      </w:r>
      <w:r>
        <w:rPr>
          <w:bCs/>
          <w:snapToGrid w:val="0"/>
          <w:kern w:val="0"/>
          <w:sz w:val="24"/>
          <w:szCs w:val="24"/>
        </w:rPr>
        <w:t>1</w:t>
      </w:r>
      <w:r>
        <w:rPr>
          <w:bCs/>
          <w:snapToGrid w:val="0"/>
          <w:kern w:val="0"/>
          <w:sz w:val="24"/>
          <w:szCs w:val="24"/>
        </w:rPr>
        <w:t>）作业船舶由于管理疏忽、操作违反规程或失误等原因引起石油类跑、冒、滴、漏事故，这类溢油事故对环境影响相对较小，但也会对水域造成油污染；</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w:t>
      </w:r>
      <w:r>
        <w:rPr>
          <w:rFonts w:ascii="Times New Roman" w:hAnsi="Times New Roman"/>
          <w:snapToGrid w:val="0"/>
          <w:kern w:val="0"/>
        </w:rPr>
        <w:t>2</w:t>
      </w:r>
      <w:r>
        <w:rPr>
          <w:rFonts w:ascii="Times New Roman" w:hAnsi="Times New Roman"/>
          <w:snapToGrid w:val="0"/>
          <w:kern w:val="0"/>
        </w:rPr>
        <w:t>）由于船舶本身出现设施损废，在行进中受风浪影响，或者发生船舶碰撞，有可能使石油类溢出造成污染。</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w:t>
      </w:r>
      <w:r>
        <w:rPr>
          <w:rFonts w:ascii="Times New Roman" w:hAnsi="Times New Roman"/>
          <w:snapToGrid w:val="0"/>
          <w:kern w:val="0"/>
        </w:rPr>
        <w:t>3</w:t>
      </w:r>
      <w:r>
        <w:rPr>
          <w:rFonts w:ascii="Times New Roman" w:hAnsi="Times New Roman"/>
          <w:snapToGrid w:val="0"/>
          <w:kern w:val="0"/>
        </w:rPr>
        <w:t>）在经济利益驱动下，采砂船、运砂船重生产、轻安全，超载、超限量等违章行为时有发生。因船舶装载不良，操纵不当和超载等原因致船舶翻沉也是构成风险的主要原因之一。</w:t>
      </w:r>
    </w:p>
    <w:p w:rsidR="004B4777" w:rsidRDefault="004B4777">
      <w:pPr>
        <w:pStyle w:val="3"/>
        <w:spacing w:before="0" w:after="0"/>
        <w:rPr>
          <w:rFonts w:ascii="Times New Roman" w:eastAsia="宋体" w:hAnsi="Times New Roman"/>
          <w:b/>
        </w:rPr>
      </w:pPr>
      <w:r>
        <w:rPr>
          <w:rFonts w:ascii="Times New Roman" w:eastAsia="宋体" w:hAnsi="Times New Roman" w:hint="eastAsia"/>
          <w:b/>
        </w:rPr>
        <w:t>8</w:t>
      </w:r>
      <w:r>
        <w:rPr>
          <w:rFonts w:ascii="Times New Roman" w:eastAsia="宋体" w:hAnsi="Times New Roman"/>
          <w:b/>
        </w:rPr>
        <w:t xml:space="preserve">.3.2 </w:t>
      </w:r>
      <w:r>
        <w:rPr>
          <w:rFonts w:ascii="Times New Roman" w:eastAsia="宋体" w:hAnsi="Times New Roman"/>
          <w:b/>
        </w:rPr>
        <w:t>溢油事故发生概率分析</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w:t>
      </w:r>
      <w:r>
        <w:rPr>
          <w:rFonts w:ascii="Times New Roman" w:hAnsi="Times New Roman"/>
          <w:snapToGrid w:val="0"/>
          <w:kern w:val="0"/>
        </w:rPr>
        <w:t>1</w:t>
      </w:r>
      <w:r>
        <w:rPr>
          <w:rFonts w:ascii="Times New Roman" w:hAnsi="Times New Roman"/>
          <w:snapToGrid w:val="0"/>
          <w:kern w:val="0"/>
        </w:rPr>
        <w:t>）从船舶航运情况分析发生风险事故的可能性</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据调查，长江千吨级货船碰撞性事故时有发生，如撞礁、两船相撞等事件，但在码头船舶之间发生碰撞发生率较小，约</w:t>
      </w:r>
      <w:r>
        <w:rPr>
          <w:rFonts w:ascii="Times New Roman" w:hAnsi="Times New Roman"/>
          <w:snapToGrid w:val="0"/>
          <w:kern w:val="0"/>
        </w:rPr>
        <w:t>0.01</w:t>
      </w:r>
      <w:r>
        <w:rPr>
          <w:rFonts w:ascii="Times New Roman" w:hAnsi="Times New Roman"/>
          <w:snapToGrid w:val="0"/>
          <w:kern w:val="0"/>
        </w:rPr>
        <w:t>次</w:t>
      </w:r>
      <w:r>
        <w:rPr>
          <w:rFonts w:ascii="Times New Roman" w:hAnsi="Times New Roman"/>
          <w:snapToGrid w:val="0"/>
          <w:kern w:val="0"/>
        </w:rPr>
        <w:t>/</w:t>
      </w:r>
      <w:r>
        <w:rPr>
          <w:rFonts w:ascii="Times New Roman" w:hAnsi="Times New Roman"/>
          <w:snapToGrid w:val="0"/>
          <w:kern w:val="0"/>
        </w:rPr>
        <w:t>年。</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本项目运砂船每天来往于采砂区和堆砂场之间。除本项目船舶外，流域基本无其他船只，其发生碰撞概率极小。采砂作业期间，每天采砂船和运砂船频繁出入采砂区，存在在采砂区及航道发生船舶碰撞的可能。</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w:t>
      </w:r>
      <w:r>
        <w:rPr>
          <w:rFonts w:ascii="Times New Roman" w:hAnsi="Times New Roman"/>
          <w:snapToGrid w:val="0"/>
          <w:kern w:val="0"/>
        </w:rPr>
        <w:t>2</w:t>
      </w:r>
      <w:r>
        <w:rPr>
          <w:rFonts w:ascii="Times New Roman" w:hAnsi="Times New Roman"/>
          <w:snapToGrid w:val="0"/>
          <w:kern w:val="0"/>
        </w:rPr>
        <w:t>）从加油作业环节分析发生事故的可能性</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根据我国几个码头资料分析，船舶加油作业发生污染事故一般为较小污染事故，主要是设备本身质量、失修、老化等原因占大比重。但是，这类溢油事故溢油量通常很小。</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lastRenderedPageBreak/>
        <w:t>综上所述，该项目采砂作业存在着船舶相撞而引起污染风险事故的可能性，以及加油作业过程中跑、冒、滴漏油事故的可能性。</w:t>
      </w:r>
    </w:p>
    <w:p w:rsidR="004B4777" w:rsidRDefault="004B4777">
      <w:pPr>
        <w:pStyle w:val="2"/>
        <w:spacing w:before="0" w:after="0"/>
        <w:rPr>
          <w:rFonts w:ascii="Times New Roman" w:eastAsia="宋体" w:hAnsi="Times New Roman"/>
          <w:b/>
          <w:sz w:val="30"/>
          <w:szCs w:val="30"/>
        </w:rPr>
      </w:pPr>
      <w:bookmarkStart w:id="219" w:name="_Toc8664"/>
      <w:bookmarkStart w:id="220" w:name="_Toc230487978"/>
      <w:bookmarkStart w:id="221" w:name="_Toc165525039"/>
      <w:bookmarkStart w:id="222" w:name="_Toc165519756"/>
      <w:bookmarkStart w:id="223" w:name="_Toc523854048"/>
      <w:r>
        <w:rPr>
          <w:rFonts w:ascii="Times New Roman" w:eastAsia="宋体" w:hAnsi="Times New Roman" w:hint="eastAsia"/>
          <w:b/>
          <w:sz w:val="30"/>
          <w:szCs w:val="30"/>
        </w:rPr>
        <w:t>8</w:t>
      </w:r>
      <w:r>
        <w:rPr>
          <w:rFonts w:ascii="Times New Roman" w:eastAsia="宋体" w:hAnsi="Times New Roman"/>
          <w:b/>
          <w:sz w:val="30"/>
          <w:szCs w:val="30"/>
        </w:rPr>
        <w:t xml:space="preserve">.4 </w:t>
      </w:r>
      <w:r>
        <w:rPr>
          <w:rFonts w:ascii="Times New Roman" w:eastAsia="宋体" w:hAnsi="Times New Roman"/>
          <w:b/>
          <w:sz w:val="30"/>
          <w:szCs w:val="30"/>
        </w:rPr>
        <w:t>事故风险分析与影响预测</w:t>
      </w:r>
      <w:bookmarkEnd w:id="219"/>
      <w:bookmarkEnd w:id="220"/>
      <w:bookmarkEnd w:id="221"/>
      <w:bookmarkEnd w:id="222"/>
      <w:bookmarkEnd w:id="223"/>
    </w:p>
    <w:p w:rsidR="004B4777" w:rsidRDefault="004B4777">
      <w:pPr>
        <w:widowControl/>
        <w:ind w:firstLineChars="0" w:firstLine="0"/>
        <w:jc w:val="left"/>
        <w:outlineLvl w:val="2"/>
        <w:rPr>
          <w:rFonts w:ascii="Times New Roman" w:hAnsi="Times New Roman"/>
          <w:b/>
          <w:kern w:val="0"/>
          <w:sz w:val="28"/>
          <w:szCs w:val="20"/>
        </w:rPr>
      </w:pPr>
      <w:bookmarkStart w:id="224" w:name="_Toc211655126"/>
      <w:bookmarkStart w:id="225" w:name="_Toc211655221"/>
      <w:bookmarkStart w:id="226" w:name="_Toc361926881"/>
      <w:r>
        <w:rPr>
          <w:rFonts w:ascii="Times New Roman" w:hAnsi="Times New Roman" w:hint="eastAsia"/>
          <w:b/>
          <w:kern w:val="0"/>
          <w:sz w:val="28"/>
          <w:szCs w:val="20"/>
        </w:rPr>
        <w:t>8</w:t>
      </w:r>
      <w:r>
        <w:rPr>
          <w:rFonts w:ascii="Times New Roman" w:hAnsi="Times New Roman"/>
          <w:b/>
          <w:kern w:val="0"/>
          <w:sz w:val="28"/>
          <w:szCs w:val="20"/>
        </w:rPr>
        <w:t xml:space="preserve">.4.1 </w:t>
      </w:r>
      <w:r>
        <w:rPr>
          <w:rFonts w:ascii="Times New Roman" w:hAnsi="Times New Roman"/>
          <w:b/>
          <w:kern w:val="0"/>
          <w:sz w:val="28"/>
          <w:szCs w:val="20"/>
        </w:rPr>
        <w:t>最大可信事故分析</w:t>
      </w:r>
      <w:bookmarkEnd w:id="224"/>
      <w:bookmarkEnd w:id="225"/>
      <w:bookmarkEnd w:id="226"/>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任何一个系统，均存在各种潜在事故危险。风险评价不可能对每一个事故均去做环境影响风险计算和评价，尤其对于庞大复杂的系统，因其既不经济，也无必要性。为了评估系统风险的可接受程度，在风险评价中筛选出系统中具有一定发生概率，其后果又是灾难性的事故，且其风险值为最大的事故</w:t>
      </w:r>
      <w:r>
        <w:rPr>
          <w:rFonts w:ascii="Times New Roman" w:hAnsi="Times New Roman"/>
          <w:snapToGrid w:val="0"/>
          <w:kern w:val="0"/>
        </w:rPr>
        <w:t>——</w:t>
      </w:r>
      <w:r>
        <w:rPr>
          <w:rFonts w:ascii="Times New Roman" w:hAnsi="Times New Roman"/>
          <w:snapToGrid w:val="0"/>
          <w:kern w:val="0"/>
        </w:rPr>
        <w:t>即最大可信灾害事故，作为评价对象。</w:t>
      </w:r>
    </w:p>
    <w:p w:rsidR="004B4777" w:rsidRDefault="004B4777">
      <w:pPr>
        <w:snapToGrid w:val="0"/>
        <w:ind w:firstLine="449"/>
        <w:rPr>
          <w:rFonts w:ascii="Times New Roman" w:hAnsi="Times New Roman" w:hint="eastAsia"/>
          <w:snapToGrid w:val="0"/>
          <w:kern w:val="0"/>
        </w:rPr>
      </w:pPr>
      <w:r>
        <w:rPr>
          <w:rFonts w:ascii="Times New Roman" w:hAnsi="Times New Roman"/>
          <w:snapToGrid w:val="0"/>
          <w:kern w:val="0"/>
        </w:rPr>
        <w:t>本项目中涉及的危险化学品种类为柴油。在进行筛选时主要考虑三个方面的因素：</w:t>
      </w:r>
      <w:r>
        <w:rPr>
          <w:rFonts w:ascii="Times New Roman" w:hAnsi="Times New Roman"/>
          <w:snapToGrid w:val="0"/>
          <w:kern w:val="0"/>
        </w:rPr>
        <w:t>(1)</w:t>
      </w:r>
      <w:r>
        <w:rPr>
          <w:rFonts w:ascii="Times New Roman" w:hAnsi="Times New Roman"/>
          <w:snapToGrid w:val="0"/>
          <w:kern w:val="0"/>
        </w:rPr>
        <w:t>物质的毒性和反应性危险类别；</w:t>
      </w:r>
      <w:r>
        <w:rPr>
          <w:rFonts w:ascii="Times New Roman" w:hAnsi="Times New Roman"/>
          <w:snapToGrid w:val="0"/>
          <w:kern w:val="0"/>
        </w:rPr>
        <w:t>(2)</w:t>
      </w:r>
      <w:r>
        <w:rPr>
          <w:rFonts w:ascii="Times New Roman" w:hAnsi="Times New Roman"/>
          <w:snapToGrid w:val="0"/>
          <w:kern w:val="0"/>
        </w:rPr>
        <w:t>可能引起严重事故危害的物质贮运量；</w:t>
      </w:r>
      <w:r>
        <w:rPr>
          <w:rFonts w:ascii="Times New Roman" w:hAnsi="Times New Roman"/>
          <w:snapToGrid w:val="0"/>
          <w:kern w:val="0"/>
        </w:rPr>
        <w:t>(3)</w:t>
      </w:r>
      <w:r>
        <w:rPr>
          <w:rFonts w:ascii="Times New Roman" w:hAnsi="Times New Roman"/>
          <w:snapToGrid w:val="0"/>
          <w:kern w:val="0"/>
        </w:rPr>
        <w:t>装置或设备的危险类别等。本项目柴油仅作为动力燃料，发生泄漏和火灾爆炸事故后对环境水体和人体健康的影响较大。按照上述原则，确定船舶碰撞、搁浅等水上交通事故而引起的油品泄漏事故作为本项目环境风险评价的评价对象。国内外发生较大事故的统计数据表明，突发性事故溢油有一定的风险概率。对某一项目的风险概率分析，由于受客观条件和不定因素的影响，而多采用统计数据资料进行分析。</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(1)</w:t>
      </w:r>
      <w:r>
        <w:rPr>
          <w:rFonts w:ascii="Times New Roman" w:hAnsi="Times New Roman"/>
          <w:snapToGrid w:val="0"/>
          <w:kern w:val="0"/>
        </w:rPr>
        <w:t>我国内河流域发生的风险事故统计</w:t>
      </w:r>
    </w:p>
    <w:p w:rsidR="004B4777" w:rsidRDefault="004B4777">
      <w:pPr>
        <w:snapToGrid w:val="0"/>
        <w:ind w:firstLine="449"/>
        <w:rPr>
          <w:rFonts w:ascii="Times New Roman" w:hAnsi="Times New Roman"/>
          <w:snapToGrid w:val="0"/>
          <w:kern w:val="0"/>
        </w:rPr>
      </w:pPr>
      <w:r>
        <w:rPr>
          <w:rFonts w:ascii="Times New Roman" w:hAnsi="Times New Roman"/>
          <w:snapToGrid w:val="0"/>
          <w:kern w:val="0"/>
        </w:rPr>
        <w:t>据统计，</w:t>
      </w:r>
      <w:r>
        <w:rPr>
          <w:rFonts w:ascii="Times New Roman" w:hAnsi="Times New Roman"/>
          <w:snapToGrid w:val="0"/>
          <w:kern w:val="0"/>
        </w:rPr>
        <w:t>1973</w:t>
      </w:r>
      <w:r>
        <w:rPr>
          <w:rFonts w:ascii="Times New Roman" w:hAnsi="Times New Roman"/>
          <w:snapToGrid w:val="0"/>
          <w:kern w:val="0"/>
        </w:rPr>
        <w:t>～</w:t>
      </w:r>
      <w:r>
        <w:rPr>
          <w:rFonts w:ascii="Times New Roman" w:hAnsi="Times New Roman"/>
          <w:snapToGrid w:val="0"/>
          <w:kern w:val="0"/>
        </w:rPr>
        <w:t>2003</w:t>
      </w:r>
      <w:r>
        <w:rPr>
          <w:rFonts w:ascii="Times New Roman" w:hAnsi="Times New Roman"/>
          <w:snapToGrid w:val="0"/>
          <w:kern w:val="0"/>
        </w:rPr>
        <w:t>年，中国沿海、长江平均每年发生</w:t>
      </w:r>
      <w:r>
        <w:rPr>
          <w:rFonts w:ascii="Times New Roman" w:hAnsi="Times New Roman"/>
          <w:snapToGrid w:val="0"/>
          <w:kern w:val="0"/>
        </w:rPr>
        <w:t>500</w:t>
      </w:r>
      <w:r>
        <w:rPr>
          <w:rFonts w:ascii="Times New Roman" w:hAnsi="Times New Roman"/>
          <w:snapToGrid w:val="0"/>
          <w:kern w:val="0"/>
        </w:rPr>
        <w:t>多起溢油事故，发生溢油量在</w:t>
      </w:r>
      <w:r>
        <w:rPr>
          <w:rFonts w:ascii="Times New Roman" w:hAnsi="Times New Roman"/>
          <w:snapToGrid w:val="0"/>
          <w:kern w:val="0"/>
        </w:rPr>
        <w:t>50t</w:t>
      </w:r>
      <w:r>
        <w:rPr>
          <w:rFonts w:ascii="Times New Roman" w:hAnsi="Times New Roman"/>
          <w:snapToGrid w:val="0"/>
          <w:kern w:val="0"/>
        </w:rPr>
        <w:t>以上的重大船舶污染事故</w:t>
      </w:r>
      <w:r>
        <w:rPr>
          <w:rFonts w:ascii="Times New Roman" w:hAnsi="Times New Roman"/>
          <w:snapToGrid w:val="0"/>
          <w:kern w:val="0"/>
        </w:rPr>
        <w:t>71</w:t>
      </w:r>
      <w:r>
        <w:rPr>
          <w:rFonts w:ascii="Times New Roman" w:hAnsi="Times New Roman"/>
          <w:snapToGrid w:val="0"/>
          <w:kern w:val="0"/>
        </w:rPr>
        <w:t>起（平均每年发生</w:t>
      </w:r>
      <w:r>
        <w:rPr>
          <w:rFonts w:ascii="Times New Roman" w:hAnsi="Times New Roman"/>
          <w:snapToGrid w:val="0"/>
          <w:kern w:val="0"/>
        </w:rPr>
        <w:t>2</w:t>
      </w:r>
      <w:r>
        <w:rPr>
          <w:rFonts w:ascii="Times New Roman" w:hAnsi="Times New Roman"/>
          <w:snapToGrid w:val="0"/>
          <w:kern w:val="0"/>
        </w:rPr>
        <w:t>起），其中，长江平均每年发生船舶污染事故</w:t>
      </w:r>
      <w:r>
        <w:rPr>
          <w:rFonts w:ascii="Times New Roman" w:hAnsi="Times New Roman"/>
          <w:snapToGrid w:val="0"/>
          <w:kern w:val="0"/>
        </w:rPr>
        <w:t>17</w:t>
      </w:r>
      <w:r>
        <w:rPr>
          <w:rFonts w:ascii="Times New Roman" w:hAnsi="Times New Roman"/>
          <w:snapToGrid w:val="0"/>
          <w:kern w:val="0"/>
        </w:rPr>
        <w:t>起。</w:t>
      </w:r>
      <w:r>
        <w:rPr>
          <w:rFonts w:ascii="Times New Roman" w:hAnsi="Times New Roman"/>
          <w:snapToGrid w:val="0"/>
          <w:kern w:val="0"/>
        </w:rPr>
        <w:t>2004</w:t>
      </w:r>
      <w:r>
        <w:rPr>
          <w:rFonts w:ascii="Times New Roman" w:hAnsi="Times New Roman"/>
          <w:snapToGrid w:val="0"/>
          <w:kern w:val="0"/>
        </w:rPr>
        <w:t>年全国各内河省份（直辖市）船舶进出港艘次和各类船舶事故数统计资料见表</w:t>
      </w:r>
      <w:r>
        <w:rPr>
          <w:rFonts w:ascii="Times New Roman" w:hAnsi="Times New Roman" w:hint="eastAsia"/>
          <w:snapToGrid w:val="0"/>
          <w:kern w:val="0"/>
        </w:rPr>
        <w:t>8</w:t>
      </w:r>
      <w:r>
        <w:rPr>
          <w:rFonts w:ascii="Times New Roman" w:hAnsi="Times New Roman"/>
          <w:snapToGrid w:val="0"/>
          <w:kern w:val="0"/>
        </w:rPr>
        <w:t>.4-1</w:t>
      </w:r>
      <w:r>
        <w:rPr>
          <w:rFonts w:ascii="Times New Roman" w:hAnsi="Times New Roman"/>
          <w:snapToGrid w:val="0"/>
          <w:kern w:val="0"/>
        </w:rPr>
        <w:t>，从中可以看出，各地区发生船舶事故的次数与进出港船舶数量呈比较显著的正比关系。</w:t>
      </w:r>
    </w:p>
    <w:p w:rsidR="004B4777" w:rsidRDefault="004B4777">
      <w:pPr>
        <w:snapToGrid w:val="0"/>
        <w:ind w:firstLineChars="0" w:firstLine="0"/>
        <w:jc w:val="center"/>
        <w:rPr>
          <w:rFonts w:ascii="Times New Roman" w:hAnsi="Times New Roman"/>
          <w:b/>
          <w:snapToGrid w:val="0"/>
          <w:kern w:val="0"/>
        </w:rPr>
      </w:pPr>
      <w:r>
        <w:rPr>
          <w:rFonts w:ascii="Times New Roman" w:hAnsi="Times New Roman"/>
          <w:b/>
          <w:snapToGrid w:val="0"/>
          <w:kern w:val="0"/>
        </w:rPr>
        <w:t>表</w:t>
      </w:r>
      <w:r>
        <w:rPr>
          <w:rFonts w:ascii="Times New Roman" w:hAnsi="Times New Roman" w:hint="eastAsia"/>
          <w:b/>
          <w:snapToGrid w:val="0"/>
          <w:kern w:val="0"/>
        </w:rPr>
        <w:t>8</w:t>
      </w:r>
      <w:r>
        <w:rPr>
          <w:rFonts w:ascii="Times New Roman" w:hAnsi="Times New Roman"/>
          <w:b/>
          <w:snapToGrid w:val="0"/>
          <w:kern w:val="0"/>
        </w:rPr>
        <w:t>.4-1  2004</w:t>
      </w:r>
      <w:r>
        <w:rPr>
          <w:rFonts w:ascii="Times New Roman" w:hAnsi="Times New Roman"/>
          <w:b/>
          <w:snapToGrid w:val="0"/>
          <w:kern w:val="0"/>
        </w:rPr>
        <w:t>年全国各内河省份（直辖市）船舶进出港艘次、事故数统计</w:t>
      </w:r>
    </w:p>
    <w:tbl>
      <w:tblPr>
        <w:tblW w:w="0" w:type="auto"/>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7"/>
        <w:gridCol w:w="1064"/>
        <w:gridCol w:w="1020"/>
        <w:gridCol w:w="936"/>
        <w:gridCol w:w="737"/>
        <w:gridCol w:w="735"/>
        <w:gridCol w:w="737"/>
        <w:gridCol w:w="735"/>
        <w:gridCol w:w="737"/>
        <w:gridCol w:w="1121"/>
      </w:tblGrid>
      <w:tr w:rsidR="004B4777">
        <w:trPr>
          <w:trHeight w:val="397"/>
          <w:tblHeader/>
          <w:jc w:val="center"/>
        </w:trPr>
        <w:tc>
          <w:tcPr>
            <w:tcW w:w="707" w:type="dxa"/>
            <w:vMerge w:val="restart"/>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序号</w:t>
            </w:r>
          </w:p>
        </w:tc>
        <w:tc>
          <w:tcPr>
            <w:tcW w:w="1064" w:type="dxa"/>
            <w:vMerge w:val="restart"/>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地区</w:t>
            </w:r>
          </w:p>
        </w:tc>
        <w:tc>
          <w:tcPr>
            <w:tcW w:w="1020" w:type="dxa"/>
            <w:vMerge w:val="restart"/>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内河船舶进出港艘次</w:t>
            </w:r>
          </w:p>
        </w:tc>
        <w:tc>
          <w:tcPr>
            <w:tcW w:w="4617" w:type="dxa"/>
            <w:gridSpan w:val="6"/>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统计事故数</w:t>
            </w:r>
          </w:p>
        </w:tc>
        <w:tc>
          <w:tcPr>
            <w:tcW w:w="1121" w:type="dxa"/>
            <w:vMerge w:val="restart"/>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经济损失（万元）</w:t>
            </w:r>
          </w:p>
        </w:tc>
      </w:tr>
      <w:tr w:rsidR="004B4777">
        <w:trPr>
          <w:trHeight w:val="397"/>
          <w:tblHeader/>
          <w:jc w:val="center"/>
        </w:trPr>
        <w:tc>
          <w:tcPr>
            <w:tcW w:w="707" w:type="dxa"/>
            <w:vMerge/>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1064" w:type="dxa"/>
            <w:vMerge/>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1020" w:type="dxa"/>
            <w:vMerge/>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936"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事故总数</w:t>
            </w:r>
          </w:p>
        </w:tc>
        <w:tc>
          <w:tcPr>
            <w:tcW w:w="73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重大事故</w:t>
            </w:r>
          </w:p>
        </w:tc>
        <w:tc>
          <w:tcPr>
            <w:tcW w:w="735"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大事故</w:t>
            </w:r>
          </w:p>
        </w:tc>
        <w:tc>
          <w:tcPr>
            <w:tcW w:w="73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一般事故</w:t>
            </w:r>
          </w:p>
        </w:tc>
        <w:tc>
          <w:tcPr>
            <w:tcW w:w="735"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沉船</w:t>
            </w:r>
          </w:p>
        </w:tc>
        <w:tc>
          <w:tcPr>
            <w:tcW w:w="73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rPr>
            </w:pPr>
            <w:r>
              <w:rPr>
                <w:rFonts w:ascii="Times New Roman" w:hAnsi="Times New Roman"/>
                <w:b/>
                <w:snapToGrid w:val="0"/>
                <w:kern w:val="0"/>
                <w:sz w:val="21"/>
                <w:szCs w:val="21"/>
              </w:rPr>
              <w:t>死亡人数</w:t>
            </w:r>
          </w:p>
        </w:tc>
        <w:tc>
          <w:tcPr>
            <w:tcW w:w="1121" w:type="dxa"/>
            <w:vMerge/>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广东</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2422153</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65</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24</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26</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15</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36</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105</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7455.88</w:t>
            </w: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长江（湖北、重庆）</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200043</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72</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8</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41</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23</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49</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69</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2534</w:t>
            </w: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3</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浙江</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1724247</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136</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lastRenderedPageBreak/>
              <w:t>4</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江苏</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551601</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58</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40</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12</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49</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51</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4785.35</w:t>
            </w: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上海</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503733</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67</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14</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32</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21</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66</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64</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10586.9</w:t>
            </w: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6</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广西</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327075</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96</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7</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辽宁</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104030</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43</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8</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黑龙江</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84908</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89</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r>
      <w:tr w:rsidR="004B4777">
        <w:trPr>
          <w:trHeight w:val="397"/>
          <w:jc w:val="center"/>
        </w:trPr>
        <w:tc>
          <w:tcPr>
            <w:tcW w:w="70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9</w:t>
            </w:r>
          </w:p>
        </w:tc>
        <w:tc>
          <w:tcPr>
            <w:tcW w:w="1064"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深圳</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77771</w:t>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88</w:t>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p>
        </w:tc>
      </w:tr>
      <w:tr w:rsidR="004B4777">
        <w:trPr>
          <w:trHeight w:val="397"/>
          <w:jc w:val="center"/>
        </w:trPr>
        <w:tc>
          <w:tcPr>
            <w:tcW w:w="1771" w:type="dxa"/>
            <w:gridSpan w:val="2"/>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合</w:t>
            </w:r>
            <w:r>
              <w:rPr>
                <w:rFonts w:ascii="Times New Roman" w:hAnsi="Times New Roman"/>
                <w:snapToGrid w:val="0"/>
                <w:kern w:val="0"/>
                <w:sz w:val="21"/>
                <w:szCs w:val="21"/>
              </w:rPr>
              <w:t xml:space="preserve">  </w:t>
            </w:r>
            <w:r>
              <w:rPr>
                <w:rFonts w:ascii="Times New Roman" w:hAnsi="Times New Roman"/>
                <w:snapToGrid w:val="0"/>
                <w:kern w:val="0"/>
                <w:sz w:val="21"/>
                <w:szCs w:val="21"/>
              </w:rPr>
              <w:t>计</w:t>
            </w:r>
          </w:p>
        </w:tc>
        <w:tc>
          <w:tcPr>
            <w:tcW w:w="10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fldChar w:fldCharType="begin"/>
            </w:r>
            <w:r>
              <w:rPr>
                <w:rFonts w:ascii="Times New Roman" w:hAnsi="Times New Roman"/>
                <w:snapToGrid w:val="0"/>
                <w:kern w:val="0"/>
                <w:sz w:val="21"/>
                <w:szCs w:val="21"/>
              </w:rPr>
              <w:instrText xml:space="preserve"> =SUM(ABOVE) </w:instrText>
            </w:r>
            <w:r>
              <w:rPr>
                <w:rFonts w:ascii="Times New Roman" w:hAnsi="Times New Roman"/>
                <w:snapToGrid w:val="0"/>
                <w:kern w:val="0"/>
                <w:sz w:val="21"/>
                <w:szCs w:val="21"/>
              </w:rPr>
              <w:fldChar w:fldCharType="separate"/>
            </w:r>
            <w:r>
              <w:rPr>
                <w:rFonts w:ascii="Times New Roman" w:hAnsi="Times New Roman"/>
                <w:snapToGrid w:val="0"/>
                <w:kern w:val="0"/>
                <w:sz w:val="21"/>
                <w:szCs w:val="21"/>
              </w:rPr>
              <w:t>5995561</w:t>
            </w:r>
            <w:r>
              <w:rPr>
                <w:rFonts w:ascii="Times New Roman" w:hAnsi="Times New Roman"/>
                <w:snapToGrid w:val="0"/>
                <w:kern w:val="0"/>
                <w:sz w:val="21"/>
                <w:szCs w:val="21"/>
              </w:rPr>
              <w:fldChar w:fldCharType="end"/>
            </w:r>
          </w:p>
        </w:tc>
        <w:tc>
          <w:tcPr>
            <w:tcW w:w="936"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262</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52</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139</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71</w:t>
            </w:r>
          </w:p>
        </w:tc>
        <w:tc>
          <w:tcPr>
            <w:tcW w:w="73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200</w:t>
            </w:r>
          </w:p>
        </w:tc>
        <w:tc>
          <w:tcPr>
            <w:tcW w:w="73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fldChar w:fldCharType="begin"/>
            </w:r>
            <w:r>
              <w:rPr>
                <w:rFonts w:ascii="Times New Roman" w:hAnsi="Times New Roman"/>
                <w:snapToGrid w:val="0"/>
                <w:kern w:val="0"/>
                <w:sz w:val="21"/>
                <w:szCs w:val="21"/>
              </w:rPr>
              <w:instrText xml:space="preserve"> =SUM(ABOVE) </w:instrText>
            </w:r>
            <w:r>
              <w:rPr>
                <w:rFonts w:ascii="Times New Roman" w:hAnsi="Times New Roman"/>
                <w:snapToGrid w:val="0"/>
                <w:kern w:val="0"/>
                <w:sz w:val="21"/>
                <w:szCs w:val="21"/>
              </w:rPr>
              <w:fldChar w:fldCharType="separate"/>
            </w:r>
            <w:r>
              <w:rPr>
                <w:rFonts w:ascii="Times New Roman" w:hAnsi="Times New Roman"/>
                <w:snapToGrid w:val="0"/>
                <w:kern w:val="0"/>
                <w:sz w:val="21"/>
                <w:szCs w:val="21"/>
              </w:rPr>
              <w:t>741</w:t>
            </w:r>
            <w:r>
              <w:rPr>
                <w:rFonts w:ascii="Times New Roman" w:hAnsi="Times New Roman"/>
                <w:snapToGrid w:val="0"/>
                <w:kern w:val="0"/>
                <w:sz w:val="21"/>
                <w:szCs w:val="21"/>
              </w:rPr>
              <w:fldChar w:fldCharType="end"/>
            </w:r>
          </w:p>
        </w:tc>
        <w:tc>
          <w:tcPr>
            <w:tcW w:w="112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fldChar w:fldCharType="begin"/>
            </w:r>
            <w:r>
              <w:rPr>
                <w:rFonts w:ascii="Times New Roman" w:hAnsi="Times New Roman"/>
                <w:snapToGrid w:val="0"/>
                <w:kern w:val="0"/>
                <w:sz w:val="21"/>
                <w:szCs w:val="21"/>
              </w:rPr>
              <w:instrText xml:space="preserve"> =SUM(ABOVE) </w:instrText>
            </w:r>
            <w:r>
              <w:rPr>
                <w:rFonts w:ascii="Times New Roman" w:hAnsi="Times New Roman"/>
                <w:snapToGrid w:val="0"/>
                <w:kern w:val="0"/>
                <w:sz w:val="21"/>
                <w:szCs w:val="21"/>
              </w:rPr>
              <w:fldChar w:fldCharType="separate"/>
            </w:r>
            <w:r>
              <w:rPr>
                <w:rFonts w:ascii="Times New Roman" w:hAnsi="Times New Roman"/>
                <w:snapToGrid w:val="0"/>
                <w:kern w:val="0"/>
                <w:sz w:val="21"/>
                <w:szCs w:val="21"/>
              </w:rPr>
              <w:t>25362.13</w:t>
            </w:r>
            <w:r>
              <w:rPr>
                <w:rFonts w:ascii="Times New Roman" w:hAnsi="Times New Roman"/>
                <w:snapToGrid w:val="0"/>
                <w:kern w:val="0"/>
                <w:sz w:val="21"/>
                <w:szCs w:val="21"/>
              </w:rPr>
              <w:fldChar w:fldCharType="end"/>
            </w:r>
          </w:p>
        </w:tc>
      </w:tr>
    </w:tbl>
    <w:p w:rsidR="004B4777" w:rsidRDefault="004B4777">
      <w:pPr>
        <w:adjustRightInd w:val="0"/>
        <w:snapToGrid w:val="0"/>
        <w:spacing w:line="240" w:lineRule="auto"/>
        <w:ind w:firstLineChars="0" w:firstLine="0"/>
        <w:jc w:val="center"/>
        <w:rPr>
          <w:rFonts w:ascii="Times New Roman" w:hAnsi="Times New Roman"/>
          <w:sz w:val="21"/>
          <w:szCs w:val="21"/>
        </w:rPr>
      </w:pP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2</w:t>
      </w:r>
      <w:r>
        <w:rPr>
          <w:rFonts w:ascii="Times New Roman" w:hAnsi="Times New Roman"/>
          <w:snapToGrid w:val="0"/>
          <w:kern w:val="0"/>
          <w:szCs w:val="28"/>
        </w:rPr>
        <w:t>）发生事故溢油的风险概率计算</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由于船舶发生碰撞、搁浅、船体破损等事故的概率一般都非常小，属于小概率事件，因此船舶事故概率服从离散型二项概率分布，则事故风险概率为：</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object w:dxaOrig="1719" w:dyaOrig="379">
          <v:shape id="图片 29" o:spid="_x0000_i1025" type="#_x0000_t75" style="width:86.25pt;height:18.75pt;mso-position-horizontal-relative:page;mso-position-vertical-relative:page" o:ole="">
            <v:imagedata r:id="rId76" o:title=""/>
          </v:shape>
          <o:OLEObject Type="Embed" ProgID="Equation.3" ShapeID="图片 29" DrawAspect="Content" ObjectID="_1597595867" r:id="rId77"/>
        </w:object>
      </w: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t>式中，</w:t>
      </w:r>
      <w:r>
        <w:rPr>
          <w:rFonts w:ascii="Times New Roman" w:hAnsi="Times New Roman"/>
          <w:snapToGrid w:val="0"/>
          <w:kern w:val="0"/>
          <w:szCs w:val="28"/>
        </w:rPr>
        <w:t>p</w:t>
      </w:r>
      <w:r>
        <w:rPr>
          <w:rFonts w:ascii="Times New Roman" w:hAnsi="Times New Roman"/>
          <w:snapToGrid w:val="0"/>
          <w:kern w:val="0"/>
          <w:szCs w:val="28"/>
        </w:rPr>
        <w:t>：为每艘船舶发生事故的概率，</w:t>
      </w:r>
      <w:r>
        <w:rPr>
          <w:rFonts w:ascii="Times New Roman" w:hAnsi="Times New Roman"/>
          <w:snapToGrid w:val="0"/>
          <w:kern w:val="0"/>
          <w:szCs w:val="28"/>
        </w:rPr>
        <w:t>q=1-p</w:t>
      </w:r>
      <w:r>
        <w:rPr>
          <w:rFonts w:ascii="Times New Roman" w:hAnsi="Times New Roman"/>
          <w:snapToGrid w:val="0"/>
          <w:kern w:val="0"/>
          <w:szCs w:val="28"/>
        </w:rPr>
        <w:t>为每艘船舶不发生事故的概率；</w:t>
      </w:r>
      <w:r>
        <w:rPr>
          <w:rFonts w:ascii="Times New Roman" w:hAnsi="Times New Roman"/>
          <w:snapToGrid w:val="0"/>
          <w:kern w:val="0"/>
          <w:szCs w:val="28"/>
        </w:rPr>
        <w:t>n</w:t>
      </w:r>
      <w:r>
        <w:rPr>
          <w:rFonts w:ascii="Times New Roman" w:hAnsi="Times New Roman"/>
          <w:snapToGrid w:val="0"/>
          <w:kern w:val="0"/>
          <w:szCs w:val="28"/>
        </w:rPr>
        <w:t>：船舶数，</w:t>
      </w:r>
      <w:r>
        <w:rPr>
          <w:rFonts w:ascii="Times New Roman" w:hAnsi="Times New Roman"/>
          <w:snapToGrid w:val="0"/>
          <w:kern w:val="0"/>
          <w:szCs w:val="28"/>
        </w:rPr>
        <w:t>k</w:t>
      </w:r>
      <w:r>
        <w:rPr>
          <w:rFonts w:ascii="Times New Roman" w:hAnsi="Times New Roman"/>
          <w:snapToGrid w:val="0"/>
          <w:kern w:val="0"/>
          <w:szCs w:val="28"/>
        </w:rPr>
        <w:t>：</w:t>
      </w:r>
      <w:r>
        <w:rPr>
          <w:rFonts w:ascii="Times New Roman" w:hAnsi="Times New Roman"/>
          <w:snapToGrid w:val="0"/>
          <w:kern w:val="0"/>
          <w:szCs w:val="28"/>
        </w:rPr>
        <w:t>n</w:t>
      </w:r>
      <w:r>
        <w:rPr>
          <w:rFonts w:ascii="Times New Roman" w:hAnsi="Times New Roman"/>
          <w:snapToGrid w:val="0"/>
          <w:kern w:val="0"/>
          <w:szCs w:val="28"/>
        </w:rPr>
        <w:t>艘次船发生事故的次数，</w:t>
      </w:r>
      <w:r>
        <w:rPr>
          <w:rFonts w:ascii="Times New Roman" w:hAnsi="Times New Roman"/>
          <w:snapToGrid w:val="0"/>
          <w:kern w:val="0"/>
          <w:szCs w:val="28"/>
        </w:rPr>
        <w:object w:dxaOrig="339" w:dyaOrig="379">
          <v:shape id="图片 30" o:spid="_x0000_i1026" type="#_x0000_t75" style="width:17.25pt;height:18.75pt;mso-position-horizontal-relative:page;mso-position-vertical-relative:page" o:ole="">
            <v:imagedata r:id="rId78" o:title=""/>
          </v:shape>
          <o:OLEObject Type="Embed" ProgID="Equation.3" ShapeID="图片 30" DrawAspect="Content" ObjectID="_1597595868" r:id="rId79"/>
        </w:object>
      </w:r>
      <w:r>
        <w:rPr>
          <w:rFonts w:ascii="Times New Roman" w:hAnsi="Times New Roman"/>
          <w:snapToGrid w:val="0"/>
          <w:kern w:val="0"/>
          <w:szCs w:val="28"/>
        </w:rPr>
        <w:t>：从</w:t>
      </w:r>
      <w:r>
        <w:rPr>
          <w:rFonts w:ascii="Times New Roman" w:hAnsi="Times New Roman"/>
          <w:snapToGrid w:val="0"/>
          <w:kern w:val="0"/>
          <w:szCs w:val="28"/>
        </w:rPr>
        <w:t>n</w:t>
      </w:r>
      <w:r>
        <w:rPr>
          <w:rFonts w:ascii="Times New Roman" w:hAnsi="Times New Roman"/>
          <w:snapToGrid w:val="0"/>
          <w:kern w:val="0"/>
          <w:szCs w:val="28"/>
        </w:rPr>
        <w:t>艘船舶数中发生事故</w:t>
      </w:r>
      <w:r>
        <w:rPr>
          <w:rFonts w:ascii="Times New Roman" w:hAnsi="Times New Roman"/>
          <w:snapToGrid w:val="0"/>
          <w:kern w:val="0"/>
          <w:szCs w:val="28"/>
        </w:rPr>
        <w:t>k</w:t>
      </w:r>
      <w:r>
        <w:rPr>
          <w:rFonts w:ascii="Times New Roman" w:hAnsi="Times New Roman"/>
          <w:snapToGrid w:val="0"/>
          <w:kern w:val="0"/>
          <w:szCs w:val="28"/>
        </w:rPr>
        <w:t>次数的组合数，则为：</w:t>
      </w:r>
    </w:p>
    <w:p w:rsidR="004B4777" w:rsidRDefault="004B4777">
      <w:pPr>
        <w:snapToGrid w:val="0"/>
        <w:ind w:firstLine="449"/>
        <w:rPr>
          <w:rFonts w:ascii="Times New Roman" w:hAnsi="Times New Roman"/>
        </w:rPr>
      </w:pPr>
      <w:r>
        <w:rPr>
          <w:rFonts w:ascii="Times New Roman" w:hAnsi="Times New Roman"/>
        </w:rPr>
        <w:object w:dxaOrig="1558" w:dyaOrig="659">
          <v:shape id="图片 31" o:spid="_x0000_i1027" type="#_x0000_t75" style="width:78pt;height:33pt;mso-position-horizontal-relative:page;mso-position-vertical-relative:page" o:ole="">
            <v:imagedata r:id="rId80" o:title=""/>
          </v:shape>
          <o:OLEObject Type="Embed" ProgID="Equation.3" ShapeID="图片 31" DrawAspect="Content" ObjectID="_1597595869" r:id="rId81"/>
        </w:objec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根据估算，项目实施阶段，进出采砂和航道区域的船舶数量为</w:t>
      </w:r>
      <w:r>
        <w:rPr>
          <w:rFonts w:ascii="Times New Roman" w:hAnsi="Times New Roman" w:hint="eastAsia"/>
          <w:snapToGrid w:val="0"/>
          <w:kern w:val="0"/>
          <w:szCs w:val="28"/>
        </w:rPr>
        <w:t>14600</w:t>
      </w:r>
      <w:r>
        <w:rPr>
          <w:rFonts w:ascii="Times New Roman" w:hAnsi="Times New Roman"/>
          <w:snapToGrid w:val="0"/>
          <w:kern w:val="0"/>
          <w:szCs w:val="28"/>
        </w:rPr>
        <w:t>艘次</w:t>
      </w:r>
      <w:r>
        <w:rPr>
          <w:rFonts w:ascii="Times New Roman" w:hAnsi="Times New Roman"/>
          <w:snapToGrid w:val="0"/>
          <w:kern w:val="0"/>
          <w:szCs w:val="28"/>
        </w:rPr>
        <w:t>/</w:t>
      </w:r>
      <w:r>
        <w:rPr>
          <w:rFonts w:ascii="Times New Roman" w:hAnsi="Times New Roman"/>
          <w:snapToGrid w:val="0"/>
          <w:kern w:val="0"/>
          <w:szCs w:val="28"/>
        </w:rPr>
        <w:t>年（</w:t>
      </w:r>
      <w:r>
        <w:rPr>
          <w:rFonts w:ascii="Times New Roman" w:hAnsi="Times New Roman" w:hint="eastAsia"/>
          <w:snapToGrid w:val="0"/>
          <w:kern w:val="0"/>
          <w:szCs w:val="28"/>
        </w:rPr>
        <w:t>4</w:t>
      </w:r>
      <w:r>
        <w:rPr>
          <w:rFonts w:ascii="Times New Roman" w:hAnsi="Times New Roman"/>
          <w:snapToGrid w:val="0"/>
          <w:kern w:val="0"/>
          <w:szCs w:val="28"/>
        </w:rPr>
        <w:t>0</w:t>
      </w:r>
      <w:r>
        <w:rPr>
          <w:rFonts w:ascii="Times New Roman" w:hAnsi="Times New Roman"/>
          <w:snapToGrid w:val="0"/>
          <w:kern w:val="0"/>
          <w:szCs w:val="28"/>
        </w:rPr>
        <w:t>艘次</w:t>
      </w:r>
      <w:r>
        <w:rPr>
          <w:rFonts w:ascii="Times New Roman" w:hAnsi="Times New Roman"/>
          <w:snapToGrid w:val="0"/>
          <w:kern w:val="0"/>
          <w:szCs w:val="28"/>
        </w:rPr>
        <w:t>/</w:t>
      </w:r>
      <w:r>
        <w:rPr>
          <w:rFonts w:ascii="Times New Roman" w:hAnsi="Times New Roman"/>
          <w:snapToGrid w:val="0"/>
          <w:kern w:val="0"/>
          <w:szCs w:val="28"/>
        </w:rPr>
        <w:t>日），研究不发生重大船舶溢油事故的置信度为</w:t>
      </w:r>
      <w:r>
        <w:rPr>
          <w:rFonts w:ascii="Times New Roman" w:hAnsi="Times New Roman"/>
          <w:snapToGrid w:val="0"/>
          <w:kern w:val="0"/>
          <w:szCs w:val="28"/>
        </w:rPr>
        <w:t>95</w:t>
      </w:r>
      <w:r>
        <w:rPr>
          <w:rFonts w:ascii="Times New Roman" w:hAnsi="Times New Roman"/>
          <w:snapToGrid w:val="0"/>
          <w:kern w:val="0"/>
          <w:szCs w:val="28"/>
        </w:rPr>
        <w:t>％，事故概率为：</w:t>
      </w:r>
    </w:p>
    <w:p w:rsidR="004B4777" w:rsidRDefault="004B4777">
      <w:pPr>
        <w:ind w:firstLine="449"/>
        <w:jc w:val="left"/>
        <w:rPr>
          <w:rFonts w:ascii="Times New Roman" w:hAnsi="Times New Roman"/>
        </w:rPr>
      </w:pPr>
      <w:r>
        <w:rPr>
          <w:rFonts w:ascii="Times New Roman" w:hAnsi="Times New Roman"/>
        </w:rPr>
        <w:object w:dxaOrig="3540" w:dyaOrig="679">
          <v:shape id="图片 32" o:spid="_x0000_i1028" type="#_x0000_t75" style="width:177pt;height:33.75pt;mso-position-horizontal-relative:page;mso-position-vertical-relative:page" o:ole="">
            <v:imagedata r:id="rId82" o:title=""/>
          </v:shape>
          <o:OLEObject Type="Embed" ProgID="Equation.3" ShapeID="图片 32" DrawAspect="Content" ObjectID="_1597595870" r:id="rId83"/>
        </w:objec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根据上式可求出</w:t>
      </w:r>
      <w:r>
        <w:rPr>
          <w:rFonts w:ascii="Times New Roman" w:hAnsi="Times New Roman"/>
          <w:snapToGrid w:val="0"/>
          <w:kern w:val="0"/>
          <w:szCs w:val="28"/>
        </w:rPr>
        <w:t>P</w:t>
      </w:r>
      <w:r>
        <w:rPr>
          <w:rFonts w:ascii="Times New Roman" w:hAnsi="Times New Roman"/>
          <w:snapToGrid w:val="0"/>
          <w:kern w:val="0"/>
          <w:szCs w:val="28"/>
        </w:rPr>
        <w:t>值为</w:t>
      </w:r>
      <w:r>
        <w:rPr>
          <w:rFonts w:ascii="Times New Roman" w:hAnsi="Times New Roman"/>
          <w:snapToGrid w:val="0"/>
          <w:kern w:val="0"/>
          <w:szCs w:val="28"/>
        </w:rPr>
        <w:t>1.9×10-6</w:t>
      </w:r>
      <w:r>
        <w:rPr>
          <w:rFonts w:ascii="Times New Roman" w:hAnsi="Times New Roman"/>
          <w:snapToGrid w:val="0"/>
          <w:kern w:val="0"/>
          <w:szCs w:val="28"/>
        </w:rPr>
        <w:t>，作为船舶重大事故概率的基础值。</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根据我国内河发生船舶溢油事故主要原因为碰撞和搁浅、船体结构破损，并参照有关文献资料，计算本项目发生溢油事故的风险概率主要为船舶碰撞、搁浅和船体结构破损溢油风险率三者之和，即：</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P</w:t>
      </w:r>
      <w:r>
        <w:rPr>
          <w:rFonts w:ascii="Times New Roman" w:hAnsi="Times New Roman"/>
          <w:snapToGrid w:val="0"/>
          <w:kern w:val="0"/>
          <w:szCs w:val="28"/>
        </w:rPr>
        <w:t>（溢油）＝</w:t>
      </w:r>
      <w:r>
        <w:rPr>
          <w:rFonts w:ascii="Times New Roman" w:hAnsi="Times New Roman"/>
          <w:snapToGrid w:val="0"/>
          <w:kern w:val="0"/>
          <w:szCs w:val="28"/>
        </w:rPr>
        <w:t>P</w:t>
      </w:r>
      <w:r>
        <w:rPr>
          <w:rFonts w:ascii="Times New Roman" w:hAnsi="Times New Roman"/>
          <w:snapToGrid w:val="0"/>
          <w:kern w:val="0"/>
          <w:szCs w:val="28"/>
        </w:rPr>
        <w:t>（溢油</w:t>
      </w:r>
      <w:r>
        <w:rPr>
          <w:rFonts w:ascii="Times New Roman" w:hAnsi="Times New Roman"/>
          <w:snapToGrid w:val="0"/>
          <w:kern w:val="0"/>
          <w:szCs w:val="28"/>
        </w:rPr>
        <w:t>/</w:t>
      </w:r>
      <w:r>
        <w:rPr>
          <w:rFonts w:ascii="Times New Roman" w:hAnsi="Times New Roman"/>
          <w:snapToGrid w:val="0"/>
          <w:kern w:val="0"/>
          <w:szCs w:val="28"/>
        </w:rPr>
        <w:t>碰撞）＋</w:t>
      </w:r>
      <w:r>
        <w:rPr>
          <w:rFonts w:ascii="Times New Roman" w:hAnsi="Times New Roman"/>
          <w:snapToGrid w:val="0"/>
          <w:kern w:val="0"/>
          <w:szCs w:val="28"/>
        </w:rPr>
        <w:t>P</w:t>
      </w:r>
      <w:r>
        <w:rPr>
          <w:rFonts w:ascii="Times New Roman" w:hAnsi="Times New Roman"/>
          <w:snapToGrid w:val="0"/>
          <w:kern w:val="0"/>
          <w:szCs w:val="28"/>
        </w:rPr>
        <w:t>（溢油</w:t>
      </w:r>
      <w:r>
        <w:rPr>
          <w:rFonts w:ascii="Times New Roman" w:hAnsi="Times New Roman"/>
          <w:snapToGrid w:val="0"/>
          <w:kern w:val="0"/>
          <w:szCs w:val="28"/>
        </w:rPr>
        <w:t>/</w:t>
      </w:r>
      <w:r>
        <w:rPr>
          <w:rFonts w:ascii="Times New Roman" w:hAnsi="Times New Roman"/>
          <w:snapToGrid w:val="0"/>
          <w:kern w:val="0"/>
          <w:szCs w:val="28"/>
        </w:rPr>
        <w:t>搁浅）＋</w:t>
      </w:r>
      <w:r>
        <w:rPr>
          <w:rFonts w:ascii="Times New Roman" w:hAnsi="Times New Roman"/>
          <w:snapToGrid w:val="0"/>
          <w:kern w:val="0"/>
          <w:szCs w:val="28"/>
        </w:rPr>
        <w:t>P</w:t>
      </w:r>
      <w:r>
        <w:rPr>
          <w:rFonts w:ascii="Times New Roman" w:hAnsi="Times New Roman"/>
          <w:snapToGrid w:val="0"/>
          <w:kern w:val="0"/>
          <w:szCs w:val="28"/>
        </w:rPr>
        <w:t>（溢油</w:t>
      </w:r>
      <w:r>
        <w:rPr>
          <w:rFonts w:ascii="Times New Roman" w:hAnsi="Times New Roman"/>
          <w:snapToGrid w:val="0"/>
          <w:kern w:val="0"/>
          <w:szCs w:val="28"/>
        </w:rPr>
        <w:t>/</w:t>
      </w:r>
      <w:r>
        <w:rPr>
          <w:rFonts w:ascii="Times New Roman" w:hAnsi="Times New Roman"/>
          <w:snapToGrid w:val="0"/>
          <w:kern w:val="0"/>
          <w:szCs w:val="28"/>
        </w:rPr>
        <w:t>船体破损）</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object w:dxaOrig="4180" w:dyaOrig="619">
          <v:shape id="对象 33" o:spid="_x0000_i1029" type="#_x0000_t75" style="width:209.25pt;height:30.75pt;mso-position-horizontal-relative:page;mso-position-vertical-relative:page" o:ole="">
            <v:imagedata r:id="rId84" o:title=""/>
          </v:shape>
          <o:OLEObject Type="Embed" ProgID="Equation.3" ShapeID="对象 33" DrawAspect="Content" ObjectID="_1597595871" r:id="rId85"/>
        </w:objec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式中：</w:t>
      </w:r>
      <w:r>
        <w:rPr>
          <w:rFonts w:ascii="Times New Roman" w:hAnsi="Times New Roman"/>
          <w:snapToGrid w:val="0"/>
          <w:kern w:val="0"/>
          <w:szCs w:val="28"/>
        </w:rPr>
        <w:t>P</w:t>
      </w:r>
      <w:r>
        <w:rPr>
          <w:rFonts w:ascii="Times New Roman" w:hAnsi="Times New Roman"/>
          <w:snapToGrid w:val="0"/>
          <w:kern w:val="0"/>
          <w:szCs w:val="28"/>
        </w:rPr>
        <w:t>（溢油）：溢油发生概率；</w:t>
      </w:r>
      <w:r>
        <w:rPr>
          <w:rFonts w:ascii="Times New Roman" w:hAnsi="Times New Roman"/>
          <w:snapToGrid w:val="0"/>
          <w:kern w:val="0"/>
          <w:szCs w:val="28"/>
        </w:rPr>
        <w:t>R</w:t>
      </w:r>
      <w:r>
        <w:rPr>
          <w:rFonts w:ascii="Times New Roman" w:hAnsi="Times New Roman"/>
          <w:snapToGrid w:val="0"/>
          <w:kern w:val="0"/>
          <w:szCs w:val="28"/>
        </w:rPr>
        <w:t>航行中石油类船舶所占比例；</w:t>
      </w:r>
      <w:r>
        <w:rPr>
          <w:rFonts w:ascii="Times New Roman" w:hAnsi="Times New Roman"/>
          <w:snapToGrid w:val="0"/>
          <w:kern w:val="0"/>
          <w:szCs w:val="28"/>
        </w:rPr>
        <w:t>P</w:t>
      </w:r>
      <w:r>
        <w:rPr>
          <w:rFonts w:ascii="Times New Roman" w:hAnsi="Times New Roman"/>
          <w:snapToGrid w:val="0"/>
          <w:kern w:val="0"/>
          <w:szCs w:val="28"/>
        </w:rPr>
        <w:t>：船舶发生事故的基础值。</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lastRenderedPageBreak/>
        <w:t>根据上式进行计算项目实施年中每条船发生事故溢油的风险概率</w:t>
      </w:r>
      <w:r>
        <w:rPr>
          <w:rFonts w:ascii="Times New Roman" w:hAnsi="Times New Roman"/>
          <w:snapToGrid w:val="0"/>
          <w:kern w:val="0"/>
          <w:szCs w:val="28"/>
        </w:rPr>
        <w:t>P</w:t>
      </w:r>
      <w:r>
        <w:rPr>
          <w:rFonts w:ascii="Times New Roman" w:hAnsi="Times New Roman"/>
          <w:snapToGrid w:val="0"/>
          <w:kern w:val="0"/>
          <w:szCs w:val="28"/>
        </w:rPr>
        <w:t>（漏油）为</w:t>
      </w:r>
      <w:r>
        <w:rPr>
          <w:rFonts w:ascii="Times New Roman" w:hAnsi="Times New Roman"/>
          <w:snapToGrid w:val="0"/>
          <w:kern w:val="0"/>
          <w:szCs w:val="28"/>
        </w:rPr>
        <w:t>1.2×10</w:t>
      </w:r>
      <w:r>
        <w:rPr>
          <w:rFonts w:ascii="Times New Roman" w:hAnsi="Times New Roman"/>
          <w:snapToGrid w:val="0"/>
          <w:kern w:val="0"/>
          <w:szCs w:val="28"/>
          <w:vertAlign w:val="superscript"/>
        </w:rPr>
        <w:t>-6</w:t>
      </w:r>
      <w:r>
        <w:rPr>
          <w:rFonts w:ascii="Times New Roman" w:hAnsi="Times New Roman"/>
          <w:snapToGrid w:val="0"/>
          <w:kern w:val="0"/>
          <w:szCs w:val="28"/>
        </w:rPr>
        <w:t>。</w:t>
      </w:r>
    </w:p>
    <w:p w:rsidR="004B4777" w:rsidRDefault="004B4777">
      <w:pPr>
        <w:pStyle w:val="3"/>
        <w:snapToGrid w:val="0"/>
        <w:spacing w:before="0" w:after="0"/>
        <w:rPr>
          <w:rFonts w:ascii="Times New Roman" w:eastAsia="宋体" w:hAnsi="Times New Roman"/>
          <w:b/>
        </w:rPr>
      </w:pPr>
      <w:bookmarkStart w:id="227" w:name="_Toc361926883"/>
      <w:r>
        <w:rPr>
          <w:rFonts w:ascii="Times New Roman" w:eastAsia="宋体" w:hAnsi="Times New Roman" w:hint="eastAsia"/>
          <w:b/>
        </w:rPr>
        <w:t>8</w:t>
      </w:r>
      <w:r>
        <w:rPr>
          <w:rFonts w:ascii="Times New Roman" w:eastAsia="宋体" w:hAnsi="Times New Roman"/>
          <w:b/>
        </w:rPr>
        <w:t xml:space="preserve">.4.2 </w:t>
      </w:r>
      <w:r>
        <w:rPr>
          <w:rFonts w:ascii="Times New Roman" w:eastAsia="宋体" w:hAnsi="Times New Roman"/>
          <w:b/>
        </w:rPr>
        <w:t>后果计算</w:t>
      </w:r>
      <w:bookmarkEnd w:id="227"/>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1</w:t>
      </w:r>
      <w:r>
        <w:rPr>
          <w:rFonts w:ascii="Times New Roman" w:hAnsi="Times New Roman"/>
          <w:snapToGrid w:val="0"/>
          <w:kern w:val="0"/>
          <w:szCs w:val="28"/>
        </w:rPr>
        <w:t>）物料的性质</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柴油在常温下为液体，微溶于水，可呈膜状浮于水面。</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2</w:t>
      </w:r>
      <w:r>
        <w:rPr>
          <w:rFonts w:ascii="Times New Roman" w:hAnsi="Times New Roman"/>
          <w:snapToGrid w:val="0"/>
          <w:kern w:val="0"/>
          <w:szCs w:val="28"/>
        </w:rPr>
        <w:t>）事故溢油扩散漂移预测模式</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油膜的扩延，在初期阶段的扩展起主导作用，而在最后阶段是扩散起主导作用。虽然计算扩延范围的公式很多，但由于影响因素复杂，许多公式都是简化而得的，计算结果也有差异。在众多的成果中，费伊</w:t>
      </w:r>
      <w:r>
        <w:rPr>
          <w:rFonts w:ascii="Times New Roman" w:hAnsi="Times New Roman"/>
          <w:snapToGrid w:val="0"/>
          <w:kern w:val="0"/>
          <w:szCs w:val="28"/>
        </w:rPr>
        <w:t>(Fay)</w:t>
      </w:r>
      <w:r>
        <w:rPr>
          <w:rFonts w:ascii="Times New Roman" w:hAnsi="Times New Roman"/>
          <w:snapToGrid w:val="0"/>
          <w:kern w:val="0"/>
          <w:szCs w:val="28"/>
        </w:rPr>
        <w:t>公式是广泛受到重视的只考虑油膜扩展作用的公式之一。</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费伊把扩展过程划分为三个阶段：</w: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①</w:t>
      </w:r>
      <w:r>
        <w:rPr>
          <w:rFonts w:ascii="Times New Roman" w:hAnsi="Times New Roman"/>
          <w:snapToGrid w:val="0"/>
          <w:kern w:val="0"/>
          <w:szCs w:val="28"/>
        </w:rPr>
        <w:t>惯性扩展阶段</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object w:dxaOrig="1880" w:dyaOrig="359">
          <v:shape id="对象 34" o:spid="_x0000_i1030" type="#_x0000_t75" style="width:93.75pt;height:18pt;mso-position-horizontal-relative:page;mso-position-vertical-relative:page" o:ole="">
            <v:imagedata r:id="rId86" o:title=""/>
          </v:shape>
          <o:OLEObject Type="Embed" ProgID="Equation.3" ShapeID="对象 34" DrawAspect="Content" ObjectID="_1597595872" r:id="rId87"/>
        </w:objec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②</w:t>
      </w:r>
      <w:r>
        <w:rPr>
          <w:rFonts w:ascii="Times New Roman" w:hAnsi="Times New Roman"/>
          <w:snapToGrid w:val="0"/>
          <w:kern w:val="0"/>
          <w:szCs w:val="28"/>
        </w:rPr>
        <w:t>粘性扩</w:t>
      </w:r>
      <w:r>
        <w:rPr>
          <w:rFonts w:ascii="Times New Roman" w:hAnsi="Times New Roman" w:hint="eastAsia"/>
          <w:snapToGrid w:val="0"/>
          <w:kern w:val="0"/>
          <w:szCs w:val="28"/>
        </w:rPr>
        <w:t>展</w:t>
      </w:r>
      <w:r>
        <w:rPr>
          <w:rFonts w:ascii="Times New Roman" w:hAnsi="Times New Roman"/>
          <w:snapToGrid w:val="0"/>
          <w:kern w:val="0"/>
          <w:szCs w:val="28"/>
        </w:rPr>
        <w:t>阶段</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object w:dxaOrig="1920" w:dyaOrig="739">
          <v:shape id="对象 35" o:spid="_x0000_i1031" type="#_x0000_t75" style="width:150pt;height:36pt;mso-position-horizontal-relative:page;mso-position-vertical-relative:page" o:ole="">
            <v:imagedata r:id="rId88" o:title=""/>
          </v:shape>
          <o:OLEObject Type="Embed" ProgID="Equation.3" ShapeID="对象 35" DrawAspect="Content" ObjectID="_1597595873" r:id="rId89"/>
        </w:objec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③</w:t>
      </w:r>
      <w:r>
        <w:rPr>
          <w:rFonts w:ascii="Times New Roman" w:hAnsi="Times New Roman"/>
          <w:snapToGrid w:val="0"/>
          <w:kern w:val="0"/>
          <w:szCs w:val="28"/>
        </w:rPr>
        <w:t>表面张力扩展阶段</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object w:dxaOrig="2517" w:dyaOrig="479">
          <v:shape id="对象 36" o:spid="_x0000_i1032" type="#_x0000_t75" style="width:126pt;height:24pt;mso-position-horizontal-relative:page;mso-position-vertical-relative:page" o:ole="" fillcolor="#6d6d6d">
            <v:imagedata r:id="rId90" o:title=""/>
          </v:shape>
          <o:OLEObject Type="Embed" ProgID="Equation.3" ShapeID="对象 36" DrawAspect="Content" ObjectID="_1597595874" r:id="rId91"/>
        </w:objec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④</w:t>
      </w:r>
      <w:r>
        <w:rPr>
          <w:rFonts w:ascii="Times New Roman" w:hAnsi="Times New Roman"/>
          <w:snapToGrid w:val="0"/>
          <w:kern w:val="0"/>
          <w:szCs w:val="28"/>
        </w:rPr>
        <w:t>扩展结束之后，油膜直径保持不变</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D</w:t>
      </w:r>
      <w:r>
        <w:rPr>
          <w:rFonts w:ascii="Times New Roman" w:hAnsi="Times New Roman"/>
          <w:snapToGrid w:val="0"/>
          <w:kern w:val="0"/>
          <w:szCs w:val="28"/>
        </w:rPr>
        <w:t>＝</w:t>
      </w:r>
      <w:r>
        <w:rPr>
          <w:rFonts w:ascii="Times New Roman" w:hAnsi="Times New Roman"/>
          <w:snapToGrid w:val="0"/>
          <w:kern w:val="0"/>
          <w:szCs w:val="28"/>
        </w:rPr>
        <w:t>356.8V3/8</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式中：</w:t>
      </w:r>
      <w:r>
        <w:rPr>
          <w:rFonts w:ascii="Times New Roman" w:hAnsi="Times New Roman"/>
          <w:snapToGrid w:val="0"/>
          <w:kern w:val="0"/>
          <w:szCs w:val="28"/>
        </w:rPr>
        <w:t>D——</w:t>
      </w:r>
      <w:r>
        <w:rPr>
          <w:rFonts w:ascii="Times New Roman" w:hAnsi="Times New Roman"/>
          <w:snapToGrid w:val="0"/>
          <w:kern w:val="0"/>
          <w:szCs w:val="28"/>
        </w:rPr>
        <w:t>油膜直径</w:t>
      </w:r>
      <w:r>
        <w:rPr>
          <w:rFonts w:ascii="Times New Roman" w:hAnsi="Times New Roman"/>
          <w:snapToGrid w:val="0"/>
          <w:kern w:val="0"/>
          <w:szCs w:val="28"/>
        </w:rPr>
        <w:t>(m)</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g——</w:t>
      </w:r>
      <w:r>
        <w:rPr>
          <w:rFonts w:ascii="Times New Roman" w:hAnsi="Times New Roman"/>
          <w:snapToGrid w:val="0"/>
          <w:kern w:val="0"/>
          <w:szCs w:val="28"/>
        </w:rPr>
        <w:t>重力加速度</w:t>
      </w:r>
      <w:r>
        <w:rPr>
          <w:rFonts w:ascii="Times New Roman" w:hAnsi="Times New Roman"/>
          <w:snapToGrid w:val="0"/>
          <w:kern w:val="0"/>
          <w:szCs w:val="28"/>
        </w:rPr>
        <w:t>(m/s</w:t>
      </w:r>
      <w:r>
        <w:rPr>
          <w:rFonts w:ascii="Times New Roman" w:hAnsi="Times New Roman"/>
          <w:snapToGrid w:val="0"/>
          <w:kern w:val="0"/>
          <w:szCs w:val="28"/>
          <w:vertAlign w:val="superscript"/>
        </w:rPr>
        <w:t>2</w:t>
      </w:r>
      <w:r>
        <w:rPr>
          <w:rFonts w:ascii="Times New Roman" w:hAnsi="Times New Roman"/>
          <w:snapToGrid w:val="0"/>
          <w:kern w:val="0"/>
          <w:szCs w:val="28"/>
        </w:rPr>
        <w:t>)</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V——</w:t>
      </w:r>
      <w:r>
        <w:rPr>
          <w:rFonts w:ascii="Times New Roman" w:hAnsi="Times New Roman"/>
          <w:snapToGrid w:val="0"/>
          <w:kern w:val="0"/>
          <w:szCs w:val="28"/>
        </w:rPr>
        <w:t>溢液总体积</w:t>
      </w:r>
      <w:r>
        <w:rPr>
          <w:rFonts w:ascii="Times New Roman" w:hAnsi="Times New Roman"/>
          <w:snapToGrid w:val="0"/>
          <w:kern w:val="0"/>
          <w:szCs w:val="28"/>
        </w:rPr>
        <w:t>(m</w:t>
      </w:r>
      <w:r>
        <w:rPr>
          <w:rFonts w:ascii="Times New Roman" w:hAnsi="Times New Roman"/>
          <w:snapToGrid w:val="0"/>
          <w:kern w:val="0"/>
          <w:szCs w:val="28"/>
          <w:vertAlign w:val="superscript"/>
        </w:rPr>
        <w:t>3</w:t>
      </w:r>
      <w:r>
        <w:rPr>
          <w:rFonts w:ascii="Times New Roman" w:hAnsi="Times New Roman"/>
          <w:snapToGrid w:val="0"/>
          <w:kern w:val="0"/>
          <w:szCs w:val="28"/>
        </w:rPr>
        <w:t>)</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t——</w:t>
      </w:r>
      <w:r>
        <w:rPr>
          <w:rFonts w:ascii="Times New Roman" w:hAnsi="Times New Roman"/>
          <w:snapToGrid w:val="0"/>
          <w:kern w:val="0"/>
          <w:szCs w:val="28"/>
        </w:rPr>
        <w:t>从溢液开始计算所经历的时间</w:t>
      </w:r>
      <w:r>
        <w:rPr>
          <w:rFonts w:ascii="Times New Roman" w:hAnsi="Times New Roman"/>
          <w:snapToGrid w:val="0"/>
          <w:kern w:val="0"/>
          <w:szCs w:val="28"/>
        </w:rPr>
        <w:t>(s)</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γ——</w:t>
      </w:r>
      <w:r>
        <w:rPr>
          <w:rFonts w:ascii="Times New Roman" w:hAnsi="Times New Roman"/>
          <w:snapToGrid w:val="0"/>
          <w:kern w:val="0"/>
          <w:szCs w:val="28"/>
        </w:rPr>
        <w:t>水的运动粘滞系数</w:t>
      </w:r>
      <w:r>
        <w:rPr>
          <w:rFonts w:ascii="Times New Roman" w:hAnsi="Times New Roman"/>
          <w:snapToGrid w:val="0"/>
          <w:kern w:val="0"/>
          <w:szCs w:val="28"/>
        </w:rPr>
        <w:t>(m</w:t>
      </w:r>
      <w:r>
        <w:rPr>
          <w:rFonts w:ascii="Times New Roman" w:hAnsi="Times New Roman"/>
          <w:snapToGrid w:val="0"/>
          <w:kern w:val="0"/>
          <w:szCs w:val="28"/>
          <w:vertAlign w:val="superscript"/>
        </w:rPr>
        <w:t>2</w:t>
      </w:r>
      <w:r>
        <w:rPr>
          <w:rFonts w:ascii="Times New Roman" w:hAnsi="Times New Roman"/>
          <w:snapToGrid w:val="0"/>
          <w:kern w:val="0"/>
          <w:szCs w:val="28"/>
        </w:rPr>
        <w:t>/s)</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β=1-ρ</w:t>
      </w:r>
      <w:r>
        <w:rPr>
          <w:rFonts w:ascii="Times New Roman" w:hAnsi="Times New Roman"/>
          <w:snapToGrid w:val="0"/>
          <w:kern w:val="0"/>
          <w:szCs w:val="28"/>
          <w:vertAlign w:val="subscript"/>
        </w:rPr>
        <w:t>0</w:t>
      </w:r>
      <w:r>
        <w:rPr>
          <w:rFonts w:ascii="Times New Roman" w:hAnsi="Times New Roman"/>
          <w:snapToGrid w:val="0"/>
          <w:kern w:val="0"/>
          <w:szCs w:val="28"/>
        </w:rPr>
        <w:t>/ρw</w:t>
      </w:r>
      <w:r>
        <w:rPr>
          <w:rFonts w:ascii="Times New Roman" w:hAnsi="Times New Roman"/>
          <w:snapToGrid w:val="0"/>
          <w:kern w:val="0"/>
          <w:szCs w:val="28"/>
        </w:rPr>
        <w:t>，</w:t>
      </w:r>
      <w:r>
        <w:rPr>
          <w:rFonts w:ascii="Times New Roman" w:hAnsi="Times New Roman"/>
          <w:snapToGrid w:val="0"/>
          <w:kern w:val="0"/>
          <w:szCs w:val="28"/>
        </w:rPr>
        <w:t>ρ0</w:t>
      </w:r>
      <w:r>
        <w:rPr>
          <w:rFonts w:ascii="Times New Roman" w:hAnsi="Times New Roman"/>
          <w:snapToGrid w:val="0"/>
          <w:kern w:val="0"/>
          <w:szCs w:val="28"/>
        </w:rPr>
        <w:t>、</w:t>
      </w:r>
      <w:r>
        <w:rPr>
          <w:rFonts w:ascii="Times New Roman" w:hAnsi="Times New Roman"/>
          <w:snapToGrid w:val="0"/>
          <w:kern w:val="0"/>
          <w:szCs w:val="28"/>
        </w:rPr>
        <w:t>ρw</w:t>
      </w:r>
      <w:r>
        <w:rPr>
          <w:rFonts w:ascii="Times New Roman" w:hAnsi="Times New Roman"/>
          <w:snapToGrid w:val="0"/>
          <w:kern w:val="0"/>
          <w:szCs w:val="28"/>
        </w:rPr>
        <w:t>分别为油和水的密度</w:t>
      </w:r>
      <w:r>
        <w:rPr>
          <w:rFonts w:ascii="Times New Roman" w:hAnsi="Times New Roman"/>
          <w:snapToGrid w:val="0"/>
          <w:kern w:val="0"/>
          <w:szCs w:val="28"/>
        </w:rPr>
        <w:t>(kg/m</w:t>
      </w:r>
      <w:r>
        <w:rPr>
          <w:rFonts w:ascii="Times New Roman" w:hAnsi="Times New Roman"/>
          <w:snapToGrid w:val="0"/>
          <w:kern w:val="0"/>
          <w:szCs w:val="28"/>
          <w:vertAlign w:val="superscript"/>
        </w:rPr>
        <w:t>3</w:t>
      </w:r>
      <w:r>
        <w:rPr>
          <w:rFonts w:ascii="Times New Roman" w:hAnsi="Times New Roman"/>
          <w:snapToGrid w:val="0"/>
          <w:kern w:val="0"/>
          <w:szCs w:val="28"/>
        </w:rPr>
        <w:t>)</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δ=δaw-δ0a-δ0w</w:t>
      </w:r>
      <w:r>
        <w:rPr>
          <w:rFonts w:ascii="Times New Roman" w:hAnsi="Times New Roman"/>
          <w:snapToGrid w:val="0"/>
          <w:kern w:val="0"/>
          <w:szCs w:val="28"/>
        </w:rPr>
        <w:t>，</w:t>
      </w:r>
      <w:r>
        <w:rPr>
          <w:rFonts w:ascii="Times New Roman" w:hAnsi="Times New Roman"/>
          <w:snapToGrid w:val="0"/>
          <w:kern w:val="0"/>
          <w:szCs w:val="28"/>
        </w:rPr>
        <w:t>δaw</w:t>
      </w:r>
      <w:r>
        <w:rPr>
          <w:rFonts w:ascii="Times New Roman" w:hAnsi="Times New Roman"/>
          <w:snapToGrid w:val="0"/>
          <w:kern w:val="0"/>
          <w:szCs w:val="28"/>
        </w:rPr>
        <w:t>、</w:t>
      </w:r>
      <w:r>
        <w:rPr>
          <w:rFonts w:ascii="Times New Roman" w:hAnsi="Times New Roman"/>
          <w:snapToGrid w:val="0"/>
          <w:kern w:val="0"/>
          <w:szCs w:val="28"/>
        </w:rPr>
        <w:t>δ0a</w:t>
      </w:r>
      <w:r>
        <w:rPr>
          <w:rFonts w:ascii="Times New Roman" w:hAnsi="Times New Roman"/>
          <w:snapToGrid w:val="0"/>
          <w:kern w:val="0"/>
          <w:szCs w:val="28"/>
        </w:rPr>
        <w:t>、</w:t>
      </w:r>
      <w:r>
        <w:rPr>
          <w:rFonts w:ascii="Times New Roman" w:hAnsi="Times New Roman"/>
          <w:snapToGrid w:val="0"/>
          <w:kern w:val="0"/>
          <w:szCs w:val="28"/>
        </w:rPr>
        <w:t>δ0w</w:t>
      </w:r>
      <w:r>
        <w:rPr>
          <w:rFonts w:ascii="Times New Roman" w:hAnsi="Times New Roman"/>
          <w:snapToGrid w:val="0"/>
          <w:kern w:val="0"/>
          <w:szCs w:val="28"/>
        </w:rPr>
        <w:t>分别为空气与水之间、油</w:t>
      </w:r>
      <w:r>
        <w:rPr>
          <w:rFonts w:ascii="Times New Roman" w:hAnsi="Times New Roman"/>
          <w:snapToGrid w:val="0"/>
          <w:kern w:val="0"/>
          <w:szCs w:val="28"/>
        </w:rPr>
        <w:t>(</w:t>
      </w:r>
      <w:r>
        <w:rPr>
          <w:rFonts w:ascii="Times New Roman" w:hAnsi="Times New Roman"/>
          <w:snapToGrid w:val="0"/>
          <w:kern w:val="0"/>
          <w:szCs w:val="28"/>
        </w:rPr>
        <w:t>液</w:t>
      </w:r>
      <w:r>
        <w:rPr>
          <w:rFonts w:ascii="Times New Roman" w:hAnsi="Times New Roman"/>
          <w:snapToGrid w:val="0"/>
          <w:kern w:val="0"/>
          <w:szCs w:val="28"/>
        </w:rPr>
        <w:t>)</w:t>
      </w:r>
      <w:r>
        <w:rPr>
          <w:rFonts w:ascii="Times New Roman" w:hAnsi="Times New Roman"/>
          <w:snapToGrid w:val="0"/>
          <w:kern w:val="0"/>
          <w:szCs w:val="28"/>
        </w:rPr>
        <w:t>与空气之间、液与水之间的表面张力系数</w:t>
      </w:r>
      <w:r>
        <w:rPr>
          <w:rFonts w:ascii="Times New Roman" w:hAnsi="Times New Roman"/>
          <w:snapToGrid w:val="0"/>
          <w:kern w:val="0"/>
          <w:szCs w:val="28"/>
        </w:rPr>
        <w:t>(N/m)</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K</w:t>
      </w:r>
      <w:r>
        <w:rPr>
          <w:rFonts w:ascii="Times New Roman" w:hAnsi="Times New Roman"/>
          <w:snapToGrid w:val="0"/>
          <w:kern w:val="0"/>
          <w:szCs w:val="28"/>
          <w:vertAlign w:val="subscript"/>
        </w:rPr>
        <w:t>1</w:t>
      </w:r>
      <w:r>
        <w:rPr>
          <w:rFonts w:ascii="Times New Roman" w:hAnsi="Times New Roman"/>
          <w:snapToGrid w:val="0"/>
          <w:kern w:val="0"/>
          <w:szCs w:val="28"/>
        </w:rPr>
        <w:t>、</w:t>
      </w:r>
      <w:r>
        <w:rPr>
          <w:rFonts w:ascii="Times New Roman" w:hAnsi="Times New Roman"/>
          <w:snapToGrid w:val="0"/>
          <w:kern w:val="0"/>
          <w:szCs w:val="28"/>
        </w:rPr>
        <w:t>K</w:t>
      </w:r>
      <w:r>
        <w:rPr>
          <w:rFonts w:ascii="Times New Roman" w:hAnsi="Times New Roman"/>
          <w:snapToGrid w:val="0"/>
          <w:kern w:val="0"/>
          <w:szCs w:val="28"/>
          <w:vertAlign w:val="subscript"/>
        </w:rPr>
        <w:t>2</w:t>
      </w:r>
      <w:r>
        <w:rPr>
          <w:rFonts w:ascii="Times New Roman" w:hAnsi="Times New Roman"/>
          <w:snapToGrid w:val="0"/>
          <w:kern w:val="0"/>
          <w:szCs w:val="28"/>
        </w:rPr>
        <w:t>、</w:t>
      </w:r>
      <w:r>
        <w:rPr>
          <w:rFonts w:ascii="Times New Roman" w:hAnsi="Times New Roman"/>
          <w:snapToGrid w:val="0"/>
          <w:kern w:val="0"/>
          <w:szCs w:val="28"/>
        </w:rPr>
        <w:t>K</w:t>
      </w:r>
      <w:r>
        <w:rPr>
          <w:rFonts w:ascii="Times New Roman" w:hAnsi="Times New Roman"/>
          <w:snapToGrid w:val="0"/>
          <w:kern w:val="0"/>
          <w:szCs w:val="28"/>
          <w:vertAlign w:val="subscript"/>
        </w:rPr>
        <w:t>3</w:t>
      </w:r>
      <w:r>
        <w:rPr>
          <w:rFonts w:ascii="Times New Roman" w:hAnsi="Times New Roman"/>
          <w:snapToGrid w:val="0"/>
          <w:kern w:val="0"/>
          <w:szCs w:val="28"/>
        </w:rPr>
        <w:t>——</w:t>
      </w:r>
      <w:r>
        <w:rPr>
          <w:rFonts w:ascii="Times New Roman" w:hAnsi="Times New Roman"/>
          <w:snapToGrid w:val="0"/>
          <w:kern w:val="0"/>
          <w:szCs w:val="28"/>
        </w:rPr>
        <w:t>分别为各扩展阶段的经验系数，一般可取</w:t>
      </w:r>
      <w:r>
        <w:rPr>
          <w:rFonts w:ascii="Times New Roman" w:hAnsi="Times New Roman"/>
          <w:snapToGrid w:val="0"/>
          <w:kern w:val="0"/>
          <w:szCs w:val="28"/>
        </w:rPr>
        <w:t>K</w:t>
      </w:r>
      <w:r>
        <w:rPr>
          <w:rFonts w:ascii="Times New Roman" w:hAnsi="Times New Roman"/>
          <w:snapToGrid w:val="0"/>
          <w:kern w:val="0"/>
          <w:szCs w:val="28"/>
          <w:vertAlign w:val="subscript"/>
        </w:rPr>
        <w:t>1</w:t>
      </w:r>
      <w:r>
        <w:rPr>
          <w:rFonts w:ascii="Times New Roman" w:hAnsi="Times New Roman"/>
          <w:snapToGrid w:val="0"/>
          <w:kern w:val="0"/>
          <w:szCs w:val="28"/>
        </w:rPr>
        <w:t>=2.28</w:t>
      </w:r>
      <w:r>
        <w:rPr>
          <w:rFonts w:ascii="Times New Roman" w:hAnsi="Times New Roman"/>
          <w:snapToGrid w:val="0"/>
          <w:kern w:val="0"/>
          <w:szCs w:val="28"/>
        </w:rPr>
        <w:t>、</w:t>
      </w:r>
      <w:r>
        <w:rPr>
          <w:rFonts w:ascii="Times New Roman" w:hAnsi="Times New Roman"/>
          <w:snapToGrid w:val="0"/>
          <w:kern w:val="0"/>
          <w:szCs w:val="28"/>
        </w:rPr>
        <w:t>K</w:t>
      </w:r>
      <w:r>
        <w:rPr>
          <w:rFonts w:ascii="Times New Roman" w:hAnsi="Times New Roman"/>
          <w:snapToGrid w:val="0"/>
          <w:kern w:val="0"/>
          <w:szCs w:val="28"/>
          <w:vertAlign w:val="subscript"/>
        </w:rPr>
        <w:t>2</w:t>
      </w:r>
      <w:r>
        <w:rPr>
          <w:rFonts w:ascii="Times New Roman" w:hAnsi="Times New Roman"/>
          <w:snapToGrid w:val="0"/>
          <w:kern w:val="0"/>
          <w:szCs w:val="28"/>
        </w:rPr>
        <w:t>=2.90</w:t>
      </w:r>
      <w:r>
        <w:rPr>
          <w:rFonts w:ascii="Times New Roman" w:hAnsi="Times New Roman"/>
          <w:snapToGrid w:val="0"/>
          <w:kern w:val="0"/>
          <w:szCs w:val="28"/>
        </w:rPr>
        <w:t>、</w:t>
      </w:r>
      <w:r>
        <w:rPr>
          <w:rFonts w:ascii="Times New Roman" w:hAnsi="Times New Roman"/>
          <w:snapToGrid w:val="0"/>
          <w:kern w:val="0"/>
          <w:szCs w:val="28"/>
        </w:rPr>
        <w:lastRenderedPageBreak/>
        <w:t>K</w:t>
      </w:r>
      <w:r>
        <w:rPr>
          <w:rFonts w:ascii="Times New Roman" w:hAnsi="Times New Roman"/>
          <w:snapToGrid w:val="0"/>
          <w:kern w:val="0"/>
          <w:szCs w:val="28"/>
          <w:vertAlign w:val="subscript"/>
        </w:rPr>
        <w:t>3</w:t>
      </w:r>
      <w:r>
        <w:rPr>
          <w:rFonts w:ascii="Times New Roman" w:hAnsi="Times New Roman"/>
          <w:snapToGrid w:val="0"/>
          <w:kern w:val="0"/>
          <w:szCs w:val="28"/>
        </w:rPr>
        <w:t>=3.2</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宋体" w:hAnsi="宋体" w:cs="宋体" w:hint="eastAsia"/>
          <w:snapToGrid w:val="0"/>
          <w:kern w:val="0"/>
          <w:szCs w:val="28"/>
        </w:rPr>
        <w:t>⑤</w:t>
      </w:r>
      <w:r>
        <w:rPr>
          <w:rFonts w:ascii="Times New Roman" w:hAnsi="Times New Roman"/>
          <w:snapToGrid w:val="0"/>
          <w:kern w:val="0"/>
          <w:szCs w:val="28"/>
        </w:rPr>
        <w:t>溢油漂移计算方法</w:t>
      </w: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t>油品入水后很快扩展成膜，然后在水流、风生流作用下产生漂移，同时溢油本身扩散的等效圆膜还在不断地扩散增大。因此溢油污染范围就是这个不断扩大而在漂移的等效圆膜。如果膜中心初始位置为</w:t>
      </w:r>
      <w:r>
        <w:rPr>
          <w:rFonts w:ascii="Times New Roman" w:hAnsi="Times New Roman"/>
          <w:snapToGrid w:val="0"/>
          <w:kern w:val="0"/>
          <w:szCs w:val="28"/>
        </w:rPr>
        <w:t>S</w:t>
      </w:r>
      <w:r>
        <w:rPr>
          <w:rFonts w:ascii="Times New Roman" w:hAnsi="Times New Roman"/>
          <w:snapToGrid w:val="0"/>
          <w:kern w:val="0"/>
          <w:szCs w:val="28"/>
          <w:vertAlign w:val="subscript"/>
        </w:rPr>
        <w:t>0</w:t>
      </w:r>
      <w:r>
        <w:rPr>
          <w:rFonts w:ascii="Times New Roman" w:hAnsi="Times New Roman"/>
          <w:snapToGrid w:val="0"/>
          <w:kern w:val="0"/>
          <w:szCs w:val="28"/>
        </w:rPr>
        <w:t>，经过</w:t>
      </w:r>
      <w:r>
        <w:rPr>
          <w:rFonts w:ascii="Cambria Math" w:hAnsi="Cambria Math" w:cs="Cambria Math"/>
          <w:snapToGrid w:val="0"/>
          <w:kern w:val="0"/>
          <w:szCs w:val="28"/>
        </w:rPr>
        <w:t>△</w:t>
      </w:r>
      <w:r>
        <w:rPr>
          <w:rFonts w:ascii="Times New Roman" w:hAnsi="Times New Roman"/>
          <w:snapToGrid w:val="0"/>
          <w:kern w:val="0"/>
          <w:szCs w:val="28"/>
        </w:rPr>
        <w:t>t</w:t>
      </w:r>
      <w:r>
        <w:rPr>
          <w:rFonts w:ascii="Times New Roman" w:hAnsi="Times New Roman"/>
          <w:snapToGrid w:val="0"/>
          <w:kern w:val="0"/>
          <w:szCs w:val="28"/>
        </w:rPr>
        <w:t>时间后，其位置</w:t>
      </w:r>
      <w:r>
        <w:rPr>
          <w:rFonts w:ascii="Times New Roman" w:hAnsi="Times New Roman"/>
          <w:snapToGrid w:val="0"/>
          <w:kern w:val="0"/>
          <w:szCs w:val="28"/>
        </w:rPr>
        <w:t>S</w:t>
      </w:r>
      <w:r>
        <w:rPr>
          <w:rFonts w:ascii="Times New Roman" w:hAnsi="Times New Roman"/>
          <w:snapToGrid w:val="0"/>
          <w:kern w:val="0"/>
          <w:szCs w:val="28"/>
        </w:rPr>
        <w:t>由下式计算：</w:t>
      </w: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pict>
          <v:shape id="对象 190" o:spid="_x0000_s1214" type="#_x0000_t75" style="position:absolute;left:0;text-align:left;margin-left:63pt;margin-top:15.3pt;width:2in;height:32.8pt;z-index:251656704">
            <v:imagedata r:id="rId92" o:title=""/>
          </v:shape>
          <o:OLEObject Type="Embed" ProgID="Equation.3" ShapeID="对象 190" DrawAspect="Content" ObjectID="_1597595877" r:id="rId93">
            <o:FieldCodes>\* MERGEFORMAT</o:FieldCodes>
          </o:OLEObject>
        </w:pict>
      </w:r>
      <w:r>
        <w:rPr>
          <w:rFonts w:ascii="Times New Roman" w:hAnsi="Times New Roman"/>
          <w:snapToGrid w:val="0"/>
          <w:kern w:val="0"/>
          <w:szCs w:val="28"/>
        </w:rPr>
        <w:t>式中膜中心漂移速度</w:t>
      </w:r>
      <w:r>
        <w:rPr>
          <w:rFonts w:ascii="Times New Roman" w:hAnsi="Times New Roman"/>
          <w:snapToGrid w:val="0"/>
          <w:kern w:val="0"/>
          <w:szCs w:val="28"/>
        </w:rPr>
        <w:t>V</w:t>
      </w:r>
      <w:r>
        <w:rPr>
          <w:rFonts w:ascii="Times New Roman" w:hAnsi="Times New Roman"/>
          <w:snapToGrid w:val="0"/>
          <w:kern w:val="0"/>
          <w:szCs w:val="28"/>
          <w:vertAlign w:val="subscript"/>
        </w:rPr>
        <w:t>0</w:t>
      </w:r>
      <w:r>
        <w:rPr>
          <w:rFonts w:ascii="Times New Roman" w:hAnsi="Times New Roman"/>
          <w:snapToGrid w:val="0"/>
          <w:kern w:val="0"/>
          <w:szCs w:val="28"/>
        </w:rPr>
        <w:t>，由下式求得：</w:t>
      </w:r>
    </w:p>
    <w:p w:rsidR="004B4777" w:rsidRDefault="004B4777">
      <w:pPr>
        <w:snapToGrid w:val="0"/>
        <w:ind w:firstLine="449"/>
        <w:rPr>
          <w:rFonts w:ascii="Times New Roman" w:hAnsi="Times New Roman"/>
          <w:snapToGrid w:val="0"/>
          <w:kern w:val="0"/>
          <w:szCs w:val="28"/>
        </w:rPr>
      </w:pP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pict>
          <v:shape id="对象 192" o:spid="_x0000_s1216" type="#_x0000_t75" style="position:absolute;left:0;text-align:left;margin-left:195.85pt;margin-top:5.35pt;width:60pt;height:21pt;z-index:251658752">
            <v:imagedata r:id="rId94" o:title=""/>
          </v:shape>
          <o:OLEObject Type="Embed" ProgID="Equation.3" ShapeID="对象 192" DrawAspect="Content" ObjectID="_1597595878" r:id="rId95">
            <o:FieldCodes>\* MERGEFORMAT</o:FieldCodes>
          </o:OLEObject>
        </w:pict>
      </w:r>
      <w:r>
        <w:rPr>
          <w:rFonts w:ascii="Times New Roman" w:hAnsi="Times New Roman"/>
          <w:snapToGrid w:val="0"/>
          <w:kern w:val="0"/>
          <w:szCs w:val="28"/>
        </w:rPr>
        <w:pict>
          <v:shape id="对象 191" o:spid="_x0000_s1215" type="#_x0000_t75" style="position:absolute;left:0;text-align:left;margin-left:1in;margin-top:6.5pt;width:75pt;height:18.75pt;z-index:251657728">
            <v:imagedata r:id="rId96" o:title=""/>
          </v:shape>
          <o:OLEObject Type="Embed" ProgID="Equation.3" ShapeID="对象 191" DrawAspect="Content" ObjectID="_1597595879" r:id="rId97">
            <o:FieldCodes>\* MERGEFORMAT</o:FieldCodes>
          </o:OLEObject>
        </w:pict>
      </w:r>
    </w:p>
    <w:p w:rsidR="004B4777" w:rsidRDefault="004B4777">
      <w:pPr>
        <w:snapToGrid w:val="0"/>
        <w:ind w:firstLine="449"/>
        <w:rPr>
          <w:rFonts w:ascii="Times New Roman" w:hAnsi="Times New Roman"/>
          <w:snapToGrid w:val="0"/>
          <w:kern w:val="0"/>
          <w:szCs w:val="28"/>
        </w:rPr>
      </w:pP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上式中：</w:t>
      </w:r>
      <w:r>
        <w:rPr>
          <w:rFonts w:ascii="Times New Roman" w:hAnsi="Times New Roman"/>
          <w:snapToGrid w:val="0"/>
          <w:kern w:val="0"/>
          <w:szCs w:val="28"/>
        </w:rPr>
        <w:t>U</w:t>
      </w:r>
      <w:r>
        <w:rPr>
          <w:rFonts w:ascii="Times New Roman" w:hAnsi="Times New Roman"/>
          <w:snapToGrid w:val="0"/>
          <w:kern w:val="0"/>
          <w:szCs w:val="28"/>
          <w:vertAlign w:val="subscript"/>
        </w:rPr>
        <w:t>10</w:t>
      </w:r>
      <w:r>
        <w:rPr>
          <w:rFonts w:ascii="Times New Roman" w:hAnsi="Times New Roman"/>
          <w:snapToGrid w:val="0"/>
          <w:kern w:val="0"/>
          <w:szCs w:val="28"/>
        </w:rPr>
        <w:t>——10m</w:t>
      </w:r>
      <w:r>
        <w:rPr>
          <w:rFonts w:ascii="Times New Roman" w:hAnsi="Times New Roman"/>
          <w:snapToGrid w:val="0"/>
          <w:kern w:val="0"/>
          <w:szCs w:val="28"/>
        </w:rPr>
        <w:t>高处的风速。</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K——</w:t>
      </w:r>
      <w:r>
        <w:rPr>
          <w:rFonts w:ascii="Times New Roman" w:hAnsi="Times New Roman"/>
          <w:snapToGrid w:val="0"/>
          <w:kern w:val="0"/>
          <w:szCs w:val="28"/>
        </w:rPr>
        <w:t>风因子数，</w:t>
      </w:r>
      <w:r>
        <w:rPr>
          <w:rFonts w:ascii="Times New Roman" w:hAnsi="Times New Roman"/>
          <w:snapToGrid w:val="0"/>
          <w:kern w:val="0"/>
          <w:szCs w:val="28"/>
        </w:rPr>
        <w:t>K=3.5%</w:t>
      </w:r>
      <w:r>
        <w:rPr>
          <w:rFonts w:ascii="Times New Roman" w:hAnsi="Times New Roman"/>
          <w:snapToGrid w:val="0"/>
          <w:kern w:val="0"/>
          <w:szCs w:val="28"/>
        </w:rPr>
        <w:t>。</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如果发生泄漏事故，根据河道及水文特征，水体流速、水面宽度及风力等因素对不溶于水的在水面漂浮的污染物的移动影响较大。</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3</w:t>
      </w:r>
      <w:r>
        <w:rPr>
          <w:rFonts w:ascii="Times New Roman" w:hAnsi="Times New Roman"/>
          <w:snapToGrid w:val="0"/>
          <w:kern w:val="0"/>
          <w:szCs w:val="28"/>
        </w:rPr>
        <w:t>）结果分析</w:t>
      </w:r>
    </w:p>
    <w:p w:rsidR="004B4777" w:rsidRDefault="004B4777">
      <w:pPr>
        <w:snapToGrid w:val="0"/>
        <w:ind w:firstLine="449"/>
        <w:rPr>
          <w:rFonts w:ascii="Times New Roman" w:hAnsi="Times New Roman"/>
          <w:snapToGrid w:val="0"/>
          <w:kern w:val="0"/>
          <w:szCs w:val="28"/>
        </w:rPr>
      </w:pPr>
      <w:r>
        <w:rPr>
          <w:rFonts w:ascii="宋体" w:hAnsi="宋体" w:cs="宋体" w:hint="eastAsia"/>
          <w:snapToGrid w:val="0"/>
          <w:kern w:val="0"/>
          <w:szCs w:val="28"/>
        </w:rPr>
        <w:t>①</w:t>
      </w:r>
      <w:r>
        <w:rPr>
          <w:rFonts w:ascii="Times New Roman" w:hAnsi="Times New Roman"/>
          <w:snapToGrid w:val="0"/>
          <w:kern w:val="0"/>
          <w:szCs w:val="28"/>
        </w:rPr>
        <w:t>预测工况</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溢油形式按突发性瞬间点源考虑。本评价给出流速约</w:t>
      </w:r>
      <w:r>
        <w:rPr>
          <w:rFonts w:ascii="Times New Roman" w:hAnsi="Times New Roman"/>
          <w:snapToGrid w:val="0"/>
          <w:kern w:val="0"/>
          <w:szCs w:val="28"/>
        </w:rPr>
        <w:t>0.</w:t>
      </w:r>
      <w:r>
        <w:rPr>
          <w:rFonts w:ascii="Times New Roman" w:hAnsi="Times New Roman" w:hint="eastAsia"/>
          <w:snapToGrid w:val="0"/>
          <w:kern w:val="0"/>
          <w:szCs w:val="28"/>
        </w:rPr>
        <w:t>35</w:t>
      </w:r>
      <w:r>
        <w:rPr>
          <w:rFonts w:ascii="Times New Roman" w:hAnsi="Times New Roman"/>
          <w:snapToGrid w:val="0"/>
          <w:kern w:val="0"/>
          <w:szCs w:val="28"/>
        </w:rPr>
        <w:t>m/s</w:t>
      </w:r>
      <w:r>
        <w:rPr>
          <w:rFonts w:ascii="Times New Roman" w:hAnsi="Times New Roman"/>
          <w:snapToGrid w:val="0"/>
          <w:kern w:val="0"/>
          <w:szCs w:val="28"/>
        </w:rPr>
        <w:t>水文条件下，在最不利风向</w:t>
      </w:r>
      <w:r>
        <w:rPr>
          <w:rFonts w:ascii="Times New Roman" w:hAnsi="Times New Roman" w:hint="eastAsia"/>
          <w:snapToGrid w:val="0"/>
          <w:kern w:val="0"/>
          <w:szCs w:val="28"/>
        </w:rPr>
        <w:t>N</w:t>
      </w:r>
      <w:r>
        <w:rPr>
          <w:rFonts w:ascii="Times New Roman" w:hAnsi="Times New Roman"/>
          <w:snapToGrid w:val="0"/>
          <w:kern w:val="0"/>
          <w:szCs w:val="28"/>
        </w:rPr>
        <w:t>（风速</w:t>
      </w:r>
      <w:r>
        <w:rPr>
          <w:rFonts w:ascii="Times New Roman" w:hAnsi="Times New Roman" w:hint="eastAsia"/>
          <w:snapToGrid w:val="0"/>
          <w:kern w:val="0"/>
          <w:szCs w:val="28"/>
        </w:rPr>
        <w:t>3</w:t>
      </w:r>
      <w:r>
        <w:rPr>
          <w:rFonts w:ascii="Times New Roman" w:hAnsi="Times New Roman"/>
          <w:snapToGrid w:val="0"/>
          <w:kern w:val="0"/>
          <w:szCs w:val="28"/>
        </w:rPr>
        <w:t>m/s</w:t>
      </w:r>
      <w:r>
        <w:rPr>
          <w:rFonts w:ascii="Times New Roman" w:hAnsi="Times New Roman"/>
          <w:snapToGrid w:val="0"/>
          <w:kern w:val="0"/>
          <w:szCs w:val="28"/>
        </w:rPr>
        <w:t>）情况下油膜漂移计算。</w:t>
      </w:r>
    </w:p>
    <w:p w:rsidR="004B4777" w:rsidRDefault="004B4777">
      <w:pPr>
        <w:snapToGrid w:val="0"/>
        <w:ind w:firstLine="449"/>
        <w:rPr>
          <w:rFonts w:ascii="Times New Roman" w:hAnsi="Times New Roman"/>
          <w:snapToGrid w:val="0"/>
          <w:kern w:val="0"/>
          <w:szCs w:val="28"/>
        </w:rPr>
      </w:pPr>
      <w:r>
        <w:rPr>
          <w:rFonts w:ascii="宋体" w:hAnsi="宋体" w:cs="宋体" w:hint="eastAsia"/>
          <w:snapToGrid w:val="0"/>
          <w:kern w:val="0"/>
          <w:szCs w:val="28"/>
        </w:rPr>
        <w:t>②</w:t>
      </w:r>
      <w:r>
        <w:rPr>
          <w:rFonts w:ascii="Times New Roman" w:hAnsi="Times New Roman"/>
          <w:snapToGrid w:val="0"/>
          <w:kern w:val="0"/>
          <w:szCs w:val="28"/>
        </w:rPr>
        <w:t>事故泄漏溢油弥散面积</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采用经验数学模型，根据成品油的物理力学特性，选用适当参数，计算突发泄漏事故溢油经历不同时间后，不同泄漏溢油量所导致的弥散油膜的等效圆直径与油膜弥散面积。</w: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③</w:t>
      </w:r>
      <w:r>
        <w:rPr>
          <w:rFonts w:ascii="Times New Roman" w:hAnsi="Times New Roman"/>
          <w:snapToGrid w:val="0"/>
          <w:kern w:val="0"/>
          <w:szCs w:val="28"/>
        </w:rPr>
        <w:t>源强分析</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一旦发生船舶相撞意外事故导致船舶漏油现象，船方会立即启动应急程序，对燃料油进行围堵、蘸、吸，但仍有一部分油会泄漏，本环评事故源强按照采取措施后仍有约</w:t>
      </w:r>
      <w:r>
        <w:rPr>
          <w:rFonts w:ascii="Times New Roman" w:hAnsi="Times New Roman" w:hint="eastAsia"/>
          <w:snapToGrid w:val="0"/>
          <w:kern w:val="0"/>
          <w:szCs w:val="28"/>
        </w:rPr>
        <w:t>10</w:t>
      </w:r>
      <w:r>
        <w:rPr>
          <w:rFonts w:ascii="Times New Roman" w:hAnsi="Times New Roman"/>
          <w:snapToGrid w:val="0"/>
          <w:kern w:val="0"/>
          <w:szCs w:val="28"/>
        </w:rPr>
        <w:t>%</w:t>
      </w:r>
      <w:r>
        <w:rPr>
          <w:rFonts w:ascii="Times New Roman" w:hAnsi="Times New Roman"/>
          <w:snapToGrid w:val="0"/>
          <w:kern w:val="0"/>
          <w:szCs w:val="28"/>
        </w:rPr>
        <w:t>油量泄漏，即一次泄漏油量为</w:t>
      </w:r>
      <w:r>
        <w:rPr>
          <w:rFonts w:ascii="Times New Roman" w:hAnsi="Times New Roman" w:hint="eastAsia"/>
          <w:snapToGrid w:val="0"/>
          <w:kern w:val="0"/>
          <w:szCs w:val="28"/>
        </w:rPr>
        <w:t>0.5</w:t>
      </w:r>
      <w:r>
        <w:rPr>
          <w:rFonts w:ascii="Times New Roman" w:hAnsi="Times New Roman"/>
          <w:snapToGrid w:val="0"/>
          <w:kern w:val="0"/>
          <w:szCs w:val="28"/>
        </w:rPr>
        <w:t>吨，来预测水域污染范围和程度。</w: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④</w:t>
      </w:r>
      <w:r>
        <w:rPr>
          <w:rFonts w:ascii="Times New Roman" w:hAnsi="Times New Roman"/>
          <w:snapToGrid w:val="0"/>
          <w:kern w:val="0"/>
          <w:szCs w:val="28"/>
        </w:rPr>
        <w:t>预测结果见表</w:t>
      </w:r>
      <w:r>
        <w:rPr>
          <w:rFonts w:ascii="Times New Roman" w:hAnsi="Times New Roman" w:hint="eastAsia"/>
          <w:snapToGrid w:val="0"/>
          <w:kern w:val="0"/>
          <w:szCs w:val="28"/>
        </w:rPr>
        <w:t>8</w:t>
      </w:r>
      <w:r>
        <w:rPr>
          <w:rFonts w:ascii="Times New Roman" w:hAnsi="Times New Roman"/>
          <w:snapToGrid w:val="0"/>
          <w:kern w:val="0"/>
          <w:szCs w:val="28"/>
        </w:rPr>
        <w:t>.4-2</w:t>
      </w:r>
      <w:r>
        <w:rPr>
          <w:rFonts w:ascii="Times New Roman" w:hAnsi="Times New Roman"/>
          <w:snapToGrid w:val="0"/>
          <w:kern w:val="0"/>
          <w:szCs w:val="28"/>
        </w:rPr>
        <w:t>。</w:t>
      </w:r>
    </w:p>
    <w:p w:rsidR="004B4777" w:rsidRDefault="004B4777">
      <w:pPr>
        <w:snapToGrid w:val="0"/>
        <w:ind w:firstLineChars="0" w:firstLine="0"/>
        <w:jc w:val="center"/>
        <w:rPr>
          <w:rFonts w:ascii="Times New Roman" w:hAnsi="Times New Roman" w:hint="eastAsia"/>
          <w:b/>
          <w:szCs w:val="24"/>
        </w:rPr>
      </w:pPr>
    </w:p>
    <w:p w:rsidR="004B4777" w:rsidRDefault="004B4777">
      <w:pPr>
        <w:snapToGrid w:val="0"/>
        <w:ind w:firstLineChars="0" w:firstLine="0"/>
        <w:jc w:val="center"/>
        <w:rPr>
          <w:rFonts w:ascii="Times New Roman" w:hAnsi="Times New Roman" w:hint="eastAsia"/>
          <w:b/>
          <w:szCs w:val="24"/>
        </w:rPr>
      </w:pPr>
    </w:p>
    <w:p w:rsidR="004B4777" w:rsidRDefault="004B4777">
      <w:pPr>
        <w:snapToGrid w:val="0"/>
        <w:ind w:firstLineChars="0" w:firstLine="0"/>
        <w:jc w:val="center"/>
        <w:rPr>
          <w:rFonts w:ascii="Times New Roman" w:hAnsi="Times New Roman"/>
          <w:b/>
          <w:szCs w:val="24"/>
          <w:u w:val="single"/>
        </w:rPr>
      </w:pPr>
      <w:r>
        <w:rPr>
          <w:rFonts w:ascii="Times New Roman" w:hAnsi="Times New Roman"/>
          <w:b/>
          <w:szCs w:val="24"/>
          <w:u w:val="single"/>
        </w:rPr>
        <w:lastRenderedPageBreak/>
        <w:t>表</w:t>
      </w:r>
      <w:r>
        <w:rPr>
          <w:rFonts w:ascii="Times New Roman" w:hAnsi="Times New Roman" w:hint="eastAsia"/>
          <w:b/>
          <w:szCs w:val="24"/>
          <w:u w:val="single"/>
        </w:rPr>
        <w:t>8</w:t>
      </w:r>
      <w:r>
        <w:rPr>
          <w:rFonts w:ascii="Times New Roman" w:hAnsi="Times New Roman"/>
          <w:b/>
          <w:szCs w:val="24"/>
          <w:u w:val="single"/>
        </w:rPr>
        <w:t xml:space="preserve">.4-2   </w:t>
      </w:r>
      <w:r>
        <w:rPr>
          <w:rFonts w:ascii="Times New Roman" w:hAnsi="Times New Roman"/>
          <w:b/>
          <w:szCs w:val="24"/>
          <w:u w:val="single"/>
        </w:rPr>
        <w:t>漏油量</w:t>
      </w:r>
      <w:r>
        <w:rPr>
          <w:rFonts w:ascii="Times New Roman" w:hAnsi="Times New Roman"/>
          <w:b/>
          <w:szCs w:val="24"/>
          <w:u w:val="single"/>
        </w:rPr>
        <w:t>0.5t</w:t>
      </w:r>
      <w:r>
        <w:rPr>
          <w:rFonts w:ascii="Times New Roman" w:hAnsi="Times New Roman"/>
          <w:b/>
          <w:szCs w:val="24"/>
          <w:u w:val="single"/>
        </w:rPr>
        <w:t>油膜扩散范围计算结果</w:t>
      </w:r>
    </w:p>
    <w:tbl>
      <w:tblPr>
        <w:tblW w:w="0" w:type="auto"/>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01"/>
        <w:gridCol w:w="1857"/>
        <w:gridCol w:w="1857"/>
        <w:gridCol w:w="1857"/>
        <w:gridCol w:w="1857"/>
      </w:tblGrid>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u w:val="single"/>
              </w:rPr>
            </w:pPr>
            <w:r>
              <w:rPr>
                <w:rFonts w:ascii="Times New Roman" w:hAnsi="Times New Roman"/>
                <w:b/>
                <w:snapToGrid w:val="0"/>
                <w:kern w:val="0"/>
                <w:sz w:val="21"/>
                <w:szCs w:val="21"/>
                <w:u w:val="single"/>
              </w:rPr>
              <w:t>序号</w:t>
            </w:r>
          </w:p>
        </w:tc>
        <w:tc>
          <w:tcPr>
            <w:tcW w:w="185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u w:val="single"/>
              </w:rPr>
            </w:pPr>
            <w:r>
              <w:rPr>
                <w:rFonts w:ascii="Times New Roman" w:hAnsi="Times New Roman"/>
                <w:b/>
                <w:snapToGrid w:val="0"/>
                <w:kern w:val="0"/>
                <w:sz w:val="21"/>
                <w:szCs w:val="21"/>
                <w:u w:val="single"/>
              </w:rPr>
              <w:t>时间（</w:t>
            </w:r>
            <w:r>
              <w:rPr>
                <w:rFonts w:ascii="Times New Roman" w:hAnsi="Times New Roman"/>
                <w:b/>
                <w:snapToGrid w:val="0"/>
                <w:kern w:val="0"/>
                <w:sz w:val="21"/>
                <w:szCs w:val="21"/>
                <w:u w:val="single"/>
              </w:rPr>
              <w:t>s</w:t>
            </w:r>
            <w:r>
              <w:rPr>
                <w:rFonts w:ascii="Times New Roman" w:hAnsi="Times New Roman"/>
                <w:b/>
                <w:snapToGrid w:val="0"/>
                <w:kern w:val="0"/>
                <w:sz w:val="21"/>
                <w:szCs w:val="21"/>
                <w:u w:val="single"/>
              </w:rPr>
              <w:t>）</w:t>
            </w:r>
          </w:p>
        </w:tc>
        <w:tc>
          <w:tcPr>
            <w:tcW w:w="185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u w:val="single"/>
              </w:rPr>
            </w:pPr>
            <w:r>
              <w:rPr>
                <w:rFonts w:ascii="Times New Roman" w:hAnsi="Times New Roman"/>
                <w:b/>
                <w:snapToGrid w:val="0"/>
                <w:kern w:val="0"/>
                <w:sz w:val="21"/>
                <w:szCs w:val="21"/>
                <w:u w:val="single"/>
              </w:rPr>
              <w:t>半径（</w:t>
            </w:r>
            <w:r>
              <w:rPr>
                <w:rFonts w:ascii="Times New Roman" w:hAnsi="Times New Roman"/>
                <w:b/>
                <w:snapToGrid w:val="0"/>
                <w:kern w:val="0"/>
                <w:sz w:val="21"/>
                <w:szCs w:val="21"/>
                <w:u w:val="single"/>
              </w:rPr>
              <w:t>m</w:t>
            </w:r>
            <w:r>
              <w:rPr>
                <w:rFonts w:ascii="Times New Roman" w:hAnsi="Times New Roman"/>
                <w:b/>
                <w:snapToGrid w:val="0"/>
                <w:kern w:val="0"/>
                <w:sz w:val="21"/>
                <w:szCs w:val="21"/>
                <w:u w:val="single"/>
              </w:rPr>
              <w:t>）</w:t>
            </w:r>
          </w:p>
        </w:tc>
        <w:tc>
          <w:tcPr>
            <w:tcW w:w="185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u w:val="single"/>
              </w:rPr>
            </w:pPr>
            <w:r>
              <w:rPr>
                <w:rFonts w:ascii="Times New Roman" w:hAnsi="Times New Roman"/>
                <w:b/>
                <w:snapToGrid w:val="0"/>
                <w:kern w:val="0"/>
                <w:sz w:val="21"/>
                <w:szCs w:val="21"/>
                <w:u w:val="single"/>
              </w:rPr>
              <w:t>面积（</w:t>
            </w:r>
            <w:r>
              <w:rPr>
                <w:rFonts w:ascii="Times New Roman" w:hAnsi="Times New Roman"/>
                <w:b/>
                <w:snapToGrid w:val="0"/>
                <w:kern w:val="0"/>
                <w:sz w:val="21"/>
                <w:szCs w:val="21"/>
                <w:u w:val="single"/>
              </w:rPr>
              <w:t>m</w:t>
            </w:r>
            <w:r>
              <w:rPr>
                <w:rFonts w:ascii="Times New Roman" w:hAnsi="Times New Roman"/>
                <w:b/>
                <w:snapToGrid w:val="0"/>
                <w:kern w:val="0"/>
                <w:sz w:val="21"/>
                <w:szCs w:val="21"/>
                <w:u w:val="single"/>
                <w:vertAlign w:val="superscript"/>
              </w:rPr>
              <w:t>2</w:t>
            </w:r>
            <w:r>
              <w:rPr>
                <w:rFonts w:ascii="Times New Roman" w:hAnsi="Times New Roman"/>
                <w:b/>
                <w:snapToGrid w:val="0"/>
                <w:kern w:val="0"/>
                <w:sz w:val="21"/>
                <w:szCs w:val="21"/>
                <w:u w:val="single"/>
              </w:rPr>
              <w:t>）</w:t>
            </w:r>
          </w:p>
        </w:tc>
        <w:tc>
          <w:tcPr>
            <w:tcW w:w="1857" w:type="dxa"/>
            <w:vAlign w:val="center"/>
          </w:tcPr>
          <w:p w:rsidR="004B4777" w:rsidRDefault="004B4777">
            <w:pPr>
              <w:snapToGrid w:val="0"/>
              <w:spacing w:line="240" w:lineRule="auto"/>
              <w:ind w:firstLineChars="0" w:firstLine="0"/>
              <w:jc w:val="center"/>
              <w:rPr>
                <w:rFonts w:ascii="Times New Roman" w:hAnsi="Times New Roman"/>
                <w:b/>
                <w:snapToGrid w:val="0"/>
                <w:kern w:val="0"/>
                <w:sz w:val="21"/>
                <w:szCs w:val="21"/>
                <w:u w:val="single"/>
              </w:rPr>
            </w:pPr>
            <w:r>
              <w:rPr>
                <w:rFonts w:ascii="Times New Roman" w:hAnsi="Times New Roman"/>
                <w:b/>
                <w:snapToGrid w:val="0"/>
                <w:kern w:val="0"/>
                <w:sz w:val="21"/>
                <w:szCs w:val="21"/>
                <w:u w:val="single"/>
              </w:rPr>
              <w:t>厚度（</w:t>
            </w:r>
            <w:r>
              <w:rPr>
                <w:rFonts w:ascii="Times New Roman" w:hAnsi="Times New Roman"/>
                <w:b/>
                <w:snapToGrid w:val="0"/>
                <w:kern w:val="0"/>
                <w:sz w:val="21"/>
                <w:szCs w:val="21"/>
                <w:u w:val="single"/>
              </w:rPr>
              <w:t>mm</w:t>
            </w:r>
            <w:r>
              <w:rPr>
                <w:rFonts w:ascii="Times New Roman" w:hAnsi="Times New Roman"/>
                <w:b/>
                <w:snapToGrid w:val="0"/>
                <w:kern w:val="0"/>
                <w:sz w:val="21"/>
                <w:szCs w:val="21"/>
                <w:u w:val="single"/>
              </w:rPr>
              <w:t>）</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60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0.130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14.269</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0.153</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120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0.183</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28.537</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0.076</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240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0.259</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57.075</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0.038</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360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0.318</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85.612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0.025</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5</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480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0.367</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114.150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0.019</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6</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600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0.410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142.687</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0.015</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7</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840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0.485</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199.762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0.011</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960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0.519</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228.299</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0.010</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9</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1800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0.644</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352.099</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0.006</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8160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0.940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749.676</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0.003</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11</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9120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0.967</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792.548</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0.003</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10440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1.051</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937.252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0.002</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13</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19560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1.683</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2,403.582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0.001</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14</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27480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2.172</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4,002.496</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0.001</w:t>
            </w:r>
          </w:p>
        </w:tc>
      </w:tr>
      <w:tr w:rsidR="004B4777">
        <w:trPr>
          <w:trHeight w:val="397"/>
          <w:tblHeader/>
          <w:jc w:val="center"/>
        </w:trPr>
        <w:tc>
          <w:tcPr>
            <w:tcW w:w="1101"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15</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36360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2.680</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6,091.744</w:t>
            </w:r>
          </w:p>
        </w:tc>
        <w:tc>
          <w:tcPr>
            <w:tcW w:w="185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0.000</w:t>
            </w:r>
          </w:p>
        </w:tc>
      </w:tr>
    </w:tbl>
    <w:p w:rsidR="004B4777" w:rsidRDefault="004B4777">
      <w:pPr>
        <w:snapToGrid w:val="0"/>
        <w:spacing w:before="100" w:beforeAutospacing="1"/>
        <w:ind w:firstLine="449"/>
        <w:rPr>
          <w:rFonts w:ascii="Times New Roman" w:hAnsi="Times New Roman" w:hint="eastAsia"/>
          <w:snapToGrid w:val="0"/>
          <w:kern w:val="0"/>
          <w:szCs w:val="28"/>
        </w:rPr>
      </w:pPr>
      <w:r>
        <w:rPr>
          <w:rFonts w:ascii="Times New Roman" w:hAnsi="Times New Roman"/>
          <w:snapToGrid w:val="0"/>
          <w:kern w:val="0"/>
          <w:szCs w:val="28"/>
        </w:rPr>
        <w:t>事故溢油预测结果表明：船舶装卸油泄露</w:t>
      </w:r>
      <w:r>
        <w:rPr>
          <w:rFonts w:ascii="Times New Roman" w:hAnsi="Times New Roman"/>
          <w:snapToGrid w:val="0"/>
          <w:kern w:val="0"/>
          <w:szCs w:val="28"/>
        </w:rPr>
        <w:t>0.5t</w:t>
      </w:r>
      <w:r>
        <w:rPr>
          <w:rFonts w:ascii="Times New Roman" w:hAnsi="Times New Roman"/>
          <w:snapToGrid w:val="0"/>
          <w:kern w:val="0"/>
          <w:szCs w:val="28"/>
        </w:rPr>
        <w:t>的情况下，在</w:t>
      </w:r>
      <w:r>
        <w:rPr>
          <w:rFonts w:ascii="Times New Roman" w:hAnsi="Times New Roman"/>
          <w:snapToGrid w:val="0"/>
          <w:kern w:val="0"/>
          <w:szCs w:val="28"/>
        </w:rPr>
        <w:t>360s</w:t>
      </w:r>
      <w:r>
        <w:rPr>
          <w:rFonts w:ascii="Times New Roman" w:hAnsi="Times New Roman"/>
          <w:snapToGrid w:val="0"/>
          <w:kern w:val="0"/>
          <w:szCs w:val="28"/>
        </w:rPr>
        <w:t>后油污层厚度约</w:t>
      </w:r>
      <w:r>
        <w:rPr>
          <w:rFonts w:ascii="Times New Roman" w:hAnsi="Times New Roman"/>
          <w:snapToGrid w:val="0"/>
          <w:kern w:val="0"/>
          <w:szCs w:val="28"/>
        </w:rPr>
        <w:t>0.025mm</w:t>
      </w:r>
      <w:r>
        <w:rPr>
          <w:rFonts w:ascii="Times New Roman" w:hAnsi="Times New Roman"/>
          <w:snapToGrid w:val="0"/>
          <w:kern w:val="0"/>
          <w:szCs w:val="28"/>
        </w:rPr>
        <w:t>（低于临界厚度），继而油膜将会被破坏，呈分散状，油膜破坏后，将在水力和风力作用下继续发生蒸发溶解分散乳化氧化生物降解等，即受环境因素影响所发生的物理化学变化，逐步消散。</w:t>
      </w: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t>溢油事故一旦发生，将对下游一定距离内的水质产生污染影响，造成污染水域水生生态环境短期恶化，水生生物量损失，因此，应严格杜绝和避免事故的发生。</w: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本环评建议制定完备的应急计划，采取各种防范措施，配备必要的拦油和吸油设备，一旦发生溢油事故，应该立即启动应急预案，及时对事故进行控制，缩小事故的影响范围和时间。</w:t>
      </w:r>
    </w:p>
    <w:p w:rsidR="004B4777" w:rsidRDefault="004B4777">
      <w:pPr>
        <w:pStyle w:val="3"/>
        <w:snapToGrid w:val="0"/>
        <w:spacing w:before="0" w:after="0"/>
        <w:rPr>
          <w:rFonts w:ascii="Times New Roman" w:eastAsia="宋体" w:hAnsi="Times New Roman"/>
          <w:b/>
        </w:rPr>
      </w:pPr>
      <w:bookmarkStart w:id="228" w:name="_Toc361926884"/>
      <w:r>
        <w:rPr>
          <w:rFonts w:ascii="Times New Roman" w:eastAsia="宋体" w:hAnsi="Times New Roman" w:hint="eastAsia"/>
          <w:b/>
        </w:rPr>
        <w:t>8</w:t>
      </w:r>
      <w:r>
        <w:rPr>
          <w:rFonts w:ascii="Times New Roman" w:eastAsia="宋体" w:hAnsi="Times New Roman"/>
          <w:b/>
        </w:rPr>
        <w:t xml:space="preserve">.4.3 </w:t>
      </w:r>
      <w:r>
        <w:rPr>
          <w:rFonts w:ascii="Times New Roman" w:eastAsia="宋体" w:hAnsi="Times New Roman"/>
          <w:b/>
        </w:rPr>
        <w:t>水生生态风险影响分析</w:t>
      </w:r>
      <w:bookmarkEnd w:id="228"/>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一方面，由于管理疏忽、操作违反规程或失误等原因引起石油类跑、冒、滴、漏事故的可能性是比较大的，这类溢油事故对环境影响相对较小，但也会对水域造成油污染；另一方面，随着项目采砂的开始，采砂区和航道的船舶流量增加，</w:t>
      </w:r>
      <w:r>
        <w:rPr>
          <w:rFonts w:ascii="Times New Roman" w:hAnsi="Times New Roman" w:hint="eastAsia"/>
          <w:snapToGrid w:val="0"/>
          <w:kern w:val="0"/>
          <w:szCs w:val="28"/>
        </w:rPr>
        <w:lastRenderedPageBreak/>
        <w:t>导致</w:t>
      </w:r>
      <w:r>
        <w:rPr>
          <w:rFonts w:ascii="Times New Roman" w:hAnsi="Times New Roman"/>
          <w:snapToGrid w:val="0"/>
          <w:kern w:val="0"/>
          <w:szCs w:val="28"/>
        </w:rPr>
        <w:t>水上交通事故发生概率增大，一旦发生事故，不可避免有船舶燃料油进入水体，将对水生生物和渔业产生较大影响。溢油的危害是由油的化学组成，特性及其在水体里存在的形式所决定的。石油类均会对水生生物生命构成威胁和危害，</w:t>
      </w:r>
      <w:r>
        <w:rPr>
          <w:rFonts w:ascii="Times New Roman" w:hAnsi="Times New Roman" w:hint="eastAsia"/>
          <w:snapToGrid w:val="0"/>
          <w:kern w:val="0"/>
          <w:szCs w:val="28"/>
        </w:rPr>
        <w:t>甚至</w:t>
      </w:r>
      <w:r>
        <w:rPr>
          <w:rFonts w:ascii="Times New Roman" w:hAnsi="Times New Roman"/>
          <w:snapToGrid w:val="0"/>
          <w:kern w:val="0"/>
          <w:szCs w:val="28"/>
        </w:rPr>
        <w:t>死亡。</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(1)</w:t>
      </w:r>
      <w:r>
        <w:rPr>
          <w:rFonts w:ascii="Times New Roman" w:hAnsi="Times New Roman"/>
          <w:snapToGrid w:val="0"/>
          <w:kern w:val="0"/>
          <w:szCs w:val="28"/>
        </w:rPr>
        <w:t>对鱼类的急性毒性测试</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根据近年来对几种不同鱼类仔鱼的毒性试验结果表明，石油类对鲤鱼仔鱼</w:t>
      </w:r>
      <w:r>
        <w:rPr>
          <w:rFonts w:ascii="Times New Roman" w:hAnsi="Times New Roman"/>
          <w:snapToGrid w:val="0"/>
          <w:kern w:val="0"/>
          <w:szCs w:val="28"/>
        </w:rPr>
        <w:t>96h LC50</w:t>
      </w:r>
      <w:r>
        <w:rPr>
          <w:rFonts w:ascii="Times New Roman" w:hAnsi="Times New Roman"/>
          <w:snapToGrid w:val="0"/>
          <w:kern w:val="0"/>
          <w:szCs w:val="28"/>
        </w:rPr>
        <w:t>值为</w:t>
      </w:r>
      <w:r>
        <w:rPr>
          <w:rFonts w:ascii="Times New Roman" w:hAnsi="Times New Roman"/>
          <w:snapToGrid w:val="0"/>
          <w:kern w:val="0"/>
          <w:szCs w:val="28"/>
        </w:rPr>
        <w:t>0.5</w:t>
      </w:r>
      <w:r>
        <w:rPr>
          <w:rFonts w:ascii="Times New Roman" w:hAnsi="Times New Roman"/>
          <w:snapToGrid w:val="0"/>
          <w:kern w:val="0"/>
          <w:szCs w:val="28"/>
        </w:rPr>
        <w:t>～</w:t>
      </w:r>
      <w:r>
        <w:rPr>
          <w:rFonts w:ascii="Times New Roman" w:hAnsi="Times New Roman"/>
          <w:snapToGrid w:val="0"/>
          <w:kern w:val="0"/>
          <w:szCs w:val="28"/>
        </w:rPr>
        <w:t>3.0mg/L</w:t>
      </w:r>
      <w:r>
        <w:rPr>
          <w:rFonts w:ascii="Times New Roman" w:hAnsi="Times New Roman"/>
          <w:snapToGrid w:val="0"/>
          <w:kern w:val="0"/>
          <w:szCs w:val="28"/>
        </w:rPr>
        <w:t>，因此污染带瞬时高浓度排放</w:t>
      </w:r>
      <w:r>
        <w:rPr>
          <w:rFonts w:ascii="Times New Roman" w:hAnsi="Times New Roman"/>
          <w:snapToGrid w:val="0"/>
          <w:kern w:val="0"/>
          <w:szCs w:val="28"/>
        </w:rPr>
        <w:t>(</w:t>
      </w:r>
      <w:r>
        <w:rPr>
          <w:rFonts w:ascii="Times New Roman" w:hAnsi="Times New Roman"/>
          <w:snapToGrid w:val="0"/>
          <w:kern w:val="0"/>
          <w:szCs w:val="28"/>
        </w:rPr>
        <w:t>即事故性排放</w:t>
      </w:r>
      <w:r>
        <w:rPr>
          <w:rFonts w:ascii="Times New Roman" w:hAnsi="Times New Roman"/>
          <w:snapToGrid w:val="0"/>
          <w:kern w:val="0"/>
          <w:szCs w:val="28"/>
        </w:rPr>
        <w:t>)</w:t>
      </w:r>
      <w:r>
        <w:rPr>
          <w:rFonts w:ascii="Times New Roman" w:hAnsi="Times New Roman"/>
          <w:snapToGrid w:val="0"/>
          <w:kern w:val="0"/>
          <w:szCs w:val="28"/>
        </w:rPr>
        <w:t>可导致急性中毒死鱼事故。</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(2)</w:t>
      </w:r>
      <w:r>
        <w:rPr>
          <w:rFonts w:ascii="Times New Roman" w:hAnsi="Times New Roman"/>
          <w:snapToGrid w:val="0"/>
          <w:kern w:val="0"/>
          <w:szCs w:val="28"/>
        </w:rPr>
        <w:t>石油类在鱼体内的蓄积残留分析</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污染因子石油类在鱼体中的积累和残留可引起鱼类慢性中毒而带来长效应的污染影响，这种影响不仅可引起鱼类资源的变动，甚至会引起鱼类种质的变异。鱼类一旦与油分子接触就会在短时间内发生油臭，从而影响其食用价值。以</w:t>
      </w:r>
      <w:r>
        <w:rPr>
          <w:rFonts w:ascii="Times New Roman" w:hAnsi="Times New Roman"/>
          <w:snapToGrid w:val="0"/>
          <w:kern w:val="0"/>
          <w:szCs w:val="28"/>
        </w:rPr>
        <w:t>20</w:t>
      </w:r>
      <w:r>
        <w:rPr>
          <w:rFonts w:ascii="Times New Roman" w:hAnsi="Times New Roman"/>
          <w:snapToGrid w:val="0"/>
          <w:kern w:val="0"/>
          <w:szCs w:val="28"/>
        </w:rPr>
        <w:t>号燃料油为例，当石油类浓度为</w:t>
      </w:r>
      <w:r>
        <w:rPr>
          <w:rFonts w:ascii="Times New Roman" w:hAnsi="Times New Roman"/>
          <w:snapToGrid w:val="0"/>
          <w:kern w:val="0"/>
          <w:szCs w:val="28"/>
        </w:rPr>
        <w:t>0.01mg/L</w:t>
      </w:r>
      <w:r>
        <w:rPr>
          <w:rFonts w:ascii="Times New Roman" w:hAnsi="Times New Roman"/>
          <w:snapToGrid w:val="0"/>
          <w:kern w:val="0"/>
          <w:szCs w:val="28"/>
        </w:rPr>
        <w:t>时，</w:t>
      </w:r>
      <w:r>
        <w:rPr>
          <w:rFonts w:ascii="Times New Roman" w:hAnsi="Times New Roman"/>
          <w:snapToGrid w:val="0"/>
          <w:kern w:val="0"/>
          <w:szCs w:val="28"/>
        </w:rPr>
        <w:t>7</w:t>
      </w:r>
      <w:r>
        <w:rPr>
          <w:rFonts w:ascii="Times New Roman" w:hAnsi="Times New Roman"/>
          <w:snapToGrid w:val="0"/>
          <w:kern w:val="0"/>
          <w:szCs w:val="28"/>
        </w:rPr>
        <w:t>天之内就能对大部分的鱼、虾产生油味，</w:t>
      </w:r>
      <w:r>
        <w:rPr>
          <w:rFonts w:ascii="Times New Roman" w:hAnsi="Times New Roman"/>
          <w:snapToGrid w:val="0"/>
          <w:kern w:val="0"/>
          <w:szCs w:val="28"/>
        </w:rPr>
        <w:t>30</w:t>
      </w:r>
      <w:r>
        <w:rPr>
          <w:rFonts w:ascii="Times New Roman" w:hAnsi="Times New Roman"/>
          <w:snapToGrid w:val="0"/>
          <w:kern w:val="0"/>
          <w:szCs w:val="28"/>
        </w:rPr>
        <w:t>天内会使绝大多数鱼类产生异味。</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(3)</w:t>
      </w:r>
      <w:r>
        <w:rPr>
          <w:rFonts w:ascii="Times New Roman" w:hAnsi="Times New Roman"/>
          <w:snapToGrid w:val="0"/>
          <w:kern w:val="0"/>
          <w:szCs w:val="28"/>
        </w:rPr>
        <w:t>石油类对鱼的致突变性分析</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微核的产生是在诱变物作用之下造成染色体损伤而发生变异的一种形式，根据近年来对几种常见鱼类仔鱼鱼类外周血微核试验表明，鱼类微核的高检出率是由于江段水环境污染物的高浓度诱变物的诱发作用而引起，而石油类污染物可能是其主要的诱变源。</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(4)</w:t>
      </w:r>
      <w:r>
        <w:rPr>
          <w:rFonts w:ascii="Times New Roman" w:hAnsi="Times New Roman"/>
          <w:snapToGrid w:val="0"/>
          <w:kern w:val="0"/>
          <w:szCs w:val="28"/>
        </w:rPr>
        <w:t>石油类对浮游植物的影响</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实验证明石油会破坏浮游植物细胞，损坏叶绿素及干扰气体交换，从而妨碍它们的光合作用。这种破坏作用程度取决于石油的类型、浓度及浮游植物的种类。根据国内外许多毒性实验结果表明，作为鱼、虾类饵料基础的浮游植物，对各类油类的耐受能力都很低。一般浮游植物石油急性中毒致死浓度为</w:t>
      </w:r>
      <w:r>
        <w:rPr>
          <w:rFonts w:ascii="Times New Roman" w:hAnsi="Times New Roman"/>
          <w:snapToGrid w:val="0"/>
          <w:kern w:val="0"/>
          <w:szCs w:val="28"/>
        </w:rPr>
        <w:t>0.1</w:t>
      </w:r>
      <w:r>
        <w:rPr>
          <w:rFonts w:ascii="Times New Roman" w:hAnsi="Times New Roman"/>
          <w:snapToGrid w:val="0"/>
          <w:kern w:val="0"/>
          <w:szCs w:val="28"/>
        </w:rPr>
        <w:t>～</w:t>
      </w:r>
      <w:r>
        <w:rPr>
          <w:rFonts w:ascii="Times New Roman" w:hAnsi="Times New Roman"/>
          <w:snapToGrid w:val="0"/>
          <w:kern w:val="0"/>
          <w:szCs w:val="28"/>
        </w:rPr>
        <w:t>10.0mg/L</w:t>
      </w:r>
      <w:r>
        <w:rPr>
          <w:rFonts w:ascii="Times New Roman" w:hAnsi="Times New Roman"/>
          <w:snapToGrid w:val="0"/>
          <w:kern w:val="0"/>
          <w:szCs w:val="28"/>
        </w:rPr>
        <w:t>，一般为</w:t>
      </w:r>
      <w:r>
        <w:rPr>
          <w:rFonts w:ascii="Times New Roman" w:hAnsi="Times New Roman"/>
          <w:snapToGrid w:val="0"/>
          <w:kern w:val="0"/>
          <w:szCs w:val="28"/>
        </w:rPr>
        <w:t>1.0</w:t>
      </w:r>
      <w:r>
        <w:rPr>
          <w:rFonts w:ascii="Times New Roman" w:hAnsi="Times New Roman"/>
          <w:snapToGrid w:val="0"/>
          <w:kern w:val="0"/>
          <w:szCs w:val="28"/>
        </w:rPr>
        <w:t>～</w:t>
      </w:r>
      <w:r>
        <w:rPr>
          <w:rFonts w:ascii="Times New Roman" w:hAnsi="Times New Roman"/>
          <w:snapToGrid w:val="0"/>
          <w:kern w:val="0"/>
          <w:szCs w:val="28"/>
        </w:rPr>
        <w:t>3.6mg/L</w:t>
      </w:r>
      <w:r>
        <w:rPr>
          <w:rFonts w:ascii="Times New Roman" w:hAnsi="Times New Roman"/>
          <w:snapToGrid w:val="0"/>
          <w:kern w:val="0"/>
          <w:szCs w:val="28"/>
        </w:rPr>
        <w:t>，对于更敏感的种类，油浓度低于</w:t>
      </w:r>
      <w:r>
        <w:rPr>
          <w:rFonts w:ascii="Times New Roman" w:hAnsi="Times New Roman"/>
          <w:snapToGrid w:val="0"/>
          <w:kern w:val="0"/>
          <w:szCs w:val="28"/>
        </w:rPr>
        <w:t>0.1mg/L</w:t>
      </w:r>
      <w:r>
        <w:rPr>
          <w:rFonts w:ascii="Times New Roman" w:hAnsi="Times New Roman"/>
          <w:snapToGrid w:val="0"/>
          <w:kern w:val="0"/>
          <w:szCs w:val="28"/>
        </w:rPr>
        <w:t>时，也会妨碍细胞的分裂和生长的速率。</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(5)</w:t>
      </w:r>
      <w:r>
        <w:rPr>
          <w:rFonts w:ascii="Times New Roman" w:hAnsi="Times New Roman"/>
          <w:snapToGrid w:val="0"/>
          <w:kern w:val="0"/>
          <w:szCs w:val="28"/>
        </w:rPr>
        <w:t>石油类对浮游动物的影响</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浮游动物石油急性中毒致死浓度范围一般为</w:t>
      </w:r>
      <w:r>
        <w:rPr>
          <w:rFonts w:ascii="Times New Roman" w:hAnsi="Times New Roman"/>
          <w:snapToGrid w:val="0"/>
          <w:kern w:val="0"/>
          <w:szCs w:val="28"/>
        </w:rPr>
        <w:t>0.1</w:t>
      </w:r>
      <w:r>
        <w:rPr>
          <w:rFonts w:ascii="Times New Roman" w:hAnsi="Times New Roman"/>
          <w:snapToGrid w:val="0"/>
          <w:kern w:val="0"/>
          <w:szCs w:val="28"/>
        </w:rPr>
        <w:t>～</w:t>
      </w:r>
      <w:r>
        <w:rPr>
          <w:rFonts w:ascii="Times New Roman" w:hAnsi="Times New Roman"/>
          <w:snapToGrid w:val="0"/>
          <w:kern w:val="0"/>
          <w:szCs w:val="28"/>
        </w:rPr>
        <w:t>15mg/L</w:t>
      </w:r>
      <w:r>
        <w:rPr>
          <w:rFonts w:ascii="Times New Roman" w:hAnsi="Times New Roman"/>
          <w:snapToGrid w:val="0"/>
          <w:kern w:val="0"/>
          <w:szCs w:val="28"/>
        </w:rPr>
        <w:t>，而且通过不同浓度的石油类环境对桡足类幼体的影响实验表明，永久性</w:t>
      </w:r>
      <w:r>
        <w:rPr>
          <w:rFonts w:ascii="Times New Roman" w:hAnsi="Times New Roman"/>
          <w:snapToGrid w:val="0"/>
          <w:kern w:val="0"/>
          <w:szCs w:val="28"/>
        </w:rPr>
        <w:t>(</w:t>
      </w:r>
      <w:r>
        <w:rPr>
          <w:rFonts w:ascii="Times New Roman" w:hAnsi="Times New Roman"/>
          <w:snapToGrid w:val="0"/>
          <w:kern w:val="0"/>
          <w:szCs w:val="28"/>
        </w:rPr>
        <w:t>终生性</w:t>
      </w:r>
      <w:r>
        <w:rPr>
          <w:rFonts w:ascii="Times New Roman" w:hAnsi="Times New Roman"/>
          <w:snapToGrid w:val="0"/>
          <w:kern w:val="0"/>
          <w:szCs w:val="28"/>
        </w:rPr>
        <w:t>)</w:t>
      </w:r>
      <w:r>
        <w:rPr>
          <w:rFonts w:ascii="Times New Roman" w:hAnsi="Times New Roman"/>
          <w:snapToGrid w:val="0"/>
          <w:kern w:val="0"/>
          <w:szCs w:val="28"/>
        </w:rPr>
        <w:t>浮游动物幼体的敏感性大于阶段性</w:t>
      </w:r>
      <w:r>
        <w:rPr>
          <w:rFonts w:ascii="Times New Roman" w:hAnsi="Times New Roman"/>
          <w:snapToGrid w:val="0"/>
          <w:kern w:val="0"/>
          <w:szCs w:val="28"/>
        </w:rPr>
        <w:t>(</w:t>
      </w:r>
      <w:r>
        <w:rPr>
          <w:rFonts w:ascii="Times New Roman" w:hAnsi="Times New Roman"/>
          <w:snapToGrid w:val="0"/>
          <w:kern w:val="0"/>
          <w:szCs w:val="28"/>
        </w:rPr>
        <w:t>临时性</w:t>
      </w:r>
      <w:r>
        <w:rPr>
          <w:rFonts w:ascii="Times New Roman" w:hAnsi="Times New Roman"/>
          <w:snapToGrid w:val="0"/>
          <w:kern w:val="0"/>
          <w:szCs w:val="28"/>
        </w:rPr>
        <w:t>)</w:t>
      </w:r>
      <w:r>
        <w:rPr>
          <w:rFonts w:ascii="Times New Roman" w:hAnsi="Times New Roman"/>
          <w:snapToGrid w:val="0"/>
          <w:kern w:val="0"/>
          <w:szCs w:val="28"/>
        </w:rPr>
        <w:t>的底栖生物幼体，而它们各自的幼体的敏感性又大于</w:t>
      </w:r>
      <w:r>
        <w:rPr>
          <w:rFonts w:ascii="Times New Roman" w:hAnsi="Times New Roman"/>
          <w:snapToGrid w:val="0"/>
          <w:kern w:val="0"/>
          <w:szCs w:val="28"/>
        </w:rPr>
        <w:lastRenderedPageBreak/>
        <w:t>成体。</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综上所述，石油类对水生生物产生中毒影响的浓度阈值普遍较低，因此项目营运期一旦发生船舶溢油事故，本项目所处水域水生生态环境敏感，将会造成污染水域内鱼类急性中毒和鱼的致突变性等，对浮游植物和动物也会产生一定的中毒影响，严重的影响将会造成部分鱼类、水生动植物中毒死亡事故。</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综上所述，该项目营运期内一旦发生溢油事故，污染因子石油类将会对水体水质和生物生物带来重大负面影响，故建设单位必须严格落实本报告书提出的各项风险防范措施和事故应急预案。</w:t>
      </w:r>
    </w:p>
    <w:p w:rsidR="004B4777" w:rsidRDefault="004B4777">
      <w:pPr>
        <w:pStyle w:val="2"/>
        <w:snapToGrid w:val="0"/>
        <w:spacing w:before="0" w:after="0"/>
        <w:rPr>
          <w:rFonts w:ascii="Times New Roman" w:eastAsia="宋体" w:hAnsi="Times New Roman"/>
          <w:b/>
          <w:sz w:val="30"/>
          <w:szCs w:val="30"/>
        </w:rPr>
      </w:pPr>
      <w:bookmarkStart w:id="229" w:name="_Toc240715283"/>
      <w:bookmarkStart w:id="230" w:name="_Toc226869879"/>
      <w:bookmarkStart w:id="231" w:name="_Toc23791"/>
      <w:bookmarkStart w:id="232" w:name="_Toc523854049"/>
      <w:r>
        <w:rPr>
          <w:rFonts w:ascii="Times New Roman" w:eastAsia="宋体" w:hAnsi="Times New Roman" w:hint="eastAsia"/>
          <w:b/>
          <w:sz w:val="30"/>
          <w:szCs w:val="30"/>
        </w:rPr>
        <w:t>8</w:t>
      </w:r>
      <w:r>
        <w:rPr>
          <w:rFonts w:ascii="Times New Roman" w:eastAsia="宋体" w:hAnsi="Times New Roman"/>
          <w:b/>
          <w:sz w:val="30"/>
          <w:szCs w:val="30"/>
        </w:rPr>
        <w:t xml:space="preserve">.5 </w:t>
      </w:r>
      <w:r>
        <w:rPr>
          <w:rFonts w:ascii="Times New Roman" w:eastAsia="宋体" w:hAnsi="Times New Roman"/>
          <w:b/>
          <w:sz w:val="30"/>
          <w:szCs w:val="30"/>
        </w:rPr>
        <w:t>环境风险防范对策与建议</w:t>
      </w:r>
      <w:bookmarkEnd w:id="229"/>
      <w:bookmarkEnd w:id="230"/>
      <w:bookmarkEnd w:id="231"/>
      <w:bookmarkEnd w:id="232"/>
    </w:p>
    <w:p w:rsidR="004B4777" w:rsidRDefault="004B4777">
      <w:pPr>
        <w:snapToGrid w:val="0"/>
        <w:ind w:firstLine="449"/>
        <w:rPr>
          <w:rFonts w:ascii="Times New Roman" w:hAnsi="Times New Roman"/>
          <w:snapToGrid w:val="0"/>
          <w:kern w:val="0"/>
          <w:szCs w:val="24"/>
          <w:u w:val="single"/>
        </w:rPr>
      </w:pPr>
      <w:r>
        <w:rPr>
          <w:rFonts w:ascii="Times New Roman" w:hAnsi="Times New Roman"/>
          <w:snapToGrid w:val="0"/>
          <w:kern w:val="0"/>
          <w:szCs w:val="24"/>
          <w:u w:val="single"/>
        </w:rPr>
        <w:t>根据上述风险分析结果，针对性的提出以下几点风险防治对策，详见表</w:t>
      </w:r>
      <w:r>
        <w:rPr>
          <w:rFonts w:ascii="Times New Roman" w:hAnsi="Times New Roman" w:hint="eastAsia"/>
          <w:snapToGrid w:val="0"/>
          <w:kern w:val="0"/>
          <w:szCs w:val="24"/>
          <w:u w:val="single"/>
        </w:rPr>
        <w:t>8</w:t>
      </w:r>
      <w:r>
        <w:rPr>
          <w:rFonts w:ascii="Times New Roman" w:hAnsi="Times New Roman"/>
          <w:snapToGrid w:val="0"/>
          <w:kern w:val="0"/>
          <w:szCs w:val="24"/>
          <w:u w:val="single"/>
        </w:rPr>
        <w:t>.5-1</w:t>
      </w:r>
      <w:r>
        <w:rPr>
          <w:rFonts w:ascii="Times New Roman" w:hAnsi="Times New Roman"/>
          <w:snapToGrid w:val="0"/>
          <w:kern w:val="0"/>
          <w:szCs w:val="24"/>
          <w:u w:val="single"/>
        </w:rPr>
        <w:t>。</w:t>
      </w:r>
    </w:p>
    <w:p w:rsidR="004B4777" w:rsidRDefault="004B4777">
      <w:pPr>
        <w:snapToGrid w:val="0"/>
        <w:ind w:firstLine="451"/>
        <w:jc w:val="center"/>
        <w:rPr>
          <w:rFonts w:ascii="Times New Roman" w:hAnsi="Times New Roman"/>
          <w:b/>
          <w:snapToGrid w:val="0"/>
          <w:kern w:val="0"/>
          <w:szCs w:val="24"/>
          <w:u w:val="single"/>
        </w:rPr>
      </w:pPr>
      <w:r>
        <w:rPr>
          <w:rFonts w:ascii="Times New Roman" w:hAnsi="Times New Roman"/>
          <w:b/>
          <w:snapToGrid w:val="0"/>
          <w:kern w:val="0"/>
          <w:szCs w:val="24"/>
          <w:u w:val="single"/>
        </w:rPr>
        <w:t>表</w:t>
      </w:r>
      <w:r>
        <w:rPr>
          <w:rFonts w:ascii="Times New Roman" w:hAnsi="Times New Roman" w:hint="eastAsia"/>
          <w:b/>
          <w:snapToGrid w:val="0"/>
          <w:kern w:val="0"/>
          <w:szCs w:val="24"/>
          <w:u w:val="single"/>
        </w:rPr>
        <w:t>8</w:t>
      </w:r>
      <w:r>
        <w:rPr>
          <w:rFonts w:ascii="Times New Roman" w:hAnsi="Times New Roman"/>
          <w:b/>
          <w:bCs/>
          <w:snapToGrid w:val="0"/>
          <w:kern w:val="0"/>
          <w:szCs w:val="24"/>
          <w:u w:val="single"/>
        </w:rPr>
        <w:t>.</w:t>
      </w:r>
      <w:r>
        <w:rPr>
          <w:rFonts w:ascii="Times New Roman" w:hAnsi="Times New Roman" w:hint="eastAsia"/>
          <w:b/>
          <w:bCs/>
          <w:snapToGrid w:val="0"/>
          <w:kern w:val="0"/>
          <w:szCs w:val="24"/>
          <w:u w:val="single"/>
        </w:rPr>
        <w:t>5</w:t>
      </w:r>
      <w:r>
        <w:rPr>
          <w:rFonts w:ascii="Times New Roman" w:hAnsi="Times New Roman"/>
          <w:b/>
          <w:bCs/>
          <w:snapToGrid w:val="0"/>
          <w:kern w:val="0"/>
          <w:szCs w:val="24"/>
          <w:u w:val="single"/>
        </w:rPr>
        <w:t xml:space="preserve">-1    </w:t>
      </w:r>
      <w:r>
        <w:rPr>
          <w:rFonts w:ascii="Times New Roman" w:hAnsi="Times New Roman"/>
          <w:b/>
          <w:snapToGrid w:val="0"/>
          <w:kern w:val="0"/>
          <w:szCs w:val="24"/>
          <w:u w:val="single"/>
        </w:rPr>
        <w:t>作业船舶溢油风险防范对策措施一览表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8"/>
        <w:gridCol w:w="4820"/>
        <w:gridCol w:w="1385"/>
      </w:tblGrid>
      <w:tr w:rsidR="004B4777">
        <w:trPr>
          <w:trHeight w:val="397"/>
          <w:jc w:val="center"/>
        </w:trPr>
        <w:tc>
          <w:tcPr>
            <w:tcW w:w="2248"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溢油风险来源</w:t>
            </w:r>
          </w:p>
        </w:tc>
        <w:tc>
          <w:tcPr>
            <w:tcW w:w="48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对策措施</w:t>
            </w:r>
          </w:p>
        </w:tc>
        <w:tc>
          <w:tcPr>
            <w:tcW w:w="138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责任部门（人）</w:t>
            </w:r>
          </w:p>
        </w:tc>
      </w:tr>
      <w:tr w:rsidR="004B4777">
        <w:trPr>
          <w:trHeight w:val="397"/>
          <w:jc w:val="center"/>
        </w:trPr>
        <w:tc>
          <w:tcPr>
            <w:tcW w:w="2248" w:type="dxa"/>
            <w:vMerge w:val="restart"/>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管理疏忽、操作违反规程或失误等原因引起油类跑、冒、滴、漏事故</w:t>
            </w:r>
          </w:p>
        </w:tc>
        <w:tc>
          <w:tcPr>
            <w:tcW w:w="4820" w:type="dxa"/>
            <w:tcBorders>
              <w:bottom w:val="single" w:sz="2" w:space="0" w:color="auto"/>
            </w:tcBorders>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做好设备的日常维修检查，保持设备的良好运行和密闭性，发生故障后应及时予以修复。</w:t>
            </w:r>
          </w:p>
        </w:tc>
        <w:tc>
          <w:tcPr>
            <w:tcW w:w="1385" w:type="dxa"/>
            <w:tcBorders>
              <w:bottom w:val="single" w:sz="2" w:space="0" w:color="auto"/>
            </w:tcBorders>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建设单位</w:t>
            </w:r>
          </w:p>
        </w:tc>
      </w:tr>
      <w:tr w:rsidR="004B4777">
        <w:trPr>
          <w:trHeight w:val="397"/>
          <w:jc w:val="center"/>
        </w:trPr>
        <w:tc>
          <w:tcPr>
            <w:tcW w:w="2248" w:type="dxa"/>
            <w:vMerge/>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p>
        </w:tc>
        <w:tc>
          <w:tcPr>
            <w:tcW w:w="4820" w:type="dxa"/>
            <w:tcBorders>
              <w:top w:val="single" w:sz="2" w:space="0" w:color="auto"/>
              <w:bottom w:val="single" w:sz="2" w:space="0" w:color="auto"/>
            </w:tcBorders>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施工船舶配备适量的溢油应急设备和器材等物资。</w:t>
            </w:r>
          </w:p>
        </w:tc>
        <w:tc>
          <w:tcPr>
            <w:tcW w:w="1385" w:type="dxa"/>
            <w:tcBorders>
              <w:top w:val="single" w:sz="2" w:space="0" w:color="auto"/>
              <w:bottom w:val="single" w:sz="2" w:space="0" w:color="auto"/>
            </w:tcBorders>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建设单位</w:t>
            </w:r>
          </w:p>
        </w:tc>
      </w:tr>
      <w:tr w:rsidR="004B4777">
        <w:trPr>
          <w:trHeight w:val="397"/>
          <w:jc w:val="center"/>
        </w:trPr>
        <w:tc>
          <w:tcPr>
            <w:tcW w:w="2248" w:type="dxa"/>
            <w:vMerge/>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p>
        </w:tc>
        <w:tc>
          <w:tcPr>
            <w:tcW w:w="4820" w:type="dxa"/>
            <w:tcBorders>
              <w:top w:val="single" w:sz="2" w:space="0" w:color="auto"/>
            </w:tcBorders>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发生跑、冒、滴、漏事故，及时用围油栏拦截，收集溢油。</w:t>
            </w:r>
          </w:p>
        </w:tc>
        <w:tc>
          <w:tcPr>
            <w:tcW w:w="1385" w:type="dxa"/>
            <w:tcBorders>
              <w:top w:val="single" w:sz="2" w:space="0" w:color="auto"/>
            </w:tcBorders>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建设单位</w:t>
            </w:r>
          </w:p>
        </w:tc>
      </w:tr>
      <w:tr w:rsidR="004B4777">
        <w:trPr>
          <w:trHeight w:val="397"/>
          <w:jc w:val="center"/>
        </w:trPr>
        <w:tc>
          <w:tcPr>
            <w:tcW w:w="2248"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船舶本身出现设施损废，或者发生船舶碰撞</w:t>
            </w:r>
          </w:p>
        </w:tc>
        <w:tc>
          <w:tcPr>
            <w:tcW w:w="48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施工船舶需经过严格船检，达到作业现场的抗风浪能力，并保持良好工况，以防范台风和大雾等恶劣天气对航船的不利影响；一旦有恶劣天气来袭，应停止施工。</w:t>
            </w:r>
          </w:p>
        </w:tc>
        <w:tc>
          <w:tcPr>
            <w:tcW w:w="138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建设单位</w:t>
            </w:r>
          </w:p>
        </w:tc>
      </w:tr>
      <w:tr w:rsidR="004B4777">
        <w:trPr>
          <w:trHeight w:val="397"/>
          <w:jc w:val="center"/>
        </w:trPr>
        <w:tc>
          <w:tcPr>
            <w:tcW w:w="2248"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操纵不当和超载等原因致船舶翻沉</w:t>
            </w:r>
          </w:p>
        </w:tc>
        <w:tc>
          <w:tcPr>
            <w:tcW w:w="4820"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因船舶装载不在河砂运输过程中，应加强管理，不得装载过满。</w:t>
            </w:r>
          </w:p>
        </w:tc>
        <w:tc>
          <w:tcPr>
            <w:tcW w:w="138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1"/>
                <w:u w:val="single"/>
              </w:rPr>
            </w:pPr>
            <w:r>
              <w:rPr>
                <w:rFonts w:ascii="Times New Roman" w:hAnsi="Times New Roman"/>
                <w:snapToGrid w:val="0"/>
                <w:kern w:val="0"/>
                <w:sz w:val="21"/>
                <w:szCs w:val="21"/>
                <w:u w:val="single"/>
              </w:rPr>
              <w:t>建设单位</w:t>
            </w:r>
          </w:p>
        </w:tc>
      </w:tr>
    </w:tbl>
    <w:p w:rsidR="004B4777" w:rsidRDefault="004B4777">
      <w:pPr>
        <w:pStyle w:val="2"/>
        <w:spacing w:before="0" w:after="0"/>
        <w:rPr>
          <w:rFonts w:ascii="Times New Roman" w:eastAsia="宋体" w:hAnsi="Times New Roman"/>
          <w:b/>
          <w:sz w:val="30"/>
          <w:szCs w:val="30"/>
        </w:rPr>
      </w:pPr>
      <w:bookmarkStart w:id="233" w:name="_Toc523854050"/>
      <w:r>
        <w:rPr>
          <w:rFonts w:ascii="Times New Roman" w:eastAsia="宋体" w:hAnsi="Times New Roman" w:hint="eastAsia"/>
          <w:b/>
          <w:sz w:val="30"/>
          <w:szCs w:val="30"/>
        </w:rPr>
        <w:t>8</w:t>
      </w:r>
      <w:r>
        <w:rPr>
          <w:rFonts w:ascii="Times New Roman" w:eastAsia="宋体" w:hAnsi="Times New Roman"/>
          <w:b/>
          <w:sz w:val="30"/>
          <w:szCs w:val="30"/>
        </w:rPr>
        <w:t xml:space="preserve">.6 </w:t>
      </w:r>
      <w:r>
        <w:rPr>
          <w:rFonts w:ascii="Times New Roman" w:eastAsia="宋体" w:hAnsi="Times New Roman"/>
          <w:b/>
          <w:sz w:val="30"/>
          <w:szCs w:val="30"/>
        </w:rPr>
        <w:t>作业船舶溢油事故应急预案</w:t>
      </w:r>
      <w:bookmarkEnd w:id="233"/>
    </w:p>
    <w:p w:rsidR="004B4777" w:rsidRDefault="004B4777">
      <w:pPr>
        <w:snapToGrid w:val="0"/>
        <w:ind w:firstLine="451"/>
        <w:rPr>
          <w:rFonts w:ascii="Times New Roman" w:hAnsi="Times New Roman"/>
          <w:snapToGrid w:val="0"/>
          <w:kern w:val="0"/>
          <w:szCs w:val="24"/>
        </w:rPr>
      </w:pPr>
      <w:r>
        <w:rPr>
          <w:rFonts w:ascii="Times New Roman" w:hAnsi="Times New Roman"/>
          <w:b/>
          <w:bCs/>
          <w:snapToGrid w:val="0"/>
          <w:kern w:val="0"/>
          <w:szCs w:val="24"/>
        </w:rPr>
        <w:t>1</w:t>
      </w:r>
      <w:r>
        <w:rPr>
          <w:rFonts w:ascii="Times New Roman" w:hAnsi="Times New Roman"/>
          <w:snapToGrid w:val="0"/>
          <w:kern w:val="0"/>
          <w:szCs w:val="24"/>
        </w:rPr>
        <w:t>）</w:t>
      </w:r>
      <w:r>
        <w:rPr>
          <w:rFonts w:ascii="Times New Roman" w:hAnsi="Times New Roman"/>
          <w:snapToGrid w:val="0"/>
          <w:kern w:val="0"/>
          <w:szCs w:val="24"/>
        </w:rPr>
        <w:t xml:space="preserve"> </w:t>
      </w:r>
      <w:r>
        <w:rPr>
          <w:rFonts w:ascii="Times New Roman" w:hAnsi="Times New Roman"/>
          <w:snapToGrid w:val="0"/>
          <w:kern w:val="0"/>
          <w:szCs w:val="24"/>
        </w:rPr>
        <w:t>应急反应组织管理</w:t>
      </w:r>
    </w:p>
    <w:p w:rsidR="004B4777" w:rsidRDefault="004B4777">
      <w:pPr>
        <w:snapToGrid w:val="0"/>
        <w:ind w:firstLine="449"/>
        <w:rPr>
          <w:rFonts w:ascii="Times New Roman" w:hAnsi="Times New Roman" w:hint="eastAsia"/>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1</w:t>
      </w:r>
      <w:r>
        <w:rPr>
          <w:rFonts w:ascii="Times New Roman" w:hAnsi="Times New Roman"/>
          <w:snapToGrid w:val="0"/>
          <w:kern w:val="0"/>
          <w:szCs w:val="24"/>
        </w:rPr>
        <w:t>）应急组织：</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单位成立突发环境事件应急指挥体系，全面负责本项目突发环境事件的领导和指挥，制订公司环境事件应急管理方针、编制应急预案和管理以及日常预案工作计划并监督实施情况。为了防止事故的发生以及减轻事故所造成的危害，单位成立突发环境事件应急机构包括：应急指挥中心、应急办公室、现场指挥部、各应急工作小组。</w:t>
      </w:r>
    </w:p>
    <w:p w:rsidR="004B4777" w:rsidRDefault="004B4777">
      <w:pPr>
        <w:snapToGrid w:val="0"/>
        <w:ind w:firstLine="449"/>
        <w:rPr>
          <w:rFonts w:ascii="Times New Roman" w:hAnsi="Times New Roman"/>
          <w:snapToGrid w:val="0"/>
          <w:kern w:val="0"/>
          <w:szCs w:val="24"/>
        </w:rPr>
      </w:pPr>
      <w:r>
        <w:rPr>
          <w:rFonts w:ascii="Times New Roman" w:hAnsi="Times New Roman"/>
          <w:kern w:val="0"/>
        </w:rPr>
        <w:object w:dxaOrig="13754" w:dyaOrig="7110">
          <v:shape id="对象 37" o:spid="_x0000_i1033" type="#_x0000_t75" style="width:387.75pt;height:200.25pt;mso-position-horizontal-relative:page;mso-position-vertical-relative:page" o:ole="">
            <v:imagedata r:id="rId98" o:title=""/>
          </v:shape>
          <o:OLEObject Type="Embed" ProgID="Visio.Drawing.11" ShapeID="对象 37" DrawAspect="Content" ObjectID="_1597595875" r:id="rId99"/>
        </w:objec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2</w:t>
      </w:r>
      <w:r>
        <w:rPr>
          <w:rFonts w:ascii="Times New Roman" w:hAnsi="Times New Roman"/>
          <w:snapToGrid w:val="0"/>
          <w:kern w:val="0"/>
          <w:szCs w:val="24"/>
        </w:rPr>
        <w:t>）值班制度：</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a</w:t>
      </w:r>
      <w:r>
        <w:rPr>
          <w:rFonts w:ascii="Times New Roman" w:hAnsi="Times New Roman"/>
          <w:snapToGrid w:val="0"/>
          <w:kern w:val="0"/>
          <w:szCs w:val="24"/>
        </w:rPr>
        <w:t>）本项目施工单位实行</w:t>
      </w:r>
      <w:r>
        <w:rPr>
          <w:rFonts w:ascii="Times New Roman" w:hAnsi="Times New Roman"/>
          <w:snapToGrid w:val="0"/>
          <w:kern w:val="0"/>
          <w:szCs w:val="24"/>
        </w:rPr>
        <w:t>24</w:t>
      </w:r>
      <w:r>
        <w:rPr>
          <w:rFonts w:ascii="Times New Roman" w:hAnsi="Times New Roman"/>
          <w:snapToGrid w:val="0"/>
          <w:kern w:val="0"/>
          <w:szCs w:val="24"/>
        </w:rPr>
        <w:t>小时值班制度，保持信息畅通，值班人员应掌握船舶污染事故应急和搜救程序。</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b)</w:t>
      </w:r>
      <w:r>
        <w:rPr>
          <w:rFonts w:ascii="Times New Roman" w:hAnsi="Times New Roman"/>
          <w:snapToGrid w:val="0"/>
          <w:kern w:val="0"/>
          <w:szCs w:val="24"/>
        </w:rPr>
        <w:t>一旦发生船舶污染事故，值班人员接到报告</w:t>
      </w:r>
      <w:r>
        <w:rPr>
          <w:rFonts w:ascii="Times New Roman" w:hAnsi="Times New Roman"/>
          <w:snapToGrid w:val="0"/>
          <w:kern w:val="0"/>
          <w:szCs w:val="24"/>
        </w:rPr>
        <w:t>/</w:t>
      </w:r>
      <w:r>
        <w:rPr>
          <w:rFonts w:ascii="Times New Roman" w:hAnsi="Times New Roman"/>
          <w:snapToGrid w:val="0"/>
          <w:kern w:val="0"/>
          <w:szCs w:val="24"/>
        </w:rPr>
        <w:t>通知后，应将情况如实记录下来，并立即向施工船舶污染事故应急和搜救指挥长报告，通知船舶污染事故应急和搜救部门负责人。施工单位应急人员手机要保持</w:t>
      </w:r>
      <w:r>
        <w:rPr>
          <w:rFonts w:ascii="Times New Roman" w:hAnsi="Times New Roman"/>
          <w:snapToGrid w:val="0"/>
          <w:kern w:val="0"/>
          <w:szCs w:val="24"/>
        </w:rPr>
        <w:t xml:space="preserve">24 </w:t>
      </w:r>
      <w:r>
        <w:rPr>
          <w:rFonts w:ascii="Times New Roman" w:hAnsi="Times New Roman"/>
          <w:snapToGrid w:val="0"/>
          <w:kern w:val="0"/>
          <w:szCs w:val="24"/>
        </w:rPr>
        <w:t>小时开通状态。</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c)</w:t>
      </w:r>
      <w:r>
        <w:rPr>
          <w:rFonts w:ascii="Times New Roman" w:hAnsi="Times New Roman"/>
          <w:snapToGrid w:val="0"/>
          <w:kern w:val="0"/>
          <w:szCs w:val="24"/>
        </w:rPr>
        <w:t>指挥长接到报告后，应先核实事故情况，再向总经理报告，并立即组织人员和船舶污染事故应急器械到达事故现场。</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d)</w:t>
      </w:r>
      <w:r>
        <w:rPr>
          <w:rFonts w:ascii="Times New Roman" w:hAnsi="Times New Roman"/>
          <w:snapToGrid w:val="0"/>
          <w:kern w:val="0"/>
          <w:szCs w:val="24"/>
        </w:rPr>
        <w:t>日常应该提高人员的素质，定期进行演习和必要的技术培训，掌握有关设备的性能，熟练使用，同时保证清污设备的技术先进和良好的工作状态。</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3</w:t>
      </w:r>
      <w:r>
        <w:rPr>
          <w:rFonts w:ascii="Times New Roman" w:hAnsi="Times New Roman"/>
          <w:snapToGrid w:val="0"/>
          <w:kern w:val="0"/>
          <w:szCs w:val="24"/>
        </w:rPr>
        <w:t>）培训和演习：</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培训内容：培训内容由理论和操作培训两部分组成。对作业人员的培训应侧重于设备，设施等的使用和操作，对管理人员的培训应理论和操作并重，其管理和应用对策经验的获得可通过理论培训和模拟演戏中或得。</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演习：应定期参加应急反应练习，检验应急计划中的各个环节是否能快速、协调有效的实施，</w:t>
      </w:r>
      <w:r>
        <w:rPr>
          <w:rFonts w:ascii="Times New Roman" w:hAnsi="Times New Roman" w:hint="eastAsia"/>
          <w:snapToGrid w:val="0"/>
          <w:kern w:val="0"/>
          <w:szCs w:val="24"/>
        </w:rPr>
        <w:t>提高</w:t>
      </w:r>
      <w:r>
        <w:rPr>
          <w:rFonts w:ascii="Times New Roman" w:hAnsi="Times New Roman"/>
          <w:snapToGrid w:val="0"/>
          <w:kern w:val="0"/>
          <w:szCs w:val="24"/>
        </w:rPr>
        <w:t>应急</w:t>
      </w:r>
      <w:r>
        <w:rPr>
          <w:rFonts w:ascii="Times New Roman" w:hAnsi="Times New Roman" w:hint="eastAsia"/>
          <w:snapToGrid w:val="0"/>
          <w:kern w:val="0"/>
          <w:szCs w:val="24"/>
        </w:rPr>
        <w:t>反应</w:t>
      </w:r>
      <w:r>
        <w:rPr>
          <w:rFonts w:ascii="Times New Roman" w:hAnsi="Times New Roman"/>
          <w:snapToGrid w:val="0"/>
          <w:kern w:val="0"/>
          <w:szCs w:val="24"/>
        </w:rPr>
        <w:t>系统的实战能力。演习目标：</w:t>
      </w:r>
      <w:r>
        <w:rPr>
          <w:rFonts w:ascii="Times New Roman" w:hAnsi="Times New Roman"/>
          <w:snapToGrid w:val="0"/>
          <w:kern w:val="0"/>
          <w:szCs w:val="24"/>
        </w:rPr>
        <w:t xml:space="preserve">a) </w:t>
      </w:r>
      <w:r>
        <w:rPr>
          <w:rFonts w:ascii="Times New Roman" w:hAnsi="Times New Roman"/>
          <w:snapToGrid w:val="0"/>
          <w:kern w:val="0"/>
          <w:szCs w:val="24"/>
        </w:rPr>
        <w:t>使参与应急反应的各成员部分掌握、熟悉和深刻理解各自的职责；</w:t>
      </w:r>
      <w:r>
        <w:rPr>
          <w:rFonts w:ascii="Times New Roman" w:hAnsi="Times New Roman"/>
          <w:snapToGrid w:val="0"/>
          <w:kern w:val="0"/>
          <w:szCs w:val="24"/>
        </w:rPr>
        <w:t xml:space="preserve">b) </w:t>
      </w:r>
      <w:r>
        <w:rPr>
          <w:rFonts w:ascii="Times New Roman" w:hAnsi="Times New Roman" w:hint="eastAsia"/>
          <w:snapToGrid w:val="0"/>
          <w:kern w:val="0"/>
          <w:szCs w:val="24"/>
        </w:rPr>
        <w:t>保</w:t>
      </w:r>
      <w:r>
        <w:rPr>
          <w:rFonts w:ascii="Times New Roman" w:hAnsi="Times New Roman"/>
          <w:snapToGrid w:val="0"/>
          <w:kern w:val="0"/>
          <w:szCs w:val="24"/>
        </w:rPr>
        <w:t>持应急反应个有关环节的快速、协调、有效的运作；</w:t>
      </w:r>
      <w:r>
        <w:rPr>
          <w:rFonts w:ascii="Times New Roman" w:hAnsi="Times New Roman"/>
          <w:snapToGrid w:val="0"/>
          <w:kern w:val="0"/>
          <w:szCs w:val="24"/>
        </w:rPr>
        <w:t xml:space="preserve">c) </w:t>
      </w:r>
      <w:r>
        <w:rPr>
          <w:rFonts w:ascii="Times New Roman" w:hAnsi="Times New Roman"/>
          <w:snapToGrid w:val="0"/>
          <w:kern w:val="0"/>
          <w:szCs w:val="24"/>
        </w:rPr>
        <w:t>检查设备的可用性和性能；</w:t>
      </w:r>
      <w:r>
        <w:rPr>
          <w:rFonts w:ascii="Times New Roman" w:hAnsi="Times New Roman"/>
          <w:snapToGrid w:val="0"/>
          <w:kern w:val="0"/>
          <w:szCs w:val="24"/>
        </w:rPr>
        <w:t xml:space="preserve">d) </w:t>
      </w:r>
      <w:r>
        <w:rPr>
          <w:rFonts w:ascii="Times New Roman" w:hAnsi="Times New Roman"/>
          <w:snapToGrid w:val="0"/>
          <w:kern w:val="0"/>
          <w:szCs w:val="24"/>
        </w:rPr>
        <w:t>考核各级应急反应人员对理论和实际操作技能的熟悉程度，并及时发现应急计划制定和实施过程中的问题和不足之处。</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4</w:t>
      </w:r>
      <w:r>
        <w:rPr>
          <w:rFonts w:ascii="Times New Roman" w:hAnsi="Times New Roman"/>
          <w:snapToGrid w:val="0"/>
          <w:kern w:val="0"/>
          <w:szCs w:val="24"/>
        </w:rPr>
        <w:t>）索赔与赔偿</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lastRenderedPageBreak/>
        <w:t>关于损害的索赔和赔偿，按有关法律法规执行。</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5</w:t>
      </w:r>
      <w:r>
        <w:rPr>
          <w:rFonts w:ascii="Times New Roman" w:hAnsi="Times New Roman"/>
          <w:snapToGrid w:val="0"/>
          <w:kern w:val="0"/>
          <w:szCs w:val="24"/>
        </w:rPr>
        <w:t>）应急计划修订：</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修订时间：每年进行一次小修订，每</w:t>
      </w:r>
      <w:r>
        <w:rPr>
          <w:rFonts w:ascii="Times New Roman" w:hAnsi="Times New Roman"/>
          <w:snapToGrid w:val="0"/>
          <w:kern w:val="0"/>
          <w:szCs w:val="24"/>
        </w:rPr>
        <w:t xml:space="preserve">3 </w:t>
      </w:r>
      <w:r>
        <w:rPr>
          <w:rFonts w:ascii="Times New Roman" w:hAnsi="Times New Roman"/>
          <w:snapToGrid w:val="0"/>
          <w:kern w:val="0"/>
          <w:szCs w:val="24"/>
        </w:rPr>
        <w:t>至</w:t>
      </w:r>
      <w:r>
        <w:rPr>
          <w:rFonts w:ascii="Times New Roman" w:hAnsi="Times New Roman"/>
          <w:snapToGrid w:val="0"/>
          <w:kern w:val="0"/>
          <w:szCs w:val="24"/>
        </w:rPr>
        <w:t xml:space="preserve">5 </w:t>
      </w:r>
      <w:r>
        <w:rPr>
          <w:rFonts w:ascii="Times New Roman" w:hAnsi="Times New Roman"/>
          <w:snapToGrid w:val="0"/>
          <w:kern w:val="0"/>
          <w:szCs w:val="24"/>
        </w:rPr>
        <w:t>年进行一次全面修订。</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主要修订内容：应急计划因下列情况需定期修订，使</w:t>
      </w:r>
      <w:r>
        <w:rPr>
          <w:rFonts w:ascii="Times New Roman" w:hAnsi="Times New Roman" w:hint="eastAsia"/>
          <w:snapToGrid w:val="0"/>
          <w:kern w:val="0"/>
          <w:szCs w:val="24"/>
        </w:rPr>
        <w:t>符合</w:t>
      </w:r>
      <w:r>
        <w:rPr>
          <w:rFonts w:ascii="Times New Roman" w:hAnsi="Times New Roman"/>
          <w:snapToGrid w:val="0"/>
          <w:kern w:val="0"/>
          <w:szCs w:val="24"/>
        </w:rPr>
        <w:t>实际和更加完善：</w:t>
      </w:r>
      <w:r>
        <w:rPr>
          <w:rFonts w:ascii="Times New Roman" w:hAnsi="Times New Roman"/>
          <w:snapToGrid w:val="0"/>
          <w:kern w:val="0"/>
          <w:szCs w:val="24"/>
        </w:rPr>
        <w:t>a)</w:t>
      </w:r>
      <w:r>
        <w:rPr>
          <w:rFonts w:ascii="Times New Roman" w:hAnsi="Times New Roman"/>
          <w:snapToGrid w:val="0"/>
          <w:kern w:val="0"/>
          <w:szCs w:val="24"/>
        </w:rPr>
        <w:t>由于国家有关政策和法规的变化及政府机构的调整，需对应急组织机构和政策作相应调整。</w:t>
      </w:r>
      <w:r>
        <w:rPr>
          <w:rFonts w:ascii="Times New Roman" w:hAnsi="Times New Roman"/>
          <w:snapToGrid w:val="0"/>
          <w:kern w:val="0"/>
          <w:szCs w:val="24"/>
        </w:rPr>
        <w:t>b)</w:t>
      </w:r>
      <w:r>
        <w:rPr>
          <w:rFonts w:ascii="Times New Roman" w:hAnsi="Times New Roman"/>
          <w:snapToGrid w:val="0"/>
          <w:kern w:val="0"/>
          <w:szCs w:val="24"/>
        </w:rPr>
        <w:t>通过日常演习和实际事故的应急反应行动取得的经验等，对计划进行完善修订。</w:t>
      </w:r>
      <w:r>
        <w:rPr>
          <w:rFonts w:ascii="Times New Roman" w:hAnsi="Times New Roman"/>
          <w:snapToGrid w:val="0"/>
          <w:kern w:val="0"/>
          <w:szCs w:val="24"/>
        </w:rPr>
        <w:t>c)</w:t>
      </w:r>
      <w:r>
        <w:rPr>
          <w:rFonts w:ascii="Times New Roman" w:hAnsi="Times New Roman"/>
          <w:snapToGrid w:val="0"/>
          <w:kern w:val="0"/>
          <w:szCs w:val="24"/>
        </w:rPr>
        <w:t>根据环境敏感区的变化，应急技术的进步，设备的报废等情况进行修订。</w:t>
      </w:r>
    </w:p>
    <w:p w:rsidR="004B4777" w:rsidRDefault="004B4777">
      <w:pPr>
        <w:snapToGrid w:val="0"/>
        <w:ind w:firstLine="451"/>
        <w:rPr>
          <w:rFonts w:ascii="Times New Roman" w:hAnsi="Times New Roman"/>
          <w:snapToGrid w:val="0"/>
          <w:kern w:val="0"/>
          <w:szCs w:val="24"/>
        </w:rPr>
      </w:pPr>
      <w:r>
        <w:rPr>
          <w:rFonts w:ascii="Times New Roman" w:hAnsi="Times New Roman"/>
          <w:b/>
          <w:bCs/>
          <w:snapToGrid w:val="0"/>
          <w:kern w:val="0"/>
          <w:szCs w:val="24"/>
        </w:rPr>
        <w:t>2</w:t>
      </w:r>
      <w:r>
        <w:rPr>
          <w:rFonts w:ascii="Times New Roman" w:hAnsi="Times New Roman"/>
          <w:snapToGrid w:val="0"/>
          <w:kern w:val="0"/>
          <w:szCs w:val="24"/>
        </w:rPr>
        <w:t>）</w:t>
      </w:r>
      <w:r>
        <w:rPr>
          <w:rFonts w:ascii="Times New Roman" w:hAnsi="Times New Roman"/>
          <w:snapToGrid w:val="0"/>
          <w:kern w:val="0"/>
          <w:szCs w:val="24"/>
        </w:rPr>
        <w:t xml:space="preserve"> </w:t>
      </w:r>
      <w:r>
        <w:rPr>
          <w:rFonts w:ascii="Times New Roman" w:hAnsi="Times New Roman"/>
          <w:snapToGrid w:val="0"/>
          <w:kern w:val="0"/>
          <w:szCs w:val="24"/>
        </w:rPr>
        <w:t>应急反应</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应急反应是应急预案的重要组成部分，贯穿于事故发生后的全过程。</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1</w:t>
      </w:r>
      <w:r>
        <w:rPr>
          <w:rFonts w:ascii="Times New Roman" w:hAnsi="Times New Roman"/>
          <w:snapToGrid w:val="0"/>
          <w:kern w:val="0"/>
          <w:szCs w:val="24"/>
        </w:rPr>
        <w:t>）事故报告：</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现场人员发现船舶及其有关作业活动可能对水环境造成污染的，或者已经发生污染事故时，船舶、码头、装卸站应当立即采取相应的应急处置措施，根据现场各个方面状况初步判断事故性质与规模，并立即向</w:t>
      </w:r>
      <w:r>
        <w:rPr>
          <w:rFonts w:ascii="Times New Roman" w:hAnsi="Times New Roman" w:hint="eastAsia"/>
          <w:snapToGrid w:val="0"/>
          <w:kern w:val="0"/>
          <w:szCs w:val="24"/>
        </w:rPr>
        <w:t>岳阳</w:t>
      </w:r>
      <w:r>
        <w:rPr>
          <w:rFonts w:ascii="Times New Roman" w:hAnsi="Times New Roman"/>
          <w:snapToGrid w:val="0"/>
          <w:kern w:val="0"/>
          <w:szCs w:val="24"/>
        </w:rPr>
        <w:t>市渔业渔政局和</w:t>
      </w:r>
      <w:r>
        <w:rPr>
          <w:rFonts w:ascii="Times New Roman" w:hAnsi="Times New Roman" w:hint="eastAsia"/>
          <w:snapToGrid w:val="0"/>
          <w:kern w:val="0"/>
          <w:szCs w:val="24"/>
        </w:rPr>
        <w:t>岳阳</w:t>
      </w:r>
      <w:r>
        <w:rPr>
          <w:rFonts w:ascii="Times New Roman" w:hAnsi="Times New Roman"/>
          <w:snapToGrid w:val="0"/>
          <w:kern w:val="0"/>
          <w:szCs w:val="24"/>
        </w:rPr>
        <w:t>市水利局等部门报告：</w:t>
      </w:r>
      <w:r>
        <w:rPr>
          <w:rFonts w:ascii="Times New Roman" w:hAnsi="Times New Roman"/>
          <w:snapToGrid w:val="0"/>
          <w:kern w:val="0"/>
          <w:szCs w:val="24"/>
        </w:rPr>
        <w:t>a)</w:t>
      </w:r>
      <w:r>
        <w:rPr>
          <w:rFonts w:ascii="Times New Roman" w:hAnsi="Times New Roman"/>
          <w:snapToGrid w:val="0"/>
          <w:kern w:val="0"/>
          <w:szCs w:val="24"/>
        </w:rPr>
        <w:t>船舶污染事故发生的船舶名称、所属单位及确切地点。</w:t>
      </w:r>
      <w:r>
        <w:rPr>
          <w:rFonts w:ascii="Times New Roman" w:hAnsi="Times New Roman"/>
          <w:snapToGrid w:val="0"/>
          <w:kern w:val="0"/>
          <w:szCs w:val="24"/>
        </w:rPr>
        <w:t>b)</w:t>
      </w:r>
      <w:r>
        <w:rPr>
          <w:rFonts w:ascii="Times New Roman" w:hAnsi="Times New Roman"/>
          <w:snapToGrid w:val="0"/>
          <w:kern w:val="0"/>
          <w:szCs w:val="24"/>
        </w:rPr>
        <w:t>造成船舶污染事故的种类、数量、地点等。</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2</w:t>
      </w:r>
      <w:r>
        <w:rPr>
          <w:rFonts w:ascii="Times New Roman" w:hAnsi="Times New Roman"/>
          <w:snapToGrid w:val="0"/>
          <w:kern w:val="0"/>
          <w:szCs w:val="24"/>
        </w:rPr>
        <w:t>）事故初始评估：</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要立即对污染事故进行初始评估，通过初始评估，尽快再次确定报警（通报）部门采取应急反应措施。</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3</w:t>
      </w:r>
      <w:r>
        <w:rPr>
          <w:rFonts w:ascii="Times New Roman" w:hAnsi="Times New Roman"/>
          <w:snapToGrid w:val="0"/>
          <w:kern w:val="0"/>
          <w:szCs w:val="24"/>
        </w:rPr>
        <w:t>）应急措施：</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接受来自上级应急指挥部的指令，及时反馈事故现场有关情况和提出处理意见。调动现场的应急力量，采取对抗事故的应急反应行动。依据客观情况，向政府部门寻求应急人力、应急物资援助和专家咨询组的技术支持。</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4</w:t>
      </w:r>
      <w:r>
        <w:rPr>
          <w:rFonts w:ascii="Times New Roman" w:hAnsi="Times New Roman"/>
          <w:snapToGrid w:val="0"/>
          <w:kern w:val="0"/>
          <w:szCs w:val="24"/>
        </w:rPr>
        <w:t>）记录：</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对污染事故的应急处理过程详细的记录，以作为员工的培训学习的案例，并向渔业、水利、环保、环卫部门报告。</w:t>
      </w:r>
    </w:p>
    <w:p w:rsidR="004B4777" w:rsidRDefault="004B4777">
      <w:pPr>
        <w:snapToGrid w:val="0"/>
        <w:ind w:firstLine="451"/>
        <w:rPr>
          <w:rFonts w:ascii="Times New Roman" w:hAnsi="Times New Roman"/>
          <w:snapToGrid w:val="0"/>
          <w:kern w:val="0"/>
          <w:szCs w:val="24"/>
        </w:rPr>
      </w:pPr>
      <w:r>
        <w:rPr>
          <w:rFonts w:ascii="Times New Roman" w:hAnsi="Times New Roman"/>
          <w:b/>
          <w:bCs/>
          <w:snapToGrid w:val="0"/>
          <w:kern w:val="0"/>
          <w:szCs w:val="24"/>
        </w:rPr>
        <w:t>3</w:t>
      </w:r>
      <w:r>
        <w:rPr>
          <w:rFonts w:ascii="Times New Roman" w:hAnsi="Times New Roman"/>
          <w:snapToGrid w:val="0"/>
          <w:kern w:val="0"/>
          <w:szCs w:val="24"/>
        </w:rPr>
        <w:t>）</w:t>
      </w:r>
      <w:r>
        <w:rPr>
          <w:rFonts w:ascii="Times New Roman" w:hAnsi="Times New Roman"/>
          <w:snapToGrid w:val="0"/>
          <w:kern w:val="0"/>
          <w:szCs w:val="24"/>
        </w:rPr>
        <w:t xml:space="preserve"> </w:t>
      </w:r>
      <w:r>
        <w:rPr>
          <w:rFonts w:ascii="Times New Roman" w:hAnsi="Times New Roman"/>
          <w:snapToGrid w:val="0"/>
          <w:kern w:val="0"/>
          <w:szCs w:val="24"/>
        </w:rPr>
        <w:t>船舶污染事故应急处理方案及措施</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1</w:t>
      </w:r>
      <w:r>
        <w:rPr>
          <w:rFonts w:ascii="Times New Roman" w:hAnsi="Times New Roman"/>
          <w:snapToGrid w:val="0"/>
          <w:kern w:val="0"/>
          <w:szCs w:val="24"/>
        </w:rPr>
        <w:t>）指挥长到达现场后应立即与环保、渔业和水利部门取得联系，确定行动方案和措施。</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2</w:t>
      </w:r>
      <w:r>
        <w:rPr>
          <w:rFonts w:ascii="Times New Roman" w:hAnsi="Times New Roman"/>
          <w:snapToGrid w:val="0"/>
          <w:kern w:val="0"/>
          <w:szCs w:val="24"/>
        </w:rPr>
        <w:t>）根据船舶污染物的类型、规模、溢出污染物的种类、污染物扩散方向</w:t>
      </w:r>
      <w:r>
        <w:rPr>
          <w:rFonts w:ascii="Times New Roman" w:hAnsi="Times New Roman"/>
          <w:snapToGrid w:val="0"/>
          <w:kern w:val="0"/>
          <w:szCs w:val="24"/>
        </w:rPr>
        <w:lastRenderedPageBreak/>
        <w:t>等，考虑采取如下相应的防治措施：</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非持久性的油类：</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a)</w:t>
      </w:r>
      <w:r>
        <w:rPr>
          <w:rFonts w:ascii="Times New Roman" w:hAnsi="Times New Roman"/>
          <w:snapToGrid w:val="0"/>
          <w:kern w:val="0"/>
          <w:szCs w:val="24"/>
        </w:rPr>
        <w:t>一般采取回收方式，因为这种油经过一定的时间，大部分会挥发掉，但为防止其向附近的敏感区域扩散，可利用围油栏拦截和导向，在可能引起火灾的情况下，经</w:t>
      </w:r>
      <w:r>
        <w:rPr>
          <w:rFonts w:ascii="Times New Roman" w:hAnsi="Times New Roman" w:hint="eastAsia"/>
          <w:snapToGrid w:val="0"/>
          <w:kern w:val="0"/>
          <w:szCs w:val="24"/>
        </w:rPr>
        <w:t>岳阳市</w:t>
      </w:r>
      <w:r>
        <w:rPr>
          <w:rFonts w:ascii="Times New Roman" w:hAnsi="Times New Roman"/>
          <w:snapToGrid w:val="0"/>
          <w:kern w:val="0"/>
          <w:szCs w:val="24"/>
        </w:rPr>
        <w:t>环保局、</w:t>
      </w:r>
      <w:r>
        <w:rPr>
          <w:rFonts w:ascii="Times New Roman" w:hAnsi="Times New Roman" w:hint="eastAsia"/>
          <w:snapToGrid w:val="0"/>
          <w:kern w:val="0"/>
          <w:szCs w:val="24"/>
        </w:rPr>
        <w:t>岳阳市</w:t>
      </w:r>
      <w:r>
        <w:rPr>
          <w:rFonts w:ascii="Times New Roman" w:hAnsi="Times New Roman"/>
          <w:snapToGrid w:val="0"/>
          <w:kern w:val="0"/>
          <w:szCs w:val="24"/>
        </w:rPr>
        <w:t>渔业渔政局和</w:t>
      </w:r>
      <w:r>
        <w:rPr>
          <w:rFonts w:ascii="Times New Roman" w:hAnsi="Times New Roman" w:hint="eastAsia"/>
          <w:snapToGrid w:val="0"/>
          <w:kern w:val="0"/>
          <w:szCs w:val="24"/>
        </w:rPr>
        <w:t>岳阳市</w:t>
      </w:r>
      <w:r>
        <w:rPr>
          <w:rFonts w:ascii="Times New Roman" w:hAnsi="Times New Roman"/>
          <w:snapToGrid w:val="0"/>
          <w:kern w:val="0"/>
          <w:szCs w:val="24"/>
        </w:rPr>
        <w:t>水利局批准，可使用溢油处理剂（沉降剂，分散剂）使其沉降和分散。</w:t>
      </w:r>
      <w:r>
        <w:rPr>
          <w:rFonts w:ascii="Times New Roman" w:hAnsi="Times New Roman"/>
          <w:snapToGrid w:val="0"/>
          <w:kern w:val="0"/>
          <w:szCs w:val="24"/>
        </w:rPr>
        <w:t>b)</w:t>
      </w:r>
      <w:r>
        <w:rPr>
          <w:rFonts w:ascii="Times New Roman" w:hAnsi="Times New Roman"/>
          <w:snapToGrid w:val="0"/>
          <w:kern w:val="0"/>
          <w:szCs w:val="24"/>
        </w:rPr>
        <w:t>严格控制溢油处理剂的使用，要根据溢油的理化性质，流出数量、溢油地点以及周围的环境情况等，权衡利弊后，决定是否使用。</w:t>
      </w:r>
      <w:r>
        <w:rPr>
          <w:rFonts w:ascii="Times New Roman" w:hAnsi="Times New Roman"/>
          <w:snapToGrid w:val="0"/>
          <w:kern w:val="0"/>
          <w:szCs w:val="24"/>
        </w:rPr>
        <w:t>c)</w:t>
      </w:r>
      <w:r>
        <w:rPr>
          <w:rFonts w:ascii="Times New Roman" w:hAnsi="Times New Roman"/>
          <w:snapToGrid w:val="0"/>
          <w:kern w:val="0"/>
          <w:szCs w:val="24"/>
        </w:rPr>
        <w:t>若经预测和实际观察，溢油总的趋势是向外扩散时，可采取对应的防治行动，但需要严格监视溢油的扩散方向。</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持久性油类：</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a)</w:t>
      </w:r>
      <w:r>
        <w:rPr>
          <w:rFonts w:ascii="Times New Roman" w:hAnsi="Times New Roman"/>
          <w:snapToGrid w:val="0"/>
          <w:kern w:val="0"/>
          <w:szCs w:val="24"/>
        </w:rPr>
        <w:t>在可能的情况下，尽量采取回收方式进行回收。回收时可用浮油回收船、撇油器、油拖网、油拖把、吸油材料及人工捞取等。</w:t>
      </w:r>
      <w:r>
        <w:rPr>
          <w:rFonts w:ascii="Times New Roman" w:hAnsi="Times New Roman"/>
          <w:snapToGrid w:val="0"/>
          <w:kern w:val="0"/>
          <w:szCs w:val="24"/>
        </w:rPr>
        <w:t>b)</w:t>
      </w:r>
      <w:r>
        <w:rPr>
          <w:rFonts w:ascii="Times New Roman" w:hAnsi="Times New Roman"/>
          <w:snapToGrid w:val="0"/>
          <w:kern w:val="0"/>
          <w:szCs w:val="24"/>
        </w:rPr>
        <w:t>回收的废油、含油废水和岸线清理出来的油污废气物等，应考虑其运输、储存、处理和处置的方法。</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3</w:t>
      </w:r>
      <w:r>
        <w:rPr>
          <w:rFonts w:ascii="Times New Roman" w:hAnsi="Times New Roman"/>
          <w:snapToGrid w:val="0"/>
          <w:kern w:val="0"/>
          <w:szCs w:val="24"/>
        </w:rPr>
        <w:t>）需配备主要应急设施及设备以及溢油处理系统</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目前，国际上较多采用的溢油处理方法是物理清除法和化学清除法。物理清除法主要机械设备是围油栏和回收设备，首先是利用围油栏将溢油围在一定的区域内，然后采用回收装置回收溢油；化学清除法则是向浮油喷洒化学药剂－消油剂，使溢油分解消散，一般是在物理清除法不能使用的情况下使用。考虑本项目的实际情况，上溢油可以按以下流程处理：</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r>
      <w:r>
        <w:rPr>
          <w:rFonts w:ascii="Times New Roman" w:hAnsi="Times New Roman"/>
          <w:snapToGrid w:val="0"/>
          <w:kern w:val="0"/>
          <w:szCs w:val="24"/>
        </w:rPr>
        <w:pict>
          <v:group id="画布 182" o:spid="_x0000_s1206" editas="canvas" style="width:348.25pt;height:132.85pt;mso-position-horizontal-relative:char;mso-position-vertical-relative:line" coordsize="6965,2657">
            <o:lock v:ext="edit" aspectratio="t" text="t"/>
            <o:diagram v:ext="edit" dgmstyle="0" dgmscalex="0" dgmscaley="0"/>
            <v:shape id="_x0000_s1207" type="#_x0000_t75" style="position:absolute;width:6965;height:2657">
              <v:fill o:detectmouseclick="t"/>
              <v:path o:extrusionok="t"/>
              <o:lock v:ext="edit" rotation="t" text="t"/>
              <o:diagram v:ext="edit" dgmstyle="0" dgmscalex="0" dgmscaley="0"/>
            </v:shape>
            <v:shape id="图片 184" o:spid="_x0000_s1208" type="#_x0000_t75" style="position:absolute;width:6965;height:2657">
              <v:fill o:detectmouseclick="t"/>
              <v:imagedata r:id="rId100" o:title=""/>
            </v:shape>
            <v:rect id="矩形 185" o:spid="_x0000_s1209" style="position:absolute;left:118;top:75;width:1465;height:463" strokeweight="1pt">
              <v:textbox>
                <w:txbxContent>
                  <w:p w:rsidR="004B4777" w:rsidRDefault="004B4777">
                    <w:pPr>
                      <w:ind w:firstLine="449"/>
                    </w:pPr>
                  </w:p>
                </w:txbxContent>
              </v:textbox>
            </v:rect>
            <v:shape id="图片 186" o:spid="_x0000_s1210" type="#_x0000_t75" style="position:absolute;left:582;top:147;width:543;height:324">
              <v:fill o:detectmouseclick="t"/>
              <v:imagedata r:id="rId101" o:title="" croptop="3518f" cropbottom="54042f" cropleft="6259f" cropright="54192f"/>
            </v:shape>
            <w10:wrap type="none"/>
            <w10:anchorlock/>
          </v:group>
        </w:pic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同时，建立一套完整的监测与通讯联络系统，对于及时发现溢油事故，及早采取有效的污染控制措施也十分必要。</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本项目采砂船应配备一定数量的应急设备和器材，以便能够及时应对溢油风险。同时，本项目采砂船自身配备一定数量的溢油应急设施和器材，还能够应对跑、冒、滴、漏油等事件发生。配备的应急器材数量见表</w:t>
      </w:r>
      <w:r>
        <w:rPr>
          <w:rFonts w:ascii="Times New Roman" w:hAnsi="Times New Roman" w:hint="eastAsia"/>
          <w:snapToGrid w:val="0"/>
          <w:kern w:val="0"/>
          <w:szCs w:val="24"/>
        </w:rPr>
        <w:t>8.6</w:t>
      </w:r>
      <w:r>
        <w:rPr>
          <w:rFonts w:ascii="Times New Roman" w:hAnsi="Times New Roman"/>
          <w:snapToGrid w:val="0"/>
          <w:kern w:val="0"/>
          <w:szCs w:val="24"/>
        </w:rPr>
        <w:t>-1</w:t>
      </w:r>
      <w:r>
        <w:rPr>
          <w:rFonts w:ascii="Times New Roman" w:hAnsi="Times New Roman"/>
          <w:snapToGrid w:val="0"/>
          <w:kern w:val="0"/>
          <w:szCs w:val="24"/>
        </w:rPr>
        <w:t>。</w:t>
      </w:r>
    </w:p>
    <w:p w:rsidR="004B4777" w:rsidRDefault="004B4777" w:rsidP="004B4777">
      <w:pPr>
        <w:snapToGrid w:val="0"/>
        <w:spacing w:line="240" w:lineRule="auto"/>
        <w:ind w:firstLineChars="102" w:firstLine="230"/>
        <w:jc w:val="center"/>
        <w:rPr>
          <w:rFonts w:ascii="Times New Roman" w:hAnsi="Times New Roman"/>
          <w:b/>
          <w:snapToGrid w:val="0"/>
          <w:kern w:val="0"/>
          <w:szCs w:val="24"/>
        </w:rPr>
      </w:pPr>
      <w:r>
        <w:rPr>
          <w:rFonts w:ascii="Times New Roman" w:hAnsi="Times New Roman"/>
          <w:b/>
          <w:snapToGrid w:val="0"/>
          <w:kern w:val="0"/>
          <w:szCs w:val="24"/>
        </w:rPr>
        <w:lastRenderedPageBreak/>
        <w:t>表</w:t>
      </w:r>
      <w:r>
        <w:rPr>
          <w:rFonts w:ascii="Times New Roman" w:hAnsi="Times New Roman" w:hint="eastAsia"/>
          <w:b/>
          <w:snapToGrid w:val="0"/>
          <w:kern w:val="0"/>
          <w:szCs w:val="24"/>
        </w:rPr>
        <w:t>8</w:t>
      </w:r>
      <w:r>
        <w:rPr>
          <w:rFonts w:ascii="Times New Roman" w:hAnsi="Times New Roman"/>
          <w:b/>
          <w:snapToGrid w:val="0"/>
          <w:kern w:val="0"/>
          <w:szCs w:val="24"/>
        </w:rPr>
        <w:t>.</w:t>
      </w:r>
      <w:r>
        <w:rPr>
          <w:rFonts w:ascii="Times New Roman" w:hAnsi="Times New Roman" w:hint="eastAsia"/>
          <w:b/>
          <w:snapToGrid w:val="0"/>
          <w:kern w:val="0"/>
          <w:szCs w:val="24"/>
        </w:rPr>
        <w:t>6</w:t>
      </w:r>
      <w:r>
        <w:rPr>
          <w:rFonts w:ascii="Times New Roman" w:hAnsi="Times New Roman"/>
          <w:b/>
          <w:snapToGrid w:val="0"/>
          <w:kern w:val="0"/>
          <w:szCs w:val="24"/>
        </w:rPr>
        <w:t xml:space="preserve">-1    </w:t>
      </w:r>
      <w:r>
        <w:rPr>
          <w:rFonts w:ascii="Times New Roman" w:hAnsi="Times New Roman"/>
          <w:b/>
          <w:snapToGrid w:val="0"/>
          <w:kern w:val="0"/>
          <w:szCs w:val="24"/>
        </w:rPr>
        <w:t>应急器材设置一览表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777"/>
        <w:gridCol w:w="1799"/>
        <w:gridCol w:w="2795"/>
      </w:tblGrid>
      <w:tr w:rsidR="004B4777">
        <w:trPr>
          <w:trHeight w:val="397"/>
        </w:trPr>
        <w:tc>
          <w:tcPr>
            <w:tcW w:w="8188" w:type="dxa"/>
            <w:gridSpan w:val="4"/>
            <w:vAlign w:val="center"/>
          </w:tcPr>
          <w:p w:rsidR="004B4777" w:rsidRDefault="004B4777">
            <w:pPr>
              <w:snapToGrid w:val="0"/>
              <w:spacing w:line="240" w:lineRule="auto"/>
              <w:ind w:firstLine="389"/>
              <w:jc w:val="center"/>
              <w:rPr>
                <w:rFonts w:ascii="Times New Roman" w:hAnsi="Times New Roman"/>
                <w:snapToGrid w:val="0"/>
                <w:kern w:val="0"/>
                <w:sz w:val="21"/>
                <w:szCs w:val="24"/>
              </w:rPr>
            </w:pPr>
            <w:r>
              <w:rPr>
                <w:rFonts w:ascii="Times New Roman" w:hAnsi="Times New Roman"/>
                <w:snapToGrid w:val="0"/>
                <w:kern w:val="0"/>
                <w:sz w:val="21"/>
                <w:szCs w:val="24"/>
              </w:rPr>
              <w:t>本项目采砂船配备的防污应急设施和器材</w:t>
            </w:r>
          </w:p>
        </w:tc>
      </w:tr>
      <w:tr w:rsidR="004B4777">
        <w:trPr>
          <w:trHeight w:val="397"/>
        </w:trPr>
        <w:tc>
          <w:tcPr>
            <w:tcW w:w="81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序号</w:t>
            </w:r>
          </w:p>
        </w:tc>
        <w:tc>
          <w:tcPr>
            <w:tcW w:w="277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应急设备和器材</w:t>
            </w:r>
          </w:p>
        </w:tc>
        <w:tc>
          <w:tcPr>
            <w:tcW w:w="1799"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数量</w:t>
            </w:r>
          </w:p>
        </w:tc>
        <w:tc>
          <w:tcPr>
            <w:tcW w:w="279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费用（万元）</w:t>
            </w:r>
          </w:p>
        </w:tc>
      </w:tr>
      <w:tr w:rsidR="004B4777">
        <w:trPr>
          <w:trHeight w:val="397"/>
        </w:trPr>
        <w:tc>
          <w:tcPr>
            <w:tcW w:w="81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1</w:t>
            </w:r>
          </w:p>
        </w:tc>
        <w:tc>
          <w:tcPr>
            <w:tcW w:w="277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手提式灭火器</w:t>
            </w:r>
          </w:p>
        </w:tc>
        <w:tc>
          <w:tcPr>
            <w:tcW w:w="1799"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hint="eastAsia"/>
                <w:snapToGrid w:val="0"/>
                <w:kern w:val="0"/>
                <w:sz w:val="21"/>
                <w:szCs w:val="24"/>
              </w:rPr>
              <w:t>100</w:t>
            </w:r>
            <w:r>
              <w:rPr>
                <w:rFonts w:ascii="Times New Roman" w:hAnsi="Times New Roman"/>
                <w:snapToGrid w:val="0"/>
                <w:kern w:val="0"/>
                <w:sz w:val="21"/>
                <w:szCs w:val="24"/>
              </w:rPr>
              <w:t>个</w:t>
            </w:r>
          </w:p>
        </w:tc>
        <w:tc>
          <w:tcPr>
            <w:tcW w:w="279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hint="eastAsia"/>
                <w:snapToGrid w:val="0"/>
                <w:kern w:val="0"/>
                <w:sz w:val="21"/>
                <w:szCs w:val="24"/>
              </w:rPr>
              <w:t>1</w:t>
            </w:r>
          </w:p>
        </w:tc>
      </w:tr>
      <w:tr w:rsidR="004B4777">
        <w:trPr>
          <w:trHeight w:val="397"/>
        </w:trPr>
        <w:tc>
          <w:tcPr>
            <w:tcW w:w="81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2</w:t>
            </w:r>
          </w:p>
        </w:tc>
        <w:tc>
          <w:tcPr>
            <w:tcW w:w="277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吸油毡</w:t>
            </w:r>
          </w:p>
        </w:tc>
        <w:tc>
          <w:tcPr>
            <w:tcW w:w="1799"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hint="eastAsia"/>
                <w:snapToGrid w:val="0"/>
                <w:kern w:val="0"/>
                <w:sz w:val="21"/>
                <w:szCs w:val="24"/>
              </w:rPr>
              <w:t>2000</w:t>
            </w:r>
            <w:r>
              <w:rPr>
                <w:rFonts w:ascii="Times New Roman" w:hAnsi="Times New Roman"/>
                <w:snapToGrid w:val="0"/>
                <w:kern w:val="0"/>
                <w:sz w:val="21"/>
                <w:szCs w:val="24"/>
              </w:rPr>
              <w:t>kg</w:t>
            </w:r>
          </w:p>
        </w:tc>
        <w:tc>
          <w:tcPr>
            <w:tcW w:w="279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1</w:t>
            </w:r>
            <w:r>
              <w:rPr>
                <w:rFonts w:ascii="Times New Roman" w:hAnsi="Times New Roman" w:hint="eastAsia"/>
                <w:snapToGrid w:val="0"/>
                <w:kern w:val="0"/>
                <w:sz w:val="21"/>
                <w:szCs w:val="24"/>
              </w:rPr>
              <w:t>0</w:t>
            </w:r>
          </w:p>
        </w:tc>
      </w:tr>
      <w:tr w:rsidR="004B4777">
        <w:trPr>
          <w:trHeight w:val="397"/>
        </w:trPr>
        <w:tc>
          <w:tcPr>
            <w:tcW w:w="81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3</w:t>
            </w:r>
          </w:p>
        </w:tc>
        <w:tc>
          <w:tcPr>
            <w:tcW w:w="277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围油栏</w:t>
            </w:r>
          </w:p>
        </w:tc>
        <w:tc>
          <w:tcPr>
            <w:tcW w:w="1799"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hint="eastAsia"/>
                <w:snapToGrid w:val="0"/>
                <w:kern w:val="0"/>
                <w:sz w:val="21"/>
                <w:szCs w:val="24"/>
              </w:rPr>
              <w:t>3000</w:t>
            </w:r>
            <w:r>
              <w:rPr>
                <w:rFonts w:ascii="Times New Roman" w:hAnsi="Times New Roman"/>
                <w:snapToGrid w:val="0"/>
                <w:kern w:val="0"/>
                <w:sz w:val="21"/>
                <w:szCs w:val="24"/>
              </w:rPr>
              <w:t>m</w:t>
            </w:r>
          </w:p>
        </w:tc>
        <w:tc>
          <w:tcPr>
            <w:tcW w:w="2795"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hint="eastAsia"/>
                <w:snapToGrid w:val="0"/>
                <w:kern w:val="0"/>
                <w:sz w:val="21"/>
                <w:szCs w:val="24"/>
              </w:rPr>
              <w:t>120</w:t>
            </w:r>
          </w:p>
        </w:tc>
      </w:tr>
      <w:tr w:rsidR="004B4777">
        <w:trPr>
          <w:trHeight w:val="397"/>
        </w:trPr>
        <w:tc>
          <w:tcPr>
            <w:tcW w:w="81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4</w:t>
            </w:r>
          </w:p>
        </w:tc>
        <w:tc>
          <w:tcPr>
            <w:tcW w:w="2777" w:type="dxa"/>
            <w:vAlign w:val="center"/>
          </w:tcPr>
          <w:p w:rsidR="004B4777" w:rsidRDefault="004B4777">
            <w:pPr>
              <w:snapToGrid w:val="0"/>
              <w:spacing w:line="240" w:lineRule="auto"/>
              <w:ind w:firstLineChars="0" w:firstLine="0"/>
              <w:jc w:val="center"/>
              <w:rPr>
                <w:rFonts w:ascii="Times New Roman" w:hAnsi="Times New Roman" w:hint="eastAsia"/>
                <w:snapToGrid w:val="0"/>
                <w:kern w:val="0"/>
                <w:sz w:val="21"/>
                <w:szCs w:val="24"/>
              </w:rPr>
            </w:pPr>
            <w:r>
              <w:rPr>
                <w:rFonts w:ascii="Times New Roman" w:hAnsi="Times New Roman" w:hint="eastAsia"/>
                <w:snapToGrid w:val="0"/>
                <w:kern w:val="0"/>
                <w:sz w:val="21"/>
                <w:szCs w:val="24"/>
              </w:rPr>
              <w:t>吸油绳</w:t>
            </w:r>
          </w:p>
        </w:tc>
        <w:tc>
          <w:tcPr>
            <w:tcW w:w="1799"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hint="eastAsia"/>
                <w:snapToGrid w:val="0"/>
                <w:kern w:val="0"/>
                <w:sz w:val="21"/>
                <w:szCs w:val="24"/>
              </w:rPr>
              <w:t>4200m</w:t>
            </w:r>
          </w:p>
        </w:tc>
        <w:tc>
          <w:tcPr>
            <w:tcW w:w="2795" w:type="dxa"/>
            <w:vAlign w:val="center"/>
          </w:tcPr>
          <w:p w:rsidR="004B4777" w:rsidRDefault="004B4777">
            <w:pPr>
              <w:snapToGrid w:val="0"/>
              <w:spacing w:line="240" w:lineRule="auto"/>
              <w:ind w:firstLineChars="0" w:firstLine="0"/>
              <w:jc w:val="center"/>
              <w:rPr>
                <w:rFonts w:ascii="Times New Roman" w:hAnsi="Times New Roman" w:hint="eastAsia"/>
                <w:snapToGrid w:val="0"/>
                <w:kern w:val="0"/>
                <w:sz w:val="21"/>
                <w:szCs w:val="24"/>
              </w:rPr>
            </w:pPr>
            <w:r>
              <w:rPr>
                <w:rFonts w:ascii="Times New Roman" w:hAnsi="Times New Roman" w:hint="eastAsia"/>
                <w:snapToGrid w:val="0"/>
                <w:kern w:val="0"/>
                <w:sz w:val="21"/>
                <w:szCs w:val="24"/>
              </w:rPr>
              <w:t>10</w:t>
            </w:r>
          </w:p>
        </w:tc>
      </w:tr>
      <w:tr w:rsidR="004B4777">
        <w:trPr>
          <w:trHeight w:val="397"/>
        </w:trPr>
        <w:tc>
          <w:tcPr>
            <w:tcW w:w="817" w:type="dxa"/>
            <w:vAlign w:val="center"/>
          </w:tcPr>
          <w:p w:rsidR="004B4777" w:rsidRDefault="004B4777">
            <w:pPr>
              <w:snapToGrid w:val="0"/>
              <w:spacing w:line="240" w:lineRule="auto"/>
              <w:ind w:firstLineChars="0" w:firstLine="0"/>
              <w:jc w:val="center"/>
              <w:rPr>
                <w:rFonts w:ascii="Times New Roman" w:hAnsi="Times New Roman"/>
                <w:snapToGrid w:val="0"/>
                <w:kern w:val="0"/>
                <w:sz w:val="21"/>
                <w:szCs w:val="24"/>
              </w:rPr>
            </w:pPr>
            <w:r>
              <w:rPr>
                <w:rFonts w:ascii="Times New Roman" w:hAnsi="Times New Roman"/>
                <w:snapToGrid w:val="0"/>
                <w:kern w:val="0"/>
                <w:sz w:val="21"/>
                <w:szCs w:val="24"/>
              </w:rPr>
              <w:t>5</w:t>
            </w:r>
          </w:p>
        </w:tc>
        <w:tc>
          <w:tcPr>
            <w:tcW w:w="2777" w:type="dxa"/>
            <w:vAlign w:val="center"/>
          </w:tcPr>
          <w:p w:rsidR="004B4777" w:rsidRDefault="004B4777">
            <w:pPr>
              <w:snapToGrid w:val="0"/>
              <w:spacing w:line="240" w:lineRule="auto"/>
              <w:ind w:firstLineChars="0" w:firstLine="0"/>
              <w:jc w:val="center"/>
              <w:rPr>
                <w:rFonts w:ascii="Times New Roman" w:hAnsi="Times New Roman" w:hint="eastAsia"/>
                <w:snapToGrid w:val="0"/>
                <w:kern w:val="0"/>
                <w:sz w:val="21"/>
                <w:szCs w:val="24"/>
              </w:rPr>
            </w:pPr>
            <w:r>
              <w:rPr>
                <w:rFonts w:ascii="Times New Roman" w:hAnsi="Times New Roman" w:hint="eastAsia"/>
                <w:snapToGrid w:val="0"/>
                <w:kern w:val="0"/>
                <w:sz w:val="21"/>
                <w:szCs w:val="24"/>
              </w:rPr>
              <w:t>消油剂</w:t>
            </w:r>
          </w:p>
        </w:tc>
        <w:tc>
          <w:tcPr>
            <w:tcW w:w="1799" w:type="dxa"/>
            <w:vAlign w:val="center"/>
          </w:tcPr>
          <w:p w:rsidR="004B4777" w:rsidRDefault="004B4777">
            <w:pPr>
              <w:snapToGrid w:val="0"/>
              <w:spacing w:line="240" w:lineRule="auto"/>
              <w:ind w:firstLineChars="0" w:firstLine="0"/>
              <w:jc w:val="center"/>
              <w:rPr>
                <w:rFonts w:ascii="Times New Roman" w:hAnsi="Times New Roman" w:hint="eastAsia"/>
                <w:snapToGrid w:val="0"/>
                <w:kern w:val="0"/>
                <w:sz w:val="21"/>
                <w:szCs w:val="24"/>
              </w:rPr>
            </w:pPr>
            <w:r>
              <w:rPr>
                <w:rFonts w:ascii="Times New Roman" w:hAnsi="Times New Roman" w:hint="eastAsia"/>
                <w:snapToGrid w:val="0"/>
                <w:kern w:val="0"/>
                <w:sz w:val="21"/>
                <w:szCs w:val="24"/>
              </w:rPr>
              <w:t>500</w:t>
            </w:r>
            <w:r>
              <w:rPr>
                <w:rFonts w:ascii="Times New Roman" w:hAnsi="Times New Roman"/>
                <w:snapToGrid w:val="0"/>
                <w:kern w:val="0"/>
                <w:sz w:val="21"/>
                <w:szCs w:val="24"/>
              </w:rPr>
              <w:t>kg</w:t>
            </w:r>
          </w:p>
        </w:tc>
        <w:tc>
          <w:tcPr>
            <w:tcW w:w="2795" w:type="dxa"/>
            <w:vAlign w:val="center"/>
          </w:tcPr>
          <w:p w:rsidR="004B4777" w:rsidRDefault="004B4777">
            <w:pPr>
              <w:snapToGrid w:val="0"/>
              <w:spacing w:line="240" w:lineRule="auto"/>
              <w:ind w:firstLineChars="0" w:firstLine="0"/>
              <w:jc w:val="center"/>
              <w:rPr>
                <w:rFonts w:ascii="Times New Roman" w:hAnsi="Times New Roman" w:hint="eastAsia"/>
                <w:snapToGrid w:val="0"/>
                <w:kern w:val="0"/>
                <w:sz w:val="21"/>
                <w:szCs w:val="24"/>
              </w:rPr>
            </w:pPr>
            <w:r>
              <w:rPr>
                <w:rFonts w:ascii="Times New Roman" w:hAnsi="Times New Roman" w:hint="eastAsia"/>
                <w:snapToGrid w:val="0"/>
                <w:kern w:val="0"/>
                <w:sz w:val="21"/>
                <w:szCs w:val="24"/>
              </w:rPr>
              <w:t>20</w:t>
            </w:r>
          </w:p>
        </w:tc>
      </w:tr>
    </w:tbl>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5</w:t>
      </w:r>
      <w:r>
        <w:rPr>
          <w:rFonts w:ascii="Times New Roman" w:hAnsi="Times New Roman"/>
          <w:snapToGrid w:val="0"/>
          <w:kern w:val="0"/>
          <w:szCs w:val="24"/>
        </w:rPr>
        <w:t>）当地环保、渔业、水利部门应急系统联动方案</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采砂单位应建立与当地环保、渔业、水利部门的应急联动，实现资源的合理有效利用，及时处置初期阶段事故，有效防范重特大事故发生、最大程度减少人员伤亡、财产损失，降低环境影响。在相关管理部门突发环境污染事件应急指挥部的统一领导下，应急办负责统一协调突发环境污染事件的应对工作，各专业部门按照各自职责做好相关专业领域突发环境污染事件应对工作，各应急支持保障部门按照各自职责做好突发环境污染事件应急保障工作。跨区域的环境突发事件，由市政府统一协调。</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6</w:t>
      </w:r>
      <w:r>
        <w:rPr>
          <w:rFonts w:ascii="Times New Roman" w:hAnsi="Times New Roman"/>
          <w:snapToGrid w:val="0"/>
          <w:kern w:val="0"/>
          <w:szCs w:val="28"/>
        </w:rPr>
        <w:t>）</w:t>
      </w:r>
      <w:r>
        <w:rPr>
          <w:rFonts w:ascii="Times New Roman" w:hAnsi="Times New Roman"/>
          <w:snapToGrid w:val="0"/>
          <w:kern w:val="0"/>
          <w:szCs w:val="28"/>
        </w:rPr>
        <w:t xml:space="preserve"> </w:t>
      </w:r>
      <w:r>
        <w:rPr>
          <w:rFonts w:ascii="Times New Roman" w:hAnsi="Times New Roman"/>
          <w:snapToGrid w:val="0"/>
          <w:kern w:val="0"/>
          <w:szCs w:val="28"/>
        </w:rPr>
        <w:t>船舶污染事故应急作业要求</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1</w:t>
      </w:r>
      <w:r>
        <w:rPr>
          <w:rFonts w:ascii="Times New Roman" w:hAnsi="Times New Roman"/>
          <w:snapToGrid w:val="0"/>
          <w:kern w:val="0"/>
          <w:szCs w:val="28"/>
        </w:rPr>
        <w:t>）船舶污染事故应急管理部门指挥长接到应急情况后，根据具体情况立即做出反应，同时通知施工单位各部门响应。</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2</w:t>
      </w:r>
      <w:r>
        <w:rPr>
          <w:rFonts w:ascii="Times New Roman" w:hAnsi="Times New Roman"/>
          <w:snapToGrid w:val="0"/>
          <w:kern w:val="0"/>
          <w:szCs w:val="28"/>
        </w:rPr>
        <w:t>）建设单位各部门接到总指挥污染事故等级通知后，必须在最短时间内配合组织好人员计划运输车辆，应急工作船。</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3</w:t>
      </w:r>
      <w:r>
        <w:rPr>
          <w:rFonts w:ascii="Times New Roman" w:hAnsi="Times New Roman"/>
          <w:snapToGrid w:val="0"/>
          <w:kern w:val="0"/>
          <w:szCs w:val="28"/>
        </w:rPr>
        <w:t>）建设单位所有参加污染事故应急操作人员必须根据总指挥的安排，做好安全措施，穿好救生衣，调动必须的设备、工具、物料进行装船。</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4</w:t>
      </w:r>
      <w:r>
        <w:rPr>
          <w:rFonts w:ascii="Times New Roman" w:hAnsi="Times New Roman"/>
          <w:snapToGrid w:val="0"/>
          <w:kern w:val="0"/>
          <w:szCs w:val="28"/>
        </w:rPr>
        <w:t>）被调用的应急工作船船长（或各船指挥员）在开航的同时应向</w:t>
      </w:r>
      <w:r>
        <w:rPr>
          <w:rFonts w:ascii="Times New Roman" w:hAnsi="Times New Roman" w:hint="eastAsia"/>
          <w:snapToGrid w:val="0"/>
          <w:kern w:val="0"/>
          <w:szCs w:val="24"/>
        </w:rPr>
        <w:t>岳阳</w:t>
      </w:r>
      <w:r>
        <w:rPr>
          <w:rFonts w:ascii="Times New Roman" w:hAnsi="Times New Roman"/>
          <w:snapToGrid w:val="0"/>
          <w:kern w:val="0"/>
          <w:szCs w:val="28"/>
        </w:rPr>
        <w:t>市环保局、</w:t>
      </w:r>
      <w:r>
        <w:rPr>
          <w:rFonts w:ascii="Times New Roman" w:hAnsi="Times New Roman" w:hint="eastAsia"/>
          <w:snapToGrid w:val="0"/>
          <w:kern w:val="0"/>
          <w:szCs w:val="24"/>
        </w:rPr>
        <w:t>岳阳</w:t>
      </w:r>
      <w:r>
        <w:rPr>
          <w:rFonts w:ascii="Times New Roman" w:hAnsi="Times New Roman"/>
          <w:snapToGrid w:val="0"/>
          <w:kern w:val="0"/>
          <w:szCs w:val="28"/>
        </w:rPr>
        <w:t>市渔业渔政局和</w:t>
      </w:r>
      <w:r>
        <w:rPr>
          <w:rFonts w:ascii="Times New Roman" w:hAnsi="Times New Roman" w:hint="eastAsia"/>
          <w:snapToGrid w:val="0"/>
          <w:kern w:val="0"/>
          <w:szCs w:val="24"/>
        </w:rPr>
        <w:t>岳阳</w:t>
      </w:r>
      <w:r>
        <w:rPr>
          <w:rFonts w:ascii="Times New Roman" w:hAnsi="Times New Roman"/>
          <w:snapToGrid w:val="0"/>
          <w:kern w:val="0"/>
          <w:szCs w:val="28"/>
        </w:rPr>
        <w:t>市水利局等相关对接部门进行报告。</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5</w:t>
      </w:r>
      <w:r>
        <w:rPr>
          <w:rFonts w:ascii="Times New Roman" w:hAnsi="Times New Roman"/>
          <w:snapToGrid w:val="0"/>
          <w:kern w:val="0"/>
          <w:szCs w:val="28"/>
        </w:rPr>
        <w:t>）应急船指挥员在接到上级部门指示后，根据具体情况进行安排，到达现场后实施作业，</w:t>
      </w:r>
      <w:r>
        <w:rPr>
          <w:rFonts w:ascii="Times New Roman" w:hAnsi="Times New Roman" w:hint="eastAsia"/>
          <w:snapToGrid w:val="0"/>
          <w:kern w:val="0"/>
          <w:szCs w:val="28"/>
        </w:rPr>
        <w:t>各</w:t>
      </w:r>
      <w:r>
        <w:rPr>
          <w:rFonts w:ascii="Times New Roman" w:hAnsi="Times New Roman"/>
          <w:snapToGrid w:val="0"/>
          <w:kern w:val="0"/>
          <w:szCs w:val="28"/>
        </w:rPr>
        <w:t>船指挥员必须与建设单位总指挥和</w:t>
      </w:r>
      <w:r>
        <w:rPr>
          <w:rFonts w:ascii="Times New Roman" w:hAnsi="Times New Roman" w:hint="eastAsia"/>
          <w:snapToGrid w:val="0"/>
          <w:kern w:val="0"/>
          <w:szCs w:val="24"/>
        </w:rPr>
        <w:t>岳阳</w:t>
      </w:r>
      <w:r>
        <w:rPr>
          <w:rFonts w:ascii="Times New Roman" w:hAnsi="Times New Roman"/>
          <w:snapToGrid w:val="0"/>
          <w:kern w:val="0"/>
          <w:szCs w:val="28"/>
        </w:rPr>
        <w:t>市渔业渔政局和</w:t>
      </w:r>
      <w:r>
        <w:rPr>
          <w:rFonts w:ascii="Times New Roman" w:hAnsi="Times New Roman" w:hint="eastAsia"/>
          <w:snapToGrid w:val="0"/>
          <w:kern w:val="0"/>
          <w:szCs w:val="24"/>
        </w:rPr>
        <w:t>岳阳</w:t>
      </w:r>
      <w:r>
        <w:rPr>
          <w:rFonts w:ascii="Times New Roman" w:hAnsi="Times New Roman"/>
          <w:snapToGrid w:val="0"/>
          <w:kern w:val="0"/>
          <w:szCs w:val="28"/>
        </w:rPr>
        <w:t>市水利局保持联系，根据现场情况变化随时做出调整反应。</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6</w:t>
      </w:r>
      <w:r>
        <w:rPr>
          <w:rFonts w:ascii="Times New Roman" w:hAnsi="Times New Roman"/>
          <w:snapToGrid w:val="0"/>
          <w:kern w:val="0"/>
          <w:szCs w:val="28"/>
        </w:rPr>
        <w:t>）施布围油栏时应注意水的流向和当时的风向，及时进行调整，保证被围控的浮油不失控。</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7</w:t>
      </w:r>
      <w:r>
        <w:rPr>
          <w:rFonts w:ascii="Times New Roman" w:hAnsi="Times New Roman"/>
          <w:snapToGrid w:val="0"/>
          <w:kern w:val="0"/>
          <w:szCs w:val="28"/>
        </w:rPr>
        <w:t>）操纵收油机（撇油器）的操纵员必须听从指挥员的指挥，有步骤地回</w:t>
      </w:r>
      <w:r>
        <w:rPr>
          <w:rFonts w:ascii="Times New Roman" w:hAnsi="Times New Roman"/>
          <w:snapToGrid w:val="0"/>
          <w:kern w:val="0"/>
          <w:szCs w:val="28"/>
        </w:rPr>
        <w:lastRenderedPageBreak/>
        <w:t>收水面浮油，把回收的浮油存放在工作船舶舱。</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8</w:t>
      </w:r>
      <w:r>
        <w:rPr>
          <w:rFonts w:ascii="Times New Roman" w:hAnsi="Times New Roman"/>
          <w:snapToGrid w:val="0"/>
          <w:kern w:val="0"/>
          <w:szCs w:val="28"/>
        </w:rPr>
        <w:t>）使用吸油毡的工作人员必须根据水面的油带厚薄进行处理，油带厚的应用收油机收油，吸油毡只收轻薄的油带，避免浪费。</w:t>
      </w: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9</w:t>
      </w:r>
      <w:r>
        <w:rPr>
          <w:rFonts w:ascii="Times New Roman" w:hAnsi="Times New Roman"/>
          <w:snapToGrid w:val="0"/>
          <w:kern w:val="0"/>
          <w:szCs w:val="28"/>
        </w:rPr>
        <w:t>）水面浮油基本回收后，只剩下一些扩散的油花，在这种情况下，指挥长必须请示</w:t>
      </w:r>
      <w:r>
        <w:rPr>
          <w:rFonts w:ascii="Times New Roman" w:hAnsi="Times New Roman" w:hint="eastAsia"/>
          <w:snapToGrid w:val="0"/>
          <w:kern w:val="0"/>
          <w:szCs w:val="28"/>
        </w:rPr>
        <w:t>岳阳市</w:t>
      </w:r>
      <w:r>
        <w:rPr>
          <w:rFonts w:ascii="Times New Roman" w:hAnsi="Times New Roman"/>
          <w:snapToGrid w:val="0"/>
          <w:kern w:val="0"/>
          <w:szCs w:val="28"/>
        </w:rPr>
        <w:t>环保局以及</w:t>
      </w:r>
      <w:r>
        <w:rPr>
          <w:rFonts w:ascii="Times New Roman" w:hAnsi="Times New Roman" w:hint="eastAsia"/>
          <w:snapToGrid w:val="0"/>
          <w:kern w:val="0"/>
          <w:szCs w:val="28"/>
        </w:rPr>
        <w:t>岳阳</w:t>
      </w:r>
      <w:r>
        <w:rPr>
          <w:rFonts w:ascii="Times New Roman" w:hAnsi="Times New Roman"/>
          <w:snapToGrid w:val="0"/>
          <w:kern w:val="0"/>
          <w:szCs w:val="28"/>
        </w:rPr>
        <w:t>市渔业渔政局和</w:t>
      </w:r>
      <w:r>
        <w:rPr>
          <w:rFonts w:ascii="Times New Roman" w:hAnsi="Times New Roman" w:hint="eastAsia"/>
          <w:snapToGrid w:val="0"/>
          <w:kern w:val="0"/>
          <w:szCs w:val="28"/>
        </w:rPr>
        <w:t>岳阳</w:t>
      </w:r>
      <w:r>
        <w:rPr>
          <w:rFonts w:ascii="Times New Roman" w:hAnsi="Times New Roman"/>
          <w:snapToGrid w:val="0"/>
          <w:kern w:val="0"/>
          <w:szCs w:val="28"/>
        </w:rPr>
        <w:t>市水利局是否喷射溢油分散剂，征得同意后，方可实施，启动专用设备，对油花进行喷射溢油分散剂，喷射时必须注意喷射的量和风向，一定要在风头喷出，避免喷不到油带。水面溢油清除后，由指挥长向相关部门报告，经确认河面已被清除、同意收队后，方可收队。</w:t>
      </w:r>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10</w:t>
      </w:r>
      <w:r>
        <w:rPr>
          <w:rFonts w:ascii="Times New Roman" w:hAnsi="Times New Roman"/>
          <w:snapToGrid w:val="0"/>
          <w:kern w:val="0"/>
          <w:szCs w:val="28"/>
        </w:rPr>
        <w:t>）船舶污染事故应急时，建设单位后勤必须服从总指挥的命令，保障应急船只的各种需要。</w:t>
      </w:r>
    </w:p>
    <w:p w:rsidR="004B4777" w:rsidRDefault="004B4777">
      <w:pPr>
        <w:snapToGrid w:val="0"/>
        <w:ind w:firstLine="449"/>
        <w:rPr>
          <w:rFonts w:ascii="Times New Roman" w:hAnsi="Times New Roman" w:hint="eastAsia"/>
          <w:snapToGrid w:val="0"/>
          <w:kern w:val="0"/>
          <w:szCs w:val="28"/>
        </w:rPr>
      </w:pPr>
      <w:r>
        <w:rPr>
          <w:rFonts w:ascii="Times New Roman" w:hAnsi="Times New Roman"/>
          <w:snapToGrid w:val="0"/>
          <w:kern w:val="0"/>
          <w:szCs w:val="28"/>
        </w:rPr>
        <w:t>（</w:t>
      </w:r>
      <w:r>
        <w:rPr>
          <w:rFonts w:ascii="Times New Roman" w:hAnsi="Times New Roman"/>
          <w:snapToGrid w:val="0"/>
          <w:kern w:val="0"/>
          <w:szCs w:val="28"/>
        </w:rPr>
        <w:t>11</w:t>
      </w:r>
      <w:r>
        <w:rPr>
          <w:rFonts w:ascii="Times New Roman" w:hAnsi="Times New Roman"/>
          <w:snapToGrid w:val="0"/>
          <w:kern w:val="0"/>
          <w:szCs w:val="28"/>
        </w:rPr>
        <w:t>）把从水面上捞回的含船舶污染物垃圾必须用垃圾袋装好、绑好，然后用汽车拉走进行环保处理。</w:t>
      </w:r>
    </w:p>
    <w:p w:rsidR="004B4777" w:rsidRDefault="004B4777">
      <w:pPr>
        <w:snapToGrid w:val="0"/>
        <w:ind w:firstLine="449"/>
        <w:rPr>
          <w:rFonts w:ascii="Times New Roman" w:hAnsi="Times New Roman"/>
          <w:snapToGrid w:val="0"/>
          <w:kern w:val="0"/>
          <w:szCs w:val="28"/>
        </w:rPr>
      </w:pPr>
      <w:r>
        <w:rPr>
          <w:rFonts w:ascii="Times New Roman" w:hAnsi="Times New Roman" w:hint="eastAsia"/>
          <w:snapToGrid w:val="0"/>
          <w:kern w:val="0"/>
          <w:szCs w:val="28"/>
        </w:rPr>
        <w:t>（</w:t>
      </w:r>
      <w:r>
        <w:rPr>
          <w:rFonts w:ascii="Times New Roman" w:hAnsi="Times New Roman" w:hint="eastAsia"/>
          <w:snapToGrid w:val="0"/>
          <w:kern w:val="0"/>
          <w:szCs w:val="28"/>
        </w:rPr>
        <w:t>12</w:t>
      </w:r>
      <w:r>
        <w:rPr>
          <w:rFonts w:ascii="Times New Roman" w:hAnsi="Times New Roman" w:hint="eastAsia"/>
          <w:snapToGrid w:val="0"/>
          <w:kern w:val="0"/>
          <w:szCs w:val="28"/>
        </w:rPr>
        <w:t>）溢油回收后，应送有相应资质的油类废弃物回收单位进行处理。</w:t>
      </w:r>
    </w:p>
    <w:p w:rsidR="004B4777" w:rsidRDefault="004B4777">
      <w:pPr>
        <w:pStyle w:val="2"/>
        <w:snapToGrid w:val="0"/>
        <w:spacing w:before="0" w:after="0"/>
        <w:rPr>
          <w:rFonts w:ascii="Times New Roman" w:eastAsia="宋体" w:hAnsi="Times New Roman"/>
          <w:b/>
          <w:sz w:val="30"/>
          <w:szCs w:val="30"/>
        </w:rPr>
      </w:pPr>
      <w:bookmarkStart w:id="234" w:name="_Toc361926885"/>
      <w:bookmarkStart w:id="235" w:name="_Toc523854051"/>
      <w:r>
        <w:rPr>
          <w:rFonts w:ascii="Times New Roman" w:eastAsia="宋体" w:hAnsi="Times New Roman" w:hint="eastAsia"/>
          <w:b/>
          <w:sz w:val="30"/>
          <w:szCs w:val="30"/>
        </w:rPr>
        <w:t>8</w:t>
      </w:r>
      <w:r>
        <w:rPr>
          <w:rFonts w:ascii="Times New Roman" w:eastAsia="宋体" w:hAnsi="Times New Roman"/>
          <w:b/>
          <w:sz w:val="30"/>
          <w:szCs w:val="30"/>
        </w:rPr>
        <w:t xml:space="preserve">.7 </w:t>
      </w:r>
      <w:r>
        <w:rPr>
          <w:rFonts w:ascii="Times New Roman" w:eastAsia="宋体" w:hAnsi="Times New Roman"/>
          <w:b/>
          <w:sz w:val="30"/>
          <w:szCs w:val="30"/>
        </w:rPr>
        <w:t>风险可接受水平分析</w:t>
      </w:r>
      <w:bookmarkEnd w:id="234"/>
      <w:bookmarkEnd w:id="235"/>
    </w:p>
    <w:p w:rsidR="004B4777" w:rsidRDefault="004B4777">
      <w:pPr>
        <w:snapToGrid w:val="0"/>
        <w:ind w:firstLine="449"/>
        <w:rPr>
          <w:rFonts w:ascii="Times New Roman" w:hAnsi="Times New Roman"/>
          <w:snapToGrid w:val="0"/>
          <w:kern w:val="0"/>
          <w:szCs w:val="28"/>
        </w:rPr>
      </w:pPr>
      <w:r>
        <w:rPr>
          <w:rFonts w:ascii="Times New Roman" w:hAnsi="Times New Roman"/>
          <w:snapToGrid w:val="0"/>
          <w:kern w:val="0"/>
          <w:szCs w:val="28"/>
        </w:rPr>
        <w:t>本项目为开采类项目，柴油仅作为动力燃料，风险评价不同于有毒有害和易燃易爆物质的生产、使用、储运等项目的环境风险评价。结合预测，风险源仅为概率较低的船舶事故碰撞的溢油，发生事故后泄漏柴油量相对较小。发生溢油事故时，鉴于本工程配置了足够的应急设备，事故发生时可以在较短时间内启动应急</w:t>
      </w:r>
      <w:r>
        <w:rPr>
          <w:rFonts w:ascii="Times New Roman" w:hAnsi="Times New Roman" w:hint="eastAsia"/>
          <w:snapToGrid w:val="0"/>
          <w:kern w:val="0"/>
          <w:szCs w:val="28"/>
        </w:rPr>
        <w:t>预案</w:t>
      </w:r>
      <w:r>
        <w:rPr>
          <w:rFonts w:ascii="Times New Roman" w:hAnsi="Times New Roman"/>
          <w:snapToGrid w:val="0"/>
          <w:kern w:val="0"/>
          <w:szCs w:val="28"/>
        </w:rPr>
        <w:t>，从而有效控制溢油对区域水体污染，本项目建设风险水平是可以接受的。</w:t>
      </w:r>
    </w:p>
    <w:p w:rsidR="004B4777" w:rsidRDefault="004B4777">
      <w:pPr>
        <w:snapToGrid w:val="0"/>
        <w:ind w:firstLine="449"/>
        <w:rPr>
          <w:rFonts w:ascii="Times New Roman" w:hAnsi="Times New Roman"/>
          <w:snapToGrid w:val="0"/>
          <w:kern w:val="0"/>
          <w:szCs w:val="28"/>
        </w:rPr>
      </w:pPr>
    </w:p>
    <w:p w:rsidR="004B4777" w:rsidRDefault="004B4777">
      <w:pPr>
        <w:snapToGrid w:val="0"/>
        <w:ind w:firstLine="449"/>
        <w:rPr>
          <w:rFonts w:ascii="Times New Roman" w:hAnsi="Times New Roman" w:hint="eastAsia"/>
          <w:snapToGrid w:val="0"/>
          <w:kern w:val="0"/>
          <w:szCs w:val="28"/>
        </w:rPr>
      </w:pPr>
    </w:p>
    <w:p w:rsidR="004B4777" w:rsidRDefault="004B4777">
      <w:pPr>
        <w:widowControl/>
        <w:spacing w:line="264" w:lineRule="auto"/>
        <w:ind w:firstLine="449"/>
        <w:jc w:val="left"/>
        <w:rPr>
          <w:rFonts w:ascii="Times New Roman" w:hAnsi="Times New Roman"/>
          <w:snapToGrid w:val="0"/>
          <w:kern w:val="0"/>
        </w:rPr>
        <w:sectPr w:rsidR="004B4777">
          <w:pgSz w:w="11907" w:h="16840"/>
          <w:pgMar w:top="1440" w:right="1797" w:bottom="1440" w:left="1797" w:header="851" w:footer="992" w:gutter="0"/>
          <w:cols w:space="720"/>
          <w:docGrid w:type="linesAndChars" w:linePitch="421" w:charSpace="-3161"/>
        </w:sectPr>
      </w:pPr>
    </w:p>
    <w:p w:rsidR="004B4777" w:rsidRDefault="004B4777">
      <w:pPr>
        <w:pStyle w:val="1"/>
        <w:spacing w:before="0" w:after="0" w:line="360" w:lineRule="auto"/>
        <w:rPr>
          <w:rFonts w:ascii="Times New Roman" w:eastAsia="宋体" w:hAnsi="Times New Roman"/>
          <w:b/>
          <w:sz w:val="32"/>
          <w:szCs w:val="32"/>
        </w:rPr>
      </w:pPr>
      <w:bookmarkStart w:id="236" w:name="_Toc5556"/>
      <w:bookmarkStart w:id="237" w:name="_Toc523854052"/>
      <w:r>
        <w:rPr>
          <w:rFonts w:ascii="Times New Roman" w:eastAsia="宋体" w:hAnsi="Times New Roman"/>
          <w:b/>
          <w:sz w:val="32"/>
          <w:szCs w:val="32"/>
        </w:rPr>
        <w:lastRenderedPageBreak/>
        <w:t>第</w:t>
      </w:r>
      <w:r>
        <w:rPr>
          <w:rFonts w:ascii="Times New Roman" w:eastAsia="宋体" w:hAnsi="Times New Roman" w:hint="eastAsia"/>
          <w:b/>
          <w:sz w:val="32"/>
          <w:szCs w:val="32"/>
        </w:rPr>
        <w:t>9</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环境监测与环境管理</w:t>
      </w:r>
      <w:bookmarkEnd w:id="236"/>
      <w:bookmarkEnd w:id="237"/>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为了贯彻执行国家环境保护法规，更好地监控采砂设备</w:t>
      </w:r>
      <w:r>
        <w:rPr>
          <w:rFonts w:ascii="Times New Roman" w:hAnsi="Times New Roman"/>
          <w:snapToGrid w:val="0"/>
          <w:kern w:val="0"/>
          <w:szCs w:val="24"/>
        </w:rPr>
        <w:t>的</w:t>
      </w:r>
      <w:r>
        <w:rPr>
          <w:rFonts w:ascii="Times New Roman" w:hAnsi="Times New Roman" w:hint="eastAsia"/>
          <w:snapToGrid w:val="0"/>
          <w:kern w:val="0"/>
          <w:szCs w:val="24"/>
        </w:rPr>
        <w:t>运行，及时掌握和了解污染治理措施的效果，了解工程与其周围地区环境质量变化情况，协调与地方环保职能部门的工作，为企业的生产管理和环境管理提供依据。因此，在采砂区设置环境管理机构与实行监测计划是有必要的。</w:t>
      </w:r>
    </w:p>
    <w:p w:rsidR="004B4777" w:rsidRDefault="004B4777">
      <w:pPr>
        <w:pStyle w:val="2"/>
        <w:snapToGrid w:val="0"/>
        <w:spacing w:before="0" w:after="0"/>
        <w:rPr>
          <w:rFonts w:ascii="Times New Roman" w:eastAsia="宋体" w:hAnsi="Times New Roman"/>
          <w:b/>
          <w:sz w:val="30"/>
          <w:szCs w:val="30"/>
        </w:rPr>
      </w:pPr>
      <w:bookmarkStart w:id="238" w:name="_Toc22291"/>
      <w:bookmarkStart w:id="239" w:name="_Toc198625687"/>
      <w:bookmarkStart w:id="240" w:name="_Toc523854053"/>
      <w:r>
        <w:rPr>
          <w:rFonts w:ascii="Times New Roman" w:eastAsia="宋体" w:hAnsi="Times New Roman" w:hint="eastAsia"/>
          <w:b/>
          <w:sz w:val="30"/>
          <w:szCs w:val="30"/>
        </w:rPr>
        <w:t>9</w:t>
      </w:r>
      <w:r>
        <w:rPr>
          <w:rFonts w:ascii="Times New Roman" w:eastAsia="宋体" w:hAnsi="Times New Roman"/>
          <w:b/>
          <w:sz w:val="30"/>
          <w:szCs w:val="30"/>
        </w:rPr>
        <w:t xml:space="preserve">.1 </w:t>
      </w:r>
      <w:r>
        <w:rPr>
          <w:rFonts w:ascii="Times New Roman" w:eastAsia="宋体" w:hAnsi="Times New Roman"/>
          <w:b/>
          <w:sz w:val="30"/>
          <w:szCs w:val="30"/>
        </w:rPr>
        <w:t>环境管理</w:t>
      </w:r>
      <w:bookmarkEnd w:id="238"/>
      <w:bookmarkEnd w:id="239"/>
      <w:bookmarkEnd w:id="240"/>
    </w:p>
    <w:p w:rsidR="004B4777" w:rsidRDefault="004B4777">
      <w:pPr>
        <w:pStyle w:val="3"/>
        <w:snapToGrid w:val="0"/>
        <w:spacing w:before="0" w:after="0"/>
        <w:rPr>
          <w:rFonts w:ascii="Times New Roman" w:eastAsia="宋体" w:hAnsi="Times New Roman"/>
          <w:b/>
        </w:rPr>
      </w:pPr>
      <w:r>
        <w:rPr>
          <w:rFonts w:ascii="Times New Roman" w:eastAsia="宋体" w:hAnsi="Times New Roman" w:hint="eastAsia"/>
          <w:b/>
        </w:rPr>
        <w:t>9</w:t>
      </w:r>
      <w:r>
        <w:rPr>
          <w:rFonts w:ascii="Times New Roman" w:eastAsia="宋体" w:hAnsi="Times New Roman"/>
          <w:b/>
        </w:rPr>
        <w:t xml:space="preserve">.1.1 </w:t>
      </w:r>
      <w:r>
        <w:rPr>
          <w:rFonts w:ascii="Times New Roman" w:eastAsia="宋体" w:hAnsi="Times New Roman"/>
          <w:b/>
        </w:rPr>
        <w:t>环境</w:t>
      </w:r>
      <w:r>
        <w:rPr>
          <w:rFonts w:ascii="Times New Roman" w:eastAsia="宋体" w:hAnsi="Times New Roman" w:hint="eastAsia"/>
          <w:b/>
        </w:rPr>
        <w:t>管理机制</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本项目的环境管理体系可分为管理机构与监督机构。</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⑴</w:t>
      </w:r>
      <w:r>
        <w:rPr>
          <w:rFonts w:ascii="Times New Roman" w:hAnsi="Times New Roman"/>
          <w:snapToGrid w:val="0"/>
          <w:kern w:val="0"/>
          <w:szCs w:val="24"/>
        </w:rPr>
        <w:t>环境管理机构</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按项目环境保护设计规定，企业应设置专门的环保管理机构和监测站，根据本项目的实际情况，成立环保综合科，定员</w:t>
      </w:r>
      <w:r>
        <w:rPr>
          <w:rFonts w:ascii="Times New Roman" w:hAnsi="Times New Roman" w:hint="eastAsia"/>
          <w:snapToGrid w:val="0"/>
          <w:kern w:val="0"/>
          <w:szCs w:val="24"/>
        </w:rPr>
        <w:t>2</w:t>
      </w:r>
      <w:r>
        <w:rPr>
          <w:rFonts w:ascii="Times New Roman" w:hAnsi="Times New Roman" w:hint="eastAsia"/>
          <w:snapToGrid w:val="0"/>
          <w:kern w:val="0"/>
          <w:szCs w:val="24"/>
        </w:rPr>
        <w:t>人。</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其主要职责是：</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①</w:t>
      </w:r>
      <w:r>
        <w:rPr>
          <w:rFonts w:ascii="Times New Roman" w:hAnsi="Times New Roman"/>
          <w:snapToGrid w:val="0"/>
          <w:kern w:val="0"/>
          <w:szCs w:val="24"/>
        </w:rPr>
        <w:t>贯彻执行国家和地方各项环保方针、政策和法规，制定</w:t>
      </w:r>
      <w:r>
        <w:rPr>
          <w:rFonts w:ascii="Times New Roman" w:hAnsi="Times New Roman" w:hint="eastAsia"/>
          <w:snapToGrid w:val="0"/>
          <w:kern w:val="0"/>
          <w:szCs w:val="24"/>
        </w:rPr>
        <w:t>采砂范围</w:t>
      </w:r>
      <w:r>
        <w:rPr>
          <w:rFonts w:ascii="Times New Roman" w:hAnsi="Times New Roman"/>
          <w:snapToGrid w:val="0"/>
          <w:kern w:val="0"/>
          <w:szCs w:val="24"/>
        </w:rPr>
        <w:t>环境保护制度和细则；</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②</w:t>
      </w:r>
      <w:r>
        <w:rPr>
          <w:rFonts w:ascii="Times New Roman" w:hAnsi="Times New Roman"/>
          <w:snapToGrid w:val="0"/>
          <w:kern w:val="0"/>
          <w:szCs w:val="24"/>
        </w:rPr>
        <w:t>管理项目</w:t>
      </w:r>
      <w:r>
        <w:rPr>
          <w:rFonts w:ascii="Times New Roman" w:hAnsi="Times New Roman" w:hint="eastAsia"/>
          <w:snapToGrid w:val="0"/>
          <w:kern w:val="0"/>
          <w:szCs w:val="24"/>
        </w:rPr>
        <w:t>采砂期间</w:t>
      </w:r>
      <w:r>
        <w:rPr>
          <w:rFonts w:ascii="Times New Roman" w:hAnsi="Times New Roman"/>
          <w:snapToGrid w:val="0"/>
          <w:kern w:val="0"/>
          <w:szCs w:val="24"/>
        </w:rPr>
        <w:t>的扬尘、污水</w:t>
      </w:r>
      <w:r>
        <w:rPr>
          <w:rFonts w:ascii="Times New Roman" w:hAnsi="Times New Roman" w:hint="eastAsia"/>
          <w:snapToGrid w:val="0"/>
          <w:kern w:val="0"/>
          <w:szCs w:val="24"/>
        </w:rPr>
        <w:t>、</w:t>
      </w:r>
      <w:r>
        <w:rPr>
          <w:rFonts w:ascii="Times New Roman" w:hAnsi="Times New Roman"/>
          <w:snapToGrid w:val="0"/>
          <w:kern w:val="0"/>
          <w:szCs w:val="24"/>
        </w:rPr>
        <w:t>废油和噪声污染及制定各项环境管理制度</w:t>
      </w:r>
      <w:r>
        <w:rPr>
          <w:rFonts w:ascii="Times New Roman" w:hAnsi="Times New Roman" w:hint="eastAsia"/>
          <w:snapToGrid w:val="0"/>
          <w:kern w:val="0"/>
          <w:szCs w:val="24"/>
        </w:rPr>
        <w:t>，</w:t>
      </w:r>
      <w:r>
        <w:rPr>
          <w:rFonts w:ascii="Times New Roman" w:hAnsi="Times New Roman"/>
          <w:snapToGrid w:val="0"/>
          <w:kern w:val="0"/>
          <w:szCs w:val="24"/>
        </w:rPr>
        <w:t>定期检查各生产设备的运行状况，减少</w:t>
      </w:r>
      <w:r>
        <w:rPr>
          <w:rFonts w:ascii="Times New Roman" w:hAnsi="Times New Roman"/>
          <w:snapToGrid w:val="0"/>
          <w:kern w:val="0"/>
          <w:szCs w:val="24"/>
        </w:rPr>
        <w:t>“</w:t>
      </w:r>
      <w:r>
        <w:rPr>
          <w:rFonts w:ascii="Times New Roman" w:hAnsi="Times New Roman"/>
          <w:snapToGrid w:val="0"/>
          <w:kern w:val="0"/>
          <w:szCs w:val="24"/>
        </w:rPr>
        <w:t>跑、冒、滴、漏</w:t>
      </w:r>
      <w:r>
        <w:rPr>
          <w:rFonts w:ascii="Times New Roman" w:hAnsi="Times New Roman"/>
          <w:snapToGrid w:val="0"/>
          <w:kern w:val="0"/>
          <w:szCs w:val="24"/>
        </w:rPr>
        <w:t>”</w:t>
      </w:r>
      <w:r>
        <w:rPr>
          <w:rFonts w:ascii="Times New Roman" w:hAnsi="Times New Roman"/>
          <w:snapToGrid w:val="0"/>
          <w:kern w:val="0"/>
          <w:szCs w:val="24"/>
        </w:rPr>
        <w:t>现象的发生，保证生产的正常运行；定期检测各治污设备的运行状况，并建立各治污设备的运行档案，确保各污染处理设施的正常运行，杜绝污染事故的发生；</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③</w:t>
      </w:r>
      <w:r>
        <w:rPr>
          <w:rFonts w:ascii="Times New Roman" w:hAnsi="Times New Roman"/>
          <w:snapToGrid w:val="0"/>
          <w:kern w:val="0"/>
          <w:szCs w:val="24"/>
        </w:rPr>
        <w:t>具体制定生产运行阶段各污染治理设施的处理工艺技术规范和操作规程，建立各污染源监测制度，按环境监测部门的要求，制定各项化</w:t>
      </w:r>
      <w:r>
        <w:rPr>
          <w:rFonts w:ascii="Times New Roman" w:hAnsi="Times New Roman"/>
          <w:snapToGrid w:val="0"/>
          <w:kern w:val="0"/>
          <w:szCs w:val="24"/>
        </w:rPr>
        <w:t>(</w:t>
      </w:r>
      <w:r>
        <w:rPr>
          <w:rFonts w:ascii="Times New Roman" w:hAnsi="Times New Roman"/>
          <w:snapToGrid w:val="0"/>
          <w:kern w:val="0"/>
          <w:szCs w:val="24"/>
        </w:rPr>
        <w:t>检</w:t>
      </w:r>
      <w:r>
        <w:rPr>
          <w:rFonts w:ascii="Times New Roman" w:hAnsi="Times New Roman"/>
          <w:snapToGrid w:val="0"/>
          <w:kern w:val="0"/>
          <w:szCs w:val="24"/>
        </w:rPr>
        <w:t>)</w:t>
      </w:r>
      <w:r>
        <w:rPr>
          <w:rFonts w:ascii="Times New Roman" w:hAnsi="Times New Roman"/>
          <w:snapToGrid w:val="0"/>
          <w:kern w:val="0"/>
          <w:szCs w:val="24"/>
        </w:rPr>
        <w:t>验技术规程，按规定定期对各污染源排放点进行监测，保证处理效果达到设计要求，各污染源达标排放。</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④</w:t>
      </w:r>
      <w:r>
        <w:rPr>
          <w:rFonts w:ascii="Times New Roman" w:hAnsi="Times New Roman"/>
          <w:snapToGrid w:val="0"/>
          <w:kern w:val="0"/>
          <w:szCs w:val="24"/>
        </w:rPr>
        <w:t>编制突发性环境事故应急处理流程；对突发性环境事故，进行协调处理</w:t>
      </w:r>
      <w:r>
        <w:rPr>
          <w:rFonts w:ascii="Times New Roman" w:hAnsi="Times New Roman" w:hint="eastAsia"/>
          <w:snapToGrid w:val="0"/>
          <w:kern w:val="0"/>
          <w:szCs w:val="24"/>
        </w:rPr>
        <w:t>。</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⑵</w:t>
      </w:r>
      <w:r>
        <w:rPr>
          <w:rFonts w:ascii="Times New Roman" w:hAnsi="Times New Roman"/>
          <w:snapToGrid w:val="0"/>
          <w:kern w:val="0"/>
          <w:szCs w:val="24"/>
        </w:rPr>
        <w:t>环境监督机构</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岳阳市</w:t>
      </w:r>
      <w:r>
        <w:rPr>
          <w:rFonts w:ascii="Times New Roman" w:hAnsi="Times New Roman"/>
          <w:snapToGrid w:val="0"/>
          <w:kern w:val="0"/>
          <w:szCs w:val="24"/>
        </w:rPr>
        <w:t>环境保护</w:t>
      </w:r>
      <w:r>
        <w:rPr>
          <w:rFonts w:ascii="Times New Roman" w:hAnsi="Times New Roman" w:hint="eastAsia"/>
          <w:snapToGrid w:val="0"/>
          <w:kern w:val="0"/>
          <w:szCs w:val="24"/>
        </w:rPr>
        <w:t>局</w:t>
      </w:r>
      <w:r>
        <w:rPr>
          <w:rFonts w:ascii="Times New Roman" w:hAnsi="Times New Roman"/>
          <w:snapToGrid w:val="0"/>
          <w:kern w:val="0"/>
          <w:szCs w:val="24"/>
        </w:rPr>
        <w:t>负责工程环境保护工作实施监督管理：组织和协调有关机构为工程环境保护工作服务，审查环境影响报告书；监督工程环境管理计划的实施；负责工程环境保护设施的竣工验收；确保工程应执行的环境管理法规和标准。</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湘阴县</w:t>
      </w:r>
      <w:r>
        <w:rPr>
          <w:rFonts w:ascii="Times New Roman" w:hAnsi="Times New Roman"/>
          <w:snapToGrid w:val="0"/>
          <w:kern w:val="0"/>
          <w:szCs w:val="24"/>
        </w:rPr>
        <w:t>环境保护局接受</w:t>
      </w:r>
      <w:r>
        <w:rPr>
          <w:rFonts w:ascii="Times New Roman" w:hAnsi="Times New Roman" w:hint="eastAsia"/>
          <w:snapToGrid w:val="0"/>
          <w:kern w:val="0"/>
          <w:szCs w:val="24"/>
        </w:rPr>
        <w:t>岳阳市</w:t>
      </w:r>
      <w:r>
        <w:rPr>
          <w:rFonts w:ascii="Times New Roman" w:hAnsi="Times New Roman"/>
          <w:snapToGrid w:val="0"/>
          <w:kern w:val="0"/>
          <w:szCs w:val="24"/>
        </w:rPr>
        <w:t>环境保护</w:t>
      </w:r>
      <w:r>
        <w:rPr>
          <w:rFonts w:ascii="Times New Roman" w:hAnsi="Times New Roman" w:hint="eastAsia"/>
          <w:snapToGrid w:val="0"/>
          <w:kern w:val="0"/>
          <w:szCs w:val="24"/>
        </w:rPr>
        <w:t>局</w:t>
      </w:r>
      <w:r>
        <w:rPr>
          <w:rFonts w:ascii="Times New Roman" w:hAnsi="Times New Roman"/>
          <w:snapToGrid w:val="0"/>
          <w:kern w:val="0"/>
          <w:szCs w:val="24"/>
        </w:rPr>
        <w:t>的工作指导，监督建设单位实施环境管理计划，执行有关环境管理的法规、标准，协调各部门之间做好环境保护工</w:t>
      </w:r>
      <w:r>
        <w:rPr>
          <w:rFonts w:ascii="Times New Roman" w:hAnsi="Times New Roman"/>
          <w:snapToGrid w:val="0"/>
          <w:kern w:val="0"/>
          <w:szCs w:val="24"/>
        </w:rPr>
        <w:lastRenderedPageBreak/>
        <w:t>作，负责行政管辖区内项目环境保护设施的施工、竣工和运行情况的检查、监督管理。</w:t>
      </w:r>
    </w:p>
    <w:p w:rsidR="004B4777" w:rsidRDefault="004B4777">
      <w:pPr>
        <w:pStyle w:val="3"/>
        <w:snapToGrid w:val="0"/>
        <w:spacing w:before="0" w:after="0"/>
        <w:rPr>
          <w:rFonts w:ascii="Times New Roman" w:eastAsia="宋体" w:hAnsi="Times New Roman"/>
          <w:b/>
        </w:rPr>
      </w:pPr>
      <w:r>
        <w:rPr>
          <w:rFonts w:ascii="Times New Roman" w:eastAsia="宋体" w:hAnsi="Times New Roman" w:hint="eastAsia"/>
          <w:b/>
        </w:rPr>
        <w:t>9</w:t>
      </w:r>
      <w:r>
        <w:rPr>
          <w:rFonts w:ascii="Times New Roman" w:eastAsia="宋体" w:hAnsi="Times New Roman"/>
          <w:b/>
        </w:rPr>
        <w:t xml:space="preserve">.1.2 </w:t>
      </w:r>
      <w:r>
        <w:rPr>
          <w:rFonts w:ascii="Times New Roman" w:eastAsia="宋体" w:hAnsi="Times New Roman"/>
          <w:b/>
        </w:rPr>
        <w:t>环境保护管理机构的职责</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建设单位应设立内部环境保护管理机构，主要由建设单位主要负责人及专业技术人员组成，专人负责环境保护工作，实行定岗定员，岗位责任制，负责采砂工序的环境管理工作，保证采砂作业期间环保设施的正常进行，各项环境保护措施的落实。采砂期间的环境管理应着重于作业场所的现场检查和监督。应采取日常的、全面的检查和重点监督检查相结合。对于违规采砂的，应及时予以处罚和追究责任。</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建设单位的管理内容主要有：</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1</w:t>
      </w:r>
      <w:r>
        <w:rPr>
          <w:rFonts w:ascii="Times New Roman" w:hAnsi="Times New Roman"/>
          <w:snapToGrid w:val="0"/>
          <w:kern w:val="0"/>
          <w:szCs w:val="24"/>
        </w:rPr>
        <w:t>）负责制定、监督、落实有关环境保护管理规章制度，负责实施环境保护控制措施、管理污染治理设施，并进行详细的记录，以备检查。</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2</w:t>
      </w:r>
      <w:r>
        <w:rPr>
          <w:rFonts w:ascii="Times New Roman" w:hAnsi="Times New Roman"/>
          <w:snapToGrid w:val="0"/>
          <w:kern w:val="0"/>
          <w:szCs w:val="24"/>
        </w:rPr>
        <w:t>）及时向环境保护主管机构或向单位负责人汇报与采砂有关的污染因素、存在问题、采取的污染控制对策、实施情况等，提出改进建议。</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3</w:t>
      </w:r>
      <w:r>
        <w:rPr>
          <w:rFonts w:ascii="Times New Roman" w:hAnsi="Times New Roman"/>
          <w:snapToGrid w:val="0"/>
          <w:kern w:val="0"/>
          <w:szCs w:val="24"/>
        </w:rPr>
        <w:t>）按本报告提出的各项环境保护措施，编制详细的采砂作业环境保护措施落实计划，明确采砂工序的施工场地位置、环境影响、环境保护措施、落实责任机构（人）等，并将该环境计划以书面形式发放给相关人员，以便于各项措施的有效落实。</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4</w:t>
      </w:r>
      <w:r>
        <w:rPr>
          <w:rFonts w:ascii="Times New Roman" w:hAnsi="Times New Roman"/>
          <w:snapToGrid w:val="0"/>
          <w:kern w:val="0"/>
          <w:szCs w:val="24"/>
        </w:rPr>
        <w:t>）所有的检查计划、检查情况和处理情况都应当有现场的文字记录，并应及时通报给各有关部门。记录应定期汇总、归档。</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为了有效保护项目所在水域环境质量，切实保证本报告提出各项采砂环境保护措施的落实，除了建设单位应设置环境保护管理机构外，针对采砂实际情况，还应成立专门小组，定员为</w:t>
      </w:r>
      <w:r>
        <w:rPr>
          <w:rFonts w:ascii="Times New Roman" w:hAnsi="Times New Roman"/>
          <w:snapToGrid w:val="0"/>
          <w:kern w:val="0"/>
          <w:szCs w:val="24"/>
        </w:rPr>
        <w:t>2</w:t>
      </w:r>
      <w:r>
        <w:rPr>
          <w:rFonts w:ascii="Times New Roman" w:hAnsi="Times New Roman"/>
          <w:snapToGrid w:val="0"/>
          <w:kern w:val="0"/>
          <w:szCs w:val="24"/>
        </w:rPr>
        <w:t>人，负责环境管理和环境监测计划的制定和实施，监督施工单位对各项环境保护措施的落实情况。</w:t>
      </w:r>
      <w:r>
        <w:rPr>
          <w:rFonts w:ascii="Times New Roman" w:hAnsi="Times New Roman"/>
          <w:snapToGrid w:val="0"/>
          <w:kern w:val="0"/>
          <w:szCs w:val="24"/>
        </w:rPr>
        <w:t xml:space="preserve"> </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环境保护管理机构的主要职责为：</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1</w:t>
      </w:r>
      <w:r>
        <w:rPr>
          <w:rFonts w:ascii="Times New Roman" w:hAnsi="Times New Roman"/>
          <w:snapToGrid w:val="0"/>
          <w:kern w:val="0"/>
          <w:szCs w:val="24"/>
        </w:rPr>
        <w:t>）对工程辖区范围内的环境保护实行统一管理，贯彻执行国家和地方的有关环境保护法规。</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2</w:t>
      </w:r>
      <w:r>
        <w:rPr>
          <w:rFonts w:ascii="Times New Roman" w:hAnsi="Times New Roman"/>
          <w:snapToGrid w:val="0"/>
          <w:kern w:val="0"/>
          <w:szCs w:val="24"/>
        </w:rPr>
        <w:t>）做好环境教育和宣传工作，提高各级管理人员和操作人员的环境保护意识，加强员工对环境污染防治的责任心，自觉遵守和执行各项环境保护的规章制度。</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lastRenderedPageBreak/>
        <w:t>（</w:t>
      </w:r>
      <w:r>
        <w:rPr>
          <w:rFonts w:ascii="Times New Roman" w:hAnsi="Times New Roman"/>
          <w:snapToGrid w:val="0"/>
          <w:kern w:val="0"/>
          <w:szCs w:val="24"/>
        </w:rPr>
        <w:t>3</w:t>
      </w:r>
      <w:r>
        <w:rPr>
          <w:rFonts w:ascii="Times New Roman" w:hAnsi="Times New Roman"/>
          <w:snapToGrid w:val="0"/>
          <w:kern w:val="0"/>
          <w:szCs w:val="24"/>
        </w:rPr>
        <w:t>）加强建设项目的环境管理，根据本报告提出的污染防治措施和对策，制定出切实可行的环境污染防治办法和措施，并对其实施情况进行监督、检查。</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4</w:t>
      </w:r>
      <w:r>
        <w:rPr>
          <w:rFonts w:ascii="Times New Roman" w:hAnsi="Times New Roman"/>
          <w:snapToGrid w:val="0"/>
          <w:kern w:val="0"/>
          <w:szCs w:val="24"/>
        </w:rPr>
        <w:t>）制定本工程的环境保护规划和年度目标计划，制定污染物排放控制指标，并组织实施。</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5</w:t>
      </w:r>
      <w:r>
        <w:rPr>
          <w:rFonts w:ascii="Times New Roman" w:hAnsi="Times New Roman"/>
          <w:snapToGrid w:val="0"/>
          <w:kern w:val="0"/>
          <w:szCs w:val="24"/>
        </w:rPr>
        <w:t>）领导和组织工程辖区范围内的环境监测工作，建立监控档案；负责环保资料的收集、汇总、保管、归档工作。</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6</w:t>
      </w:r>
      <w:r>
        <w:rPr>
          <w:rFonts w:ascii="Times New Roman" w:hAnsi="Times New Roman"/>
          <w:snapToGrid w:val="0"/>
          <w:kern w:val="0"/>
          <w:szCs w:val="24"/>
        </w:rPr>
        <w:t>）负责对采砂作业过程中的各项环保设施运行状况的例行监测和检查工作，并及时纠正违规行为，防止污染事故的发生。</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w:t>
      </w:r>
      <w:r>
        <w:rPr>
          <w:rFonts w:ascii="Times New Roman" w:hAnsi="Times New Roman"/>
          <w:snapToGrid w:val="0"/>
          <w:kern w:val="0"/>
          <w:szCs w:val="24"/>
        </w:rPr>
        <w:t>7</w:t>
      </w:r>
      <w:r>
        <w:rPr>
          <w:rFonts w:ascii="Times New Roman" w:hAnsi="Times New Roman"/>
          <w:snapToGrid w:val="0"/>
          <w:kern w:val="0"/>
          <w:szCs w:val="24"/>
        </w:rPr>
        <w:t>）加强与环境保护管理部门的沟通和联系，主动接受主管部门的管理、监督和指导。</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9</w:t>
      </w:r>
      <w:r>
        <w:rPr>
          <w:rFonts w:ascii="Times New Roman" w:eastAsia="宋体" w:hAnsi="Times New Roman"/>
          <w:b/>
        </w:rPr>
        <w:t xml:space="preserve">.1.3 </w:t>
      </w:r>
      <w:r>
        <w:rPr>
          <w:rFonts w:ascii="Times New Roman" w:eastAsia="宋体" w:hAnsi="Times New Roman"/>
          <w:b/>
        </w:rPr>
        <w:t>环境</w:t>
      </w:r>
      <w:r>
        <w:rPr>
          <w:rFonts w:ascii="Times New Roman" w:eastAsia="宋体" w:hAnsi="Times New Roman" w:hint="eastAsia"/>
          <w:b/>
        </w:rPr>
        <w:t>管理措施</w:t>
      </w:r>
      <w:r>
        <w:rPr>
          <w:rFonts w:ascii="Times New Roman" w:eastAsia="宋体" w:hAnsi="Times New Roman"/>
          <w:b/>
        </w:rPr>
        <w:t>、建议</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为更好地进行环境管理，建议采取以下措施：</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w:t>
      </w:r>
      <w:r>
        <w:rPr>
          <w:rFonts w:ascii="Times New Roman" w:hAnsi="Times New Roman" w:hint="eastAsia"/>
          <w:snapToGrid w:val="0"/>
          <w:kern w:val="0"/>
          <w:szCs w:val="24"/>
        </w:rPr>
        <w:t>1</w:t>
      </w:r>
      <w:r>
        <w:rPr>
          <w:rFonts w:ascii="Times New Roman" w:hAnsi="Times New Roman" w:hint="eastAsia"/>
          <w:snapToGrid w:val="0"/>
          <w:kern w:val="0"/>
          <w:szCs w:val="24"/>
        </w:rPr>
        <w:t>）经济手段：按污染物流失总量控制原理和</w:t>
      </w:r>
      <w:r>
        <w:rPr>
          <w:rFonts w:ascii="Times New Roman" w:hAnsi="Times New Roman"/>
          <w:snapToGrid w:val="0"/>
          <w:kern w:val="0"/>
          <w:szCs w:val="24"/>
        </w:rPr>
        <w:t>风险控制范围对采砂区进行管理</w:t>
      </w:r>
      <w:r>
        <w:rPr>
          <w:rFonts w:ascii="Times New Roman" w:hAnsi="Times New Roman" w:hint="eastAsia"/>
          <w:snapToGrid w:val="0"/>
          <w:kern w:val="0"/>
          <w:szCs w:val="24"/>
        </w:rPr>
        <w:t>控制</w:t>
      </w:r>
      <w:r>
        <w:rPr>
          <w:rFonts w:ascii="Times New Roman" w:hAnsi="Times New Roman"/>
          <w:snapToGrid w:val="0"/>
          <w:kern w:val="0"/>
          <w:szCs w:val="24"/>
        </w:rPr>
        <w:t>，</w:t>
      </w:r>
      <w:r>
        <w:rPr>
          <w:rFonts w:ascii="Times New Roman" w:hAnsi="Times New Roman" w:hint="eastAsia"/>
          <w:snapToGrid w:val="0"/>
          <w:kern w:val="0"/>
          <w:szCs w:val="24"/>
        </w:rPr>
        <w:t>并采用职责计奖，超额加奖，签订包干合同等方式，将环境保护与经济效益结合起来。</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w:t>
      </w:r>
      <w:r>
        <w:rPr>
          <w:rFonts w:ascii="Times New Roman" w:hAnsi="Times New Roman" w:hint="eastAsia"/>
          <w:snapToGrid w:val="0"/>
          <w:kern w:val="0"/>
          <w:szCs w:val="24"/>
        </w:rPr>
        <w:t>2</w:t>
      </w:r>
      <w:r>
        <w:rPr>
          <w:rFonts w:ascii="Times New Roman" w:hAnsi="Times New Roman" w:hint="eastAsia"/>
          <w:snapToGrid w:val="0"/>
          <w:kern w:val="0"/>
          <w:szCs w:val="24"/>
        </w:rPr>
        <w:t>）技术手段：在制定产值标准、工艺条件、操作规程等工作中，把环境保护的要求考虑在内，这样既能促进采砂，又能有效保护环境。</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w:t>
      </w:r>
      <w:r>
        <w:rPr>
          <w:rFonts w:ascii="Times New Roman" w:hAnsi="Times New Roman" w:hint="eastAsia"/>
          <w:snapToGrid w:val="0"/>
          <w:kern w:val="0"/>
          <w:szCs w:val="24"/>
        </w:rPr>
        <w:t>3</w:t>
      </w:r>
      <w:r>
        <w:rPr>
          <w:rFonts w:ascii="Times New Roman" w:hAnsi="Times New Roman" w:hint="eastAsia"/>
          <w:snapToGrid w:val="0"/>
          <w:kern w:val="0"/>
          <w:szCs w:val="24"/>
        </w:rPr>
        <w:t>）教育培训手段：通过环保教育，提高全体职工的环境意识，自觉控制人为污染；加强职工操作培训，使每一个与环境因素有关的关键岗位人员均能熟练掌握操作技术，避免工艺过程中的损耗量。</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w:t>
      </w:r>
      <w:r>
        <w:rPr>
          <w:rFonts w:ascii="Times New Roman" w:hAnsi="Times New Roman" w:hint="eastAsia"/>
          <w:snapToGrid w:val="0"/>
          <w:kern w:val="0"/>
          <w:szCs w:val="24"/>
        </w:rPr>
        <w:t>4</w:t>
      </w:r>
      <w:r>
        <w:rPr>
          <w:rFonts w:ascii="Times New Roman" w:hAnsi="Times New Roman" w:hint="eastAsia"/>
          <w:snapToGrid w:val="0"/>
          <w:kern w:val="0"/>
          <w:szCs w:val="24"/>
        </w:rPr>
        <w:t>）行政手段：将环境保护列入岗位责任制，纳入生产调度，以行政手段督促、检查、奖惩，促使各采砂环节按要求完成环境保护任务。</w:t>
      </w:r>
    </w:p>
    <w:p w:rsidR="004B4777" w:rsidRDefault="004B4777">
      <w:pPr>
        <w:pStyle w:val="2"/>
        <w:snapToGrid w:val="0"/>
        <w:spacing w:before="0" w:after="0"/>
        <w:rPr>
          <w:rFonts w:ascii="Times New Roman" w:eastAsia="宋体" w:hAnsi="Times New Roman"/>
          <w:b/>
          <w:sz w:val="30"/>
          <w:szCs w:val="30"/>
        </w:rPr>
      </w:pPr>
      <w:bookmarkStart w:id="241" w:name="_Toc28149"/>
      <w:bookmarkStart w:id="242" w:name="_Toc194738692"/>
      <w:bookmarkStart w:id="243" w:name="_Toc198625689"/>
      <w:bookmarkStart w:id="244" w:name="_Toc523854054"/>
      <w:r>
        <w:rPr>
          <w:rFonts w:ascii="Times New Roman" w:eastAsia="宋体" w:hAnsi="Times New Roman" w:hint="eastAsia"/>
          <w:b/>
          <w:sz w:val="30"/>
          <w:szCs w:val="30"/>
        </w:rPr>
        <w:t>9</w:t>
      </w:r>
      <w:r>
        <w:rPr>
          <w:rFonts w:ascii="Times New Roman" w:eastAsia="宋体" w:hAnsi="Times New Roman"/>
          <w:b/>
          <w:sz w:val="30"/>
          <w:szCs w:val="30"/>
        </w:rPr>
        <w:t xml:space="preserve">.2 </w:t>
      </w:r>
      <w:r>
        <w:rPr>
          <w:rFonts w:ascii="Times New Roman" w:eastAsia="宋体" w:hAnsi="Times New Roman"/>
          <w:b/>
          <w:sz w:val="30"/>
          <w:szCs w:val="30"/>
        </w:rPr>
        <w:t>环境监测</w:t>
      </w:r>
      <w:bookmarkEnd w:id="241"/>
      <w:bookmarkEnd w:id="242"/>
      <w:bookmarkEnd w:id="243"/>
      <w:bookmarkEnd w:id="244"/>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9</w:t>
      </w:r>
      <w:r>
        <w:rPr>
          <w:rFonts w:ascii="Times New Roman" w:eastAsia="宋体" w:hAnsi="Times New Roman"/>
          <w:b/>
        </w:rPr>
        <w:t xml:space="preserve">.2.1 </w:t>
      </w:r>
      <w:r>
        <w:rPr>
          <w:rFonts w:ascii="Times New Roman" w:eastAsia="宋体" w:hAnsi="Times New Roman"/>
          <w:b/>
        </w:rPr>
        <w:t>环境</w:t>
      </w:r>
      <w:r>
        <w:rPr>
          <w:rFonts w:ascii="Times New Roman" w:eastAsia="宋体" w:hAnsi="Times New Roman" w:hint="eastAsia"/>
          <w:b/>
        </w:rPr>
        <w:t>监测</w:t>
      </w:r>
      <w:r>
        <w:rPr>
          <w:rFonts w:ascii="Times New Roman" w:eastAsia="宋体" w:hAnsi="Times New Roman"/>
          <w:b/>
        </w:rPr>
        <w:t>目的</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为使本工程在施工期和营运期减少污染物的排放，减轻对环境的污染，使整个受工程建设影响的区域符合本报告提出的环境质量标准，工程施工期和营运期必须执行本监测计划。通过必要的环境监测计划的实施，全面及时地掌握工程施工期和营运期的环境状况，对可能产生的污染进行监测预警，为制定必要的污染控制措施提供依据。</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lastRenderedPageBreak/>
        <w:t>9</w:t>
      </w:r>
      <w:r>
        <w:rPr>
          <w:rFonts w:ascii="Times New Roman" w:eastAsia="宋体" w:hAnsi="Times New Roman"/>
          <w:b/>
        </w:rPr>
        <w:t xml:space="preserve">.2.2 </w:t>
      </w:r>
      <w:r>
        <w:rPr>
          <w:rFonts w:ascii="Times New Roman" w:eastAsia="宋体" w:hAnsi="Times New Roman"/>
          <w:b/>
        </w:rPr>
        <w:t>环境</w:t>
      </w:r>
      <w:r>
        <w:rPr>
          <w:rFonts w:ascii="Times New Roman" w:eastAsia="宋体" w:hAnsi="Times New Roman" w:hint="eastAsia"/>
          <w:b/>
        </w:rPr>
        <w:t>监测机构</w:t>
      </w:r>
    </w:p>
    <w:p w:rsidR="004B4777" w:rsidRDefault="004B4777">
      <w:pPr>
        <w:snapToGrid w:val="0"/>
        <w:ind w:firstLine="449"/>
        <w:rPr>
          <w:rFonts w:ascii="Times New Roman" w:hAnsi="Times New Roman" w:hint="eastAsia"/>
          <w:snapToGrid w:val="0"/>
          <w:kern w:val="0"/>
          <w:szCs w:val="24"/>
        </w:rPr>
      </w:pPr>
      <w:r>
        <w:rPr>
          <w:rFonts w:ascii="Times New Roman" w:hAnsi="Times New Roman"/>
          <w:snapToGrid w:val="0"/>
          <w:kern w:val="0"/>
          <w:szCs w:val="24"/>
        </w:rPr>
        <w:t>建议本</w:t>
      </w:r>
      <w:r>
        <w:rPr>
          <w:rFonts w:ascii="Times New Roman" w:hAnsi="Times New Roman" w:hint="eastAsia"/>
          <w:snapToGrid w:val="0"/>
          <w:kern w:val="0"/>
          <w:szCs w:val="24"/>
        </w:rPr>
        <w:t>项目采砂</w:t>
      </w:r>
      <w:r>
        <w:rPr>
          <w:rFonts w:ascii="Times New Roman" w:hAnsi="Times New Roman"/>
          <w:snapToGrid w:val="0"/>
          <w:kern w:val="0"/>
          <w:szCs w:val="24"/>
        </w:rPr>
        <w:t>期</w:t>
      </w:r>
      <w:r>
        <w:rPr>
          <w:rFonts w:ascii="Times New Roman" w:hAnsi="Times New Roman" w:hint="eastAsia"/>
          <w:snapToGrid w:val="0"/>
          <w:kern w:val="0"/>
          <w:szCs w:val="24"/>
        </w:rPr>
        <w:t>的环境空气、水环境和声环境质量等</w:t>
      </w:r>
      <w:r>
        <w:rPr>
          <w:rFonts w:ascii="Times New Roman" w:hAnsi="Times New Roman"/>
          <w:snapToGrid w:val="0"/>
          <w:kern w:val="0"/>
          <w:szCs w:val="24"/>
        </w:rPr>
        <w:t>监测工作委托</w:t>
      </w:r>
      <w:r>
        <w:rPr>
          <w:rFonts w:ascii="Times New Roman" w:hAnsi="Times New Roman" w:hint="eastAsia"/>
          <w:snapToGrid w:val="0"/>
          <w:kern w:val="0"/>
          <w:szCs w:val="24"/>
        </w:rPr>
        <w:t>专业的监测机构</w:t>
      </w:r>
      <w:r>
        <w:rPr>
          <w:rFonts w:ascii="Times New Roman" w:hAnsi="Times New Roman"/>
          <w:snapToGrid w:val="0"/>
          <w:kern w:val="0"/>
          <w:szCs w:val="24"/>
        </w:rPr>
        <w:t>承担</w:t>
      </w:r>
      <w:r>
        <w:rPr>
          <w:rFonts w:ascii="Times New Roman" w:hAnsi="Times New Roman" w:hint="eastAsia"/>
          <w:snapToGrid w:val="0"/>
          <w:kern w:val="0"/>
          <w:szCs w:val="24"/>
        </w:rPr>
        <w:t>。</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9</w:t>
      </w:r>
      <w:r>
        <w:rPr>
          <w:rFonts w:ascii="Times New Roman" w:eastAsia="宋体" w:hAnsi="Times New Roman"/>
          <w:b/>
        </w:rPr>
        <w:t xml:space="preserve">.2.3 </w:t>
      </w:r>
      <w:r>
        <w:rPr>
          <w:rFonts w:ascii="Times New Roman" w:eastAsia="宋体" w:hAnsi="Times New Roman"/>
          <w:b/>
        </w:rPr>
        <w:t>环境</w:t>
      </w:r>
      <w:r>
        <w:rPr>
          <w:rFonts w:ascii="Times New Roman" w:eastAsia="宋体" w:hAnsi="Times New Roman" w:hint="eastAsia"/>
          <w:b/>
        </w:rPr>
        <w:t>监测计划</w:t>
      </w:r>
    </w:p>
    <w:p w:rsidR="004B4777" w:rsidRDefault="004B4777">
      <w:pPr>
        <w:snapToGrid w:val="0"/>
        <w:ind w:firstLine="449"/>
        <w:rPr>
          <w:rFonts w:ascii="Times New Roman" w:hAnsi="Times New Roman"/>
          <w:snapToGrid w:val="0"/>
          <w:kern w:val="0"/>
          <w:szCs w:val="24"/>
        </w:rPr>
      </w:pPr>
      <w:r>
        <w:rPr>
          <w:rFonts w:ascii="Times New Roman" w:hAnsi="Times New Roman" w:hint="eastAsia"/>
          <w:snapToGrid w:val="0"/>
          <w:kern w:val="0"/>
          <w:szCs w:val="24"/>
        </w:rPr>
        <w:t>1</w:t>
      </w:r>
      <w:r>
        <w:rPr>
          <w:rFonts w:ascii="Times New Roman" w:hAnsi="Times New Roman" w:hint="eastAsia"/>
          <w:snapToGrid w:val="0"/>
          <w:kern w:val="0"/>
          <w:szCs w:val="24"/>
        </w:rPr>
        <w:t>、水质</w:t>
      </w:r>
      <w:r>
        <w:rPr>
          <w:rFonts w:ascii="Times New Roman" w:hAnsi="Times New Roman"/>
          <w:snapToGrid w:val="0"/>
          <w:kern w:val="0"/>
          <w:szCs w:val="24"/>
        </w:rPr>
        <w:t>监测计划</w:t>
      </w:r>
    </w:p>
    <w:p w:rsidR="004B4777" w:rsidRDefault="004B4777">
      <w:pPr>
        <w:snapToGrid w:val="0"/>
        <w:ind w:firstLine="449"/>
        <w:rPr>
          <w:rFonts w:ascii="Times New Roman" w:hAnsi="Times New Roman"/>
          <w:snapToGrid w:val="0"/>
          <w:kern w:val="0"/>
          <w:szCs w:val="24"/>
        </w:rPr>
      </w:pPr>
      <w:r>
        <w:rPr>
          <w:rFonts w:ascii="Times New Roman" w:hAnsi="Times New Roman"/>
          <w:snapToGrid w:val="0"/>
          <w:kern w:val="0"/>
          <w:szCs w:val="24"/>
        </w:rPr>
        <w:t>为了及时了解和掌握建设项目在其采砂过程中对水质、沉积物和生态产生的影响，使可能造成环境影响的因素得以及时发现，需要对采砂项目采砂过程对水体环境产生的影响进行跟踪监测。</w:t>
      </w:r>
    </w:p>
    <w:p w:rsidR="004B4777" w:rsidRDefault="004B4777">
      <w:pPr>
        <w:widowControl/>
        <w:snapToGrid w:val="0"/>
        <w:ind w:firstLine="489"/>
        <w:rPr>
          <w:rFonts w:ascii="Times New Roman" w:hAnsi="Times New Roman" w:hint="eastAsia"/>
          <w:snapToGrid w:val="0"/>
          <w:spacing w:val="10"/>
          <w:kern w:val="0"/>
        </w:rPr>
      </w:pPr>
      <w:r>
        <w:rPr>
          <w:rFonts w:ascii="Times New Roman" w:hAnsi="Times New Roman"/>
          <w:snapToGrid w:val="0"/>
          <w:spacing w:val="10"/>
          <w:kern w:val="0"/>
        </w:rPr>
        <w:t>在开采过程中，</w:t>
      </w:r>
      <w:r>
        <w:rPr>
          <w:rFonts w:ascii="Times New Roman" w:hAnsi="Times New Roman" w:hint="eastAsia"/>
          <w:snapToGrid w:val="0"/>
          <w:spacing w:val="10"/>
          <w:kern w:val="0"/>
        </w:rPr>
        <w:t>当季开采区</w:t>
      </w:r>
      <w:r>
        <w:rPr>
          <w:rFonts w:ascii="Times New Roman" w:hAnsi="Times New Roman"/>
          <w:snapToGrid w:val="0"/>
          <w:spacing w:val="10"/>
          <w:kern w:val="0"/>
        </w:rPr>
        <w:t>设置水质监测</w:t>
      </w:r>
      <w:r>
        <w:rPr>
          <w:rFonts w:ascii="Times New Roman" w:hAnsi="Times New Roman" w:hint="eastAsia"/>
          <w:snapToGrid w:val="0"/>
          <w:spacing w:val="10"/>
          <w:kern w:val="0"/>
        </w:rPr>
        <w:t>点</w:t>
      </w:r>
      <w:r>
        <w:rPr>
          <w:rFonts w:ascii="Times New Roman" w:hAnsi="Times New Roman"/>
          <w:snapToGrid w:val="0"/>
          <w:spacing w:val="10"/>
          <w:kern w:val="0"/>
        </w:rPr>
        <w:t>位</w:t>
      </w:r>
      <w:r>
        <w:rPr>
          <w:rFonts w:ascii="Times New Roman" w:hAnsi="Times New Roman" w:hint="eastAsia"/>
          <w:snapToGrid w:val="0"/>
          <w:spacing w:val="10"/>
          <w:kern w:val="0"/>
        </w:rPr>
        <w:t>2</w:t>
      </w:r>
      <w:r>
        <w:rPr>
          <w:rFonts w:ascii="Times New Roman" w:hAnsi="Times New Roman"/>
          <w:snapToGrid w:val="0"/>
          <w:spacing w:val="10"/>
          <w:kern w:val="0"/>
        </w:rPr>
        <w:t>个，</w:t>
      </w:r>
      <w:r>
        <w:rPr>
          <w:rFonts w:ascii="Times New Roman" w:hAnsi="Times New Roman" w:hint="eastAsia"/>
          <w:snapToGrid w:val="0"/>
          <w:spacing w:val="10"/>
          <w:kern w:val="0"/>
        </w:rPr>
        <w:t>底泥监测点</w:t>
      </w:r>
      <w:r>
        <w:rPr>
          <w:rFonts w:ascii="Times New Roman" w:hAnsi="Times New Roman"/>
          <w:snapToGrid w:val="0"/>
          <w:spacing w:val="10"/>
          <w:kern w:val="0"/>
        </w:rPr>
        <w:t>位</w:t>
      </w:r>
      <w:r>
        <w:rPr>
          <w:rFonts w:ascii="Times New Roman" w:hAnsi="Times New Roman" w:hint="eastAsia"/>
          <w:snapToGrid w:val="0"/>
          <w:spacing w:val="10"/>
          <w:kern w:val="0"/>
        </w:rPr>
        <w:t>1</w:t>
      </w:r>
      <w:r>
        <w:rPr>
          <w:rFonts w:ascii="Times New Roman" w:hAnsi="Times New Roman"/>
          <w:snapToGrid w:val="0"/>
          <w:spacing w:val="10"/>
          <w:kern w:val="0"/>
        </w:rPr>
        <w:t>个。</w:t>
      </w:r>
    </w:p>
    <w:p w:rsidR="004B4777" w:rsidRDefault="004B4777">
      <w:pPr>
        <w:widowControl/>
        <w:snapToGrid w:val="0"/>
        <w:ind w:firstLine="489"/>
        <w:rPr>
          <w:rFonts w:ascii="Times New Roman" w:hAnsi="Times New Roman"/>
          <w:snapToGrid w:val="0"/>
          <w:spacing w:val="10"/>
          <w:kern w:val="0"/>
        </w:rPr>
      </w:pPr>
      <w:r>
        <w:rPr>
          <w:rFonts w:ascii="Times New Roman" w:hAnsi="Times New Roman"/>
          <w:snapToGrid w:val="0"/>
          <w:spacing w:val="10"/>
          <w:kern w:val="0"/>
        </w:rPr>
        <w:t>如开采期间出现特殊情况（如出现大范围的悬浮物扩散、加快河砂开采进度等）应及时进行临时跟踪监测。</w:t>
      </w:r>
    </w:p>
    <w:p w:rsidR="004B4777" w:rsidRDefault="004B4777">
      <w:pPr>
        <w:widowControl/>
        <w:snapToGrid w:val="0"/>
        <w:ind w:firstLine="489"/>
        <w:rPr>
          <w:rFonts w:ascii="Times New Roman" w:hAnsi="Times New Roman"/>
          <w:snapToGrid w:val="0"/>
          <w:spacing w:val="10"/>
          <w:kern w:val="0"/>
        </w:rPr>
      </w:pPr>
      <w:r>
        <w:rPr>
          <w:rFonts w:ascii="Times New Roman" w:hAnsi="Times New Roman"/>
          <w:snapToGrid w:val="0"/>
          <w:spacing w:val="10"/>
          <w:kern w:val="0"/>
        </w:rPr>
        <w:t>水质评价因子：化学耗氧量（</w:t>
      </w:r>
      <w:r>
        <w:rPr>
          <w:rFonts w:ascii="Times New Roman" w:hAnsi="Times New Roman"/>
          <w:snapToGrid w:val="0"/>
          <w:spacing w:val="10"/>
          <w:kern w:val="0"/>
        </w:rPr>
        <w:t>COD</w:t>
      </w:r>
      <w:r>
        <w:rPr>
          <w:rFonts w:ascii="Times New Roman" w:hAnsi="Times New Roman" w:hint="eastAsia"/>
          <w:snapToGrid w:val="0"/>
          <w:spacing w:val="10"/>
          <w:kern w:val="0"/>
          <w:vertAlign w:val="subscript"/>
        </w:rPr>
        <w:t>C</w:t>
      </w:r>
      <w:r>
        <w:rPr>
          <w:rFonts w:ascii="Times New Roman" w:hAnsi="Times New Roman"/>
          <w:snapToGrid w:val="0"/>
          <w:spacing w:val="10"/>
          <w:kern w:val="0"/>
          <w:vertAlign w:val="subscript"/>
        </w:rPr>
        <w:t>r</w:t>
      </w:r>
      <w:r>
        <w:rPr>
          <w:rFonts w:ascii="Times New Roman" w:hAnsi="Times New Roman"/>
          <w:snapToGrid w:val="0"/>
          <w:spacing w:val="10"/>
          <w:kern w:val="0"/>
        </w:rPr>
        <w:t>）、石油类、悬浮物。</w:t>
      </w:r>
    </w:p>
    <w:p w:rsidR="004B4777" w:rsidRDefault="004B4777">
      <w:pPr>
        <w:widowControl/>
        <w:snapToGrid w:val="0"/>
        <w:ind w:firstLine="489"/>
        <w:rPr>
          <w:rFonts w:ascii="Times New Roman" w:hAnsi="Times New Roman"/>
          <w:snapToGrid w:val="0"/>
          <w:spacing w:val="10"/>
          <w:kern w:val="0"/>
        </w:rPr>
      </w:pPr>
      <w:r>
        <w:rPr>
          <w:rFonts w:ascii="Times New Roman" w:hAnsi="Times New Roman" w:hint="eastAsia"/>
          <w:snapToGrid w:val="0"/>
          <w:spacing w:val="10"/>
          <w:kern w:val="0"/>
        </w:rPr>
        <w:t>底泥</w:t>
      </w:r>
      <w:r>
        <w:rPr>
          <w:rFonts w:ascii="Times New Roman" w:hAnsi="Times New Roman"/>
          <w:snapToGrid w:val="0"/>
          <w:spacing w:val="10"/>
          <w:kern w:val="0"/>
        </w:rPr>
        <w:t>评价因子：石油类。</w:t>
      </w:r>
    </w:p>
    <w:p w:rsidR="004B4777" w:rsidRDefault="004B4777">
      <w:pPr>
        <w:widowControl/>
        <w:spacing w:line="264" w:lineRule="auto"/>
        <w:ind w:firstLineChars="0" w:firstLine="0"/>
        <w:jc w:val="center"/>
        <w:rPr>
          <w:rFonts w:ascii="Times New Roman" w:hAnsi="Times New Roman"/>
          <w:b/>
          <w:snapToGrid w:val="0"/>
          <w:spacing w:val="10"/>
          <w:kern w:val="0"/>
          <w:szCs w:val="24"/>
        </w:rPr>
      </w:pPr>
      <w:r>
        <w:rPr>
          <w:rFonts w:ascii="Times New Roman" w:hAnsi="Times New Roman"/>
          <w:b/>
          <w:snapToGrid w:val="0"/>
          <w:spacing w:val="10"/>
          <w:kern w:val="0"/>
          <w:szCs w:val="24"/>
        </w:rPr>
        <w:t>表</w:t>
      </w:r>
      <w:r>
        <w:rPr>
          <w:rFonts w:ascii="Times New Roman" w:hAnsi="Times New Roman" w:hint="eastAsia"/>
          <w:b/>
          <w:snapToGrid w:val="0"/>
          <w:spacing w:val="10"/>
          <w:kern w:val="0"/>
          <w:szCs w:val="24"/>
        </w:rPr>
        <w:t>9</w:t>
      </w:r>
      <w:r>
        <w:rPr>
          <w:rFonts w:ascii="Times New Roman" w:hAnsi="Times New Roman"/>
          <w:b/>
          <w:snapToGrid w:val="0"/>
          <w:spacing w:val="10"/>
          <w:kern w:val="0"/>
          <w:szCs w:val="24"/>
        </w:rPr>
        <w:t xml:space="preserve">.2-1    </w:t>
      </w:r>
      <w:r>
        <w:rPr>
          <w:rFonts w:ascii="Times New Roman" w:hAnsi="Times New Roman"/>
          <w:b/>
          <w:snapToGrid w:val="0"/>
          <w:spacing w:val="10"/>
          <w:kern w:val="0"/>
          <w:szCs w:val="24"/>
        </w:rPr>
        <w:t>环境监测计划</w:t>
      </w:r>
    </w:p>
    <w:tbl>
      <w:tblPr>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91"/>
        <w:gridCol w:w="1264"/>
        <w:gridCol w:w="2054"/>
        <w:gridCol w:w="1421"/>
        <w:gridCol w:w="1580"/>
        <w:gridCol w:w="1419"/>
      </w:tblGrid>
      <w:tr w:rsidR="004B4777">
        <w:trPr>
          <w:trHeight w:val="397"/>
        </w:trPr>
        <w:tc>
          <w:tcPr>
            <w:tcW w:w="791"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监测阶段</w:t>
            </w:r>
          </w:p>
        </w:tc>
        <w:tc>
          <w:tcPr>
            <w:tcW w:w="1264"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环境要素</w:t>
            </w:r>
          </w:p>
        </w:tc>
        <w:tc>
          <w:tcPr>
            <w:tcW w:w="2054"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监测地点</w:t>
            </w:r>
          </w:p>
        </w:tc>
        <w:tc>
          <w:tcPr>
            <w:tcW w:w="1421"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监测项目</w:t>
            </w:r>
          </w:p>
        </w:tc>
        <w:tc>
          <w:tcPr>
            <w:tcW w:w="1580"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监测频次</w:t>
            </w:r>
            <w:r>
              <w:rPr>
                <w:rFonts w:ascii="Times New Roman" w:hAnsi="Times New Roman" w:hint="eastAsia"/>
                <w:snapToGrid w:val="0"/>
                <w:kern w:val="0"/>
                <w:sz w:val="21"/>
                <w:szCs w:val="21"/>
              </w:rPr>
              <w:t>*</w:t>
            </w:r>
          </w:p>
        </w:tc>
        <w:tc>
          <w:tcPr>
            <w:tcW w:w="1419"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监测单位</w:t>
            </w:r>
          </w:p>
        </w:tc>
      </w:tr>
      <w:tr w:rsidR="004B4777">
        <w:trPr>
          <w:trHeight w:val="397"/>
        </w:trPr>
        <w:tc>
          <w:tcPr>
            <w:tcW w:w="791" w:type="dxa"/>
            <w:vMerge w:val="restart"/>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开采期间</w:t>
            </w:r>
          </w:p>
        </w:tc>
        <w:tc>
          <w:tcPr>
            <w:tcW w:w="1264"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水环境</w:t>
            </w:r>
          </w:p>
        </w:tc>
        <w:tc>
          <w:tcPr>
            <w:tcW w:w="2054"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hint="eastAsia"/>
                <w:snapToGrid w:val="0"/>
                <w:kern w:val="0"/>
                <w:sz w:val="21"/>
                <w:szCs w:val="21"/>
              </w:rPr>
              <w:t>当季开采</w:t>
            </w:r>
            <w:r>
              <w:rPr>
                <w:rFonts w:ascii="Times New Roman" w:hAnsi="Times New Roman"/>
                <w:snapToGrid w:val="0"/>
                <w:kern w:val="0"/>
                <w:sz w:val="21"/>
                <w:szCs w:val="21"/>
              </w:rPr>
              <w:t>区水域</w:t>
            </w:r>
            <w:r>
              <w:rPr>
                <w:rFonts w:ascii="Times New Roman" w:hAnsi="Times New Roman" w:hint="eastAsia"/>
                <w:snapToGrid w:val="0"/>
                <w:spacing w:val="10"/>
                <w:kern w:val="0"/>
                <w:sz w:val="21"/>
                <w:szCs w:val="21"/>
              </w:rPr>
              <w:t>上游</w:t>
            </w:r>
            <w:r>
              <w:rPr>
                <w:rFonts w:ascii="Times New Roman" w:hAnsi="Times New Roman" w:hint="eastAsia"/>
                <w:snapToGrid w:val="0"/>
                <w:spacing w:val="10"/>
                <w:kern w:val="0"/>
                <w:sz w:val="21"/>
                <w:szCs w:val="21"/>
              </w:rPr>
              <w:t>50m</w:t>
            </w:r>
            <w:r>
              <w:rPr>
                <w:rFonts w:ascii="Times New Roman" w:hAnsi="Times New Roman" w:hint="eastAsia"/>
                <w:snapToGrid w:val="0"/>
                <w:spacing w:val="10"/>
                <w:kern w:val="0"/>
                <w:sz w:val="21"/>
                <w:szCs w:val="21"/>
              </w:rPr>
              <w:t>和下游</w:t>
            </w:r>
            <w:r>
              <w:rPr>
                <w:rFonts w:ascii="Times New Roman" w:hAnsi="Times New Roman" w:hint="eastAsia"/>
                <w:snapToGrid w:val="0"/>
                <w:spacing w:val="10"/>
                <w:kern w:val="0"/>
                <w:sz w:val="21"/>
                <w:szCs w:val="21"/>
              </w:rPr>
              <w:t>100m</w:t>
            </w:r>
          </w:p>
        </w:tc>
        <w:tc>
          <w:tcPr>
            <w:tcW w:w="1421"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SS</w:t>
            </w:r>
            <w:r>
              <w:rPr>
                <w:rFonts w:ascii="Times New Roman" w:hAnsi="Times New Roman"/>
                <w:snapToGrid w:val="0"/>
                <w:kern w:val="0"/>
                <w:sz w:val="21"/>
                <w:szCs w:val="21"/>
              </w:rPr>
              <w:t>、</w:t>
            </w:r>
            <w:r>
              <w:rPr>
                <w:rFonts w:ascii="Times New Roman" w:hAnsi="Times New Roman"/>
                <w:snapToGrid w:val="0"/>
                <w:kern w:val="0"/>
                <w:sz w:val="21"/>
                <w:szCs w:val="21"/>
              </w:rPr>
              <w:t>COD</w:t>
            </w:r>
            <w:r>
              <w:rPr>
                <w:rFonts w:ascii="Times New Roman" w:hAnsi="Times New Roman"/>
                <w:snapToGrid w:val="0"/>
                <w:kern w:val="0"/>
                <w:sz w:val="21"/>
                <w:szCs w:val="21"/>
              </w:rPr>
              <w:t>、石油类</w:t>
            </w:r>
          </w:p>
        </w:tc>
        <w:tc>
          <w:tcPr>
            <w:tcW w:w="1580"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w:t>
            </w:r>
            <w:r>
              <w:rPr>
                <w:rFonts w:ascii="Times New Roman" w:hAnsi="Times New Roman"/>
                <w:snapToGrid w:val="0"/>
                <w:kern w:val="0"/>
                <w:sz w:val="21"/>
                <w:szCs w:val="21"/>
              </w:rPr>
              <w:t>次</w:t>
            </w:r>
            <w:r>
              <w:rPr>
                <w:rFonts w:ascii="Times New Roman" w:hAnsi="Times New Roman"/>
                <w:snapToGrid w:val="0"/>
                <w:kern w:val="0"/>
                <w:sz w:val="21"/>
                <w:szCs w:val="21"/>
              </w:rPr>
              <w:t>/</w:t>
            </w:r>
            <w:r>
              <w:rPr>
                <w:rFonts w:ascii="Times New Roman" w:hAnsi="Times New Roman" w:hint="eastAsia"/>
                <w:snapToGrid w:val="0"/>
                <w:kern w:val="0"/>
                <w:sz w:val="21"/>
                <w:szCs w:val="21"/>
              </w:rPr>
              <w:t>季度</w:t>
            </w:r>
          </w:p>
        </w:tc>
        <w:tc>
          <w:tcPr>
            <w:tcW w:w="1419" w:type="dxa"/>
            <w:vMerge w:val="restart"/>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有资质的监测单位</w:t>
            </w:r>
          </w:p>
        </w:tc>
      </w:tr>
      <w:tr w:rsidR="004B4777">
        <w:trPr>
          <w:trHeight w:val="397"/>
        </w:trPr>
        <w:tc>
          <w:tcPr>
            <w:tcW w:w="791" w:type="dxa"/>
            <w:vMerge/>
            <w:vAlign w:val="center"/>
          </w:tcPr>
          <w:p w:rsidR="004B4777" w:rsidRDefault="004B4777">
            <w:pPr>
              <w:spacing w:line="250" w:lineRule="exact"/>
              <w:ind w:firstLineChars="0" w:firstLine="0"/>
              <w:jc w:val="center"/>
              <w:rPr>
                <w:rFonts w:ascii="Times New Roman" w:hAnsi="Times New Roman"/>
                <w:snapToGrid w:val="0"/>
                <w:kern w:val="0"/>
                <w:sz w:val="21"/>
                <w:szCs w:val="21"/>
              </w:rPr>
            </w:pPr>
          </w:p>
        </w:tc>
        <w:tc>
          <w:tcPr>
            <w:tcW w:w="1264"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底泥</w:t>
            </w:r>
          </w:p>
        </w:tc>
        <w:tc>
          <w:tcPr>
            <w:tcW w:w="2054"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采砂区水域下底泥</w:t>
            </w:r>
          </w:p>
        </w:tc>
        <w:tc>
          <w:tcPr>
            <w:tcW w:w="1421"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石油类</w:t>
            </w:r>
          </w:p>
        </w:tc>
        <w:tc>
          <w:tcPr>
            <w:tcW w:w="1580" w:type="dxa"/>
            <w:vAlign w:val="center"/>
          </w:tcPr>
          <w:p w:rsidR="004B4777" w:rsidRDefault="004B4777">
            <w:pPr>
              <w:spacing w:line="250" w:lineRule="exact"/>
              <w:ind w:firstLineChars="0" w:firstLine="0"/>
              <w:jc w:val="center"/>
              <w:rPr>
                <w:rFonts w:ascii="Times New Roman" w:hAnsi="Times New Roman"/>
                <w:snapToGrid w:val="0"/>
                <w:kern w:val="0"/>
                <w:sz w:val="21"/>
                <w:szCs w:val="21"/>
              </w:rPr>
            </w:pPr>
            <w:r>
              <w:rPr>
                <w:rFonts w:ascii="Times New Roman" w:hAnsi="Times New Roman"/>
                <w:snapToGrid w:val="0"/>
                <w:kern w:val="0"/>
                <w:sz w:val="21"/>
                <w:szCs w:val="21"/>
              </w:rPr>
              <w:t>1</w:t>
            </w:r>
            <w:r>
              <w:rPr>
                <w:rFonts w:ascii="Times New Roman" w:hAnsi="Times New Roman"/>
                <w:snapToGrid w:val="0"/>
                <w:kern w:val="0"/>
                <w:sz w:val="21"/>
                <w:szCs w:val="21"/>
              </w:rPr>
              <w:t>次</w:t>
            </w:r>
            <w:r>
              <w:rPr>
                <w:rFonts w:ascii="Times New Roman" w:hAnsi="Times New Roman"/>
                <w:snapToGrid w:val="0"/>
                <w:kern w:val="0"/>
                <w:sz w:val="21"/>
                <w:szCs w:val="21"/>
              </w:rPr>
              <w:t>/</w:t>
            </w:r>
            <w:r>
              <w:rPr>
                <w:rFonts w:ascii="Times New Roman" w:hAnsi="Times New Roman" w:hint="eastAsia"/>
                <w:snapToGrid w:val="0"/>
                <w:kern w:val="0"/>
                <w:sz w:val="21"/>
                <w:szCs w:val="21"/>
              </w:rPr>
              <w:t>季度</w:t>
            </w:r>
          </w:p>
        </w:tc>
        <w:tc>
          <w:tcPr>
            <w:tcW w:w="1419" w:type="dxa"/>
            <w:vMerge/>
            <w:vAlign w:val="center"/>
          </w:tcPr>
          <w:p w:rsidR="004B4777" w:rsidRDefault="004B4777">
            <w:pPr>
              <w:spacing w:line="250" w:lineRule="exact"/>
              <w:ind w:firstLineChars="0" w:firstLine="0"/>
              <w:jc w:val="center"/>
              <w:rPr>
                <w:rFonts w:ascii="Times New Roman" w:hAnsi="Times New Roman"/>
                <w:snapToGrid w:val="0"/>
                <w:kern w:val="0"/>
                <w:sz w:val="21"/>
                <w:szCs w:val="21"/>
              </w:rPr>
            </w:pPr>
          </w:p>
        </w:tc>
      </w:tr>
    </w:tbl>
    <w:p w:rsidR="004B4777" w:rsidRDefault="004B4777">
      <w:pPr>
        <w:snapToGrid w:val="0"/>
        <w:spacing w:before="100" w:beforeAutospacing="1"/>
        <w:ind w:firstLine="449"/>
        <w:jc w:val="left"/>
        <w:rPr>
          <w:rFonts w:ascii="Times New Roman" w:hAnsi="Times New Roman"/>
          <w:snapToGrid w:val="0"/>
          <w:kern w:val="0"/>
          <w:szCs w:val="21"/>
        </w:rPr>
      </w:pPr>
      <w:r>
        <w:rPr>
          <w:rFonts w:ascii="Times New Roman" w:hAnsi="Times New Roman" w:hint="eastAsia"/>
          <w:snapToGrid w:val="0"/>
          <w:kern w:val="0"/>
          <w:szCs w:val="21"/>
        </w:rPr>
        <w:t>监测单位根据工程环境监测结果编制监测报告，送地方环境保护局及渔业水利等有关管理部门。</w:t>
      </w:r>
    </w:p>
    <w:p w:rsidR="004B4777" w:rsidRDefault="004B4777">
      <w:pPr>
        <w:snapToGrid w:val="0"/>
        <w:ind w:firstLine="449"/>
        <w:jc w:val="left"/>
        <w:rPr>
          <w:rFonts w:ascii="Times New Roman" w:hAnsi="Times New Roman"/>
          <w:snapToGrid w:val="0"/>
          <w:kern w:val="0"/>
          <w:szCs w:val="21"/>
          <w:u w:val="single"/>
        </w:rPr>
      </w:pPr>
      <w:r>
        <w:rPr>
          <w:rFonts w:ascii="Times New Roman" w:hAnsi="Times New Roman" w:hint="eastAsia"/>
          <w:snapToGrid w:val="0"/>
          <w:kern w:val="0"/>
          <w:szCs w:val="21"/>
          <w:u w:val="single"/>
        </w:rPr>
        <w:t>2</w:t>
      </w:r>
      <w:r>
        <w:rPr>
          <w:rFonts w:ascii="Times New Roman" w:hAnsi="Times New Roman" w:hint="eastAsia"/>
          <w:snapToGrid w:val="0"/>
          <w:kern w:val="0"/>
          <w:szCs w:val="21"/>
          <w:u w:val="single"/>
        </w:rPr>
        <w:t>、</w:t>
      </w:r>
      <w:r>
        <w:rPr>
          <w:rFonts w:ascii="Times New Roman" w:hAnsi="Times New Roman"/>
          <w:snapToGrid w:val="0"/>
          <w:kern w:val="0"/>
          <w:szCs w:val="21"/>
          <w:u w:val="single"/>
        </w:rPr>
        <w:t>生态监测计划</w:t>
      </w:r>
    </w:p>
    <w:p w:rsidR="004B4777" w:rsidRDefault="004B4777">
      <w:pPr>
        <w:snapToGrid w:val="0"/>
        <w:ind w:firstLine="449"/>
        <w:rPr>
          <w:rFonts w:ascii="Times New Roman" w:hAnsi="Times New Roman" w:hint="eastAsia"/>
          <w:snapToGrid w:val="0"/>
          <w:kern w:val="0"/>
          <w:szCs w:val="24"/>
          <w:u w:val="single"/>
        </w:rPr>
      </w:pPr>
      <w:r>
        <w:rPr>
          <w:rFonts w:ascii="Times New Roman" w:hAnsi="Times New Roman" w:cs="宋体" w:hint="eastAsia"/>
          <w:color w:val="000000"/>
          <w:kern w:val="0"/>
          <w:szCs w:val="24"/>
          <w:u w:val="single"/>
        </w:rPr>
        <w:t>详见</w:t>
      </w:r>
      <w:r>
        <w:rPr>
          <w:rFonts w:ascii="Times New Roman" w:hAnsi="Times New Roman" w:cs="宋体" w:hint="eastAsia"/>
          <w:color w:val="000000"/>
          <w:kern w:val="0"/>
          <w:szCs w:val="24"/>
          <w:u w:val="single"/>
        </w:rPr>
        <w:t>7.3.6</w:t>
      </w:r>
      <w:r>
        <w:rPr>
          <w:rFonts w:ascii="Times New Roman" w:hAnsi="Times New Roman" w:cs="宋体" w:hint="eastAsia"/>
          <w:color w:val="000000"/>
          <w:kern w:val="0"/>
          <w:szCs w:val="24"/>
          <w:u w:val="single"/>
        </w:rPr>
        <w:t>章节。</w:t>
      </w:r>
    </w:p>
    <w:p w:rsidR="004B4777" w:rsidRDefault="004B4777">
      <w:pPr>
        <w:widowControl/>
        <w:spacing w:line="264" w:lineRule="auto"/>
        <w:ind w:firstLine="489"/>
        <w:jc w:val="left"/>
        <w:rPr>
          <w:rFonts w:ascii="Times New Roman" w:hAnsi="Times New Roman" w:hint="eastAsia"/>
          <w:snapToGrid w:val="0"/>
          <w:spacing w:val="10"/>
          <w:kern w:val="0"/>
        </w:rPr>
      </w:pPr>
      <w:r>
        <w:rPr>
          <w:rFonts w:ascii="Times New Roman" w:hAnsi="Times New Roman" w:hint="eastAsia"/>
          <w:snapToGrid w:val="0"/>
          <w:spacing w:val="10"/>
          <w:kern w:val="0"/>
        </w:rPr>
        <w:t>3</w:t>
      </w:r>
      <w:r>
        <w:rPr>
          <w:rFonts w:ascii="Times New Roman" w:hAnsi="Times New Roman" w:hint="eastAsia"/>
          <w:snapToGrid w:val="0"/>
          <w:spacing w:val="10"/>
          <w:kern w:val="0"/>
        </w:rPr>
        <w:t>、事故应急监测</w:t>
      </w:r>
    </w:p>
    <w:p w:rsidR="004B4777" w:rsidRDefault="004B4777">
      <w:pPr>
        <w:snapToGrid w:val="0"/>
        <w:ind w:firstLine="449"/>
        <w:rPr>
          <w:rFonts w:ascii="Times New Roman" w:hAnsi="Times New Roman" w:cs="宋体"/>
          <w:kern w:val="0"/>
        </w:rPr>
      </w:pPr>
      <w:r>
        <w:rPr>
          <w:rFonts w:ascii="Times New Roman" w:hAnsi="Times New Roman" w:cs="宋体"/>
          <w:kern w:val="0"/>
        </w:rPr>
        <w:t>实施环境风险值班制度。发生紧急污染事故时，迅速求助出事地点监测部门到现场，根据公司环保部门的安排进行应急监测，为应急指挥提供依据。</w:t>
      </w:r>
    </w:p>
    <w:p w:rsidR="004B4777" w:rsidRDefault="004B4777">
      <w:pPr>
        <w:snapToGrid w:val="0"/>
        <w:ind w:firstLine="449"/>
        <w:rPr>
          <w:rFonts w:ascii="Times New Roman" w:hAnsi="Times New Roman"/>
          <w:color w:val="000000"/>
          <w:kern w:val="0"/>
          <w:szCs w:val="24"/>
        </w:rPr>
        <w:sectPr w:rsidR="004B4777">
          <w:pgSz w:w="11907" w:h="16840"/>
          <w:pgMar w:top="1440" w:right="1797" w:bottom="1440" w:left="1797" w:header="851" w:footer="992" w:gutter="0"/>
          <w:cols w:space="720"/>
          <w:docGrid w:type="linesAndChars" w:linePitch="421" w:charSpace="-3161"/>
        </w:sectPr>
      </w:pPr>
      <w:r>
        <w:rPr>
          <w:rFonts w:ascii="Times New Roman" w:hAnsi="Times New Roman"/>
          <w:kern w:val="0"/>
        </w:rPr>
        <w:t>在事故现场下风向一定范围内设置监测点，大型事故应该在下风向居民点增设监测点，按事故类型对相关地点进行高频次监测如每半小时监测一次。监测项目有水环境中的</w:t>
      </w:r>
      <w:r>
        <w:rPr>
          <w:rFonts w:ascii="Times New Roman" w:hAnsi="Times New Roman"/>
          <w:kern w:val="0"/>
        </w:rPr>
        <w:t xml:space="preserve"> COD</w:t>
      </w:r>
      <w:r>
        <w:rPr>
          <w:rFonts w:ascii="Times New Roman" w:hAnsi="Times New Roman"/>
          <w:kern w:val="0"/>
        </w:rPr>
        <w:t>、</w:t>
      </w:r>
      <w:r>
        <w:rPr>
          <w:rFonts w:ascii="Times New Roman" w:hAnsi="Times New Roman"/>
          <w:kern w:val="0"/>
        </w:rPr>
        <w:t>SS</w:t>
      </w:r>
      <w:r>
        <w:rPr>
          <w:rFonts w:ascii="Times New Roman" w:hAnsi="Times New Roman"/>
          <w:kern w:val="0"/>
        </w:rPr>
        <w:t>、石油类等。</w:t>
      </w:r>
    </w:p>
    <w:p w:rsidR="004B4777" w:rsidRDefault="004B4777">
      <w:pPr>
        <w:pStyle w:val="1"/>
        <w:spacing w:before="0" w:afterLines="50" w:line="360" w:lineRule="auto"/>
        <w:rPr>
          <w:rFonts w:ascii="Times New Roman" w:eastAsia="宋体" w:hAnsi="Times New Roman" w:hint="eastAsia"/>
          <w:b/>
          <w:sz w:val="32"/>
          <w:szCs w:val="32"/>
        </w:rPr>
      </w:pPr>
      <w:bookmarkStart w:id="245" w:name="_Toc21800"/>
      <w:bookmarkStart w:id="246" w:name="_Toc523854055"/>
      <w:r>
        <w:rPr>
          <w:rFonts w:ascii="Times New Roman" w:eastAsia="宋体" w:hAnsi="Times New Roman"/>
          <w:b/>
          <w:sz w:val="32"/>
          <w:szCs w:val="32"/>
        </w:rPr>
        <w:lastRenderedPageBreak/>
        <w:t>第</w:t>
      </w:r>
      <w:r>
        <w:rPr>
          <w:rFonts w:ascii="Times New Roman" w:eastAsia="宋体" w:hAnsi="Times New Roman" w:hint="eastAsia"/>
          <w:b/>
          <w:sz w:val="32"/>
          <w:szCs w:val="32"/>
        </w:rPr>
        <w:t>10</w:t>
      </w:r>
      <w:r>
        <w:rPr>
          <w:rFonts w:ascii="Times New Roman" w:eastAsia="宋体" w:hAnsi="Times New Roman"/>
          <w:b/>
          <w:sz w:val="32"/>
          <w:szCs w:val="32"/>
        </w:rPr>
        <w:t>章</w:t>
      </w:r>
      <w:r>
        <w:rPr>
          <w:rFonts w:ascii="Times New Roman" w:eastAsia="宋体" w:hAnsi="Times New Roman"/>
          <w:b/>
          <w:sz w:val="32"/>
          <w:szCs w:val="32"/>
        </w:rPr>
        <w:t xml:space="preserve">  </w:t>
      </w:r>
      <w:r>
        <w:rPr>
          <w:rFonts w:ascii="Times New Roman" w:eastAsia="宋体" w:hAnsi="Times New Roman"/>
          <w:b/>
          <w:sz w:val="32"/>
          <w:szCs w:val="32"/>
        </w:rPr>
        <w:t>环境经济损益分析</w:t>
      </w:r>
      <w:bookmarkEnd w:id="245"/>
      <w:bookmarkEnd w:id="246"/>
    </w:p>
    <w:p w:rsidR="004B4777" w:rsidRDefault="004B4777">
      <w:pPr>
        <w:topLinePunct/>
        <w:snapToGrid w:val="0"/>
        <w:ind w:firstLine="449"/>
        <w:rPr>
          <w:rFonts w:ascii="Times New Roman" w:hAnsi="Times New Roman" w:hint="eastAsia"/>
          <w:snapToGrid w:val="0"/>
          <w:kern w:val="0"/>
        </w:rPr>
      </w:pPr>
      <w:r>
        <w:rPr>
          <w:rFonts w:ascii="Times New Roman" w:hAnsi="Times New Roman" w:hint="eastAsia"/>
          <w:snapToGrid w:val="0"/>
          <w:kern w:val="0"/>
        </w:rPr>
        <w:t>环境经济损益分析是环境影响评价的一项重要组成部分，其主要任务是估算建设项目需要投入的环保投资和所能收到的环境保护效果。因此，在环境经济损益分析中除需计算用于控制污染所需投资的费用外，还要同时核算可能收到的环境与经济实效。然而，经济效益比较直观，很容易用货币直接计算，而污染影响带来的损失一般是间接的，很难用货币直接计算。因而，环境影响经济具体定量化分析，目前难度还是较大的，多数是采用定性与半定量相结合的方法进行讨论。</w:t>
      </w:r>
    </w:p>
    <w:p w:rsidR="004B4777" w:rsidRDefault="004B4777">
      <w:pPr>
        <w:topLinePunct/>
        <w:snapToGrid w:val="0"/>
        <w:ind w:firstLine="449"/>
        <w:rPr>
          <w:rFonts w:ascii="Times New Roman" w:hAnsi="Times New Roman"/>
        </w:rPr>
      </w:pPr>
      <w:r>
        <w:rPr>
          <w:rFonts w:ascii="Times New Roman" w:hAnsi="Times New Roman" w:hint="eastAsia"/>
          <w:snapToGrid w:val="0"/>
          <w:kern w:val="0"/>
        </w:rPr>
        <w:t>本报告书以资料分析为主，在详细了解项目的工程概况及各环节污染物影响的程度和范围的基础上，运用费用</w:t>
      </w:r>
      <w:r>
        <w:rPr>
          <w:rFonts w:ascii="Times New Roman" w:hAnsi="Times New Roman" w:hint="eastAsia"/>
          <w:snapToGrid w:val="0"/>
          <w:kern w:val="0"/>
        </w:rPr>
        <w:t>-</w:t>
      </w:r>
      <w:r>
        <w:rPr>
          <w:rFonts w:ascii="Times New Roman" w:hAnsi="Times New Roman" w:hint="eastAsia"/>
          <w:snapToGrid w:val="0"/>
          <w:kern w:val="0"/>
        </w:rPr>
        <w:t>效益分析方法进行定性分析评价。费用</w:t>
      </w:r>
      <w:r>
        <w:rPr>
          <w:rFonts w:ascii="Times New Roman" w:hAnsi="Times New Roman" w:hint="eastAsia"/>
          <w:snapToGrid w:val="0"/>
          <w:kern w:val="0"/>
        </w:rPr>
        <w:t>-</w:t>
      </w:r>
      <w:r>
        <w:rPr>
          <w:rFonts w:ascii="Times New Roman" w:hAnsi="Times New Roman" w:hint="eastAsia"/>
          <w:snapToGrid w:val="0"/>
          <w:kern w:val="0"/>
        </w:rPr>
        <w:t>效益分析是最常用的项目环境损益分析方法和政策方法。利用此方法对建设项目进行分析将有利于正确分析项目的可行性。</w:t>
      </w:r>
    </w:p>
    <w:p w:rsidR="004B4777" w:rsidRDefault="004B4777">
      <w:pPr>
        <w:pStyle w:val="2"/>
        <w:snapToGrid w:val="0"/>
        <w:spacing w:before="0" w:after="0"/>
        <w:rPr>
          <w:rFonts w:ascii="Times New Roman" w:eastAsia="宋体" w:hAnsi="Times New Roman"/>
          <w:b/>
          <w:sz w:val="30"/>
          <w:szCs w:val="30"/>
        </w:rPr>
      </w:pPr>
      <w:bookmarkStart w:id="247" w:name="_Toc171245282"/>
      <w:bookmarkStart w:id="248" w:name="_Toc523854056"/>
      <w:r>
        <w:rPr>
          <w:rFonts w:ascii="Times New Roman" w:eastAsia="宋体" w:hAnsi="Times New Roman" w:hint="eastAsia"/>
          <w:b/>
          <w:sz w:val="30"/>
          <w:szCs w:val="30"/>
        </w:rPr>
        <w:t>10</w:t>
      </w:r>
      <w:r>
        <w:rPr>
          <w:rFonts w:ascii="Times New Roman" w:eastAsia="宋体" w:hAnsi="Times New Roman"/>
          <w:b/>
          <w:sz w:val="30"/>
          <w:szCs w:val="30"/>
        </w:rPr>
        <w:t xml:space="preserve">.1 </w:t>
      </w:r>
      <w:r>
        <w:rPr>
          <w:rFonts w:ascii="Times New Roman" w:eastAsia="宋体" w:hAnsi="Times New Roman" w:hint="eastAsia"/>
          <w:b/>
          <w:sz w:val="30"/>
          <w:szCs w:val="30"/>
        </w:rPr>
        <w:t>社会经济效益分析</w:t>
      </w:r>
      <w:bookmarkEnd w:id="248"/>
    </w:p>
    <w:p w:rsidR="004B4777" w:rsidRDefault="004B4777">
      <w:pPr>
        <w:topLinePunct/>
        <w:snapToGrid w:val="0"/>
        <w:ind w:firstLine="449"/>
        <w:rPr>
          <w:rFonts w:ascii="Times New Roman" w:hAnsi="Times New Roman" w:hint="eastAsia"/>
          <w:snapToGrid w:val="0"/>
          <w:kern w:val="0"/>
        </w:rPr>
      </w:pPr>
      <w:r>
        <w:rPr>
          <w:rStyle w:val="fontstyle01"/>
          <w:rFonts w:ascii="Times New Roman" w:hAnsi="Times New Roman" w:hint="default"/>
        </w:rPr>
        <w:t>在规划采区内进行适量采砂，可增加蓄、滞洪能力，为湖区和河道承担分蓄洪水的任务将起到一定的作用；由于河砂的开采，将加大水深，对航运产生积极影响。但是另一方面，非法采砂、过度采砂现象严重，给河道生态环境造成了严重破坏。为了加强采砂管理，科学合理的开发利用河砂资源，稳定湖岸线，保障防洪和通航安全，保护湿地生态环境，整顿洞庭湖区采砂秩序。因此，该工程的建设具有良好的社会效益。</w:t>
      </w:r>
    </w:p>
    <w:p w:rsidR="004B4777" w:rsidRDefault="004B4777">
      <w:pPr>
        <w:pStyle w:val="2"/>
        <w:snapToGrid w:val="0"/>
        <w:spacing w:before="0" w:after="0"/>
        <w:rPr>
          <w:rFonts w:ascii="Times New Roman" w:eastAsia="宋体" w:hAnsi="Times New Roman" w:hint="eastAsia"/>
          <w:b/>
          <w:sz w:val="30"/>
          <w:szCs w:val="30"/>
        </w:rPr>
      </w:pPr>
      <w:bookmarkStart w:id="249" w:name="_Toc24448"/>
      <w:bookmarkStart w:id="250" w:name="_Toc523854057"/>
      <w:r>
        <w:rPr>
          <w:rFonts w:ascii="Times New Roman" w:eastAsia="宋体" w:hAnsi="Times New Roman" w:hint="eastAsia"/>
          <w:b/>
          <w:sz w:val="30"/>
          <w:szCs w:val="30"/>
        </w:rPr>
        <w:t>10</w:t>
      </w:r>
      <w:r>
        <w:rPr>
          <w:rFonts w:ascii="Times New Roman" w:eastAsia="宋体" w:hAnsi="Times New Roman"/>
          <w:b/>
          <w:sz w:val="30"/>
          <w:szCs w:val="30"/>
        </w:rPr>
        <w:t xml:space="preserve">.2 </w:t>
      </w:r>
      <w:r>
        <w:rPr>
          <w:rFonts w:ascii="Times New Roman" w:eastAsia="宋体" w:hAnsi="Times New Roman"/>
          <w:b/>
          <w:sz w:val="30"/>
          <w:szCs w:val="30"/>
        </w:rPr>
        <w:t>环保投资与运行费用估算</w:t>
      </w:r>
      <w:bookmarkEnd w:id="249"/>
      <w:bookmarkEnd w:id="250"/>
    </w:p>
    <w:p w:rsidR="004B4777" w:rsidRDefault="004B4777">
      <w:pPr>
        <w:snapToGrid w:val="0"/>
        <w:ind w:firstLine="449"/>
        <w:rPr>
          <w:rFonts w:ascii="Times New Roman" w:hAnsi="Times New Roman"/>
          <w:snapToGrid w:val="0"/>
          <w:kern w:val="0"/>
          <w:lang w:val="en-GB"/>
        </w:rPr>
      </w:pPr>
      <w:r>
        <w:rPr>
          <w:rFonts w:ascii="Times New Roman" w:hAnsi="Times New Roman"/>
          <w:snapToGrid w:val="0"/>
          <w:kern w:val="0"/>
          <w:lang w:val="en-GB"/>
        </w:rPr>
        <w:t>项目环保</w:t>
      </w:r>
      <w:r>
        <w:rPr>
          <w:rFonts w:ascii="Times New Roman" w:hAnsi="Times New Roman" w:hint="eastAsia"/>
          <w:snapToGrid w:val="0"/>
          <w:kern w:val="0"/>
          <w:lang w:val="en-GB"/>
        </w:rPr>
        <w:t>投资估算</w:t>
      </w:r>
      <w:r>
        <w:rPr>
          <w:rFonts w:ascii="Times New Roman" w:hAnsi="Times New Roman"/>
          <w:snapToGrid w:val="0"/>
          <w:kern w:val="0"/>
          <w:lang w:val="en-GB"/>
        </w:rPr>
        <w:t>见表</w:t>
      </w:r>
      <w:r>
        <w:rPr>
          <w:rFonts w:ascii="Times New Roman" w:hAnsi="Times New Roman"/>
          <w:snapToGrid w:val="0"/>
          <w:kern w:val="0"/>
          <w:lang w:val="en-GB"/>
        </w:rPr>
        <w:t>1</w:t>
      </w:r>
      <w:r>
        <w:rPr>
          <w:rFonts w:ascii="Times New Roman" w:hAnsi="Times New Roman" w:hint="eastAsia"/>
          <w:snapToGrid w:val="0"/>
          <w:kern w:val="0"/>
          <w:lang w:val="en-GB"/>
        </w:rPr>
        <w:t>0</w:t>
      </w:r>
      <w:r>
        <w:rPr>
          <w:rFonts w:ascii="Times New Roman" w:hAnsi="Times New Roman"/>
          <w:snapToGrid w:val="0"/>
          <w:kern w:val="0"/>
          <w:lang w:val="en-GB"/>
        </w:rPr>
        <w:t>.2-1</w:t>
      </w:r>
      <w:r>
        <w:rPr>
          <w:rFonts w:ascii="Times New Roman" w:hAnsi="Times New Roman"/>
          <w:snapToGrid w:val="0"/>
          <w:kern w:val="0"/>
          <w:lang w:val="en-GB"/>
        </w:rPr>
        <w:t>。</w:t>
      </w:r>
    </w:p>
    <w:p w:rsidR="004B4777" w:rsidRDefault="004B4777">
      <w:pPr>
        <w:pStyle w:val="42"/>
        <w:snapToGrid w:val="0"/>
        <w:ind w:firstLine="451"/>
        <w:jc w:val="center"/>
        <w:rPr>
          <w:rFonts w:ascii="Times New Roman" w:hAnsi="Times New Roman" w:cs="Times New Roman" w:hint="eastAsia"/>
          <w:b/>
          <w:snapToGrid w:val="0"/>
          <w:sz w:val="24"/>
          <w:szCs w:val="24"/>
        </w:rPr>
      </w:pPr>
      <w:bookmarkStart w:id="251" w:name="_Toc119946806"/>
      <w:bookmarkStart w:id="252" w:name="_Toc143863756"/>
      <w:bookmarkStart w:id="253" w:name="_Toc117486909"/>
      <w:bookmarkStart w:id="254" w:name="_Toc117486376"/>
      <w:bookmarkStart w:id="255" w:name="_Toc117432295"/>
      <w:r>
        <w:rPr>
          <w:rFonts w:ascii="Times New Roman" w:hAnsi="Times New Roman" w:cs="Times New Roman"/>
          <w:b/>
          <w:snapToGrid w:val="0"/>
          <w:sz w:val="24"/>
          <w:szCs w:val="24"/>
        </w:rPr>
        <w:t>表</w:t>
      </w:r>
      <w:r>
        <w:rPr>
          <w:rFonts w:ascii="Times New Roman" w:hAnsi="Times New Roman" w:cs="Times New Roman"/>
          <w:b/>
          <w:snapToGrid w:val="0"/>
          <w:sz w:val="24"/>
          <w:szCs w:val="24"/>
        </w:rPr>
        <w:t>1</w:t>
      </w:r>
      <w:r>
        <w:rPr>
          <w:rFonts w:ascii="Times New Roman" w:hAnsi="Times New Roman" w:cs="Times New Roman" w:hint="eastAsia"/>
          <w:b/>
          <w:snapToGrid w:val="0"/>
          <w:sz w:val="24"/>
          <w:szCs w:val="24"/>
        </w:rPr>
        <w:t>0</w:t>
      </w:r>
      <w:r>
        <w:rPr>
          <w:rFonts w:ascii="Times New Roman" w:hAnsi="Times New Roman" w:cs="Times New Roman"/>
          <w:b/>
          <w:snapToGrid w:val="0"/>
          <w:sz w:val="24"/>
          <w:szCs w:val="24"/>
        </w:rPr>
        <w:t xml:space="preserve">.2-1  </w:t>
      </w:r>
      <w:r>
        <w:rPr>
          <w:rFonts w:ascii="Times New Roman" w:hAnsi="Times New Roman" w:cs="Times New Roman"/>
          <w:b/>
          <w:snapToGrid w:val="0"/>
          <w:sz w:val="24"/>
          <w:szCs w:val="24"/>
        </w:rPr>
        <w:t>环保工程措施投资</w:t>
      </w:r>
      <w:r>
        <w:rPr>
          <w:rFonts w:ascii="Times New Roman" w:hAnsi="Times New Roman" w:cs="Times New Roman"/>
          <w:b/>
          <w:snapToGrid w:val="0"/>
          <w:sz w:val="24"/>
          <w:szCs w:val="24"/>
        </w:rPr>
        <w:t xml:space="preserve"> </w:t>
      </w:r>
    </w:p>
    <w:tbl>
      <w:tblPr>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42"/>
        <w:gridCol w:w="4678"/>
        <w:gridCol w:w="1418"/>
        <w:gridCol w:w="1655"/>
      </w:tblGrid>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项目</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环保设施及措施</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环保投资（万元）</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备注</w:t>
            </w: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悬浮物</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开采区周边设置防污帘</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10</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废水</w:t>
            </w:r>
          </w:p>
        </w:tc>
        <w:tc>
          <w:tcPr>
            <w:tcW w:w="4678" w:type="dxa"/>
          </w:tcPr>
          <w:p w:rsidR="004B4777" w:rsidRDefault="004B4777">
            <w:pPr>
              <w:pStyle w:val="42"/>
              <w:snapToGrid w:val="0"/>
              <w:spacing w:line="240" w:lineRule="auto"/>
              <w:ind w:firstLineChars="0" w:firstLine="0"/>
              <w:jc w:val="left"/>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生活污水：生活污水处理装置；</w:t>
            </w:r>
          </w:p>
          <w:p w:rsidR="004B4777" w:rsidRDefault="004B4777">
            <w:pPr>
              <w:pStyle w:val="42"/>
              <w:snapToGrid w:val="0"/>
              <w:spacing w:line="240" w:lineRule="auto"/>
              <w:ind w:firstLineChars="0" w:firstLine="0"/>
              <w:jc w:val="left"/>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船舶含油废水：油水分离器；</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w:t>
            </w:r>
          </w:p>
        </w:tc>
        <w:tc>
          <w:tcPr>
            <w:tcW w:w="1655" w:type="dxa"/>
            <w:vMerge w:val="restart"/>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采砂船自带，不计入环保投资内</w:t>
            </w: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废气</w:t>
            </w:r>
          </w:p>
        </w:tc>
        <w:tc>
          <w:tcPr>
            <w:tcW w:w="4678" w:type="dxa"/>
          </w:tcPr>
          <w:p w:rsidR="004B4777" w:rsidRDefault="004B4777">
            <w:pPr>
              <w:pStyle w:val="42"/>
              <w:snapToGrid w:val="0"/>
              <w:spacing w:line="240" w:lineRule="auto"/>
              <w:ind w:firstLineChars="0" w:firstLine="0"/>
              <w:jc w:val="left"/>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装卸过程的洒水抑尘</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w:t>
            </w:r>
          </w:p>
        </w:tc>
        <w:tc>
          <w:tcPr>
            <w:tcW w:w="1655" w:type="dxa"/>
            <w:vMerge/>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噪声</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合理安排开采时间、低噪声设备、减震、降噪措施、安装吸声材料，佩戴防护耳塞</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3</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固体废物</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生活垃圾：垃圾桶收集，由环卫部门拉运处理；</w:t>
            </w:r>
          </w:p>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危险废物：设置危废储存室，专用桶收集，由有资质单位定期拉运处理</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20</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生态</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合理安排采砂时间，加强环境管理，禁止船舶污</w:t>
            </w:r>
            <w:r>
              <w:rPr>
                <w:rFonts w:ascii="Times New Roman" w:hAnsi="Times New Roman" w:cs="Times New Roman" w:hint="eastAsia"/>
                <w:snapToGrid w:val="0"/>
                <w:sz w:val="21"/>
                <w:szCs w:val="21"/>
                <w:u w:val="single"/>
              </w:rPr>
              <w:lastRenderedPageBreak/>
              <w:t>水及生活废水直排入水体；设置人工鱼巢，易婆塘采区设置</w:t>
            </w:r>
            <w:r>
              <w:rPr>
                <w:rFonts w:ascii="Times New Roman" w:hAnsi="Times New Roman" w:cs="Times New Roman" w:hint="eastAsia"/>
                <w:snapToGrid w:val="0"/>
                <w:sz w:val="21"/>
                <w:szCs w:val="21"/>
                <w:u w:val="single"/>
              </w:rPr>
              <w:t>10000</w:t>
            </w:r>
            <w:r>
              <w:rPr>
                <w:rFonts w:ascii="Times New Roman" w:hAnsi="Times New Roman" w:cs="Times New Roman" w:hint="eastAsia"/>
                <w:snapToGrid w:val="0"/>
                <w:sz w:val="21"/>
                <w:szCs w:val="21"/>
                <w:u w:val="single"/>
              </w:rPr>
              <w:t>个，斗米咀采区设置</w:t>
            </w:r>
            <w:r>
              <w:rPr>
                <w:rFonts w:ascii="Times New Roman" w:hAnsi="Times New Roman" w:cs="Times New Roman" w:hint="eastAsia"/>
                <w:snapToGrid w:val="0"/>
                <w:sz w:val="21"/>
                <w:szCs w:val="21"/>
                <w:u w:val="single"/>
              </w:rPr>
              <w:t>5000</w:t>
            </w:r>
            <w:r>
              <w:rPr>
                <w:rFonts w:ascii="Times New Roman" w:hAnsi="Times New Roman" w:cs="Times New Roman" w:hint="eastAsia"/>
                <w:snapToGrid w:val="0"/>
                <w:sz w:val="21"/>
                <w:szCs w:val="21"/>
                <w:u w:val="single"/>
              </w:rPr>
              <w:t>个，增殖放流（</w:t>
            </w:r>
            <w:r>
              <w:rPr>
                <w:rFonts w:ascii="Times New Roman" w:hAnsi="Times New Roman" w:cs="Times New Roman" w:hint="eastAsia"/>
                <w:snapToGrid w:val="0"/>
                <w:sz w:val="21"/>
                <w:szCs w:val="21"/>
                <w:u w:val="single"/>
              </w:rPr>
              <w:t>5</w:t>
            </w:r>
            <w:r>
              <w:rPr>
                <w:rFonts w:ascii="Times New Roman" w:hAnsi="Times New Roman" w:cs="Times New Roman" w:hint="eastAsia"/>
                <w:snapToGrid w:val="0"/>
                <w:sz w:val="21"/>
                <w:szCs w:val="21"/>
                <w:u w:val="single"/>
              </w:rPr>
              <w:t>年）、生境改造、岸边带营造、生态监测等。</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lastRenderedPageBreak/>
              <w:t xml:space="preserve">232.5 </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lastRenderedPageBreak/>
              <w:t>风险防范措施</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应急设备（围油栏、吸油绳、消油剂、吸油毡、储存装置等）；编制应急预案</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175</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环境监测</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环境空气、水环境、声环境</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8</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按每年</w:t>
            </w:r>
            <w:r>
              <w:rPr>
                <w:rFonts w:ascii="Times New Roman" w:hAnsi="Times New Roman" w:cs="Times New Roman" w:hint="eastAsia"/>
                <w:snapToGrid w:val="0"/>
                <w:sz w:val="21"/>
                <w:szCs w:val="21"/>
                <w:u w:val="single"/>
              </w:rPr>
              <w:t>2</w:t>
            </w:r>
            <w:r>
              <w:rPr>
                <w:rFonts w:ascii="Times New Roman" w:hAnsi="Times New Roman" w:cs="Times New Roman" w:hint="eastAsia"/>
                <w:snapToGrid w:val="0"/>
                <w:sz w:val="21"/>
                <w:szCs w:val="21"/>
                <w:u w:val="single"/>
              </w:rPr>
              <w:t>万计算</w:t>
            </w: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环境管理</w:t>
            </w: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环保培训</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3</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r w:rsidR="004B4777">
        <w:tc>
          <w:tcPr>
            <w:tcW w:w="1242"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c>
          <w:tcPr>
            <w:tcW w:w="467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总计</w:t>
            </w:r>
          </w:p>
        </w:tc>
        <w:tc>
          <w:tcPr>
            <w:tcW w:w="1418"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r>
              <w:rPr>
                <w:rFonts w:ascii="Times New Roman" w:hAnsi="Times New Roman" w:cs="Times New Roman" w:hint="eastAsia"/>
                <w:snapToGrid w:val="0"/>
                <w:sz w:val="21"/>
                <w:szCs w:val="21"/>
                <w:u w:val="single"/>
              </w:rPr>
              <w:t>451.5</w:t>
            </w:r>
          </w:p>
        </w:tc>
        <w:tc>
          <w:tcPr>
            <w:tcW w:w="1655" w:type="dxa"/>
          </w:tcPr>
          <w:p w:rsidR="004B4777" w:rsidRDefault="004B4777">
            <w:pPr>
              <w:pStyle w:val="42"/>
              <w:snapToGrid w:val="0"/>
              <w:spacing w:line="240" w:lineRule="auto"/>
              <w:ind w:firstLineChars="0" w:firstLine="0"/>
              <w:jc w:val="center"/>
              <w:rPr>
                <w:rFonts w:ascii="Times New Roman" w:hAnsi="Times New Roman" w:cs="Times New Roman" w:hint="eastAsia"/>
                <w:snapToGrid w:val="0"/>
                <w:sz w:val="21"/>
                <w:szCs w:val="21"/>
                <w:u w:val="single"/>
              </w:rPr>
            </w:pPr>
          </w:p>
        </w:tc>
      </w:tr>
    </w:tbl>
    <w:p w:rsidR="004B4777" w:rsidRDefault="004B4777">
      <w:pPr>
        <w:pStyle w:val="42"/>
        <w:snapToGrid w:val="0"/>
        <w:ind w:firstLine="451"/>
        <w:jc w:val="center"/>
        <w:rPr>
          <w:rFonts w:ascii="Times New Roman" w:hAnsi="Times New Roman" w:cs="Times New Roman"/>
          <w:b/>
          <w:snapToGrid w:val="0"/>
          <w:sz w:val="24"/>
          <w:szCs w:val="24"/>
        </w:rPr>
      </w:pPr>
    </w:p>
    <w:p w:rsidR="004B4777" w:rsidRDefault="004B4777">
      <w:pPr>
        <w:pStyle w:val="2"/>
        <w:spacing w:before="0" w:after="0"/>
        <w:rPr>
          <w:rFonts w:ascii="Times New Roman" w:eastAsia="宋体" w:hAnsi="Times New Roman"/>
          <w:b/>
          <w:sz w:val="30"/>
          <w:szCs w:val="30"/>
        </w:rPr>
      </w:pPr>
      <w:bookmarkStart w:id="256" w:name="_Toc523854058"/>
      <w:bookmarkEnd w:id="247"/>
      <w:bookmarkEnd w:id="251"/>
      <w:bookmarkEnd w:id="252"/>
      <w:bookmarkEnd w:id="253"/>
      <w:bookmarkEnd w:id="254"/>
      <w:bookmarkEnd w:id="255"/>
      <w:r>
        <w:rPr>
          <w:rFonts w:ascii="Times New Roman" w:eastAsia="宋体" w:hAnsi="Times New Roman" w:hint="eastAsia"/>
          <w:b/>
          <w:sz w:val="30"/>
          <w:szCs w:val="30"/>
        </w:rPr>
        <w:t>10</w:t>
      </w:r>
      <w:r>
        <w:rPr>
          <w:rFonts w:ascii="Times New Roman" w:eastAsia="宋体" w:hAnsi="Times New Roman"/>
          <w:b/>
          <w:sz w:val="30"/>
          <w:szCs w:val="30"/>
        </w:rPr>
        <w:t xml:space="preserve">.3 </w:t>
      </w:r>
      <w:r>
        <w:rPr>
          <w:rFonts w:ascii="Times New Roman" w:eastAsia="宋体" w:hAnsi="Times New Roman"/>
          <w:b/>
          <w:sz w:val="30"/>
          <w:szCs w:val="30"/>
        </w:rPr>
        <w:t>小结</w:t>
      </w:r>
      <w:bookmarkEnd w:id="256"/>
    </w:p>
    <w:p w:rsidR="004B4777" w:rsidRDefault="004B4777">
      <w:pPr>
        <w:pStyle w:val="01"/>
        <w:widowControl/>
        <w:snapToGrid w:val="0"/>
        <w:spacing w:before="0" w:line="360" w:lineRule="auto"/>
        <w:ind w:firstLine="420"/>
        <w:jc w:val="left"/>
        <w:rPr>
          <w:snapToGrid w:val="0"/>
          <w:kern w:val="0"/>
          <w:sz w:val="24"/>
          <w:szCs w:val="24"/>
        </w:rPr>
      </w:pPr>
      <w:r>
        <w:rPr>
          <w:rFonts w:hint="eastAsia"/>
          <w:snapToGrid w:val="0"/>
          <w:kern w:val="0"/>
          <w:sz w:val="24"/>
          <w:szCs w:val="24"/>
        </w:rPr>
        <w:t>项目建成后将会在资源利用、市场需求、规范市场以及本地经济发展等方面产生正面效益；而导致的环境方面的负面影响，如果确实按照开采计划进行，并采取本报告提出的环保措施，是能够降低到最小的。以现有的认识水平和环境学、经济理论来衡量，本项目造成的环境方面的负面效应是完全可以由其产生的社会效益和经济效益弥补的。总体来看，项目在环境经济效益方面是可行的。</w:t>
      </w:r>
    </w:p>
    <w:p w:rsidR="004B4777" w:rsidRDefault="004B4777">
      <w:pPr>
        <w:pStyle w:val="af7"/>
        <w:ind w:firstLine="449"/>
        <w:rPr>
          <w:rFonts w:ascii="Times New Roman" w:hAnsi="Times New Roman"/>
          <w:snapToGrid w:val="0"/>
          <w:spacing w:val="0"/>
          <w:kern w:val="0"/>
        </w:rPr>
      </w:pPr>
    </w:p>
    <w:p w:rsidR="004B4777" w:rsidRDefault="004B4777">
      <w:pPr>
        <w:pStyle w:val="af7"/>
        <w:ind w:firstLine="449"/>
        <w:rPr>
          <w:rFonts w:ascii="Times New Roman" w:hAnsi="Times New Roman"/>
          <w:snapToGrid w:val="0"/>
          <w:spacing w:val="0"/>
          <w:kern w:val="0"/>
        </w:rPr>
      </w:pPr>
    </w:p>
    <w:p w:rsidR="004B4777" w:rsidRDefault="004B4777">
      <w:pPr>
        <w:pStyle w:val="af7"/>
        <w:ind w:firstLine="449"/>
        <w:rPr>
          <w:rFonts w:ascii="Times New Roman" w:hAnsi="Times New Roman"/>
          <w:snapToGrid w:val="0"/>
          <w:spacing w:val="0"/>
          <w:kern w:val="0"/>
        </w:rPr>
      </w:pPr>
    </w:p>
    <w:p w:rsidR="004B4777" w:rsidRDefault="004B4777">
      <w:pPr>
        <w:pStyle w:val="af7"/>
        <w:ind w:firstLine="449"/>
        <w:rPr>
          <w:rFonts w:ascii="Times New Roman" w:hAnsi="Times New Roman"/>
          <w:snapToGrid w:val="0"/>
          <w:spacing w:val="0"/>
          <w:kern w:val="0"/>
        </w:rPr>
        <w:sectPr w:rsidR="004B4777">
          <w:pgSz w:w="11907" w:h="16840"/>
          <w:pgMar w:top="1644" w:right="1406" w:bottom="1701" w:left="1157" w:header="964" w:footer="964" w:gutter="567"/>
          <w:cols w:space="720"/>
          <w:docGrid w:type="linesAndChars" w:linePitch="421" w:charSpace="-3161"/>
        </w:sectPr>
      </w:pPr>
    </w:p>
    <w:p w:rsidR="004B4777" w:rsidRDefault="004B4777">
      <w:pPr>
        <w:keepNext/>
        <w:keepLines/>
        <w:adjustRightInd w:val="0"/>
        <w:snapToGrid w:val="0"/>
        <w:ind w:firstLineChars="0" w:firstLine="0"/>
        <w:jc w:val="center"/>
        <w:outlineLvl w:val="0"/>
        <w:rPr>
          <w:rFonts w:ascii="Times New Roman" w:hAnsi="Times New Roman"/>
          <w:b/>
          <w:bCs/>
          <w:kern w:val="44"/>
          <w:sz w:val="32"/>
          <w:szCs w:val="32"/>
        </w:rPr>
      </w:pPr>
      <w:bookmarkStart w:id="257" w:name="_Toc523854059"/>
      <w:r>
        <w:rPr>
          <w:rFonts w:ascii="Times New Roman" w:hAnsi="Times New Roman"/>
          <w:b/>
          <w:bCs/>
          <w:kern w:val="44"/>
          <w:sz w:val="32"/>
          <w:szCs w:val="32"/>
        </w:rPr>
        <w:lastRenderedPageBreak/>
        <w:t>第</w:t>
      </w:r>
      <w:r>
        <w:rPr>
          <w:rFonts w:ascii="Times New Roman" w:hAnsi="Times New Roman" w:hint="eastAsia"/>
          <w:b/>
          <w:bCs/>
          <w:kern w:val="44"/>
          <w:sz w:val="32"/>
          <w:szCs w:val="32"/>
        </w:rPr>
        <w:t>11</w:t>
      </w:r>
      <w:r>
        <w:rPr>
          <w:rFonts w:ascii="Times New Roman" w:hAnsi="Times New Roman"/>
          <w:b/>
          <w:bCs/>
          <w:kern w:val="44"/>
          <w:sz w:val="32"/>
          <w:szCs w:val="32"/>
        </w:rPr>
        <w:t>章</w:t>
      </w:r>
      <w:r>
        <w:rPr>
          <w:rFonts w:ascii="Times New Roman" w:hAnsi="Times New Roman"/>
          <w:b/>
          <w:bCs/>
          <w:kern w:val="44"/>
          <w:sz w:val="32"/>
          <w:szCs w:val="32"/>
        </w:rPr>
        <w:t xml:space="preserve">  </w:t>
      </w:r>
      <w:r>
        <w:rPr>
          <w:rFonts w:ascii="Times New Roman" w:hAnsi="Times New Roman"/>
          <w:b/>
          <w:bCs/>
          <w:kern w:val="44"/>
          <w:sz w:val="32"/>
          <w:szCs w:val="32"/>
        </w:rPr>
        <w:t>环境可行性分析</w:t>
      </w:r>
      <w:bookmarkEnd w:id="257"/>
    </w:p>
    <w:p w:rsidR="004B4777" w:rsidRDefault="004B4777">
      <w:pPr>
        <w:pStyle w:val="2"/>
        <w:adjustRightInd w:val="0"/>
        <w:snapToGrid w:val="0"/>
        <w:spacing w:before="0" w:after="0"/>
        <w:rPr>
          <w:rFonts w:ascii="Times New Roman" w:eastAsia="宋体" w:hAnsi="Times New Roman" w:hint="eastAsia"/>
          <w:b/>
          <w:sz w:val="30"/>
          <w:szCs w:val="30"/>
        </w:rPr>
      </w:pPr>
      <w:bookmarkStart w:id="258" w:name="_Toc523854060"/>
      <w:r>
        <w:rPr>
          <w:rFonts w:ascii="Times New Roman" w:eastAsia="宋体" w:hAnsi="Times New Roman" w:hint="eastAsia"/>
          <w:b/>
          <w:sz w:val="30"/>
          <w:szCs w:val="30"/>
        </w:rPr>
        <w:t>11</w:t>
      </w:r>
      <w:r>
        <w:rPr>
          <w:rFonts w:ascii="Times New Roman" w:eastAsia="宋体" w:hAnsi="Times New Roman"/>
          <w:b/>
          <w:sz w:val="30"/>
          <w:szCs w:val="30"/>
        </w:rPr>
        <w:t>.1</w:t>
      </w:r>
      <w:r>
        <w:rPr>
          <w:rFonts w:ascii="Times New Roman" w:eastAsia="宋体" w:hAnsi="Times New Roman" w:hint="eastAsia"/>
          <w:b/>
          <w:sz w:val="30"/>
          <w:szCs w:val="30"/>
        </w:rPr>
        <w:t>与产业政策的符合性分析</w:t>
      </w:r>
      <w:bookmarkEnd w:id="258"/>
    </w:p>
    <w:p w:rsidR="004B4777" w:rsidRDefault="004B4777">
      <w:pPr>
        <w:adjustRightInd w:val="0"/>
        <w:snapToGrid w:val="0"/>
        <w:ind w:firstLine="449"/>
        <w:rPr>
          <w:rFonts w:ascii="Times New Roman" w:hAnsi="Times New Roman"/>
        </w:rPr>
      </w:pPr>
      <w:r>
        <w:rPr>
          <w:rFonts w:ascii="Times New Roman" w:hAnsi="Times New Roman"/>
        </w:rPr>
        <w:t>本项目属于土砂石、石材开采加工项目，对照《产业结构调整指导目录（</w:t>
      </w:r>
      <w:r>
        <w:rPr>
          <w:rFonts w:ascii="Times New Roman" w:hAnsi="Times New Roman"/>
        </w:rPr>
        <w:t xml:space="preserve">2011 </w:t>
      </w:r>
      <w:r>
        <w:rPr>
          <w:rFonts w:ascii="Times New Roman" w:hAnsi="Times New Roman"/>
        </w:rPr>
        <w:t>年本）》（</w:t>
      </w:r>
      <w:r>
        <w:rPr>
          <w:rFonts w:ascii="Times New Roman" w:hAnsi="Times New Roman"/>
        </w:rPr>
        <w:t>2013</w:t>
      </w:r>
      <w:r>
        <w:rPr>
          <w:rFonts w:ascii="Times New Roman" w:hAnsi="Times New Roman"/>
        </w:rPr>
        <w:t>年修正），本项目不属于</w:t>
      </w:r>
      <w:r>
        <w:rPr>
          <w:rFonts w:ascii="Times New Roman" w:hAnsi="Times New Roman"/>
        </w:rPr>
        <w:t>“</w:t>
      </w:r>
      <w:r>
        <w:rPr>
          <w:rFonts w:ascii="Times New Roman" w:hAnsi="Times New Roman"/>
        </w:rPr>
        <w:t>限制类</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淘汰类</w:t>
      </w:r>
      <w:r>
        <w:rPr>
          <w:rFonts w:ascii="Times New Roman" w:hAnsi="Times New Roman"/>
        </w:rPr>
        <w:t>”</w:t>
      </w:r>
      <w:r>
        <w:rPr>
          <w:rFonts w:ascii="Times New Roman" w:hAnsi="Times New Roman"/>
        </w:rPr>
        <w:t>。因此，项目符合相关的产业政策要求。</w:t>
      </w:r>
    </w:p>
    <w:p w:rsidR="004B4777" w:rsidRDefault="004B4777">
      <w:pPr>
        <w:pStyle w:val="2"/>
        <w:adjustRightInd w:val="0"/>
        <w:snapToGrid w:val="0"/>
        <w:spacing w:before="0" w:after="0"/>
        <w:rPr>
          <w:rFonts w:ascii="Times New Roman" w:eastAsia="宋体" w:hAnsi="Times New Roman" w:hint="eastAsia"/>
          <w:b/>
          <w:sz w:val="30"/>
          <w:szCs w:val="30"/>
        </w:rPr>
      </w:pPr>
      <w:bookmarkStart w:id="259" w:name="_Toc523854061"/>
      <w:r>
        <w:rPr>
          <w:rFonts w:ascii="Times New Roman" w:eastAsia="宋体" w:hAnsi="Times New Roman" w:hint="eastAsia"/>
          <w:b/>
          <w:sz w:val="30"/>
          <w:szCs w:val="30"/>
        </w:rPr>
        <w:t>11.2</w:t>
      </w:r>
      <w:r>
        <w:rPr>
          <w:rFonts w:ascii="Times New Roman" w:eastAsia="宋体" w:hAnsi="Times New Roman" w:hint="eastAsia"/>
          <w:b/>
          <w:sz w:val="30"/>
          <w:szCs w:val="30"/>
        </w:rPr>
        <w:t>与相关法规及规划的符合性</w:t>
      </w:r>
      <w:bookmarkEnd w:id="259"/>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11</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.1</w:t>
      </w:r>
      <w:r>
        <w:rPr>
          <w:rFonts w:ascii="Times New Roman" w:eastAsia="宋体" w:hAnsi="Times New Roman" w:hint="eastAsia"/>
          <w:b/>
        </w:rPr>
        <w:t>与《中华人民共和国国民经济和社会发展十三个五年规划纲要》符合性分析</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根据《中华人民共和国国民经济和社会发展十三个五年规划纲要》第二十二章</w:t>
      </w:r>
      <w:r>
        <w:rPr>
          <w:rFonts w:ascii="Times New Roman" w:hAnsi="Times New Roman"/>
        </w:rPr>
        <w:t>“</w:t>
      </w:r>
      <w:r>
        <w:rPr>
          <w:rFonts w:ascii="Times New Roman" w:hAnsi="Times New Roman" w:hint="eastAsia"/>
        </w:rPr>
        <w:t>综合运用市场机制、经济手段、法治办法和必要的行政手段，加大政策引导力度，实现市场出清。建立以工艺、技术、能耗、环保、质量、安全等为约束条件的推进机制，强化行业规范和准入管理，坚决淘汰落后产能</w:t>
      </w:r>
      <w:r>
        <w:rPr>
          <w:rFonts w:ascii="Times New Roman" w:hAnsi="Times New Roman"/>
        </w:rPr>
        <w:t>”</w:t>
      </w:r>
      <w:r>
        <w:rPr>
          <w:rFonts w:ascii="Times New Roman" w:hAnsi="Times New Roman" w:hint="eastAsia"/>
        </w:rPr>
        <w:t>，本规划区内的采砂工艺淘汰旧设备，引进环保节能新工艺，符合《中华人民共和国国民经济和社会发展十三个五年规划纲要》的要求。</w:t>
      </w:r>
    </w:p>
    <w:p w:rsidR="004B4777" w:rsidRDefault="004B4777">
      <w:pPr>
        <w:pStyle w:val="3"/>
        <w:snapToGrid w:val="0"/>
        <w:spacing w:before="0" w:after="0"/>
        <w:rPr>
          <w:rFonts w:ascii="Times New Roman" w:eastAsia="宋体" w:hAnsi="Times New Roman"/>
          <w:b/>
        </w:rPr>
      </w:pPr>
      <w:r>
        <w:rPr>
          <w:rFonts w:ascii="Times New Roman" w:eastAsia="宋体" w:hAnsi="Times New Roman" w:hint="eastAsia"/>
          <w:b/>
        </w:rPr>
        <w:t>11</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2</w:t>
      </w:r>
      <w:r>
        <w:rPr>
          <w:rFonts w:ascii="Times New Roman" w:eastAsia="宋体" w:hAnsi="Times New Roman" w:hint="eastAsia"/>
          <w:b/>
        </w:rPr>
        <w:t>与《中华人民共和国自然保护区条例》</w:t>
      </w:r>
      <w:r>
        <w:rPr>
          <w:rFonts w:ascii="Times New Roman" w:eastAsia="宋体" w:hAnsi="Times New Roman"/>
          <w:b/>
        </w:rPr>
        <w:t>符合性</w:t>
      </w:r>
      <w:r>
        <w:rPr>
          <w:rFonts w:ascii="Times New Roman" w:eastAsia="宋体" w:hAnsi="Times New Roman" w:hint="eastAsia"/>
          <w:b/>
        </w:rPr>
        <w:t>分析</w:t>
      </w:r>
    </w:p>
    <w:p w:rsidR="004B4777" w:rsidRDefault="004B4777">
      <w:pPr>
        <w:adjustRightInd w:val="0"/>
        <w:snapToGrid w:val="0"/>
        <w:ind w:firstLine="449"/>
        <w:rPr>
          <w:rFonts w:ascii="Times New Roman" w:hAnsi="Times New Roman" w:hint="eastAsia"/>
        </w:rPr>
      </w:pPr>
      <w:r>
        <w:rPr>
          <w:rFonts w:ascii="Times New Roman" w:hAnsi="Times New Roman" w:hint="eastAsia"/>
        </w:rPr>
        <w:t>洞庭湖区分别建立了东洞庭湖国家级自然保护区、南洞庭湖省级自然保护区、西洞庭湖省级自然保护区和横岭湖省级自然保护区等</w:t>
      </w:r>
      <w:r>
        <w:rPr>
          <w:rFonts w:ascii="Times New Roman" w:hAnsi="Times New Roman" w:hint="eastAsia"/>
        </w:rPr>
        <w:t xml:space="preserve"> 4</w:t>
      </w:r>
      <w:r>
        <w:rPr>
          <w:rFonts w:ascii="Times New Roman" w:hAnsi="Times New Roman" w:hint="eastAsia"/>
        </w:rPr>
        <w:t>个自然保护区。</w:t>
      </w:r>
    </w:p>
    <w:p w:rsidR="004B4777" w:rsidRDefault="004B4777">
      <w:pPr>
        <w:adjustRightInd w:val="0"/>
        <w:snapToGrid w:val="0"/>
        <w:ind w:firstLine="449"/>
        <w:rPr>
          <w:rFonts w:ascii="Times New Roman" w:hAnsi="Times New Roman" w:hint="eastAsia"/>
        </w:rPr>
      </w:pPr>
      <w:r>
        <w:rPr>
          <w:rFonts w:ascii="Times New Roman" w:hAnsi="Times New Roman" w:hint="eastAsia"/>
          <w:szCs w:val="24"/>
        </w:rPr>
        <w:t>斗米咀采砂区与湖南湘阴横岭湖省级自然保护区实验区最近距离为</w:t>
      </w:r>
      <w:r>
        <w:rPr>
          <w:rFonts w:ascii="Times New Roman" w:hAnsi="Times New Roman"/>
          <w:szCs w:val="24"/>
        </w:rPr>
        <w:t>31</w:t>
      </w:r>
      <w:r>
        <w:rPr>
          <w:rFonts w:ascii="Times New Roman" w:hAnsi="Times New Roman" w:hint="eastAsia"/>
          <w:szCs w:val="24"/>
        </w:rPr>
        <w:t>米。</w:t>
      </w:r>
    </w:p>
    <w:p w:rsidR="004B4777" w:rsidRDefault="004B4777">
      <w:pPr>
        <w:adjustRightInd w:val="0"/>
        <w:snapToGrid w:val="0"/>
        <w:ind w:firstLine="449"/>
        <w:rPr>
          <w:rFonts w:ascii="Times New Roman" w:hAnsi="Times New Roman" w:hint="eastAsia"/>
        </w:rPr>
      </w:pPr>
      <w:r>
        <w:rPr>
          <w:rFonts w:ascii="Times New Roman" w:hAnsi="Times New Roman" w:hint="eastAsia"/>
          <w:szCs w:val="24"/>
        </w:rPr>
        <w:t>易婆塘采砂区与湖南湘阴横岭湖省级自然保护区实验区最近距离为</w:t>
      </w:r>
      <w:r>
        <w:rPr>
          <w:rFonts w:ascii="Times New Roman" w:hAnsi="Times New Roman" w:hint="eastAsia"/>
          <w:szCs w:val="24"/>
        </w:rPr>
        <w:t>103</w:t>
      </w:r>
      <w:r>
        <w:rPr>
          <w:rFonts w:ascii="Times New Roman" w:hAnsi="Times New Roman" w:hint="eastAsia"/>
          <w:szCs w:val="24"/>
        </w:rPr>
        <w:t>米，与湖南南洞庭湖省级自然保护区实验区最近距离为</w:t>
      </w:r>
      <w:r>
        <w:rPr>
          <w:rFonts w:ascii="Times New Roman" w:hAnsi="Times New Roman" w:hint="eastAsia"/>
          <w:szCs w:val="24"/>
        </w:rPr>
        <w:t>749</w:t>
      </w:r>
      <w:r>
        <w:rPr>
          <w:rFonts w:ascii="Times New Roman" w:hAnsi="Times New Roman" w:hint="eastAsia"/>
          <w:szCs w:val="24"/>
        </w:rPr>
        <w:t>米。</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自然保护区条例》等有关法规，禁止在自然保护区内进行砍伐、放牧、狩猎、捕捞、采药、开垦、烧荒、开矿、采石、挖砂等活动；在自然保护区的核心区和缓冲区内，不得建设任何生产设施；在自然保护区的实验区内，不得建设污染环境、破坏资源或者景观的生产设施。</w:t>
      </w:r>
    </w:p>
    <w:p w:rsidR="004B4777" w:rsidRDefault="004B4777">
      <w:pPr>
        <w:adjustRightInd w:val="0"/>
        <w:snapToGrid w:val="0"/>
        <w:ind w:firstLine="449"/>
        <w:rPr>
          <w:rFonts w:ascii="Times New Roman" w:hAnsi="Times New Roman" w:hint="eastAsia"/>
        </w:rPr>
      </w:pPr>
      <w:r>
        <w:rPr>
          <w:rFonts w:ascii="Times New Roman" w:hAnsi="Times New Roman" w:hint="eastAsia"/>
        </w:rPr>
        <w:t>项目采区与自然保护区均不冲突。因此本项目是符合《中华人民共和国自然保护区条例》要求的。</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 xml:space="preserve">11.2.3 </w:t>
      </w:r>
      <w:r>
        <w:rPr>
          <w:rFonts w:ascii="Times New Roman" w:eastAsia="宋体" w:hAnsi="Times New Roman" w:hint="eastAsia"/>
          <w:b/>
        </w:rPr>
        <w:t>与《水产种质资源保护区管理暂行办法》符合性分析</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根据调查，项目在湘阴县内主要涉及</w:t>
      </w:r>
      <w:r>
        <w:rPr>
          <w:rFonts w:ascii="Times New Roman" w:hAnsi="Times New Roman" w:hint="eastAsia"/>
        </w:rPr>
        <w:t>2</w:t>
      </w:r>
      <w:r>
        <w:rPr>
          <w:rFonts w:ascii="Times New Roman" w:hAnsi="Times New Roman" w:hint="eastAsia"/>
        </w:rPr>
        <w:t>个水产种质资源保护区：南洞庭湖大口鲶青虾中华鳖国家级水产种质资源保护区、南洞庭湖银鱼三角帆蚌国家级水产种质资源保护区。</w:t>
      </w:r>
      <w:r>
        <w:rPr>
          <w:rFonts w:ascii="Times New Roman" w:hAnsi="Times New Roman" w:hint="eastAsia"/>
        </w:rPr>
        <w:lastRenderedPageBreak/>
        <w:t>其中，斗米咀采区距离南洞庭湖大口鲶青虾中华鳖国家级水产种质资源保护区</w:t>
      </w:r>
      <w:r>
        <w:rPr>
          <w:rFonts w:ascii="Times New Roman" w:hAnsi="Times New Roman" w:hint="eastAsia"/>
        </w:rPr>
        <w:t>385m</w:t>
      </w:r>
      <w:r>
        <w:rPr>
          <w:rFonts w:ascii="Times New Roman" w:hAnsi="Times New Roman" w:hint="eastAsia"/>
          <w:color w:val="000000"/>
          <w:szCs w:val="24"/>
        </w:rPr>
        <w:t>；</w:t>
      </w:r>
      <w:r>
        <w:rPr>
          <w:rFonts w:ascii="Times New Roman" w:hAnsi="Times New Roman" w:hint="eastAsia"/>
        </w:rPr>
        <w:t>易婆塘采区距离南洞庭湖大口鲶青虾中华鳖国家级水产种质资源保护区</w:t>
      </w:r>
      <w:r>
        <w:rPr>
          <w:rFonts w:ascii="Times New Roman" w:hAnsi="Times New Roman" w:hint="eastAsia"/>
        </w:rPr>
        <w:t>2.3km</w:t>
      </w:r>
      <w:r>
        <w:rPr>
          <w:rFonts w:ascii="Times New Roman" w:hAnsi="Times New Roman" w:hint="eastAsia"/>
        </w:rPr>
        <w:t>，距离</w:t>
      </w:r>
      <w:r>
        <w:rPr>
          <w:rFonts w:ascii="Times New Roman" w:hAnsi="Times New Roman" w:hint="eastAsia"/>
          <w:color w:val="000000"/>
          <w:szCs w:val="24"/>
        </w:rPr>
        <w:t>南洞庭湖银鱼三角帆蚌国家级水产种质资源保护区</w:t>
      </w:r>
      <w:r>
        <w:rPr>
          <w:rFonts w:ascii="Times New Roman" w:hAnsi="Times New Roman" w:hint="eastAsia"/>
          <w:color w:val="000000"/>
          <w:szCs w:val="24"/>
        </w:rPr>
        <w:t>103m</w:t>
      </w:r>
      <w:r>
        <w:rPr>
          <w:rFonts w:ascii="Times New Roman" w:hAnsi="Times New Roman" w:hint="eastAsia"/>
        </w:rPr>
        <w:t>。</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根据《水产种质资源保护区管理暂行办法》要求，禁止在水产种质资源保护区内从事围湖造田、围海造地或围填海工程。禁止在水产种质资源保护区内新建排污口。</w:t>
      </w:r>
    </w:p>
    <w:p w:rsidR="004B4777" w:rsidRDefault="004B4777">
      <w:pPr>
        <w:adjustRightInd w:val="0"/>
        <w:snapToGrid w:val="0"/>
        <w:ind w:firstLine="449"/>
        <w:rPr>
          <w:rFonts w:ascii="Times New Roman" w:hAnsi="Times New Roman" w:hint="eastAsia"/>
        </w:rPr>
      </w:pPr>
      <w:r>
        <w:rPr>
          <w:rFonts w:ascii="Times New Roman" w:hAnsi="Times New Roman" w:hint="eastAsia"/>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rsidR="004B4777" w:rsidRDefault="004B4777" w:rsidP="004B4777">
      <w:pPr>
        <w:adjustRightInd w:val="0"/>
        <w:snapToGrid w:val="0"/>
        <w:ind w:firstLineChars="250" w:firstLine="561"/>
        <w:rPr>
          <w:rFonts w:ascii="Times New Roman" w:hAnsi="Times New Roman" w:hint="eastAsia"/>
          <w:color w:val="FF0000"/>
        </w:rPr>
      </w:pPr>
      <w:r>
        <w:rPr>
          <w:rFonts w:ascii="Times New Roman" w:hAnsi="Times New Roman" w:hint="eastAsia"/>
        </w:rPr>
        <w:t>项目采区均不位于水产种质资源保护区，但距离南洞庭湖大口鲶青虾中华鳖国家级水产种质资源保护区、南洞庭湖银鱼三角帆蚌国家级水产种质资源保护区均较近。目前，湘阴县河道砂石综合执法局委托湖南渔缘生物科技有限公司和湖南省水产科学研究所编制了《湘阴县易婆塘斗米咀等</w:t>
      </w:r>
      <w:r>
        <w:rPr>
          <w:rFonts w:ascii="Times New Roman" w:hAnsi="Times New Roman" w:hint="eastAsia"/>
        </w:rPr>
        <w:t>4</w:t>
      </w:r>
      <w:r>
        <w:rPr>
          <w:rFonts w:ascii="Times New Roman" w:hAnsi="Times New Roman" w:hint="eastAsia"/>
        </w:rPr>
        <w:t>个采区对南洞庭湖大口鲶青虾中华鳖国家级水产种质资源保护区影响专题报告》并通过了湘阴县畜牧水产局的专家评审。</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 xml:space="preserve">11.2.4  </w:t>
      </w:r>
      <w:r>
        <w:rPr>
          <w:rFonts w:ascii="Times New Roman" w:eastAsia="宋体" w:hAnsi="Times New Roman" w:hint="eastAsia"/>
          <w:b/>
        </w:rPr>
        <w:t>与《湿地保护管理规定》及《湖南省湿地保护条例》的符合性分析</w:t>
      </w:r>
    </w:p>
    <w:p w:rsidR="004B4777" w:rsidRDefault="004B4777">
      <w:pPr>
        <w:adjustRightInd w:val="0"/>
        <w:snapToGrid w:val="0"/>
        <w:ind w:firstLine="449"/>
        <w:rPr>
          <w:rFonts w:ascii="Times New Roman" w:hAnsi="Times New Roman" w:hint="eastAsia"/>
          <w:szCs w:val="24"/>
          <w:lang w:val="zh-CN"/>
        </w:rPr>
      </w:pPr>
      <w:r>
        <w:rPr>
          <w:rFonts w:ascii="Times New Roman" w:hAnsi="Times New Roman" w:hint="eastAsia"/>
        </w:rPr>
        <w:t>根据调查，项目在湘阴县内涉及的湿地主要为横岭湖湖泊湿地，</w:t>
      </w:r>
      <w:r>
        <w:rPr>
          <w:rFonts w:ascii="Times New Roman" w:hAnsi="Times New Roman" w:hint="eastAsia"/>
          <w:szCs w:val="24"/>
          <w:lang w:val="zh-CN"/>
        </w:rPr>
        <w:t>横岭湖湖泊湿地位于洞庭湖横岭湖省级自然保护区内，总面积</w:t>
      </w:r>
      <w:r>
        <w:rPr>
          <w:rFonts w:ascii="Times New Roman" w:hAnsi="Times New Roman" w:hint="eastAsia"/>
          <w:szCs w:val="24"/>
          <w:lang w:val="zh-CN"/>
        </w:rPr>
        <w:t>4.3</w:t>
      </w:r>
      <w:r>
        <w:rPr>
          <w:rFonts w:ascii="Times New Roman" w:hAnsi="Times New Roman" w:hint="eastAsia"/>
          <w:szCs w:val="24"/>
          <w:lang w:val="zh-CN"/>
        </w:rPr>
        <w:t>万公顷。该湿地被列入第一批“湖南省重要湿地名录”（湘政办函</w:t>
      </w:r>
      <w:r>
        <w:rPr>
          <w:rFonts w:ascii="Times New Roman" w:hAnsi="Times New Roman" w:hint="eastAsia"/>
          <w:szCs w:val="24"/>
          <w:lang w:val="zh-CN"/>
        </w:rPr>
        <w:t>[2008]79</w:t>
      </w:r>
      <w:r>
        <w:rPr>
          <w:rFonts w:ascii="Times New Roman" w:hAnsi="Times New Roman" w:hint="eastAsia"/>
          <w:szCs w:val="24"/>
          <w:lang w:val="zh-CN"/>
        </w:rPr>
        <w:t>号），该湿地为湖南省典型的亚热带淡水湿地生态系统。</w:t>
      </w:r>
    </w:p>
    <w:p w:rsidR="004B4777" w:rsidRDefault="004B4777">
      <w:pPr>
        <w:adjustRightInd w:val="0"/>
        <w:snapToGrid w:val="0"/>
        <w:ind w:firstLine="449"/>
        <w:rPr>
          <w:rFonts w:ascii="Times New Roman" w:hAnsi="Times New Roman" w:hint="eastAsia"/>
          <w:szCs w:val="24"/>
        </w:rPr>
      </w:pPr>
      <w:r>
        <w:rPr>
          <w:rFonts w:ascii="Times New Roman" w:hAnsi="Times New Roman" w:hint="eastAsia"/>
          <w:szCs w:val="24"/>
          <w:lang w:val="zh-CN"/>
        </w:rPr>
        <w:t>该湿地范围与湖南湘阴横岭湖省级自然保护区范围一致，</w:t>
      </w:r>
      <w:r>
        <w:rPr>
          <w:rFonts w:ascii="Times New Roman" w:hAnsi="Times New Roman" w:hint="eastAsia"/>
          <w:szCs w:val="24"/>
        </w:rPr>
        <w:t>易婆塘采砂区与横岭湖湖泊湿地的最近距离为</w:t>
      </w:r>
      <w:r>
        <w:rPr>
          <w:rFonts w:ascii="Times New Roman" w:hAnsi="Times New Roman" w:hint="eastAsia"/>
          <w:szCs w:val="24"/>
        </w:rPr>
        <w:t>103</w:t>
      </w:r>
      <w:r>
        <w:rPr>
          <w:rFonts w:ascii="Times New Roman" w:hAnsi="Times New Roman" w:hint="eastAsia"/>
          <w:szCs w:val="24"/>
        </w:rPr>
        <w:t>米；斗米咀采砂区与横岭湖湖泊湿地最近距离为</w:t>
      </w:r>
      <w:r>
        <w:rPr>
          <w:rFonts w:ascii="Times New Roman" w:hAnsi="Times New Roman"/>
          <w:szCs w:val="24"/>
        </w:rPr>
        <w:t>31</w:t>
      </w:r>
      <w:r>
        <w:rPr>
          <w:rFonts w:ascii="Times New Roman" w:hAnsi="Times New Roman" w:hint="eastAsia"/>
          <w:szCs w:val="24"/>
        </w:rPr>
        <w:t>米。</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根据《湿地保护管理规定》（国家林业局第</w:t>
      </w:r>
      <w:r>
        <w:rPr>
          <w:rFonts w:ascii="Times New Roman" w:hAnsi="Times New Roman" w:hint="eastAsia"/>
        </w:rPr>
        <w:t>48</w:t>
      </w:r>
      <w:r>
        <w:rPr>
          <w:rFonts w:ascii="Times New Roman" w:hAnsi="Times New Roman" w:hint="eastAsia"/>
        </w:rPr>
        <w:t>号令），在湿地内禁止从事开（围）垦、填埋或者排干湿地；永久性截断湿地水源；挖沙、采矿；倾倒有毒有害物资、废弃物、垃圾；破坏野生动物栖息地和迁徙通道、鱼类洄游通道，滥采滥捕野生动植物；引进外来物种；擅自放牧、捕捞、取土、取水、排污、放生；其他破坏湿地及其生态功能的活动。</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根据《湖南省湿地保护条例》，禁止在湿地狩猎、捕捞、采集国家和本省保护的野生动物；禁止捕杀候鸟。</w:t>
      </w:r>
      <w:r>
        <w:rPr>
          <w:rFonts w:ascii="Times New Roman" w:hAnsi="Times New Roman"/>
        </w:rPr>
        <w:t>…</w:t>
      </w:r>
    </w:p>
    <w:p w:rsidR="004B4777" w:rsidRDefault="004B4777">
      <w:pPr>
        <w:adjustRightInd w:val="0"/>
        <w:snapToGrid w:val="0"/>
        <w:ind w:firstLine="449"/>
        <w:rPr>
          <w:rFonts w:ascii="Times New Roman" w:hAnsi="Times New Roman" w:hint="eastAsia"/>
        </w:rPr>
      </w:pPr>
      <w:r>
        <w:rPr>
          <w:rFonts w:ascii="Times New Roman" w:hAnsi="Times New Roman" w:hint="eastAsia"/>
        </w:rPr>
        <w:t>项目采区不位于</w:t>
      </w:r>
      <w:r>
        <w:rPr>
          <w:rFonts w:ascii="Times New Roman" w:hAnsi="Times New Roman" w:hint="eastAsia"/>
          <w:szCs w:val="24"/>
        </w:rPr>
        <w:t>横岭湖湖泊湿地范围内，项目在采砂过程中应加强环境管理，禁止工作人员在湿地范围内狩猎、捕捞</w:t>
      </w:r>
      <w:r>
        <w:rPr>
          <w:rFonts w:ascii="Times New Roman" w:hAnsi="Times New Roman" w:hint="eastAsia"/>
        </w:rPr>
        <w:t>采集国家和本省保护的野生动物、禁止捕杀候鸟。通过提高对工作人员的环境教育，并采取必要的工程措施。本项目是符合《湿地保护管理规定》</w:t>
      </w:r>
      <w:r>
        <w:rPr>
          <w:rFonts w:ascii="Times New Roman" w:hAnsi="Times New Roman" w:hint="eastAsia"/>
        </w:rPr>
        <w:lastRenderedPageBreak/>
        <w:t>和《湖南省湿地保护条例》要求的。</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 xml:space="preserve">11.2.5  </w:t>
      </w:r>
      <w:r>
        <w:rPr>
          <w:rFonts w:ascii="Times New Roman" w:eastAsia="宋体" w:hAnsi="Times New Roman" w:hint="eastAsia"/>
          <w:b/>
        </w:rPr>
        <w:t>与《中华人民共和国水污染防治法》符合性分析</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项目易婆塘采区位于资水河段，其开采范围涉及柳潭村和赛头口村。柳潭村及赛头口村现均设有水厂用于村镇居民供水，柳潭水厂取水口距离防洪堤约</w:t>
      </w:r>
      <w:r>
        <w:rPr>
          <w:rFonts w:ascii="Times New Roman" w:hAnsi="Times New Roman" w:hint="eastAsia"/>
          <w:snapToGrid w:val="0"/>
          <w:kern w:val="0"/>
          <w:szCs w:val="24"/>
        </w:rPr>
        <w:t>160m</w:t>
      </w:r>
      <w:r>
        <w:rPr>
          <w:rFonts w:ascii="Times New Roman" w:hAnsi="Times New Roman" w:hint="eastAsia"/>
          <w:snapToGrid w:val="0"/>
          <w:kern w:val="0"/>
          <w:szCs w:val="24"/>
        </w:rPr>
        <w:t>，赛头水厂取水口距离防洪堤约</w:t>
      </w:r>
      <w:r>
        <w:rPr>
          <w:rFonts w:ascii="Times New Roman" w:hAnsi="Times New Roman" w:hint="eastAsia"/>
          <w:snapToGrid w:val="0"/>
          <w:kern w:val="0"/>
          <w:szCs w:val="24"/>
        </w:rPr>
        <w:t>160m</w:t>
      </w:r>
      <w:r>
        <w:rPr>
          <w:rFonts w:ascii="Times New Roman" w:hAnsi="Times New Roman" w:hint="eastAsia"/>
          <w:snapToGrid w:val="0"/>
          <w:kern w:val="0"/>
          <w:szCs w:val="24"/>
        </w:rPr>
        <w:t>，因防洪堤</w:t>
      </w:r>
      <w:r>
        <w:rPr>
          <w:rFonts w:ascii="Times New Roman" w:hAnsi="Times New Roman" w:hint="eastAsia"/>
          <w:snapToGrid w:val="0"/>
          <w:kern w:val="0"/>
          <w:szCs w:val="24"/>
        </w:rPr>
        <w:t>200m</w:t>
      </w:r>
      <w:r>
        <w:rPr>
          <w:rFonts w:ascii="Times New Roman" w:hAnsi="Times New Roman" w:hint="eastAsia"/>
          <w:snapToGrid w:val="0"/>
          <w:kern w:val="0"/>
          <w:szCs w:val="24"/>
        </w:rPr>
        <w:t>范围内为禁采区，柳潭水厂、赛头水厂距离易婆塘采场边界约</w:t>
      </w:r>
      <w:r>
        <w:rPr>
          <w:rFonts w:ascii="Times New Roman" w:hAnsi="Times New Roman" w:hint="eastAsia"/>
          <w:snapToGrid w:val="0"/>
          <w:kern w:val="0"/>
          <w:szCs w:val="24"/>
        </w:rPr>
        <w:t>360m</w:t>
      </w:r>
      <w:r>
        <w:rPr>
          <w:rFonts w:ascii="Times New Roman" w:hAnsi="Times New Roman" w:hint="eastAsia"/>
          <w:snapToGrid w:val="0"/>
          <w:kern w:val="0"/>
          <w:szCs w:val="24"/>
        </w:rPr>
        <w:t>。根据湘阴县人民政府确定的地下饮用水源保护地，地下水饮用水水源一级保护区为开采井周边</w:t>
      </w:r>
      <w:r>
        <w:rPr>
          <w:rFonts w:ascii="Times New Roman" w:hAnsi="Times New Roman" w:hint="eastAsia"/>
          <w:snapToGrid w:val="0"/>
          <w:kern w:val="0"/>
          <w:szCs w:val="24"/>
        </w:rPr>
        <w:t>100</w:t>
      </w:r>
      <w:r>
        <w:rPr>
          <w:rFonts w:ascii="Times New Roman" w:hAnsi="Times New Roman" w:hint="eastAsia"/>
          <w:snapToGrid w:val="0"/>
          <w:kern w:val="0"/>
          <w:szCs w:val="24"/>
        </w:rPr>
        <w:t>米的区域，二级保护区域为一级保护区外周边</w:t>
      </w:r>
      <w:r>
        <w:rPr>
          <w:rFonts w:ascii="Times New Roman" w:hAnsi="Times New Roman" w:hint="eastAsia"/>
          <w:snapToGrid w:val="0"/>
          <w:kern w:val="0"/>
          <w:szCs w:val="24"/>
        </w:rPr>
        <w:t>1000</w:t>
      </w:r>
      <w:r>
        <w:rPr>
          <w:rFonts w:ascii="Times New Roman" w:hAnsi="Times New Roman" w:hint="eastAsia"/>
          <w:snapToGrid w:val="0"/>
          <w:kern w:val="0"/>
          <w:szCs w:val="24"/>
        </w:rPr>
        <w:t>米的圆形区域。项目部分开采范围位于二级水源保护区内，根据《中华人民共和国水污染防治法》要求，禁止在饮用水水源二级保护区内新建、改建、扩建排放污染物的建设项目。</w:t>
      </w:r>
    </w:p>
    <w:p w:rsidR="004B4777" w:rsidRDefault="004B4777">
      <w:pPr>
        <w:snapToGrid w:val="0"/>
        <w:ind w:firstLine="449"/>
        <w:rPr>
          <w:rFonts w:ascii="Times New Roman" w:hAnsi="Times New Roman" w:hint="eastAsia"/>
          <w:u w:val="single"/>
        </w:rPr>
      </w:pPr>
      <w:r>
        <w:rPr>
          <w:rFonts w:ascii="Times New Roman" w:hAnsi="Times New Roman" w:hint="eastAsia"/>
          <w:snapToGrid w:val="0"/>
          <w:kern w:val="0"/>
          <w:szCs w:val="24"/>
        </w:rPr>
        <w:t>根据建设单位和柳潭村、赛头口村及湘阴县人民政府协商，湘阴县人民政府及柳潭村、赛头口村均同意现两个水厂进行搬迁，项目将重新为上述村庄建设农村集中式地下水饮用水源地，合理选址，保证水井距大堤禁脚</w:t>
      </w:r>
      <w:r>
        <w:rPr>
          <w:rFonts w:ascii="Times New Roman" w:hAnsi="Times New Roman" w:hint="eastAsia"/>
          <w:snapToGrid w:val="0"/>
          <w:kern w:val="0"/>
          <w:szCs w:val="24"/>
        </w:rPr>
        <w:t>1100</w:t>
      </w:r>
      <w:r>
        <w:rPr>
          <w:rFonts w:ascii="Times New Roman" w:hAnsi="Times New Roman" w:hint="eastAsia"/>
          <w:snapToGrid w:val="0"/>
          <w:kern w:val="0"/>
          <w:szCs w:val="24"/>
        </w:rPr>
        <w:t>米以上。</w:t>
      </w:r>
      <w:r>
        <w:rPr>
          <w:rFonts w:ascii="Times New Roman" w:hAnsi="Times New Roman" w:hint="eastAsia"/>
          <w:u w:val="single"/>
        </w:rPr>
        <w:t>建设单位拟迁建赛头水厂取水口至赛头口村马家塘，距防洪堤约</w:t>
      </w:r>
      <w:r>
        <w:rPr>
          <w:rFonts w:ascii="Times New Roman" w:hAnsi="Times New Roman" w:hint="eastAsia"/>
          <w:u w:val="single"/>
        </w:rPr>
        <w:t>1120m</w:t>
      </w:r>
      <w:r>
        <w:rPr>
          <w:rFonts w:ascii="Times New Roman" w:hAnsi="Times New Roman" w:hint="eastAsia"/>
          <w:u w:val="single"/>
        </w:rPr>
        <w:t>；拟迁建柳潭水厂取水口至余长村，距防洪堤约</w:t>
      </w:r>
      <w:r>
        <w:rPr>
          <w:rFonts w:ascii="Times New Roman" w:hAnsi="Times New Roman" w:hint="eastAsia"/>
          <w:u w:val="single"/>
        </w:rPr>
        <w:t>1130m</w:t>
      </w:r>
      <w:r>
        <w:rPr>
          <w:rFonts w:ascii="Times New Roman" w:hAnsi="Times New Roman" w:hint="eastAsia"/>
          <w:u w:val="single"/>
        </w:rPr>
        <w:t>。两水厂新取水口能满足湘阴县人民政府文件要求和水源保护要求，在柳潭水厂及赛头水厂新取水口正式启用前，易婆塘采区现位于二级水源保护区范围内的采砂区禁止开采。</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项目斗米咀采区距离岳阳市屈原管理区湘江湘阴段现取水口上游</w:t>
      </w:r>
      <w:r>
        <w:rPr>
          <w:rFonts w:ascii="Times New Roman" w:hAnsi="Times New Roman" w:hint="eastAsia"/>
          <w:snapToGrid w:val="0"/>
          <w:kern w:val="0"/>
          <w:szCs w:val="24"/>
        </w:rPr>
        <w:t>12.92km</w:t>
      </w:r>
      <w:r>
        <w:rPr>
          <w:rFonts w:ascii="Times New Roman" w:hAnsi="Times New Roman" w:hint="eastAsia"/>
          <w:snapToGrid w:val="0"/>
          <w:kern w:val="0"/>
          <w:szCs w:val="24"/>
        </w:rPr>
        <w:t>，但根据湘阴市规划，该取水口拟上移</w:t>
      </w:r>
      <w:r>
        <w:rPr>
          <w:rFonts w:ascii="Times New Roman" w:hAnsi="Times New Roman"/>
          <w:snapToGrid w:val="0"/>
          <w:kern w:val="0"/>
          <w:szCs w:val="24"/>
        </w:rPr>
        <w:t>至湘江湘阴段湘阴县鸡啼湖，距离现取水口沿江约</w:t>
      </w:r>
      <w:r>
        <w:rPr>
          <w:rFonts w:ascii="Times New Roman" w:hAnsi="Times New Roman"/>
          <w:snapToGrid w:val="0"/>
          <w:kern w:val="0"/>
          <w:szCs w:val="24"/>
        </w:rPr>
        <w:t>13.37km</w:t>
      </w:r>
      <w:r>
        <w:rPr>
          <w:rFonts w:ascii="Times New Roman" w:hAnsi="Times New Roman"/>
          <w:snapToGrid w:val="0"/>
          <w:kern w:val="0"/>
          <w:szCs w:val="24"/>
        </w:rPr>
        <w:t>右岸处</w:t>
      </w:r>
      <w:r>
        <w:rPr>
          <w:rFonts w:ascii="Times New Roman" w:hAnsi="Times New Roman" w:hint="eastAsia"/>
          <w:snapToGrid w:val="0"/>
          <w:kern w:val="0"/>
          <w:szCs w:val="24"/>
        </w:rPr>
        <w:t>后，采区上游界限位于上移后的取水口下游约</w:t>
      </w:r>
      <w:r>
        <w:rPr>
          <w:rFonts w:ascii="Times New Roman" w:hAnsi="Times New Roman" w:hint="eastAsia"/>
          <w:snapToGrid w:val="0"/>
          <w:kern w:val="0"/>
          <w:szCs w:val="24"/>
        </w:rPr>
        <w:t>450m</w:t>
      </w:r>
      <w:r>
        <w:rPr>
          <w:rFonts w:ascii="Times New Roman" w:hAnsi="Times New Roman" w:hint="eastAsia"/>
          <w:snapToGrid w:val="0"/>
          <w:kern w:val="0"/>
          <w:szCs w:val="24"/>
        </w:rPr>
        <w:t>。</w:t>
      </w:r>
    </w:p>
    <w:p w:rsidR="004B4777" w:rsidRDefault="004B4777">
      <w:pPr>
        <w:snapToGrid w:val="0"/>
        <w:ind w:firstLine="449"/>
        <w:rPr>
          <w:rFonts w:ascii="Times New Roman" w:hAnsi="Times New Roman" w:hint="eastAsia"/>
          <w:snapToGrid w:val="0"/>
          <w:kern w:val="0"/>
          <w:szCs w:val="24"/>
        </w:rPr>
      </w:pPr>
      <w:r>
        <w:rPr>
          <w:rFonts w:ascii="Times New Roman" w:hAnsi="Times New Roman"/>
          <w:snapToGrid w:val="0"/>
          <w:kern w:val="0"/>
          <w:szCs w:val="24"/>
        </w:rPr>
        <w:t>根据省政府湘政函</w:t>
      </w:r>
      <w:r>
        <w:rPr>
          <w:rFonts w:ascii="Times New Roman" w:hAnsi="Times New Roman" w:hint="eastAsia"/>
          <w:snapToGrid w:val="0"/>
          <w:kern w:val="0"/>
          <w:szCs w:val="24"/>
        </w:rPr>
        <w:t>【</w:t>
      </w:r>
      <w:r>
        <w:rPr>
          <w:rFonts w:ascii="Times New Roman" w:hAnsi="Times New Roman" w:hint="eastAsia"/>
          <w:snapToGrid w:val="0"/>
          <w:kern w:val="0"/>
          <w:szCs w:val="24"/>
        </w:rPr>
        <w:t>2016</w:t>
      </w:r>
      <w:r>
        <w:rPr>
          <w:rFonts w:ascii="Times New Roman" w:hAnsi="Times New Roman" w:hint="eastAsia"/>
          <w:snapToGrid w:val="0"/>
          <w:kern w:val="0"/>
          <w:szCs w:val="24"/>
        </w:rPr>
        <w:t>】</w:t>
      </w:r>
      <w:r>
        <w:rPr>
          <w:rFonts w:ascii="Times New Roman" w:hAnsi="Times New Roman"/>
          <w:snapToGrid w:val="0"/>
          <w:kern w:val="0"/>
          <w:szCs w:val="24"/>
        </w:rPr>
        <w:t>176</w:t>
      </w:r>
      <w:r>
        <w:rPr>
          <w:rFonts w:ascii="Times New Roman" w:hAnsi="Times New Roman"/>
          <w:snapToGrid w:val="0"/>
          <w:kern w:val="0"/>
          <w:szCs w:val="24"/>
        </w:rPr>
        <w:t>号文及</w:t>
      </w:r>
      <w:r>
        <w:rPr>
          <w:rFonts w:ascii="Times New Roman" w:hAnsi="Times New Roman" w:hint="eastAsia"/>
          <w:snapToGrid w:val="0"/>
          <w:kern w:val="0"/>
          <w:szCs w:val="24"/>
        </w:rPr>
        <w:t>《湖南省县级以上地表水集中式饮用水水源保护区划定方案》，岳阳市屈原管理区湘江湘阴段饮用水水源保护区取水口位于湘江干流湘阴段，供水屈原区、营田镇、河市镇、琴棋乡、凤凰乡，保护区一级水域范围：取水口上游</w:t>
      </w:r>
      <w:r>
        <w:rPr>
          <w:rFonts w:ascii="Times New Roman" w:hAnsi="Times New Roman" w:hint="eastAsia"/>
          <w:snapToGrid w:val="0"/>
          <w:kern w:val="0"/>
          <w:szCs w:val="24"/>
        </w:rPr>
        <w:t xml:space="preserve"> 1000 </w:t>
      </w:r>
      <w:r>
        <w:rPr>
          <w:rFonts w:ascii="Times New Roman" w:hAnsi="Times New Roman" w:hint="eastAsia"/>
          <w:snapToGrid w:val="0"/>
          <w:kern w:val="0"/>
          <w:szCs w:val="24"/>
        </w:rPr>
        <w:t>米至取水口下游</w:t>
      </w:r>
      <w:r>
        <w:rPr>
          <w:rFonts w:ascii="Times New Roman" w:hAnsi="Times New Roman" w:hint="eastAsia"/>
          <w:snapToGrid w:val="0"/>
          <w:kern w:val="0"/>
          <w:szCs w:val="24"/>
        </w:rPr>
        <w:t xml:space="preserve"> 100</w:t>
      </w:r>
      <w:r>
        <w:rPr>
          <w:rFonts w:ascii="Times New Roman" w:hAnsi="Times New Roman" w:hint="eastAsia"/>
          <w:snapToGrid w:val="0"/>
          <w:kern w:val="0"/>
          <w:szCs w:val="24"/>
        </w:rPr>
        <w:t>米的湘江水域（湘江航道除外），保护区二级水域范围：一级保护区水域上边界上溯</w:t>
      </w:r>
      <w:r>
        <w:rPr>
          <w:rFonts w:ascii="Times New Roman" w:hAnsi="Times New Roman" w:hint="eastAsia"/>
          <w:snapToGrid w:val="0"/>
          <w:kern w:val="0"/>
          <w:szCs w:val="24"/>
        </w:rPr>
        <w:t xml:space="preserve"> 2000 </w:t>
      </w:r>
      <w:r>
        <w:rPr>
          <w:rFonts w:ascii="Times New Roman" w:hAnsi="Times New Roman" w:hint="eastAsia"/>
          <w:snapToGrid w:val="0"/>
          <w:kern w:val="0"/>
          <w:szCs w:val="24"/>
        </w:rPr>
        <w:t>米至下边界下延</w:t>
      </w:r>
      <w:r>
        <w:rPr>
          <w:rFonts w:ascii="Times New Roman" w:hAnsi="Times New Roman" w:hint="eastAsia"/>
          <w:snapToGrid w:val="0"/>
          <w:kern w:val="0"/>
          <w:szCs w:val="24"/>
        </w:rPr>
        <w:t xml:space="preserve"> 200 </w:t>
      </w:r>
      <w:r>
        <w:rPr>
          <w:rFonts w:ascii="Times New Roman" w:hAnsi="Times New Roman" w:hint="eastAsia"/>
          <w:snapToGrid w:val="0"/>
          <w:kern w:val="0"/>
          <w:szCs w:val="24"/>
        </w:rPr>
        <w:t>米之间河道水域（一级保护区水域除外）。因该取水口选址与湘阴县规划冲突，湘阴市计划将取水点上</w:t>
      </w:r>
      <w:r>
        <w:rPr>
          <w:rFonts w:ascii="Times New Roman" w:hAnsi="Times New Roman"/>
          <w:snapToGrid w:val="0"/>
          <w:kern w:val="0"/>
          <w:szCs w:val="24"/>
        </w:rPr>
        <w:t>移至湘江湘阴段，拟设置于湘阴县鸡啼湖，距离现取水口沿江约</w:t>
      </w:r>
      <w:r>
        <w:rPr>
          <w:rFonts w:ascii="Times New Roman" w:hAnsi="Times New Roman"/>
          <w:snapToGrid w:val="0"/>
          <w:kern w:val="0"/>
          <w:szCs w:val="24"/>
        </w:rPr>
        <w:t>13.37km</w:t>
      </w:r>
      <w:r>
        <w:rPr>
          <w:rFonts w:ascii="Times New Roman" w:hAnsi="Times New Roman"/>
          <w:snapToGrid w:val="0"/>
          <w:kern w:val="0"/>
          <w:szCs w:val="24"/>
        </w:rPr>
        <w:t>右岸处</w:t>
      </w:r>
      <w:r>
        <w:rPr>
          <w:rFonts w:ascii="Times New Roman" w:hAnsi="Times New Roman" w:hint="eastAsia"/>
          <w:snapToGrid w:val="0"/>
          <w:kern w:val="0"/>
          <w:szCs w:val="24"/>
        </w:rPr>
        <w:t>。目前，该取水口重新选址已完成环评工作并取得环评批文，目前正在办理相关手续。上移的鸡啼湖取水口预计</w:t>
      </w:r>
      <w:r>
        <w:rPr>
          <w:rFonts w:ascii="Times New Roman" w:hAnsi="Times New Roman" w:hint="eastAsia"/>
          <w:snapToGrid w:val="0"/>
          <w:kern w:val="0"/>
          <w:szCs w:val="24"/>
        </w:rPr>
        <w:t>2018</w:t>
      </w:r>
      <w:r>
        <w:rPr>
          <w:rFonts w:ascii="Times New Roman" w:hAnsi="Times New Roman" w:hint="eastAsia"/>
          <w:snapToGrid w:val="0"/>
          <w:kern w:val="0"/>
          <w:szCs w:val="24"/>
        </w:rPr>
        <w:t>年</w:t>
      </w:r>
      <w:r>
        <w:rPr>
          <w:rFonts w:ascii="Times New Roman" w:hAnsi="Times New Roman" w:hint="eastAsia"/>
          <w:snapToGrid w:val="0"/>
          <w:kern w:val="0"/>
          <w:szCs w:val="24"/>
        </w:rPr>
        <w:t>10</w:t>
      </w:r>
      <w:r>
        <w:rPr>
          <w:rFonts w:ascii="Times New Roman" w:hAnsi="Times New Roman" w:hint="eastAsia"/>
          <w:snapToGrid w:val="0"/>
          <w:kern w:val="0"/>
          <w:szCs w:val="24"/>
        </w:rPr>
        <w:t>月开工，预计</w:t>
      </w:r>
      <w:r>
        <w:rPr>
          <w:rFonts w:ascii="Times New Roman" w:hAnsi="Times New Roman" w:hint="eastAsia"/>
          <w:snapToGrid w:val="0"/>
          <w:kern w:val="0"/>
          <w:szCs w:val="24"/>
        </w:rPr>
        <w:t>2019</w:t>
      </w:r>
      <w:r>
        <w:rPr>
          <w:rFonts w:ascii="Times New Roman" w:hAnsi="Times New Roman" w:hint="eastAsia"/>
          <w:snapToGrid w:val="0"/>
          <w:kern w:val="0"/>
          <w:szCs w:val="24"/>
        </w:rPr>
        <w:t>年</w:t>
      </w:r>
      <w:r>
        <w:rPr>
          <w:rFonts w:ascii="Times New Roman" w:hAnsi="Times New Roman" w:hint="eastAsia"/>
          <w:snapToGrid w:val="0"/>
          <w:kern w:val="0"/>
          <w:szCs w:val="24"/>
        </w:rPr>
        <w:t>6</w:t>
      </w:r>
      <w:r>
        <w:rPr>
          <w:rFonts w:ascii="Times New Roman" w:hAnsi="Times New Roman" w:hint="eastAsia"/>
          <w:snapToGrid w:val="0"/>
          <w:kern w:val="0"/>
          <w:szCs w:val="24"/>
        </w:rPr>
        <w:t>月完</w:t>
      </w:r>
      <w:r>
        <w:rPr>
          <w:rFonts w:ascii="Times New Roman" w:hAnsi="Times New Roman" w:hint="eastAsia"/>
          <w:snapToGrid w:val="0"/>
          <w:kern w:val="0"/>
          <w:szCs w:val="24"/>
        </w:rPr>
        <w:lastRenderedPageBreak/>
        <w:t>工，完工后鸡啼湖取水口投入使用。</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rPr>
        <w:t>根据湘阴市规划，待湘江湘阴段取水口上移后，</w:t>
      </w:r>
      <w:r>
        <w:rPr>
          <w:rFonts w:ascii="Times New Roman" w:hAnsi="Times New Roman" w:hint="eastAsia"/>
          <w:snapToGrid w:val="0"/>
          <w:kern w:val="0"/>
          <w:szCs w:val="24"/>
        </w:rPr>
        <w:t>斗米咀采区位于</w:t>
      </w:r>
      <w:r>
        <w:rPr>
          <w:rFonts w:ascii="Times New Roman" w:hAnsi="Times New Roman" w:hint="eastAsia"/>
          <w:kern w:val="0"/>
          <w:szCs w:val="24"/>
        </w:rPr>
        <w:t>该取水口下游约</w:t>
      </w:r>
      <w:r>
        <w:rPr>
          <w:rFonts w:ascii="Times New Roman" w:hAnsi="Times New Roman" w:hint="eastAsia"/>
          <w:kern w:val="0"/>
          <w:szCs w:val="24"/>
        </w:rPr>
        <w:t>450m</w:t>
      </w:r>
      <w:r>
        <w:rPr>
          <w:rFonts w:ascii="Times New Roman" w:hAnsi="Times New Roman" w:hint="eastAsia"/>
          <w:kern w:val="0"/>
          <w:szCs w:val="24"/>
        </w:rPr>
        <w:t>，距离屈原管理区二级饮用水源保护区下游约</w:t>
      </w:r>
      <w:r>
        <w:rPr>
          <w:rFonts w:ascii="Times New Roman" w:hAnsi="Times New Roman" w:hint="eastAsia"/>
          <w:kern w:val="0"/>
          <w:szCs w:val="24"/>
        </w:rPr>
        <w:t>150m</w:t>
      </w:r>
      <w:r>
        <w:rPr>
          <w:rFonts w:ascii="Times New Roman" w:hAnsi="Times New Roman" w:hint="eastAsia"/>
          <w:kern w:val="0"/>
          <w:szCs w:val="24"/>
        </w:rPr>
        <w:t>。在采取一定的措施后，且水源保护区禁止排污后，项目采砂对取水口的影响较小。</w:t>
      </w:r>
    </w:p>
    <w:p w:rsidR="004B4777" w:rsidRDefault="004B4777">
      <w:pPr>
        <w:snapToGrid w:val="0"/>
        <w:ind w:firstLine="449"/>
        <w:rPr>
          <w:rFonts w:ascii="Times New Roman" w:hAnsi="Times New Roman" w:hint="eastAsia"/>
          <w:snapToGrid w:val="0"/>
          <w:kern w:val="0"/>
          <w:szCs w:val="24"/>
        </w:rPr>
      </w:pPr>
      <w:r>
        <w:rPr>
          <w:rFonts w:ascii="Times New Roman" w:hAnsi="Times New Roman" w:hint="eastAsia"/>
          <w:snapToGrid w:val="0"/>
          <w:kern w:val="0"/>
          <w:szCs w:val="24"/>
        </w:rPr>
        <w:t>待柳潭村及赛头口村的水厂新取水口正式启用后，项目采砂活动符合《中华人民共和国水污染防治法》相关要求。</w:t>
      </w:r>
    </w:p>
    <w:p w:rsidR="004B4777" w:rsidRDefault="004B4777">
      <w:pPr>
        <w:pStyle w:val="3"/>
        <w:snapToGrid w:val="0"/>
        <w:spacing w:before="0" w:after="0"/>
        <w:rPr>
          <w:rFonts w:ascii="Times New Roman" w:eastAsia="宋体" w:hAnsi="Times New Roman"/>
          <w:b/>
        </w:rPr>
      </w:pPr>
      <w:r>
        <w:rPr>
          <w:rFonts w:ascii="Times New Roman" w:eastAsia="宋体" w:hAnsi="Times New Roman" w:hint="eastAsia"/>
          <w:b/>
        </w:rPr>
        <w:t>11</w:t>
      </w:r>
      <w:r>
        <w:rPr>
          <w:rFonts w:ascii="Times New Roman" w:eastAsia="宋体" w:hAnsi="Times New Roman"/>
          <w:b/>
        </w:rPr>
        <w:t>.</w:t>
      </w:r>
      <w:r>
        <w:rPr>
          <w:rFonts w:ascii="Times New Roman" w:eastAsia="宋体" w:hAnsi="Times New Roman" w:hint="eastAsia"/>
          <w:b/>
        </w:rPr>
        <w:t>2</w:t>
      </w:r>
      <w:r>
        <w:rPr>
          <w:rFonts w:ascii="Times New Roman" w:eastAsia="宋体" w:hAnsi="Times New Roman"/>
          <w:b/>
        </w:rPr>
        <w:t>.</w:t>
      </w:r>
      <w:r>
        <w:rPr>
          <w:rFonts w:ascii="Times New Roman" w:eastAsia="宋体" w:hAnsi="Times New Roman" w:hint="eastAsia"/>
          <w:b/>
        </w:rPr>
        <w:t>6</w:t>
      </w:r>
      <w:r>
        <w:rPr>
          <w:rFonts w:ascii="Times New Roman" w:eastAsia="宋体" w:hAnsi="Times New Roman" w:hint="eastAsia"/>
          <w:b/>
        </w:rPr>
        <w:t>与《中华人民共和国河道管理条例》符合性分析</w:t>
      </w:r>
    </w:p>
    <w:p w:rsidR="004B4777" w:rsidRDefault="004B4777">
      <w:pPr>
        <w:adjustRightInd w:val="0"/>
        <w:snapToGrid w:val="0"/>
        <w:ind w:firstLine="449"/>
        <w:rPr>
          <w:rFonts w:ascii="Times New Roman" w:hAnsi="Times New Roman"/>
        </w:rPr>
      </w:pPr>
      <w:r>
        <w:rPr>
          <w:rFonts w:ascii="Times New Roman" w:hAnsi="Times New Roman" w:hint="eastAsia"/>
        </w:rPr>
        <w:t>根据《中华人民共和国河道管理条例》中的相关规定，“在河道管理范围内进行下列活动，必须报经河道主管机关批准；涉及其他部门的，由河道主管机关会同有关部门批准：（一）采砂、取土、淘金、弃置砂石或者淤泥；（二）爆破、钻探、挖筑鱼塘；（三）在河道滩地存放物料、修建厂房或者其他建筑设施；（四）在河道滩地开采地下资源及进行考古发掘。</w:t>
      </w:r>
    </w:p>
    <w:p w:rsidR="004B4777" w:rsidRDefault="004B4777">
      <w:pPr>
        <w:adjustRightInd w:val="0"/>
        <w:snapToGrid w:val="0"/>
        <w:ind w:firstLine="449"/>
        <w:rPr>
          <w:rFonts w:ascii="Times New Roman" w:hAnsi="Times New Roman"/>
        </w:rPr>
      </w:pPr>
      <w:r>
        <w:rPr>
          <w:rFonts w:ascii="Times New Roman" w:hAnsi="Times New Roman" w:hint="eastAsia"/>
        </w:rPr>
        <w:t>在河道管理范围内采砂、取土、淘金，必须按照经批准的范围和作业方式进行，并向河道主管机关缴纳管理费。收费的标准和计收办法由国务院水利行政主管部门会同国务院财政主管部门制定；任何单位和个人，凡对堤防、护岸和其他水工程设施造成损坏或者造成河道淤积的，由责任者负责修复、清淤或者承担维修费用。”</w:t>
      </w:r>
    </w:p>
    <w:p w:rsidR="004B4777" w:rsidRDefault="004B4777">
      <w:pPr>
        <w:adjustRightInd w:val="0"/>
        <w:snapToGrid w:val="0"/>
        <w:ind w:firstLine="449"/>
        <w:rPr>
          <w:rFonts w:ascii="Times New Roman" w:hAnsi="Times New Roman"/>
        </w:rPr>
      </w:pPr>
      <w:r>
        <w:rPr>
          <w:rFonts w:ascii="Times New Roman" w:hAnsi="Times New Roman" w:hint="eastAsia"/>
        </w:rPr>
        <w:t>本项目规划环评已取得环评批复，且已征得政府相关部门的同意通知函。各采砂企业严禁对堤防设置造成损坏，破坏的由企业业主承担；对于造成河道淤积，由业主进行恢复。</w:t>
      </w:r>
    </w:p>
    <w:p w:rsidR="004B4777" w:rsidRDefault="004B4777">
      <w:pPr>
        <w:adjustRightInd w:val="0"/>
        <w:snapToGrid w:val="0"/>
        <w:ind w:firstLine="449"/>
        <w:rPr>
          <w:rFonts w:ascii="Times New Roman" w:hAnsi="Times New Roman"/>
        </w:rPr>
      </w:pPr>
      <w:r>
        <w:rPr>
          <w:rFonts w:ascii="Times New Roman" w:hAnsi="Times New Roman" w:hint="eastAsia"/>
        </w:rPr>
        <w:t>综上，此规划符合《中华人民共和国河道管理条例》。</w:t>
      </w:r>
    </w:p>
    <w:p w:rsidR="004B4777" w:rsidRDefault="004B4777">
      <w:pPr>
        <w:pStyle w:val="3"/>
        <w:snapToGrid w:val="0"/>
        <w:spacing w:before="0" w:after="0"/>
        <w:rPr>
          <w:rFonts w:ascii="Times New Roman" w:eastAsia="宋体" w:hAnsi="Times New Roman"/>
          <w:b/>
        </w:rPr>
      </w:pPr>
      <w:bookmarkStart w:id="260" w:name="_Toc508791419"/>
      <w:r>
        <w:rPr>
          <w:rFonts w:ascii="Times New Roman" w:eastAsia="宋体" w:hAnsi="Times New Roman" w:hint="eastAsia"/>
          <w:b/>
        </w:rPr>
        <w:t>11.2.7</w:t>
      </w:r>
      <w:r>
        <w:rPr>
          <w:rFonts w:ascii="Times New Roman" w:eastAsia="宋体" w:hAnsi="Times New Roman" w:hint="eastAsia"/>
          <w:b/>
        </w:rPr>
        <w:t>与《中华人民共和国水法》符合性分析</w:t>
      </w:r>
      <w:bookmarkEnd w:id="260"/>
    </w:p>
    <w:p w:rsidR="004B4777" w:rsidRDefault="004B4777">
      <w:pPr>
        <w:adjustRightInd w:val="0"/>
        <w:snapToGrid w:val="0"/>
        <w:ind w:firstLine="449"/>
        <w:rPr>
          <w:rFonts w:ascii="Times New Roman" w:hAnsi="Times New Roman"/>
        </w:rPr>
      </w:pPr>
      <w:r>
        <w:rPr>
          <w:rFonts w:ascii="Times New Roman" w:hAnsi="Times New Roman" w:hint="eastAsia"/>
        </w:rPr>
        <w:t>根据《中华人民共和国水法》规定，“国家实行河道采砂许可制度。河道采砂许可制度实施办法，由国务院规定。在河道管理范围内采砂，影响河势稳定或者危及堤防安全的，有关县级以上人民政府水行政主管部门应当划定禁采区和禁采期，并予以公告。</w:t>
      </w:r>
    </w:p>
    <w:p w:rsidR="004B4777" w:rsidRDefault="004B4777">
      <w:pPr>
        <w:adjustRightInd w:val="0"/>
        <w:snapToGrid w:val="0"/>
        <w:ind w:firstLine="449"/>
        <w:rPr>
          <w:rFonts w:ascii="Times New Roman" w:hAnsi="Times New Roman"/>
        </w:rPr>
      </w:pPr>
      <w:r>
        <w:rPr>
          <w:rFonts w:ascii="Times New Roman" w:hAnsi="Times New Roman" w:hint="eastAsia"/>
        </w:rPr>
        <w:t>单位和个人有保护水工程的义务，不得侵占、毁坏堤防、护岸、防汛、水文监测、水文地质监测等工程设施。在水工程保护范围内，禁止从事影响水工程运行和危害水工程安全的爆破、打井、采石、取土等活动。”</w:t>
      </w:r>
    </w:p>
    <w:p w:rsidR="004B4777" w:rsidRDefault="004B4777">
      <w:pPr>
        <w:adjustRightInd w:val="0"/>
        <w:snapToGrid w:val="0"/>
        <w:ind w:firstLine="449"/>
        <w:rPr>
          <w:rFonts w:ascii="Times New Roman" w:hAnsi="Times New Roman"/>
        </w:rPr>
      </w:pPr>
      <w:r>
        <w:rPr>
          <w:rFonts w:ascii="Times New Roman" w:hAnsi="Times New Roman" w:hint="eastAsia"/>
        </w:rPr>
        <w:t>本项目已划定禁采区和禁采期，防止采砂对水源地、桥梁、水利工程设施的影响。所以本次规划符合《中华人民共和国水法》。</w:t>
      </w:r>
    </w:p>
    <w:p w:rsidR="004B4777" w:rsidRDefault="004B4777">
      <w:pPr>
        <w:pStyle w:val="3"/>
        <w:snapToGrid w:val="0"/>
        <w:spacing w:before="0" w:after="0"/>
        <w:rPr>
          <w:rFonts w:ascii="Times New Roman" w:eastAsia="宋体" w:hAnsi="Times New Roman"/>
          <w:b/>
        </w:rPr>
      </w:pPr>
      <w:bookmarkStart w:id="261" w:name="_Toc508791420"/>
      <w:r>
        <w:rPr>
          <w:rFonts w:ascii="Times New Roman" w:eastAsia="宋体" w:hAnsi="Times New Roman" w:hint="eastAsia"/>
          <w:b/>
        </w:rPr>
        <w:lastRenderedPageBreak/>
        <w:t>11.2.8</w:t>
      </w:r>
      <w:r>
        <w:rPr>
          <w:rFonts w:ascii="Times New Roman" w:eastAsia="宋体" w:hAnsi="Times New Roman" w:hint="eastAsia"/>
          <w:b/>
        </w:rPr>
        <w:t>与《中华人民共和国水土保持法》符合性分析</w:t>
      </w:r>
      <w:bookmarkEnd w:id="261"/>
    </w:p>
    <w:p w:rsidR="004B4777" w:rsidRDefault="004B4777">
      <w:pPr>
        <w:adjustRightInd w:val="0"/>
        <w:snapToGrid w:val="0"/>
        <w:ind w:firstLine="449"/>
        <w:rPr>
          <w:rFonts w:ascii="Times New Roman" w:hAnsi="Times New Roman"/>
        </w:rPr>
      </w:pPr>
      <w:r>
        <w:rPr>
          <w:rFonts w:ascii="Times New Roman" w:hAnsi="Times New Roman" w:hint="eastAsia"/>
        </w:rPr>
        <w:t>根据《中华人民共和国水土保持法》中的规定，“地方各级人民政府应当加强对取土、挖砂、采石等活动的管理，预防和减轻水土流失。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水土流失严重、生态脆弱的地区，应当限制或者禁止可能造成水土流失的生产建设活动，严格保护植物、沙壳、结皮、地衣等。”</w:t>
      </w:r>
    </w:p>
    <w:p w:rsidR="004B4777" w:rsidRDefault="004B4777">
      <w:pPr>
        <w:adjustRightInd w:val="0"/>
        <w:snapToGrid w:val="0"/>
        <w:ind w:firstLine="449"/>
        <w:rPr>
          <w:rFonts w:ascii="Times New Roman" w:hAnsi="Times New Roman"/>
        </w:rPr>
      </w:pPr>
      <w:r>
        <w:rPr>
          <w:rFonts w:ascii="Times New Roman" w:hAnsi="Times New Roman" w:hint="eastAsia"/>
        </w:rPr>
        <w:t>本项目选址区域不属于崩塌、滑坡危险区和泥石流易发区，根据规定设置水土保持及生态恢复的相关措施，严禁破坏水土保持设施。所以规划实施符合《中华人民共和国水土保持法》中的管理要求。</w:t>
      </w:r>
    </w:p>
    <w:p w:rsidR="004B4777" w:rsidRDefault="004B4777">
      <w:pPr>
        <w:pStyle w:val="3"/>
        <w:snapToGrid w:val="0"/>
        <w:spacing w:before="0" w:after="0"/>
        <w:rPr>
          <w:rFonts w:ascii="Times New Roman" w:eastAsia="宋体" w:hAnsi="Times New Roman"/>
          <w:b/>
        </w:rPr>
      </w:pPr>
      <w:bookmarkStart w:id="262" w:name="_Toc508791421"/>
      <w:r>
        <w:rPr>
          <w:rFonts w:ascii="Times New Roman" w:eastAsia="宋体" w:hAnsi="Times New Roman" w:hint="eastAsia"/>
          <w:b/>
        </w:rPr>
        <w:t>11.2.9</w:t>
      </w:r>
      <w:r>
        <w:rPr>
          <w:rFonts w:ascii="Times New Roman" w:eastAsia="宋体" w:hAnsi="Times New Roman" w:hint="eastAsia"/>
          <w:b/>
        </w:rPr>
        <w:t>与《中华人民共和国防洪法》符合性分析</w:t>
      </w:r>
      <w:bookmarkEnd w:id="262"/>
    </w:p>
    <w:p w:rsidR="004B4777" w:rsidRDefault="004B4777">
      <w:pPr>
        <w:adjustRightInd w:val="0"/>
        <w:snapToGrid w:val="0"/>
        <w:ind w:firstLine="449"/>
        <w:rPr>
          <w:rFonts w:ascii="Times New Roman" w:hAnsi="Times New Roman"/>
          <w:szCs w:val="24"/>
        </w:rPr>
      </w:pPr>
      <w:r>
        <w:rPr>
          <w:rFonts w:ascii="Times New Roman" w:hAnsi="Times New Roman" w:hint="eastAsia"/>
          <w:szCs w:val="24"/>
        </w:rPr>
        <w:t>根据《中华人民共和国防洪法》中的规定，“工程设施建设严重影响防洪的，责令限期拆除，逾期不拆除的强行拆除，所需费用由建设单位承担；未按照规划治导线整治河道和修建控制引导河水流向、保护堤岸等工程，影响防洪的，责令停止违法行为，恢复原状或者采取其他补救措施。</w:t>
      </w:r>
      <w:r>
        <w:rPr>
          <w:rFonts w:ascii="Times New Roman" w:hAnsi="Times New Roman" w:cs="宋体" w:hint="eastAsia"/>
          <w:szCs w:val="24"/>
        </w:rPr>
        <w:t>①</w:t>
      </w:r>
      <w:r>
        <w:rPr>
          <w:rFonts w:ascii="Times New Roman" w:hAnsi="Times New Roman" w:hint="eastAsia"/>
          <w:szCs w:val="24"/>
        </w:rPr>
        <w:t>在河道、湖泊管理范围内建设妨碍行洪的建筑物、构筑物的；</w:t>
      </w:r>
      <w:r>
        <w:rPr>
          <w:rFonts w:ascii="Times New Roman" w:hAnsi="Times New Roman" w:cs="宋体" w:hint="eastAsia"/>
          <w:szCs w:val="24"/>
        </w:rPr>
        <w:t>②</w:t>
      </w:r>
      <w:r>
        <w:rPr>
          <w:rFonts w:ascii="Times New Roman" w:hAnsi="Times New Roman" w:hint="eastAsia"/>
          <w:szCs w:val="24"/>
        </w:rPr>
        <w:t>在河道、湖泊管理范围内倾倒垃圾、渣土，从事影响河势稳定、危害河岸堤防安全和其他妨碍河道行洪的活动的；</w:t>
      </w:r>
      <w:r>
        <w:rPr>
          <w:rFonts w:ascii="Times New Roman" w:hAnsi="Times New Roman" w:cs="宋体" w:hint="eastAsia"/>
          <w:szCs w:val="24"/>
        </w:rPr>
        <w:t>③</w:t>
      </w:r>
      <w:r>
        <w:rPr>
          <w:rFonts w:ascii="Times New Roman" w:hAnsi="Times New Roman" w:hint="eastAsia"/>
          <w:szCs w:val="24"/>
        </w:rPr>
        <w:t>在行洪河道内种植阻碍行洪的林木和高秆作物的。”</w:t>
      </w:r>
    </w:p>
    <w:p w:rsidR="004B4777" w:rsidRDefault="004B4777">
      <w:pPr>
        <w:pStyle w:val="42"/>
        <w:adjustRightInd w:val="0"/>
        <w:snapToGrid w:val="0"/>
        <w:ind w:firstLine="449"/>
        <w:rPr>
          <w:rFonts w:ascii="Times New Roman" w:hAnsi="Times New Roman" w:hint="eastAsia"/>
          <w:sz w:val="24"/>
          <w:szCs w:val="24"/>
        </w:rPr>
      </w:pPr>
      <w:r>
        <w:rPr>
          <w:rFonts w:ascii="Times New Roman" w:hAnsi="Times New Roman" w:hint="eastAsia"/>
          <w:sz w:val="24"/>
          <w:szCs w:val="24"/>
        </w:rPr>
        <w:t>本次规划充分考虑到河道行洪的问题，项目不设置砂石堆场，采砂完成后直接由运砂船运走，不在靠近河道一侧布置阻碍行洪的设备及砂石堆场。</w:t>
      </w:r>
    </w:p>
    <w:p w:rsidR="004B4777" w:rsidRDefault="004B4777">
      <w:pPr>
        <w:pStyle w:val="42"/>
        <w:adjustRightInd w:val="0"/>
        <w:snapToGrid w:val="0"/>
        <w:ind w:firstLine="449"/>
        <w:rPr>
          <w:rFonts w:ascii="Times New Roman" w:hAnsi="Times New Roman" w:hint="eastAsia"/>
          <w:sz w:val="24"/>
          <w:szCs w:val="24"/>
        </w:rPr>
      </w:pPr>
      <w:r>
        <w:rPr>
          <w:rFonts w:ascii="Times New Roman" w:hAnsi="Times New Roman" w:hint="eastAsia"/>
          <w:sz w:val="24"/>
          <w:szCs w:val="24"/>
        </w:rPr>
        <w:t>根据项目提供的防洪报告结论，</w:t>
      </w:r>
      <w:r>
        <w:rPr>
          <w:rFonts w:ascii="Times New Roman" w:hAnsi="Times New Roman" w:hint="eastAsia"/>
          <w:snapToGrid w:val="0"/>
          <w:sz w:val="24"/>
          <w:szCs w:val="24"/>
        </w:rPr>
        <w:t>采砂工程实施后，扩大了行洪断面，洪水泄流顺畅，有利于河道行洪，并且在洪水期水流流速会有所降低，水位的降低可减轻两岸堤垸的防洪压力。同时可使水流导向河流中心，减轻洲滩对岸堤防的冲刷。项目在采砂过程中，应加强环境管理，</w:t>
      </w:r>
      <w:r>
        <w:rPr>
          <w:rFonts w:ascii="Times New Roman" w:hAnsi="Times New Roman" w:hint="eastAsia"/>
          <w:sz w:val="24"/>
          <w:szCs w:val="24"/>
        </w:rPr>
        <w:t>严禁向河道内倾倒垃圾和渣土。综上所述，项目符合《中华人民共和国防洪法》中的规定。</w:t>
      </w:r>
    </w:p>
    <w:p w:rsidR="004B4777" w:rsidRDefault="004B4777">
      <w:pPr>
        <w:pStyle w:val="3"/>
        <w:snapToGrid w:val="0"/>
        <w:spacing w:before="0" w:after="0"/>
        <w:rPr>
          <w:rFonts w:ascii="Times New Roman" w:eastAsia="宋体" w:hAnsi="Times New Roman" w:hint="eastAsia"/>
          <w:b/>
        </w:rPr>
      </w:pPr>
      <w:r>
        <w:rPr>
          <w:rFonts w:ascii="Times New Roman" w:eastAsia="宋体" w:hAnsi="Times New Roman" w:hint="eastAsia"/>
          <w:b/>
        </w:rPr>
        <w:t>11.2.10</w:t>
      </w:r>
      <w:r>
        <w:rPr>
          <w:rFonts w:ascii="Times New Roman" w:eastAsia="宋体" w:hAnsi="Times New Roman" w:hint="eastAsia"/>
          <w:b/>
        </w:rPr>
        <w:t>与《关于进一步加强水利规划环境影响评价工作的通知》相符性</w:t>
      </w:r>
    </w:p>
    <w:p w:rsidR="004B4777" w:rsidRDefault="004B4777">
      <w:pPr>
        <w:pStyle w:val="42"/>
        <w:adjustRightInd w:val="0"/>
        <w:snapToGrid w:val="0"/>
        <w:ind w:firstLine="449"/>
        <w:rPr>
          <w:rFonts w:ascii="Times New Roman" w:hAnsi="Times New Roman" w:hint="eastAsia"/>
          <w:sz w:val="24"/>
          <w:szCs w:val="24"/>
        </w:rPr>
      </w:pPr>
      <w:r>
        <w:rPr>
          <w:rFonts w:ascii="Times New Roman" w:hAnsi="Times New Roman" w:hint="eastAsia"/>
          <w:sz w:val="24"/>
          <w:szCs w:val="24"/>
        </w:rPr>
        <w:t>根据《关于进一步加强水利规划环境影响评价工作的通知》要求，“</w:t>
      </w:r>
      <w:r>
        <w:rPr>
          <w:rFonts w:ascii="Times New Roman" w:hAnsi="Times New Roman" w:hint="eastAsia"/>
          <w:color w:val="000000"/>
          <w:sz w:val="24"/>
          <w:szCs w:val="24"/>
          <w:shd w:val="clear" w:color="auto" w:fill="FFFFFF"/>
        </w:rPr>
        <w:t>水行政主管部门在组织编制有关水利规划时，应根据法律法规的要求，严格执行规划环境影响评价制度，同</w:t>
      </w:r>
      <w:r>
        <w:rPr>
          <w:rFonts w:ascii="Times New Roman" w:hAnsi="Times New Roman" w:hint="eastAsia"/>
          <w:color w:val="000000"/>
          <w:sz w:val="24"/>
          <w:szCs w:val="24"/>
          <w:shd w:val="clear" w:color="auto" w:fill="FFFFFF"/>
        </w:rPr>
        <w:lastRenderedPageBreak/>
        <w:t>步组织开展规划环境影响评价工作。对已经批准的规划在实施范围、适用期限、规模、结构和布局等方面进行重大调整或修订的，应当依法重新或补充进行环境影响评价。</w:t>
      </w:r>
      <w:r>
        <w:rPr>
          <w:rFonts w:ascii="Times New Roman" w:hAnsi="Times New Roman" w:hint="eastAsia"/>
          <w:sz w:val="24"/>
          <w:szCs w:val="24"/>
        </w:rPr>
        <w:t>”</w:t>
      </w:r>
    </w:p>
    <w:p w:rsidR="004B4777" w:rsidRDefault="004B4777">
      <w:pPr>
        <w:pStyle w:val="42"/>
        <w:adjustRightInd w:val="0"/>
        <w:snapToGrid w:val="0"/>
        <w:ind w:firstLine="449"/>
        <w:rPr>
          <w:rFonts w:ascii="Times New Roman" w:hAnsi="Times New Roman" w:hint="eastAsia"/>
          <w:sz w:val="24"/>
          <w:szCs w:val="24"/>
        </w:rPr>
      </w:pPr>
      <w:r>
        <w:rPr>
          <w:rFonts w:ascii="Times New Roman" w:hAnsi="Times New Roman" w:hint="eastAsia"/>
          <w:sz w:val="24"/>
          <w:szCs w:val="24"/>
        </w:rPr>
        <w:t>项目规划区洞庭湖区岳阳段于</w:t>
      </w:r>
      <w:r>
        <w:rPr>
          <w:rFonts w:ascii="Times New Roman" w:hAnsi="Times New Roman" w:hint="eastAsia"/>
          <w:sz w:val="24"/>
          <w:szCs w:val="24"/>
        </w:rPr>
        <w:t>2018</w:t>
      </w:r>
      <w:r>
        <w:rPr>
          <w:rFonts w:ascii="Times New Roman" w:hAnsi="Times New Roman" w:hint="eastAsia"/>
          <w:sz w:val="24"/>
          <w:szCs w:val="24"/>
        </w:rPr>
        <w:t>年</w:t>
      </w:r>
      <w:r>
        <w:rPr>
          <w:rFonts w:ascii="Times New Roman" w:hAnsi="Times New Roman" w:hint="eastAsia"/>
          <w:sz w:val="24"/>
          <w:szCs w:val="24"/>
        </w:rPr>
        <w:t>2</w:t>
      </w:r>
      <w:r>
        <w:rPr>
          <w:rFonts w:ascii="Times New Roman" w:hAnsi="Times New Roman" w:hint="eastAsia"/>
          <w:sz w:val="24"/>
          <w:szCs w:val="24"/>
        </w:rPr>
        <w:t>月已编制《湖南省湘江干流及洞庭湖区岳阳段河道采砂规划（</w:t>
      </w:r>
      <w:r>
        <w:rPr>
          <w:rFonts w:ascii="Times New Roman" w:hAnsi="Times New Roman" w:hint="eastAsia"/>
          <w:sz w:val="24"/>
          <w:szCs w:val="24"/>
        </w:rPr>
        <w:t>2017-2020</w:t>
      </w:r>
      <w:r>
        <w:rPr>
          <w:rFonts w:ascii="Times New Roman" w:hAnsi="Times New Roman" w:hint="eastAsia"/>
          <w:sz w:val="24"/>
          <w:szCs w:val="24"/>
        </w:rPr>
        <w:t>年）》环境影响报告书，并于</w:t>
      </w:r>
      <w:r>
        <w:rPr>
          <w:rFonts w:ascii="Times New Roman" w:hAnsi="Times New Roman" w:hint="eastAsia"/>
          <w:sz w:val="24"/>
          <w:szCs w:val="24"/>
        </w:rPr>
        <w:t>2018</w:t>
      </w:r>
      <w:r>
        <w:rPr>
          <w:rFonts w:ascii="Times New Roman" w:hAnsi="Times New Roman" w:hint="eastAsia"/>
          <w:sz w:val="24"/>
          <w:szCs w:val="24"/>
        </w:rPr>
        <w:t>年</w:t>
      </w:r>
      <w:r>
        <w:rPr>
          <w:rFonts w:ascii="Times New Roman" w:hAnsi="Times New Roman" w:hint="eastAsia"/>
          <w:sz w:val="24"/>
          <w:szCs w:val="24"/>
        </w:rPr>
        <w:t>3</w:t>
      </w:r>
      <w:r>
        <w:rPr>
          <w:rFonts w:ascii="Times New Roman" w:hAnsi="Times New Roman" w:hint="eastAsia"/>
          <w:sz w:val="24"/>
          <w:szCs w:val="24"/>
        </w:rPr>
        <w:t>月通过岳阳市环境保护局组织的环评审查会议，并取得了《关于湖南省湘江干流及洞庭湖区岳阳段河道采砂规划（</w:t>
      </w:r>
      <w:r>
        <w:rPr>
          <w:rFonts w:ascii="Times New Roman" w:hAnsi="Times New Roman" w:hint="eastAsia"/>
          <w:sz w:val="24"/>
          <w:szCs w:val="24"/>
        </w:rPr>
        <w:t>2017-2020</w:t>
      </w:r>
      <w:r>
        <w:rPr>
          <w:rFonts w:ascii="Times New Roman" w:hAnsi="Times New Roman" w:hint="eastAsia"/>
          <w:sz w:val="24"/>
          <w:szCs w:val="24"/>
        </w:rPr>
        <w:t>年）环境影响报告书的审查意见》。项目采区均属于该规划内采区，项目的建设符合《关于进一步加强水利规划环境影响评价工作的通知》的要求。</w:t>
      </w:r>
    </w:p>
    <w:p w:rsidR="004B4777" w:rsidRDefault="004B4777">
      <w:pPr>
        <w:pStyle w:val="3"/>
        <w:snapToGrid w:val="0"/>
        <w:spacing w:before="0" w:after="0"/>
        <w:rPr>
          <w:rFonts w:ascii="Times New Roman" w:eastAsia="宋体" w:hAnsi="Times New Roman" w:hint="eastAsia"/>
          <w:b/>
        </w:rPr>
      </w:pPr>
      <w:bookmarkStart w:id="263" w:name="_Toc508791422"/>
      <w:r>
        <w:rPr>
          <w:rFonts w:ascii="Times New Roman" w:eastAsia="宋体" w:hAnsi="Times New Roman" w:hint="eastAsia"/>
          <w:b/>
        </w:rPr>
        <w:t>11.2.11</w:t>
      </w:r>
      <w:r>
        <w:rPr>
          <w:rFonts w:ascii="Times New Roman" w:eastAsia="宋体" w:hAnsi="Times New Roman" w:hint="eastAsia"/>
          <w:b/>
        </w:rPr>
        <w:t>与《湖南省主体功能区划》符合性分析</w:t>
      </w:r>
      <w:bookmarkEnd w:id="263"/>
    </w:p>
    <w:p w:rsidR="004B4777" w:rsidRDefault="004B4777">
      <w:pPr>
        <w:adjustRightInd w:val="0"/>
        <w:snapToGrid w:val="0"/>
        <w:ind w:firstLine="449"/>
        <w:rPr>
          <w:rFonts w:ascii="Times New Roman" w:hAnsi="Times New Roman" w:hint="eastAsia"/>
        </w:rPr>
      </w:pPr>
      <w:r>
        <w:rPr>
          <w:rFonts w:ascii="Times New Roman" w:hAnsi="Times New Roman" w:hint="eastAsia"/>
        </w:rPr>
        <w:t xml:space="preserve">  </w:t>
      </w:r>
      <w:r>
        <w:rPr>
          <w:rFonts w:ascii="Times New Roman" w:hAnsi="Times New Roman" w:hint="eastAsia"/>
        </w:rPr>
        <w:t>本项目位于岳阳市湘阴县，根据《湖南省主体功能区划》，岳阳县属于</w:t>
      </w:r>
      <w:r>
        <w:rPr>
          <w:rFonts w:ascii="Times New Roman" w:hAnsi="Times New Roman" w:hint="eastAsia"/>
          <w:b/>
        </w:rPr>
        <w:t>省级重点开发区</w:t>
      </w:r>
      <w:r>
        <w:rPr>
          <w:rFonts w:ascii="Times New Roman" w:hAnsi="Times New Roman" w:hint="eastAsia"/>
        </w:rPr>
        <w:t>，功能定位为：适度拓展产业空间，扩大人居和生态空间，在优化结构、节约资源、保护环境的基础上，重点支持要素集聚、土地集约、人口集中，推动经济又好又快发展，成为全省经济和人口的密集地区，支撑富民强省和中部崛起的主要区域。到</w:t>
      </w:r>
      <w:r>
        <w:rPr>
          <w:rFonts w:ascii="Times New Roman" w:hAnsi="Times New Roman" w:hint="eastAsia"/>
        </w:rPr>
        <w:t xml:space="preserve">2020 </w:t>
      </w:r>
      <w:r>
        <w:rPr>
          <w:rFonts w:ascii="Times New Roman" w:hAnsi="Times New Roman" w:hint="eastAsia"/>
        </w:rPr>
        <w:t>年重点开发区域集聚的经济规模占全省</w:t>
      </w:r>
      <w:r>
        <w:rPr>
          <w:rFonts w:ascii="Times New Roman" w:hAnsi="Times New Roman" w:hint="eastAsia"/>
        </w:rPr>
        <w:t>80%</w:t>
      </w:r>
      <w:r>
        <w:rPr>
          <w:rFonts w:ascii="Times New Roman" w:hAnsi="Times New Roman" w:hint="eastAsia"/>
        </w:rPr>
        <w:t>以上，总人口占</w:t>
      </w:r>
      <w:r>
        <w:rPr>
          <w:rFonts w:ascii="Times New Roman" w:hAnsi="Times New Roman" w:hint="eastAsia"/>
        </w:rPr>
        <w:t>65%</w:t>
      </w:r>
      <w:r>
        <w:rPr>
          <w:rFonts w:ascii="Times New Roman" w:hAnsi="Times New Roman" w:hint="eastAsia"/>
        </w:rPr>
        <w:t>左右，城镇化率达到</w:t>
      </w:r>
      <w:r>
        <w:rPr>
          <w:rFonts w:ascii="Times New Roman" w:hAnsi="Times New Roman" w:hint="eastAsia"/>
        </w:rPr>
        <w:t>60%</w:t>
      </w:r>
      <w:r>
        <w:rPr>
          <w:rFonts w:ascii="Times New Roman" w:hAnsi="Times New Roman" w:hint="eastAsia"/>
        </w:rPr>
        <w:t>以上。湘阴县属于国家级农产品主产区，功能定位为：以提供农产品为主，保障农产品供给安全，发展现代农业的重要区域，重要的商品粮生产基地、绿色食品生产基地、畜牧业生产基地和农产品深加工区，农村居民安居乐业的美好家园，社会主义新农村建设的示范区。</w:t>
      </w:r>
    </w:p>
    <w:p w:rsidR="004B4777" w:rsidRDefault="004B4777">
      <w:pPr>
        <w:adjustRightInd w:val="0"/>
        <w:snapToGrid w:val="0"/>
        <w:ind w:firstLine="449"/>
        <w:rPr>
          <w:rFonts w:ascii="Times New Roman" w:hAnsi="Times New Roman" w:hint="eastAsia"/>
        </w:rPr>
      </w:pPr>
      <w:r>
        <w:rPr>
          <w:rFonts w:ascii="Times New Roman" w:hAnsi="Times New Roman" w:hint="eastAsia"/>
        </w:rPr>
        <w:t>根据《湖南省主体功能区划》，禁止开发区域是指依法设立的各级各类自然文化资源保护区域，以及其它禁止进行工业化城镇化开发、需要特殊保护的重点生态功能区，点状分布于重点开发和限制开发区域之中。主要包括：各级各类自然保护区、风景名胜区、森林公园、地质公园、重要湿地、历史文化自然遗产、基本农田、重要水源地等。除基本农田、重要水源地和重点文物保护单位外，全省禁止开发区域共有</w:t>
      </w:r>
      <w:r>
        <w:rPr>
          <w:rFonts w:ascii="Times New Roman" w:hAnsi="Times New Roman" w:hint="eastAsia"/>
        </w:rPr>
        <w:t xml:space="preserve">370 </w:t>
      </w:r>
      <w:r>
        <w:rPr>
          <w:rFonts w:ascii="Times New Roman" w:hAnsi="Times New Roman" w:hint="eastAsia"/>
        </w:rPr>
        <w:t>处，面积约</w:t>
      </w:r>
      <w:r>
        <w:rPr>
          <w:rFonts w:ascii="Times New Roman" w:hAnsi="Times New Roman" w:hint="eastAsia"/>
        </w:rPr>
        <w:t xml:space="preserve">4.55 </w:t>
      </w:r>
      <w:r>
        <w:rPr>
          <w:rFonts w:ascii="Times New Roman" w:hAnsi="Times New Roman" w:hint="eastAsia"/>
        </w:rPr>
        <w:t>万平方公里，占全省国土面积的</w:t>
      </w:r>
      <w:r>
        <w:rPr>
          <w:rFonts w:ascii="Times New Roman" w:hAnsi="Times New Roman" w:hint="eastAsia"/>
        </w:rPr>
        <w:t>21.5%</w:t>
      </w:r>
      <w:r>
        <w:rPr>
          <w:rFonts w:ascii="Times New Roman" w:hAnsi="Times New Roman" w:hint="eastAsia"/>
        </w:rPr>
        <w:t>。其中，国家级自然保护区、世界文化自然遗产、国家级风景名胜区、国家森林公园和国家地质公园为国家层面禁止开发区域。</w:t>
      </w:r>
    </w:p>
    <w:p w:rsidR="004B4777" w:rsidRDefault="004B4777">
      <w:pPr>
        <w:adjustRightInd w:val="0"/>
        <w:snapToGrid w:val="0"/>
        <w:ind w:firstLine="449"/>
        <w:rPr>
          <w:rFonts w:ascii="Times New Roman" w:hAnsi="Times New Roman" w:hint="eastAsia"/>
        </w:rPr>
      </w:pPr>
      <w:r>
        <w:rPr>
          <w:rFonts w:ascii="Times New Roman" w:hAnsi="Times New Roman" w:hint="eastAsia"/>
        </w:rPr>
        <w:t>本项目涉及的开采区均没有位于《湖南省主体功能区划》中划定的禁止开发区中，因此，本规划与《湖南省主体功能区划》是相符的。</w:t>
      </w:r>
    </w:p>
    <w:p w:rsidR="004B4777" w:rsidRDefault="004B4777">
      <w:pPr>
        <w:pStyle w:val="3"/>
        <w:snapToGrid w:val="0"/>
        <w:spacing w:before="0" w:after="0"/>
        <w:rPr>
          <w:rFonts w:ascii="Times New Roman" w:eastAsia="宋体" w:hAnsi="Times New Roman" w:hint="eastAsia"/>
          <w:b/>
        </w:rPr>
      </w:pPr>
      <w:bookmarkStart w:id="264" w:name="_Toc508791423"/>
      <w:r>
        <w:rPr>
          <w:rFonts w:ascii="Times New Roman" w:eastAsia="宋体" w:hAnsi="Times New Roman" w:hint="eastAsia"/>
          <w:b/>
        </w:rPr>
        <w:t>11.2.12</w:t>
      </w:r>
      <w:r>
        <w:rPr>
          <w:rFonts w:ascii="Times New Roman" w:eastAsia="宋体" w:hAnsi="Times New Roman" w:hint="eastAsia"/>
          <w:b/>
        </w:rPr>
        <w:t>与《岳阳市生态环境保护“十三五”规划》相符性分析</w:t>
      </w:r>
      <w:bookmarkEnd w:id="264"/>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采取强有效的措施控制南湖、东风湖、松阳湖、芭蕉湖和吉家湖的富营养水平，有序推进我市辖区内汨罗江、新墙河、长安河、华容河等河流的保护和治理，保障具有重要意</w:t>
      </w:r>
      <w:r>
        <w:rPr>
          <w:rFonts w:ascii="Times New Roman" w:hAnsi="Times New Roman" w:hint="eastAsia"/>
        </w:rPr>
        <w:lastRenderedPageBreak/>
        <w:t>义的湖库、河流的生态健康、安全。强化洞庭湖流域餐饮整治，全面取缔洞庭湖、南湖以及其他环境敏感水域的水上餐饮，禁止沿岸餐饮业向水体直接排污；强化洞庭湖流域航运污染防治，严格监管水上危险化学品运输，禁止船舶向水体排放含油废水等污染物和倾倒垃圾，严禁港口码头生产生活废水直排，促进船舶标准化，船舶、港口、码头生活垃圾上岸处置；强化近岸区域的畜禽污染治理，划定禁养区、适养区，适养区内现有规模化畜禽养殖企业须建设、完善废弃物综合利用和污染治理设施，确保污染物达标排放。</w:t>
      </w:r>
      <w:r>
        <w:rPr>
          <w:rFonts w:ascii="Times New Roman" w:hAnsi="Times New Roman"/>
        </w:rPr>
        <w:t>2016</w:t>
      </w:r>
      <w:r>
        <w:rPr>
          <w:rFonts w:ascii="Times New Roman" w:hAnsi="Times New Roman" w:hint="eastAsia"/>
        </w:rPr>
        <w:t>年完成湘江岳阳干流两岸各</w:t>
      </w:r>
      <w:r>
        <w:rPr>
          <w:rFonts w:ascii="Times New Roman" w:hAnsi="Times New Roman"/>
        </w:rPr>
        <w:t>500</w:t>
      </w:r>
      <w:r>
        <w:rPr>
          <w:rFonts w:ascii="Times New Roman" w:hAnsi="Times New Roman" w:hint="eastAsia"/>
        </w:rPr>
        <w:t>米范围内和城镇集中式饮用水源陆域保护区内的畜禽养殖企业全部退出或搬迁。强化尾矿库、渣场环境安全隐患整治，对存在安全隐患的尾矿库，采取加固或闭库处理措施，消除环境安全隐患，逐步恢复堆存库区的生态。分类处理沿江沿湖严重危害环境的固体废物，对有利用价值的固体废物，推进综合利用，逐步消化堆存量。对难以资源化利用且危害大的固体废物，采取有效措施进行安全处置，阻断污染扩散途径；强化对历史遗留老生活垃圾填埋场的升级改造、转场或封场处理。重点加大渗滤液收集处理力度，严格控制污染物排放。</w:t>
      </w:r>
      <w:r>
        <w:rPr>
          <w:rFonts w:ascii="Times New Roman" w:hAnsi="Times New Roman" w:hint="eastAsia"/>
          <w:b/>
        </w:rPr>
        <w:t>开展无证砂石开采、运输专项整治行动，切实保护河湖生态环境</w:t>
      </w:r>
      <w:r>
        <w:rPr>
          <w:rFonts w:ascii="Times New Roman" w:hAnsi="Times New Roman" w:hint="eastAsia"/>
        </w:rPr>
        <w:t>。整治全面推进辖区内洞庭湖区域环境污染综合整治，认真实施国务院批准的洞庭湖生态经济区规划及生态经济区环境保护专项规划，进一步完善洞庭湖水环境保护联防联控协作机制，综合治理洞庭湖外源性污染和区域生态治理。到</w:t>
      </w:r>
      <w:r>
        <w:rPr>
          <w:rFonts w:ascii="Times New Roman" w:hAnsi="Times New Roman"/>
        </w:rPr>
        <w:t>2020</w:t>
      </w:r>
      <w:r>
        <w:rPr>
          <w:rFonts w:ascii="Times New Roman" w:hAnsi="Times New Roman" w:hint="eastAsia"/>
        </w:rPr>
        <w:t>年，我市境内洞庭湖及其主要支流水质稳定达到Ⅲ类标准。</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本项目属于《湖南省湘江干流及洞庭湖区岳阳段河道采砂规划（</w:t>
      </w:r>
      <w:r>
        <w:rPr>
          <w:rFonts w:ascii="Times New Roman" w:hAnsi="Times New Roman" w:hint="eastAsia"/>
        </w:rPr>
        <w:t>2017-2020</w:t>
      </w:r>
      <w:r>
        <w:rPr>
          <w:rFonts w:ascii="Times New Roman" w:hAnsi="Times New Roman" w:hint="eastAsia"/>
        </w:rPr>
        <w:t>年）》规划的</w:t>
      </w:r>
      <w:r>
        <w:rPr>
          <w:rFonts w:ascii="Times New Roman" w:hAnsi="Times New Roman" w:hint="eastAsia"/>
        </w:rPr>
        <w:t>7</w:t>
      </w:r>
      <w:r>
        <w:rPr>
          <w:rFonts w:ascii="Times New Roman" w:hAnsi="Times New Roman" w:hint="eastAsia"/>
        </w:rPr>
        <w:t>个采区的其中</w:t>
      </w:r>
      <w:r>
        <w:rPr>
          <w:rFonts w:ascii="Times New Roman" w:hAnsi="Times New Roman" w:hint="eastAsia"/>
        </w:rPr>
        <w:t>2</w:t>
      </w:r>
      <w:r>
        <w:rPr>
          <w:rFonts w:ascii="Times New Roman" w:hAnsi="Times New Roman" w:hint="eastAsia"/>
        </w:rPr>
        <w:t>个。目前岳阳市已取缔关闭现有所有无证砂石开采，项目开工前，企业需办理采砂手续，取得采砂许可证后方可正式采砂。因此，本项目与《岳阳市生态环境保护“十三五”规划》是相符的。</w:t>
      </w:r>
    </w:p>
    <w:p w:rsidR="004B4777" w:rsidRDefault="004B4777">
      <w:pPr>
        <w:pStyle w:val="3"/>
        <w:adjustRightInd w:val="0"/>
        <w:snapToGrid w:val="0"/>
        <w:spacing w:before="0" w:after="0"/>
        <w:ind w:firstLine="200"/>
        <w:rPr>
          <w:rFonts w:ascii="Times New Roman" w:eastAsia="宋体" w:hAnsi="Times New Roman" w:hint="eastAsia"/>
          <w:b/>
        </w:rPr>
      </w:pPr>
      <w:bookmarkStart w:id="265" w:name="_Toc508791424"/>
      <w:r>
        <w:rPr>
          <w:rFonts w:ascii="Times New Roman" w:eastAsia="宋体" w:hAnsi="Times New Roman" w:hint="eastAsia"/>
          <w:b/>
        </w:rPr>
        <w:t xml:space="preserve">11.2.13 </w:t>
      </w:r>
      <w:r>
        <w:rPr>
          <w:rFonts w:ascii="Times New Roman" w:eastAsia="宋体" w:hAnsi="Times New Roman" w:hint="eastAsia"/>
          <w:b/>
        </w:rPr>
        <w:t>与《湖南省生态保护红线》相符性分析</w:t>
      </w:r>
      <w:bookmarkEnd w:id="265"/>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w:t>
      </w:r>
      <w:r>
        <w:rPr>
          <w:rFonts w:ascii="Times New Roman" w:hAnsi="Times New Roman" w:hint="eastAsia"/>
        </w:rPr>
        <w:t>1</w:t>
      </w:r>
      <w:r>
        <w:rPr>
          <w:rFonts w:ascii="Times New Roman" w:hAnsi="Times New Roman" w:hint="eastAsia"/>
        </w:rPr>
        <w:t>）与生态保护红线的协调性</w:t>
      </w:r>
    </w:p>
    <w:p w:rsidR="004B4777" w:rsidRDefault="004B4777">
      <w:pPr>
        <w:adjustRightInd w:val="0"/>
        <w:snapToGrid w:val="0"/>
        <w:ind w:firstLine="449"/>
        <w:jc w:val="left"/>
        <w:rPr>
          <w:rFonts w:ascii="Times New Roman" w:hAnsi="Times New Roman"/>
          <w:u w:val="single"/>
        </w:rPr>
      </w:pPr>
      <w:r>
        <w:rPr>
          <w:rFonts w:ascii="Times New Roman" w:hAnsi="Times New Roman" w:hint="eastAsia"/>
          <w:u w:val="single"/>
        </w:rPr>
        <w:t>根据岳阳市环保局《岳阳市生态保护红线》中的资料显示，斗米咀采区距离生态保护红线较近，离最近的生态红线边界</w:t>
      </w:r>
      <w:r>
        <w:rPr>
          <w:rFonts w:ascii="Times New Roman" w:hAnsi="Times New Roman" w:hint="eastAsia"/>
          <w:u w:val="single"/>
        </w:rPr>
        <w:t>144m</w:t>
      </w:r>
      <w:r>
        <w:rPr>
          <w:rFonts w:ascii="Times New Roman" w:hAnsi="Times New Roman" w:hint="eastAsia"/>
          <w:u w:val="single"/>
        </w:rPr>
        <w:t>；易婆塘采区紧邻生态保护红线边界；项目采区与生态保护红线不冲突。</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但是由于生态保护红线未批准，待生态保护红线批准后，采区如与生态保护红线冲突再根据批准后的生态保护红线进行调整。</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）与自然保护区的协调性</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szCs w:val="24"/>
        </w:rPr>
        <w:lastRenderedPageBreak/>
        <w:t>斗米咀采砂区与湖南湘阴横岭湖省级自然保护区实验区最近距离为</w:t>
      </w:r>
      <w:r>
        <w:rPr>
          <w:rFonts w:ascii="Times New Roman" w:hAnsi="Times New Roman"/>
          <w:szCs w:val="24"/>
        </w:rPr>
        <w:t>31</w:t>
      </w:r>
      <w:r>
        <w:rPr>
          <w:rFonts w:ascii="Times New Roman" w:hAnsi="Times New Roman" w:hint="eastAsia"/>
          <w:szCs w:val="24"/>
        </w:rPr>
        <w:t>米。易婆塘采砂区与湖南湘阴横岭湖省级自然保护区实验区最近距离为</w:t>
      </w:r>
      <w:r>
        <w:rPr>
          <w:rFonts w:ascii="Times New Roman" w:hAnsi="Times New Roman" w:hint="eastAsia"/>
          <w:szCs w:val="24"/>
        </w:rPr>
        <w:t>103</w:t>
      </w:r>
      <w:r>
        <w:rPr>
          <w:rFonts w:ascii="Times New Roman" w:hAnsi="Times New Roman" w:hint="eastAsia"/>
          <w:szCs w:val="24"/>
        </w:rPr>
        <w:t>米，与湖南南洞庭湖省级自然保护区实验区最近距离为</w:t>
      </w:r>
      <w:r>
        <w:rPr>
          <w:rFonts w:ascii="Times New Roman" w:hAnsi="Times New Roman" w:hint="eastAsia"/>
          <w:szCs w:val="24"/>
        </w:rPr>
        <w:t>749</w:t>
      </w:r>
      <w:r>
        <w:rPr>
          <w:rFonts w:ascii="Times New Roman" w:hAnsi="Times New Roman" w:hint="eastAsia"/>
          <w:szCs w:val="24"/>
        </w:rPr>
        <w:t>米。</w:t>
      </w:r>
      <w:r>
        <w:rPr>
          <w:rFonts w:ascii="Times New Roman" w:hAnsi="Times New Roman" w:hint="eastAsia"/>
        </w:rPr>
        <w:t>项目不在自然保护区范围内采砂，项目采取与自然保护区管理条例不冲突。</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w:t>
      </w:r>
      <w:r>
        <w:rPr>
          <w:rFonts w:ascii="Times New Roman" w:hAnsi="Times New Roman" w:hint="eastAsia"/>
        </w:rPr>
        <w:t>3</w:t>
      </w:r>
      <w:r>
        <w:rPr>
          <w:rFonts w:ascii="Times New Roman" w:hAnsi="Times New Roman" w:hint="eastAsia"/>
        </w:rPr>
        <w:t>）与水产种质资源保护区的协调性</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斗米咀采区距离南洞庭湖大口鲶青虾中华鳖国家级水产种质资源保护区</w:t>
      </w:r>
      <w:r>
        <w:rPr>
          <w:rFonts w:ascii="Times New Roman" w:hAnsi="Times New Roman" w:hint="eastAsia"/>
        </w:rPr>
        <w:t>385m</w:t>
      </w:r>
      <w:r>
        <w:rPr>
          <w:rFonts w:ascii="Times New Roman" w:hAnsi="Times New Roman" w:hint="eastAsia"/>
          <w:color w:val="000000"/>
          <w:szCs w:val="24"/>
        </w:rPr>
        <w:t>；</w:t>
      </w:r>
      <w:r>
        <w:rPr>
          <w:rFonts w:ascii="Times New Roman" w:hAnsi="Times New Roman" w:hint="eastAsia"/>
        </w:rPr>
        <w:t>易婆塘采区距离南洞庭湖大口鲶青虾中华鳖国家级水产种质资源保护区</w:t>
      </w:r>
      <w:r>
        <w:rPr>
          <w:rFonts w:ascii="Times New Roman" w:hAnsi="Times New Roman" w:hint="eastAsia"/>
        </w:rPr>
        <w:t>2.3km</w:t>
      </w:r>
      <w:r>
        <w:rPr>
          <w:rFonts w:ascii="Times New Roman" w:hAnsi="Times New Roman" w:hint="eastAsia"/>
        </w:rPr>
        <w:t>，距离</w:t>
      </w:r>
      <w:r>
        <w:rPr>
          <w:rFonts w:ascii="Times New Roman" w:hAnsi="Times New Roman" w:hint="eastAsia"/>
          <w:color w:val="000000"/>
          <w:szCs w:val="24"/>
        </w:rPr>
        <w:t>南洞庭湖银鱼三角帆蚌国家级水产种质资源保护区</w:t>
      </w:r>
      <w:r>
        <w:rPr>
          <w:rFonts w:ascii="Times New Roman" w:hAnsi="Times New Roman" w:hint="eastAsia"/>
          <w:color w:val="000000"/>
          <w:szCs w:val="24"/>
        </w:rPr>
        <w:t>103m</w:t>
      </w:r>
      <w:r>
        <w:rPr>
          <w:rFonts w:ascii="Times New Roman" w:hAnsi="Times New Roman" w:hint="eastAsia"/>
        </w:rPr>
        <w:t>。</w:t>
      </w:r>
    </w:p>
    <w:p w:rsidR="004B4777" w:rsidRDefault="004B4777" w:rsidP="004B4777">
      <w:pPr>
        <w:adjustRightInd w:val="0"/>
        <w:snapToGrid w:val="0"/>
        <w:ind w:firstLineChars="250" w:firstLine="561"/>
        <w:jc w:val="left"/>
        <w:rPr>
          <w:rFonts w:ascii="Times New Roman" w:hAnsi="Times New Roman" w:hint="eastAsia"/>
        </w:rPr>
      </w:pPr>
      <w:r>
        <w:rPr>
          <w:rFonts w:ascii="Times New Roman" w:hAnsi="Times New Roman" w:hint="eastAsia"/>
        </w:rPr>
        <w:t>项目采区均不位于水产种质资源保护区，但距离南洞庭湖大口鲶青虾中华鳖国家级水产种质资源保护区、南洞庭湖银鱼三角帆蚌国家级水产种质资源保护区均较近。目前，湘阴县河道砂石综合执法局委托湖南渔缘生物科技有限公司和湖南省水产科学研究所编制了《湘阴县易婆塘斗米咀等</w:t>
      </w:r>
      <w:r>
        <w:rPr>
          <w:rFonts w:ascii="Times New Roman" w:hAnsi="Times New Roman" w:hint="eastAsia"/>
        </w:rPr>
        <w:t>4</w:t>
      </w:r>
      <w:r>
        <w:rPr>
          <w:rFonts w:ascii="Times New Roman" w:hAnsi="Times New Roman" w:hint="eastAsia"/>
        </w:rPr>
        <w:t>个采区对南洞庭湖大口鲶青虾中华鳖国家级水产种质资源保护区影响专题报告》并通过了湘阴县畜牧水产局的专家评审。</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w:t>
      </w:r>
      <w:r>
        <w:rPr>
          <w:rFonts w:ascii="Times New Roman" w:hAnsi="Times New Roman" w:hint="eastAsia"/>
        </w:rPr>
        <w:t>4</w:t>
      </w:r>
      <w:r>
        <w:rPr>
          <w:rFonts w:ascii="Times New Roman" w:hAnsi="Times New Roman" w:hint="eastAsia"/>
        </w:rPr>
        <w:t>）与饮用水源保护区的协调性</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snapToGrid w:val="0"/>
          <w:kern w:val="0"/>
          <w:szCs w:val="24"/>
        </w:rPr>
        <w:t>项目易婆塘采区位于资水河段，其开采范围涉及柳潭村和赛头口村。柳潭村及赛头口村现均设有水厂用于村镇居民供水，柳潭水厂取水口距离防洪堤约</w:t>
      </w:r>
      <w:r>
        <w:rPr>
          <w:rFonts w:ascii="Times New Roman" w:hAnsi="Times New Roman" w:hint="eastAsia"/>
          <w:snapToGrid w:val="0"/>
          <w:kern w:val="0"/>
          <w:szCs w:val="24"/>
        </w:rPr>
        <w:t>160m</w:t>
      </w:r>
      <w:r>
        <w:rPr>
          <w:rFonts w:ascii="Times New Roman" w:hAnsi="Times New Roman" w:hint="eastAsia"/>
          <w:snapToGrid w:val="0"/>
          <w:kern w:val="0"/>
          <w:szCs w:val="24"/>
        </w:rPr>
        <w:t>，赛头水厂取水口距离防洪堤约</w:t>
      </w:r>
      <w:r>
        <w:rPr>
          <w:rFonts w:ascii="Times New Roman" w:hAnsi="Times New Roman" w:hint="eastAsia"/>
          <w:snapToGrid w:val="0"/>
          <w:kern w:val="0"/>
          <w:szCs w:val="24"/>
        </w:rPr>
        <w:t>160m</w:t>
      </w:r>
      <w:r>
        <w:rPr>
          <w:rFonts w:ascii="Times New Roman" w:hAnsi="Times New Roman" w:hint="eastAsia"/>
          <w:snapToGrid w:val="0"/>
          <w:kern w:val="0"/>
          <w:szCs w:val="24"/>
        </w:rPr>
        <w:t>，因防洪堤</w:t>
      </w:r>
      <w:r>
        <w:rPr>
          <w:rFonts w:ascii="Times New Roman" w:hAnsi="Times New Roman" w:hint="eastAsia"/>
          <w:snapToGrid w:val="0"/>
          <w:kern w:val="0"/>
          <w:szCs w:val="24"/>
        </w:rPr>
        <w:t>200m</w:t>
      </w:r>
      <w:r>
        <w:rPr>
          <w:rFonts w:ascii="Times New Roman" w:hAnsi="Times New Roman" w:hint="eastAsia"/>
          <w:snapToGrid w:val="0"/>
          <w:kern w:val="0"/>
          <w:szCs w:val="24"/>
        </w:rPr>
        <w:t>范围内为禁采区，柳潭水厂、赛头水厂距离易婆塘采场边界约</w:t>
      </w:r>
      <w:r>
        <w:rPr>
          <w:rFonts w:ascii="Times New Roman" w:hAnsi="Times New Roman" w:hint="eastAsia"/>
          <w:snapToGrid w:val="0"/>
          <w:kern w:val="0"/>
          <w:szCs w:val="24"/>
        </w:rPr>
        <w:t>360m</w:t>
      </w:r>
      <w:r>
        <w:rPr>
          <w:rFonts w:ascii="Times New Roman" w:hAnsi="Times New Roman" w:hint="eastAsia"/>
          <w:snapToGrid w:val="0"/>
          <w:kern w:val="0"/>
          <w:szCs w:val="24"/>
        </w:rPr>
        <w:t>。现建设单位和柳潭村、赛头口村及湘阴县人民政府协商，将上述两个水厂进行搬迁，并重新选址，项目将为上述村庄重新建设农村集中式地下水饮用水源地，合理选址，保证水井距大堤禁脚</w:t>
      </w:r>
      <w:r>
        <w:rPr>
          <w:rFonts w:ascii="Times New Roman" w:hAnsi="Times New Roman" w:hint="eastAsia"/>
          <w:snapToGrid w:val="0"/>
          <w:kern w:val="0"/>
          <w:szCs w:val="24"/>
        </w:rPr>
        <w:t>1100</w:t>
      </w:r>
      <w:r>
        <w:rPr>
          <w:rFonts w:ascii="Times New Roman" w:hAnsi="Times New Roman" w:hint="eastAsia"/>
          <w:snapToGrid w:val="0"/>
          <w:kern w:val="0"/>
          <w:szCs w:val="24"/>
        </w:rPr>
        <w:t>米以上。</w:t>
      </w:r>
      <w:r>
        <w:rPr>
          <w:rFonts w:ascii="Times New Roman" w:hAnsi="Times New Roman" w:hint="eastAsia"/>
          <w:u w:val="single"/>
        </w:rPr>
        <w:t>建设单位拟迁建赛头水厂取水口至赛头口村马家塘，距防洪堤约</w:t>
      </w:r>
      <w:r>
        <w:rPr>
          <w:rFonts w:ascii="Times New Roman" w:hAnsi="Times New Roman" w:hint="eastAsia"/>
          <w:u w:val="single"/>
        </w:rPr>
        <w:t>1120m</w:t>
      </w:r>
      <w:r>
        <w:rPr>
          <w:rFonts w:ascii="Times New Roman" w:hAnsi="Times New Roman" w:hint="eastAsia"/>
          <w:u w:val="single"/>
        </w:rPr>
        <w:t>；拟迁建柳潭水厂取水口至余长村，距防洪堤约</w:t>
      </w:r>
      <w:r>
        <w:rPr>
          <w:rFonts w:ascii="Times New Roman" w:hAnsi="Times New Roman" w:hint="eastAsia"/>
          <w:u w:val="single"/>
        </w:rPr>
        <w:t>1130m</w:t>
      </w:r>
      <w:r>
        <w:rPr>
          <w:rFonts w:ascii="Times New Roman" w:hAnsi="Times New Roman" w:hint="eastAsia"/>
          <w:u w:val="single"/>
        </w:rPr>
        <w:t>。两水厂新取水口能满足文件要求和水源保护要求，在柳潭水厂及赛头水厂新取水口正式启用前，易婆塘采区现位于二级水源保护区范围内的采砂区禁止开采。</w:t>
      </w:r>
      <w:r>
        <w:rPr>
          <w:rFonts w:ascii="Times New Roman" w:hAnsi="Times New Roman" w:hint="eastAsia"/>
          <w:snapToGrid w:val="0"/>
          <w:kern w:val="0"/>
          <w:szCs w:val="24"/>
        </w:rPr>
        <w:t>待柳潭村及赛头口村的水厂新取水口正式启用后，易婆塘采区的采砂活动符合饮用水源的保护区相关要求。</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斗米咀采区距离岳阳市屈原管理区湘江湘江湘阴段现取水口上游</w:t>
      </w:r>
      <w:r>
        <w:rPr>
          <w:rFonts w:ascii="Times New Roman" w:hAnsi="Times New Roman" w:hint="eastAsia"/>
        </w:rPr>
        <w:t>13.82km</w:t>
      </w:r>
      <w:r>
        <w:rPr>
          <w:rFonts w:ascii="Times New Roman" w:hAnsi="Times New Roman" w:hint="eastAsia"/>
        </w:rPr>
        <w:t>，但根据湘阴市规划，该取水口拟上移</w:t>
      </w:r>
      <w:r>
        <w:rPr>
          <w:rFonts w:ascii="Times New Roman" w:hAnsi="Times New Roman"/>
        </w:rPr>
        <w:t>至湘江湘阴段湘阴县鸡啼湖，距离现取水口沿江约</w:t>
      </w:r>
      <w:r>
        <w:rPr>
          <w:rFonts w:ascii="Times New Roman" w:hAnsi="Times New Roman"/>
        </w:rPr>
        <w:t>13.37km</w:t>
      </w:r>
      <w:r>
        <w:rPr>
          <w:rFonts w:ascii="Times New Roman" w:hAnsi="Times New Roman"/>
        </w:rPr>
        <w:t>右岸处</w:t>
      </w:r>
      <w:r>
        <w:rPr>
          <w:rFonts w:ascii="Times New Roman" w:hAnsi="Times New Roman" w:hint="eastAsia"/>
        </w:rPr>
        <w:t>后，采区位于上移后的取水口下游约</w:t>
      </w:r>
      <w:r>
        <w:rPr>
          <w:rFonts w:ascii="Times New Roman" w:hAnsi="Times New Roman" w:hint="eastAsia"/>
        </w:rPr>
        <w:t>450m</w:t>
      </w:r>
      <w:r>
        <w:rPr>
          <w:rFonts w:ascii="Times New Roman" w:hAnsi="Times New Roman" w:hint="eastAsia"/>
        </w:rPr>
        <w:t>。</w:t>
      </w:r>
      <w:r>
        <w:rPr>
          <w:rFonts w:ascii="Times New Roman" w:hAnsi="Times New Roman" w:hint="eastAsia"/>
          <w:kern w:val="0"/>
          <w:szCs w:val="24"/>
        </w:rPr>
        <w:t>在采取一定的措施后，项目采砂对取水口的影响较小，该采区的采砂活动</w:t>
      </w:r>
      <w:r>
        <w:rPr>
          <w:rFonts w:ascii="Times New Roman" w:hAnsi="Times New Roman" w:hint="eastAsia"/>
          <w:snapToGrid w:val="0"/>
          <w:kern w:val="0"/>
          <w:szCs w:val="24"/>
        </w:rPr>
        <w:t>符合饮用水源的相关要求。</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lastRenderedPageBreak/>
        <w:t>（</w:t>
      </w:r>
      <w:r>
        <w:rPr>
          <w:rFonts w:ascii="Times New Roman" w:hAnsi="Times New Roman" w:hint="eastAsia"/>
        </w:rPr>
        <w:t>5</w:t>
      </w:r>
      <w:r>
        <w:rPr>
          <w:rFonts w:ascii="Times New Roman" w:hAnsi="Times New Roman" w:hint="eastAsia"/>
        </w:rPr>
        <w:t>）与湿地的协调性</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szCs w:val="24"/>
        </w:rPr>
        <w:t>易婆塘采砂区与横岭湖湖泊湿地的最近距离为</w:t>
      </w:r>
      <w:r>
        <w:rPr>
          <w:rFonts w:ascii="Times New Roman" w:hAnsi="Times New Roman" w:hint="eastAsia"/>
          <w:szCs w:val="24"/>
        </w:rPr>
        <w:t>103</w:t>
      </w:r>
      <w:r>
        <w:rPr>
          <w:rFonts w:ascii="Times New Roman" w:hAnsi="Times New Roman" w:hint="eastAsia"/>
          <w:szCs w:val="24"/>
        </w:rPr>
        <w:t>米；斗米咀采砂区与横岭湖湖泊湿地最近距离为</w:t>
      </w:r>
      <w:r>
        <w:rPr>
          <w:rFonts w:ascii="Times New Roman" w:hAnsi="Times New Roman"/>
          <w:szCs w:val="24"/>
        </w:rPr>
        <w:t>31</w:t>
      </w:r>
      <w:r>
        <w:rPr>
          <w:rFonts w:ascii="Times New Roman" w:hAnsi="Times New Roman" w:hint="eastAsia"/>
          <w:szCs w:val="24"/>
        </w:rPr>
        <w:t>米。</w:t>
      </w:r>
      <w:r>
        <w:rPr>
          <w:rFonts w:ascii="Times New Roman" w:hAnsi="Times New Roman" w:hint="eastAsia"/>
        </w:rPr>
        <w:t>项目采区不位于</w:t>
      </w:r>
      <w:r>
        <w:rPr>
          <w:rFonts w:ascii="Times New Roman" w:hAnsi="Times New Roman" w:hint="eastAsia"/>
          <w:szCs w:val="24"/>
        </w:rPr>
        <w:t>横岭湖湖泊湿地范围内，项目采区符合湿地保护的相关规定。</w:t>
      </w:r>
    </w:p>
    <w:p w:rsidR="004B4777" w:rsidRDefault="004B4777">
      <w:pPr>
        <w:pStyle w:val="3"/>
        <w:adjustRightInd w:val="0"/>
        <w:snapToGrid w:val="0"/>
        <w:spacing w:before="0" w:after="0"/>
        <w:ind w:firstLine="200"/>
        <w:rPr>
          <w:rFonts w:ascii="Times New Roman" w:eastAsia="宋体" w:hAnsi="Times New Roman" w:hint="eastAsia"/>
          <w:b/>
        </w:rPr>
      </w:pPr>
      <w:bookmarkStart w:id="266" w:name="_Toc508791425"/>
      <w:r>
        <w:rPr>
          <w:rFonts w:ascii="Times New Roman" w:eastAsia="宋体" w:hAnsi="Times New Roman" w:hint="eastAsia"/>
          <w:b/>
        </w:rPr>
        <w:t>11.2.14</w:t>
      </w:r>
      <w:r>
        <w:rPr>
          <w:rFonts w:ascii="Times New Roman" w:eastAsia="宋体" w:hAnsi="Times New Roman" w:hint="eastAsia"/>
          <w:b/>
        </w:rPr>
        <w:t>与《岳阳港总体规划》相符性分析</w:t>
      </w:r>
      <w:bookmarkEnd w:id="266"/>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湖南省航务管理局湘航务函字【</w:t>
      </w:r>
      <w:r>
        <w:rPr>
          <w:rFonts w:ascii="Times New Roman" w:hAnsi="Times New Roman" w:hint="eastAsia"/>
        </w:rPr>
        <w:t>2006</w:t>
      </w:r>
      <w:r>
        <w:rPr>
          <w:rFonts w:ascii="Times New Roman" w:hAnsi="Times New Roman" w:hint="eastAsia"/>
        </w:rPr>
        <w:t>】</w:t>
      </w:r>
      <w:r>
        <w:rPr>
          <w:rFonts w:ascii="Times New Roman" w:hAnsi="Times New Roman" w:hint="eastAsia"/>
        </w:rPr>
        <w:t>15</w:t>
      </w:r>
      <w:r>
        <w:rPr>
          <w:rFonts w:ascii="Times New Roman" w:hAnsi="Times New Roman" w:hint="eastAsia"/>
        </w:rPr>
        <w:t>号《关于转发交通部要求开展湘江港口规划编制工作的函》中，根据一城一港原则，明确岳阳港总体规划不应局限于岳阳市城区，还应包括岳阳市县域的港区规划。</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《岳阳港总体规划》将岳阳市区和县市的港口全部纳入岳阳港。根据岳阳港自然条件、开发利用现状、综合考虑岳阳行政区划、产业布局，合理利用天然地物或建筑作参照物，将岳阳港分为</w:t>
      </w:r>
      <w:r>
        <w:rPr>
          <w:rFonts w:ascii="Times New Roman" w:hAnsi="Times New Roman" w:hint="eastAsia"/>
        </w:rPr>
        <w:t>11</w:t>
      </w:r>
      <w:r>
        <w:rPr>
          <w:rFonts w:ascii="Times New Roman" w:hAnsi="Times New Roman" w:hint="eastAsia"/>
        </w:rPr>
        <w:t>个港区：长江沿岸港区</w:t>
      </w:r>
      <w:r>
        <w:rPr>
          <w:rFonts w:ascii="Times New Roman" w:hAnsi="Times New Roman" w:hint="eastAsia"/>
        </w:rPr>
        <w:t>6</w:t>
      </w:r>
      <w:r>
        <w:rPr>
          <w:rFonts w:ascii="Times New Roman" w:hAnsi="Times New Roman" w:hint="eastAsia"/>
        </w:rPr>
        <w:t>个，华容港区、君山港区、城陵矶港区、道仁矶港区、陆城港区、临湘港区；湘江沿岸港区</w:t>
      </w:r>
      <w:r>
        <w:rPr>
          <w:rFonts w:ascii="Times New Roman" w:hAnsi="Times New Roman" w:hint="eastAsia"/>
        </w:rPr>
        <w:t>5</w:t>
      </w:r>
      <w:r>
        <w:rPr>
          <w:rFonts w:ascii="Times New Roman" w:hAnsi="Times New Roman" w:hint="eastAsia"/>
        </w:rPr>
        <w:t>个，湘阴港区、汨罗港区、岳阳县港区、岳阳楼港区、七里山港区。</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综合比较货运量、规模大小和发展前景、在全港中地位和作用、在岳阳市以及湖南省经济发展中的重要性，将岳阳楼港区、七里山港区、城陵矶港区、道仁矶港区划分为重要港区，其余港区为一般港区。其中城陵矶港区为岳阳港核心港区。</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本项目采区均不与《岳阳港总体规划》相冲突。</w:t>
      </w:r>
    </w:p>
    <w:p w:rsidR="004B4777" w:rsidRDefault="004B4777">
      <w:pPr>
        <w:pStyle w:val="3"/>
        <w:adjustRightInd w:val="0"/>
        <w:snapToGrid w:val="0"/>
        <w:spacing w:before="0" w:after="0"/>
        <w:ind w:firstLine="200"/>
        <w:rPr>
          <w:rFonts w:ascii="Times New Roman" w:eastAsia="宋体" w:hAnsi="Times New Roman" w:hint="eastAsia"/>
          <w:b/>
        </w:rPr>
      </w:pPr>
      <w:bookmarkStart w:id="267" w:name="_Toc508791426"/>
      <w:r>
        <w:rPr>
          <w:rFonts w:ascii="Times New Roman" w:eastAsia="宋体" w:hAnsi="Times New Roman" w:hint="eastAsia"/>
          <w:b/>
        </w:rPr>
        <w:t>11.2.15</w:t>
      </w:r>
      <w:r>
        <w:rPr>
          <w:rFonts w:ascii="Times New Roman" w:eastAsia="宋体" w:hAnsi="Times New Roman" w:hint="eastAsia"/>
          <w:b/>
        </w:rPr>
        <w:t>与《洞庭湖区综合规划报告》相符性分析</w:t>
      </w:r>
      <w:bookmarkEnd w:id="267"/>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根据《洞庭湖区综合规划报告》成果，该规划的重点是防洪，该规划主要是围绕洞庭湖区经济社会发展的总体布局，根据域内水利基础设施现状，在湖区建立完善的防洪减灾体系、水资源综合利用体系、水资源与水生生态环境保护体系，促进区域生态环境保护与经济协调发展。</w:t>
      </w:r>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 xml:space="preserve"> </w:t>
      </w:r>
      <w:r>
        <w:rPr>
          <w:rFonts w:ascii="Times New Roman" w:hAnsi="Times New Roman" w:hint="eastAsia"/>
        </w:rPr>
        <w:t>根据本开采区与洞庭湖区综合规划叠图分析，本项目开采区均不与洞庭湖区综合规划中防洪设施冲突。</w:t>
      </w:r>
    </w:p>
    <w:p w:rsidR="004B4777" w:rsidRDefault="004B4777">
      <w:pPr>
        <w:pStyle w:val="2"/>
        <w:adjustRightInd w:val="0"/>
        <w:snapToGrid w:val="0"/>
        <w:spacing w:before="0" w:after="0"/>
        <w:rPr>
          <w:rFonts w:ascii="Times New Roman" w:eastAsia="宋体" w:hAnsi="Times New Roman" w:hint="eastAsia"/>
          <w:sz w:val="28"/>
          <w:szCs w:val="28"/>
        </w:rPr>
      </w:pPr>
      <w:bookmarkStart w:id="268" w:name="_Toc508791427"/>
      <w:bookmarkStart w:id="269" w:name="_Toc523854062"/>
      <w:r>
        <w:rPr>
          <w:rFonts w:ascii="Times New Roman" w:eastAsia="宋体" w:hAnsi="Times New Roman" w:hint="eastAsia"/>
          <w:b/>
          <w:sz w:val="30"/>
          <w:szCs w:val="30"/>
        </w:rPr>
        <w:t xml:space="preserve">11.3  </w:t>
      </w:r>
      <w:r>
        <w:rPr>
          <w:rFonts w:ascii="Times New Roman" w:eastAsia="宋体" w:hAnsi="Times New Roman" w:hint="eastAsia"/>
          <w:b/>
          <w:sz w:val="30"/>
          <w:szCs w:val="30"/>
        </w:rPr>
        <w:t>与</w:t>
      </w:r>
      <w:r>
        <w:rPr>
          <w:rFonts w:ascii="Times New Roman" w:eastAsia="宋体" w:hAnsi="Times New Roman" w:hint="eastAsia"/>
          <w:sz w:val="28"/>
          <w:szCs w:val="28"/>
        </w:rPr>
        <w:t>《湖南省湘江干流及洞庭湖区岳阳段河道采砂规划（</w:t>
      </w:r>
      <w:r>
        <w:rPr>
          <w:rFonts w:ascii="Times New Roman" w:eastAsia="宋体" w:hAnsi="Times New Roman" w:hint="eastAsia"/>
          <w:sz w:val="28"/>
          <w:szCs w:val="28"/>
        </w:rPr>
        <w:t>2017-2020</w:t>
      </w:r>
      <w:r>
        <w:rPr>
          <w:rFonts w:ascii="Times New Roman" w:eastAsia="宋体" w:hAnsi="Times New Roman" w:hint="eastAsia"/>
          <w:sz w:val="28"/>
          <w:szCs w:val="28"/>
        </w:rPr>
        <w:t>年）》环评及其批复的符合性分析</w:t>
      </w:r>
      <w:bookmarkEnd w:id="269"/>
    </w:p>
    <w:p w:rsidR="004B4777" w:rsidRDefault="004B4777">
      <w:pPr>
        <w:adjustRightInd w:val="0"/>
        <w:snapToGrid w:val="0"/>
        <w:ind w:firstLine="449"/>
        <w:rPr>
          <w:rFonts w:ascii="Times New Roman" w:hAnsi="Times New Roman" w:hint="eastAsia"/>
          <w:szCs w:val="24"/>
        </w:rPr>
      </w:pPr>
      <w:r>
        <w:rPr>
          <w:rFonts w:ascii="Times New Roman" w:hAnsi="Times New Roman" w:hint="eastAsia"/>
          <w:szCs w:val="24"/>
        </w:rPr>
        <w:t>项目规划区洞庭湖区岳阳段于</w:t>
      </w:r>
      <w:r>
        <w:rPr>
          <w:rFonts w:ascii="Times New Roman" w:hAnsi="Times New Roman" w:hint="eastAsia"/>
          <w:szCs w:val="24"/>
        </w:rPr>
        <w:t>2018</w:t>
      </w:r>
      <w:r>
        <w:rPr>
          <w:rFonts w:ascii="Times New Roman" w:hAnsi="Times New Roman" w:hint="eastAsia"/>
          <w:szCs w:val="24"/>
        </w:rPr>
        <w:t>年</w:t>
      </w:r>
      <w:r>
        <w:rPr>
          <w:rFonts w:ascii="Times New Roman" w:hAnsi="Times New Roman" w:hint="eastAsia"/>
          <w:szCs w:val="24"/>
        </w:rPr>
        <w:t>2</w:t>
      </w:r>
      <w:r>
        <w:rPr>
          <w:rFonts w:ascii="Times New Roman" w:hAnsi="Times New Roman" w:hint="eastAsia"/>
          <w:szCs w:val="24"/>
        </w:rPr>
        <w:t>月已编制《湖南省湘江干流及洞庭湖区岳阳段河道采砂规划（</w:t>
      </w:r>
      <w:r>
        <w:rPr>
          <w:rFonts w:ascii="Times New Roman" w:hAnsi="Times New Roman" w:hint="eastAsia"/>
          <w:szCs w:val="24"/>
        </w:rPr>
        <w:t>2017-2020</w:t>
      </w:r>
      <w:r>
        <w:rPr>
          <w:rFonts w:ascii="Times New Roman" w:hAnsi="Times New Roman" w:hint="eastAsia"/>
          <w:szCs w:val="24"/>
        </w:rPr>
        <w:t>年）》环境影响报告书，并于</w:t>
      </w:r>
      <w:r>
        <w:rPr>
          <w:rFonts w:ascii="Times New Roman" w:hAnsi="Times New Roman" w:hint="eastAsia"/>
          <w:szCs w:val="24"/>
        </w:rPr>
        <w:t>2018</w:t>
      </w:r>
      <w:r>
        <w:rPr>
          <w:rFonts w:ascii="Times New Roman" w:hAnsi="Times New Roman" w:hint="eastAsia"/>
          <w:szCs w:val="24"/>
        </w:rPr>
        <w:t>年</w:t>
      </w:r>
      <w:r>
        <w:rPr>
          <w:rFonts w:ascii="Times New Roman" w:hAnsi="Times New Roman" w:hint="eastAsia"/>
          <w:szCs w:val="24"/>
        </w:rPr>
        <w:t>3</w:t>
      </w:r>
      <w:r>
        <w:rPr>
          <w:rFonts w:ascii="Times New Roman" w:hAnsi="Times New Roman" w:hint="eastAsia"/>
          <w:szCs w:val="24"/>
        </w:rPr>
        <w:t>月通过岳阳市环境保护局</w:t>
      </w:r>
      <w:r>
        <w:rPr>
          <w:rFonts w:ascii="Times New Roman" w:hAnsi="Times New Roman" w:hint="eastAsia"/>
          <w:szCs w:val="24"/>
        </w:rPr>
        <w:lastRenderedPageBreak/>
        <w:t>组织的环评审查会议，并取得了《关于湖南省湘江干流及洞庭湖区岳阳段河道采砂规划（</w:t>
      </w:r>
      <w:r>
        <w:rPr>
          <w:rFonts w:ascii="Times New Roman" w:hAnsi="Times New Roman" w:hint="eastAsia"/>
          <w:szCs w:val="24"/>
        </w:rPr>
        <w:t>2017-2020</w:t>
      </w:r>
      <w:r>
        <w:rPr>
          <w:rFonts w:ascii="Times New Roman" w:hAnsi="Times New Roman" w:hint="eastAsia"/>
          <w:szCs w:val="24"/>
        </w:rPr>
        <w:t>年）环境影响报告书的审查意见》。</w:t>
      </w:r>
    </w:p>
    <w:p w:rsidR="004B4777" w:rsidRDefault="004B4777">
      <w:pPr>
        <w:adjustRightInd w:val="0"/>
        <w:snapToGrid w:val="0"/>
        <w:ind w:firstLine="449"/>
        <w:rPr>
          <w:rFonts w:ascii="Times New Roman" w:hAnsi="Times New Roman" w:hint="eastAsia"/>
        </w:rPr>
      </w:pPr>
      <w:r>
        <w:rPr>
          <w:rFonts w:ascii="Times New Roman" w:hAnsi="Times New Roman" w:hint="eastAsia"/>
        </w:rPr>
        <w:t>审查意见明确：《</w:t>
      </w:r>
      <w:r>
        <w:rPr>
          <w:rFonts w:ascii="Times New Roman" w:hAnsi="Times New Roman" w:hint="eastAsia"/>
          <w:szCs w:val="24"/>
        </w:rPr>
        <w:t>湖南省湘江干流及洞庭湖区岳阳段河道采砂规划（</w:t>
      </w:r>
      <w:r>
        <w:rPr>
          <w:rFonts w:ascii="Times New Roman" w:hAnsi="Times New Roman" w:hint="eastAsia"/>
          <w:szCs w:val="24"/>
        </w:rPr>
        <w:t>2017-2020</w:t>
      </w:r>
      <w:r>
        <w:rPr>
          <w:rFonts w:ascii="Times New Roman" w:hAnsi="Times New Roman" w:hint="eastAsia"/>
          <w:szCs w:val="24"/>
        </w:rPr>
        <w:t>年）</w:t>
      </w:r>
      <w:r>
        <w:rPr>
          <w:rFonts w:ascii="Times New Roman" w:hAnsi="Times New Roman" w:hint="eastAsia"/>
        </w:rPr>
        <w:t>》基准年为</w:t>
      </w:r>
      <w:r>
        <w:rPr>
          <w:rFonts w:ascii="Times New Roman" w:hAnsi="Times New Roman" w:hint="eastAsia"/>
        </w:rPr>
        <w:t>2016</w:t>
      </w:r>
      <w:r>
        <w:rPr>
          <w:rFonts w:ascii="Times New Roman" w:hAnsi="Times New Roman" w:hint="eastAsia"/>
        </w:rPr>
        <w:t>年，规划期限</w:t>
      </w:r>
      <w:r>
        <w:rPr>
          <w:rFonts w:ascii="Times New Roman" w:hAnsi="Times New Roman" w:hint="eastAsia"/>
        </w:rPr>
        <w:t>4</w:t>
      </w:r>
      <w:r>
        <w:rPr>
          <w:rFonts w:ascii="Times New Roman" w:hAnsi="Times New Roman" w:hint="eastAsia"/>
        </w:rPr>
        <w:t>年，为</w:t>
      </w:r>
      <w:r>
        <w:rPr>
          <w:rFonts w:ascii="Times New Roman" w:hAnsi="Times New Roman" w:hint="eastAsia"/>
        </w:rPr>
        <w:t>2017-2020</w:t>
      </w:r>
      <w:r>
        <w:rPr>
          <w:rFonts w:ascii="Times New Roman" w:hAnsi="Times New Roman" w:hint="eastAsia"/>
        </w:rPr>
        <w:t>年。本规划包括建设</w:t>
      </w:r>
      <w:r>
        <w:rPr>
          <w:rFonts w:ascii="Times New Roman" w:hAnsi="Times New Roman" w:hint="eastAsia"/>
        </w:rPr>
        <w:t>7</w:t>
      </w:r>
      <w:r>
        <w:rPr>
          <w:rFonts w:ascii="Times New Roman" w:hAnsi="Times New Roman" w:hint="eastAsia"/>
        </w:rPr>
        <w:t>个开采区，即胜利采区、新港采区、打靶湖采区、斗米咀采区、易婆塘采区、湘资村采区、新州湖采区，规划建设</w:t>
      </w:r>
      <w:r>
        <w:rPr>
          <w:rFonts w:ascii="Times New Roman" w:hAnsi="Times New Roman" w:hint="eastAsia"/>
        </w:rPr>
        <w:t>11</w:t>
      </w:r>
      <w:r>
        <w:rPr>
          <w:rFonts w:ascii="Times New Roman" w:hAnsi="Times New Roman" w:hint="eastAsia"/>
        </w:rPr>
        <w:t>个砂石场（含砂石码头）。年度采砂总量控制为</w:t>
      </w:r>
      <w:r>
        <w:rPr>
          <w:rFonts w:ascii="Times New Roman" w:hAnsi="Times New Roman" w:hint="eastAsia"/>
        </w:rPr>
        <w:t>4500</w:t>
      </w:r>
      <w:r>
        <w:rPr>
          <w:rFonts w:ascii="Times New Roman" w:hAnsi="Times New Roman" w:hint="eastAsia"/>
        </w:rPr>
        <w:t>万吨，采砂船</w:t>
      </w:r>
      <w:r>
        <w:rPr>
          <w:rFonts w:ascii="Times New Roman" w:hAnsi="Times New Roman" w:hint="eastAsia"/>
        </w:rPr>
        <w:t xml:space="preserve">23 </w:t>
      </w:r>
      <w:r>
        <w:rPr>
          <w:rFonts w:ascii="Times New Roman" w:hAnsi="Times New Roman" w:hint="eastAsia"/>
        </w:rPr>
        <w:t>艘，总功率</w:t>
      </w:r>
      <w:r>
        <w:rPr>
          <w:rFonts w:ascii="Times New Roman" w:hAnsi="Times New Roman" w:hint="eastAsia"/>
        </w:rPr>
        <w:t>85400KW</w:t>
      </w:r>
      <w:r>
        <w:rPr>
          <w:rFonts w:ascii="Times New Roman" w:hAnsi="Times New Roman" w:hint="eastAsia"/>
        </w:rPr>
        <w:t>。审查意见要求如下：</w:t>
      </w:r>
    </w:p>
    <w:p w:rsidR="004B4777" w:rsidRDefault="004B4777">
      <w:pPr>
        <w:adjustRightInd w:val="0"/>
        <w:snapToGrid w:val="0"/>
        <w:ind w:firstLine="451"/>
        <w:jc w:val="center"/>
        <w:rPr>
          <w:rFonts w:ascii="Times New Roman" w:hAnsi="Times New Roman" w:hint="eastAsia"/>
          <w:b/>
        </w:rPr>
      </w:pPr>
      <w:r>
        <w:rPr>
          <w:rFonts w:ascii="Times New Roman" w:hAnsi="Times New Roman" w:hint="eastAsia"/>
          <w:b/>
        </w:rPr>
        <w:t>表</w:t>
      </w:r>
      <w:r>
        <w:rPr>
          <w:rFonts w:ascii="Times New Roman" w:hAnsi="Times New Roman" w:hint="eastAsia"/>
          <w:b/>
        </w:rPr>
        <w:t xml:space="preserve">11.3-1  </w:t>
      </w:r>
      <w:r>
        <w:rPr>
          <w:rFonts w:ascii="Times New Roman" w:hAnsi="Times New Roman" w:hint="eastAsia"/>
          <w:b/>
        </w:rPr>
        <w:t>项目与规划环评及审查意见符合性分析</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077"/>
        <w:gridCol w:w="4253"/>
        <w:gridCol w:w="663"/>
      </w:tblGrid>
      <w:tr w:rsidR="004B4777">
        <w:trPr>
          <w:jc w:val="center"/>
        </w:trPr>
        <w:tc>
          <w:tcPr>
            <w:tcW w:w="4077" w:type="dxa"/>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审查意见要求</w:t>
            </w:r>
          </w:p>
        </w:tc>
        <w:tc>
          <w:tcPr>
            <w:tcW w:w="4253" w:type="dxa"/>
          </w:tcPr>
          <w:p w:rsidR="004B4777" w:rsidRDefault="004B4777">
            <w:pPr>
              <w:spacing w:line="240" w:lineRule="auto"/>
              <w:ind w:firstLineChars="0" w:firstLine="0"/>
              <w:jc w:val="center"/>
              <w:rPr>
                <w:rFonts w:ascii="Times New Roman" w:hAnsi="Times New Roman" w:hint="eastAsia"/>
                <w:sz w:val="21"/>
                <w:szCs w:val="21"/>
              </w:rPr>
            </w:pPr>
            <w:r>
              <w:rPr>
                <w:rFonts w:ascii="Times New Roman" w:hAnsi="Times New Roman" w:hint="eastAsia"/>
                <w:sz w:val="21"/>
                <w:szCs w:val="21"/>
              </w:rPr>
              <w:t>相符性分析</w:t>
            </w:r>
          </w:p>
        </w:tc>
        <w:tc>
          <w:tcPr>
            <w:tcW w:w="663"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是否符合</w:t>
            </w:r>
          </w:p>
        </w:tc>
      </w:tr>
      <w:tr w:rsidR="004B4777">
        <w:trPr>
          <w:jc w:val="center"/>
        </w:trPr>
        <w:tc>
          <w:tcPr>
            <w:tcW w:w="4077"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（一）严守生态红线。《规划》中的采砂规划区域位于主体功能区划中的省级重点开发区和国家级农产品主产区，不在禁止开发范围内；规划的</w:t>
            </w:r>
            <w:r>
              <w:rPr>
                <w:rFonts w:ascii="Times New Roman" w:hAnsi="Times New Roman" w:hint="eastAsia"/>
                <w:sz w:val="21"/>
                <w:szCs w:val="21"/>
              </w:rPr>
              <w:t>7</w:t>
            </w:r>
            <w:r>
              <w:rPr>
                <w:rFonts w:ascii="Times New Roman" w:hAnsi="Times New Roman" w:hint="eastAsia"/>
                <w:sz w:val="21"/>
                <w:szCs w:val="21"/>
              </w:rPr>
              <w:t>个开采区均不得占用生态红线保护区也不得占用饮用水源保护区、自然保护区、森林公园等敏感区范围。科学论证采砂区域与各类敏感区的保护距离，落实环境风险防范措施，确保敏感区环境安全。研究采砂活动对采砂区临近的水生生物自然保护区、水产种质资源保护区及其他鱼类等水生生物重要栖息地（包括产卵场、索饵场、越冬场和洄游通道）的环境影响，采取有效的避让、减缓、恢复对策措施。</w:t>
            </w:r>
          </w:p>
        </w:tc>
        <w:tc>
          <w:tcPr>
            <w:tcW w:w="4253"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项目易婆塘采区和斗米咀采区均不涉及生态红线保护区、自然保护区、森林公园等敏感区范围，在柳潭水厂及赛头水厂重新选址并投入使用后，开采区不涉及水源保护区。项目在开采过程中划定了禁采区，开采区均不位于水生生物自然保护区、水产种质资源保护区范围内，项目在规划期内拟采取增殖放流及人工鱼槽等措施，采取多种避让、减缓、恢复等措施减轻对生态环境的影响。</w:t>
            </w:r>
          </w:p>
        </w:tc>
        <w:tc>
          <w:tcPr>
            <w:tcW w:w="663" w:type="dxa"/>
          </w:tcPr>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符合</w:t>
            </w:r>
          </w:p>
        </w:tc>
      </w:tr>
      <w:tr w:rsidR="004B4777">
        <w:trPr>
          <w:jc w:val="center"/>
        </w:trPr>
        <w:tc>
          <w:tcPr>
            <w:tcW w:w="4077"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二）确保环境质量底线。《规划》实施过程中，应按照环境质量不断优化的原则，结合环境质量现状和相关规划、功能区划要求，提出采砂活动中水、大气、噪声污染控制措施，做到达标排放，确保所在区域地表水环境、环境空气、声环境质量均满足功能区划要求；船舶含油废水等危险废物应按《危险废物贮存污染</w:t>
            </w:r>
            <w:r>
              <w:rPr>
                <w:rFonts w:ascii="Times New Roman" w:hAnsi="Times New Roman" w:hint="eastAsia"/>
                <w:sz w:val="21"/>
                <w:szCs w:val="21"/>
              </w:rPr>
              <w:lastRenderedPageBreak/>
              <w:t>控制标准》（</w:t>
            </w:r>
            <w:r>
              <w:rPr>
                <w:rFonts w:ascii="Times New Roman" w:hAnsi="Times New Roman" w:hint="eastAsia"/>
                <w:sz w:val="21"/>
                <w:szCs w:val="21"/>
              </w:rPr>
              <w:t>GB18597-2001</w:t>
            </w:r>
            <w:r>
              <w:rPr>
                <w:rFonts w:ascii="Times New Roman" w:hAnsi="Times New Roman" w:hint="eastAsia"/>
                <w:sz w:val="21"/>
                <w:szCs w:val="21"/>
              </w:rPr>
              <w:t>）要求进行贮存，严禁外排水体，定期交有资质单位处置。</w:t>
            </w:r>
          </w:p>
        </w:tc>
        <w:tc>
          <w:tcPr>
            <w:tcW w:w="4253"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lastRenderedPageBreak/>
              <w:t>本报告对项目在开采过程中提出了明确的污染防治措施，如采用湿式采砂工艺等；项目采砂船均配置有生活污水处理装置和船舶含油污水油水分离装置，船舶污水委托有资质单位定点接收处理，废油委托有资质单位处理，船舶含油废水不外排。</w:t>
            </w:r>
          </w:p>
        </w:tc>
        <w:tc>
          <w:tcPr>
            <w:tcW w:w="663" w:type="dxa"/>
          </w:tcPr>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符合</w:t>
            </w:r>
          </w:p>
        </w:tc>
      </w:tr>
      <w:tr w:rsidR="004B4777">
        <w:trPr>
          <w:jc w:val="center"/>
        </w:trPr>
        <w:tc>
          <w:tcPr>
            <w:tcW w:w="4077"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lastRenderedPageBreak/>
              <w:t>（三）控制资源利用上线。《规划》应按照自然资源“只能增值、不能贬值”的原则，以保障生态安全和该少环境质量为目的，充分考虑砂石资源补给、渔业资源损失、岸线安全等因素，进一步合理设置开采范围、开采期、开采量及开采运输能力。</w:t>
            </w:r>
          </w:p>
        </w:tc>
        <w:tc>
          <w:tcPr>
            <w:tcW w:w="4253"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易婆塘采区资源储量（</w:t>
            </w:r>
            <w:r>
              <w:rPr>
                <w:rFonts w:ascii="Times New Roman" w:hAnsi="Times New Roman" w:hint="eastAsia"/>
                <w:sz w:val="21"/>
                <w:szCs w:val="21"/>
              </w:rPr>
              <w:t>122b</w:t>
            </w:r>
            <w:r>
              <w:rPr>
                <w:rFonts w:ascii="Times New Roman" w:hAnsi="Times New Roman" w:hint="eastAsia"/>
                <w:sz w:val="21"/>
                <w:szCs w:val="21"/>
              </w:rPr>
              <w:t>）</w:t>
            </w:r>
            <w:r>
              <w:rPr>
                <w:rFonts w:ascii="Times New Roman" w:hAnsi="Times New Roman" w:hint="eastAsia"/>
                <w:sz w:val="21"/>
                <w:szCs w:val="21"/>
              </w:rPr>
              <w:t xml:space="preserve">13131.7 </w:t>
            </w:r>
            <w:r>
              <w:rPr>
                <w:rFonts w:ascii="Times New Roman" w:hAnsi="Times New Roman" w:hint="eastAsia"/>
                <w:sz w:val="21"/>
                <w:szCs w:val="21"/>
              </w:rPr>
              <w:t>万吨，年度控制开采量</w:t>
            </w:r>
            <w:r>
              <w:rPr>
                <w:rFonts w:ascii="Times New Roman" w:hAnsi="Times New Roman" w:hint="eastAsia"/>
                <w:sz w:val="21"/>
                <w:szCs w:val="21"/>
              </w:rPr>
              <w:t>1170</w:t>
            </w:r>
            <w:r>
              <w:rPr>
                <w:rFonts w:ascii="Times New Roman" w:hAnsi="Times New Roman" w:hint="eastAsia"/>
                <w:sz w:val="21"/>
                <w:szCs w:val="21"/>
              </w:rPr>
              <w:t>万吨，占</w:t>
            </w:r>
            <w:r>
              <w:rPr>
                <w:rFonts w:ascii="Times New Roman" w:hAnsi="Times New Roman" w:hint="eastAsia"/>
                <w:bCs/>
                <w:sz w:val="21"/>
                <w:szCs w:val="21"/>
              </w:rPr>
              <w:t>资源总储量的</w:t>
            </w:r>
            <w:r>
              <w:rPr>
                <w:rFonts w:ascii="Times New Roman" w:hAnsi="Times New Roman" w:hint="eastAsia"/>
                <w:bCs/>
                <w:sz w:val="21"/>
                <w:szCs w:val="21"/>
              </w:rPr>
              <w:t>8.91%</w:t>
            </w:r>
            <w:r>
              <w:rPr>
                <w:rFonts w:ascii="Times New Roman" w:hAnsi="Times New Roman" w:hint="eastAsia"/>
                <w:bCs/>
                <w:sz w:val="21"/>
                <w:szCs w:val="21"/>
              </w:rPr>
              <w:t>，规划期内开采总量占开采区资源总量的</w:t>
            </w:r>
            <w:r>
              <w:rPr>
                <w:rFonts w:ascii="Times New Roman" w:hAnsi="Times New Roman" w:hint="eastAsia"/>
                <w:bCs/>
                <w:sz w:val="21"/>
                <w:szCs w:val="21"/>
              </w:rPr>
              <w:t>34.17%</w:t>
            </w:r>
            <w:r>
              <w:rPr>
                <w:rFonts w:ascii="Times New Roman" w:hAnsi="Times New Roman" w:hint="eastAsia"/>
                <w:sz w:val="21"/>
                <w:szCs w:val="21"/>
              </w:rPr>
              <w:t>；斗米咀采区资源储量（</w:t>
            </w:r>
            <w:r>
              <w:rPr>
                <w:rFonts w:ascii="Times New Roman" w:hAnsi="Times New Roman" w:hint="eastAsia"/>
                <w:sz w:val="21"/>
                <w:szCs w:val="21"/>
              </w:rPr>
              <w:t>122b</w:t>
            </w:r>
            <w:r>
              <w:rPr>
                <w:rFonts w:ascii="Times New Roman" w:hAnsi="Times New Roman" w:hint="eastAsia"/>
                <w:sz w:val="21"/>
                <w:szCs w:val="21"/>
              </w:rPr>
              <w:t>）</w:t>
            </w:r>
            <w:r>
              <w:rPr>
                <w:rFonts w:ascii="Times New Roman" w:hAnsi="Times New Roman" w:hint="eastAsia"/>
                <w:sz w:val="21"/>
                <w:szCs w:val="21"/>
              </w:rPr>
              <w:t>2383.03</w:t>
            </w:r>
            <w:r>
              <w:rPr>
                <w:rFonts w:ascii="Times New Roman" w:hAnsi="Times New Roman" w:hint="eastAsia"/>
                <w:sz w:val="21"/>
                <w:szCs w:val="21"/>
              </w:rPr>
              <w:t>万吨，年度控制开采量</w:t>
            </w:r>
            <w:r>
              <w:rPr>
                <w:rFonts w:ascii="Times New Roman" w:hAnsi="Times New Roman" w:hint="eastAsia"/>
                <w:sz w:val="21"/>
                <w:szCs w:val="21"/>
              </w:rPr>
              <w:t>251</w:t>
            </w:r>
            <w:r>
              <w:rPr>
                <w:rFonts w:ascii="Times New Roman" w:hAnsi="Times New Roman" w:hint="eastAsia"/>
                <w:sz w:val="21"/>
                <w:szCs w:val="21"/>
              </w:rPr>
              <w:t>万吨，</w:t>
            </w:r>
            <w:r>
              <w:rPr>
                <w:rFonts w:ascii="Times New Roman" w:hAnsi="Times New Roman" w:hint="eastAsia"/>
                <w:bCs/>
                <w:sz w:val="21"/>
                <w:szCs w:val="21"/>
              </w:rPr>
              <w:t>年开采量占开采区资源总储量的</w:t>
            </w:r>
            <w:r>
              <w:rPr>
                <w:rFonts w:ascii="Times New Roman" w:hAnsi="Times New Roman" w:hint="eastAsia"/>
                <w:bCs/>
                <w:sz w:val="21"/>
                <w:szCs w:val="21"/>
              </w:rPr>
              <w:t>11.41%</w:t>
            </w:r>
            <w:r>
              <w:rPr>
                <w:rFonts w:ascii="Times New Roman" w:hAnsi="Times New Roman" w:hint="eastAsia"/>
                <w:bCs/>
                <w:sz w:val="21"/>
                <w:szCs w:val="21"/>
              </w:rPr>
              <w:t>，规划期内开采总量占开采区资源总量的</w:t>
            </w:r>
            <w:r>
              <w:rPr>
                <w:rFonts w:ascii="Times New Roman" w:hAnsi="Times New Roman" w:hint="eastAsia"/>
                <w:bCs/>
                <w:sz w:val="21"/>
                <w:szCs w:val="21"/>
              </w:rPr>
              <w:t>45.64%</w:t>
            </w:r>
            <w:r>
              <w:rPr>
                <w:rFonts w:ascii="Times New Roman" w:hAnsi="Times New Roman" w:hint="eastAsia"/>
                <w:sz w:val="21"/>
                <w:szCs w:val="21"/>
              </w:rPr>
              <w:t>。</w:t>
            </w:r>
            <w:r>
              <w:rPr>
                <w:rFonts w:ascii="Times New Roman" w:hAnsi="Times New Roman" w:hint="eastAsia"/>
                <w:bCs/>
                <w:sz w:val="21"/>
                <w:szCs w:val="21"/>
              </w:rPr>
              <w:t>在未考虑上游砂石资源补给的情况下，各采区开采总量低于资源历史储量，开采规模较为合理。项目</w:t>
            </w:r>
            <w:r>
              <w:rPr>
                <w:rFonts w:ascii="Times New Roman" w:hAnsi="Times New Roman" w:hint="eastAsia"/>
                <w:sz w:val="21"/>
                <w:szCs w:val="21"/>
              </w:rPr>
              <w:t>规划期内拟采取增殖放流及人工鱼巢等措施，对区域渔业资源进行补偿，并规划禁采区、禁采期等措施，尽量减少对环境的影响。</w:t>
            </w:r>
          </w:p>
        </w:tc>
        <w:tc>
          <w:tcPr>
            <w:tcW w:w="663" w:type="dxa"/>
          </w:tcPr>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符合</w:t>
            </w:r>
          </w:p>
        </w:tc>
      </w:tr>
      <w:tr w:rsidR="004B4777">
        <w:trPr>
          <w:jc w:val="center"/>
        </w:trPr>
        <w:tc>
          <w:tcPr>
            <w:tcW w:w="4077"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四）严格环境准入负面清单。《规划》实施时，引入的采砂项目生产方法、生产工艺、设施装备应符合国家、地方法律法规和产业政策要求，严格执行环境准入负面清单，不得引入国家《产业结构调整指导目录》中的限制类及淘汰类项目；严禁引入采砂工艺落后或淘汰的采砂船，且不得超过规划规定最大功率，采砂船必须配置生活废水和含油废水收集系统。</w:t>
            </w:r>
          </w:p>
        </w:tc>
        <w:tc>
          <w:tcPr>
            <w:tcW w:w="4253"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本采砂项目的生产方法、生产工艺、设施装备应符合国家、地方法律法规和产业政策要求，不属于《产业结构调整指导目录》中的限制类及淘汰类项目；项目采砂船功率控制在</w:t>
            </w:r>
            <w:r>
              <w:rPr>
                <w:rFonts w:ascii="Times New Roman" w:hAnsi="Times New Roman" w:hint="eastAsia"/>
                <w:sz w:val="21"/>
                <w:szCs w:val="21"/>
              </w:rPr>
              <w:t>2600</w:t>
            </w:r>
            <w:r>
              <w:rPr>
                <w:rFonts w:ascii="Times New Roman" w:hAnsi="Times New Roman" w:hint="eastAsia"/>
              </w:rPr>
              <w:t xml:space="preserve"> </w:t>
            </w:r>
            <w:r>
              <w:rPr>
                <w:rFonts w:ascii="Times New Roman" w:hAnsi="Times New Roman" w:hint="eastAsia"/>
                <w:sz w:val="21"/>
                <w:szCs w:val="21"/>
              </w:rPr>
              <w:t>KW</w:t>
            </w:r>
            <w:r>
              <w:rPr>
                <w:rFonts w:ascii="Times New Roman" w:hAnsi="Times New Roman" w:hint="eastAsia"/>
                <w:sz w:val="21"/>
                <w:szCs w:val="21"/>
              </w:rPr>
              <w:t>，符合规划要求，各采砂船均分别配置了生活污水处理装置及油水分分离装置，并配有含油废水收集系统。</w:t>
            </w:r>
          </w:p>
        </w:tc>
        <w:tc>
          <w:tcPr>
            <w:tcW w:w="663" w:type="dxa"/>
          </w:tcPr>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符合</w:t>
            </w:r>
          </w:p>
        </w:tc>
      </w:tr>
      <w:tr w:rsidR="004B4777">
        <w:trPr>
          <w:jc w:val="center"/>
        </w:trPr>
        <w:tc>
          <w:tcPr>
            <w:tcW w:w="4077"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具体建设项目在开展环境影响评价时，应以本《报告书》结论和审查意见作为其环评依据之一。具体项目在开展环评和实施过程中，应开展深入的规划协调性分析，认真识别项目具体实施可能遇到生态环境敏感区，对生态、水、噪声、大气等环境影响开展具体分析；重视项目环境保护、生态补偿的研究和落实；关注施工期的环境影响；开展多层次公众意见调查，充分听取公众环境诉求。</w:t>
            </w:r>
          </w:p>
        </w:tc>
        <w:tc>
          <w:tcPr>
            <w:tcW w:w="4253" w:type="dxa"/>
          </w:tcPr>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本次项目属于规划中的两个采区，此次开展环评过程中，严格按照《规划环评报告书》及其审查意见要求，对项目可能产生的环境影响进行深入分析，并开展了深入的规划协调性分析，项目规划了禁采区及禁采期，且不位于生态保护红线及自然保护区等敏感区范围内；在项目开采期采取了多重环保措施，并采取增殖放流、人工鱼巢等生态补偿措施；项目在环评阶段，依据</w:t>
            </w:r>
            <w:r>
              <w:rPr>
                <w:rFonts w:ascii="Times New Roman" w:hAnsi="Times New Roman"/>
                <w:sz w:val="21"/>
                <w:szCs w:val="21"/>
              </w:rPr>
              <w:t>《环境影响评价公众参与暂行办法》的相关要求</w:t>
            </w:r>
            <w:r>
              <w:rPr>
                <w:rFonts w:ascii="Times New Roman" w:hAnsi="Times New Roman" w:hint="eastAsia"/>
                <w:sz w:val="21"/>
                <w:szCs w:val="21"/>
              </w:rPr>
              <w:t>，采取了</w:t>
            </w:r>
            <w:r>
              <w:rPr>
                <w:rFonts w:ascii="Times New Roman" w:hAnsi="Times New Roman" w:hint="eastAsia"/>
                <w:sz w:val="21"/>
                <w:szCs w:val="21"/>
              </w:rPr>
              <w:lastRenderedPageBreak/>
              <w:t>现场公示、报纸公示及周边居民、企事业走访等多种形式的公众意见调查，并充分听取了公众的诉求，在环评阶段，建设单位未收到反对意见，调查个人均对项目持赞成态度。</w:t>
            </w:r>
          </w:p>
        </w:tc>
        <w:tc>
          <w:tcPr>
            <w:tcW w:w="663" w:type="dxa"/>
          </w:tcPr>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p>
          <w:p w:rsidR="004B4777" w:rsidRDefault="004B4777">
            <w:pPr>
              <w:spacing w:line="240" w:lineRule="auto"/>
              <w:ind w:firstLineChars="0" w:firstLine="0"/>
              <w:rPr>
                <w:rFonts w:ascii="Times New Roman" w:hAnsi="Times New Roman" w:hint="eastAsia"/>
                <w:sz w:val="21"/>
                <w:szCs w:val="21"/>
              </w:rPr>
            </w:pPr>
            <w:r>
              <w:rPr>
                <w:rFonts w:ascii="Times New Roman" w:hAnsi="Times New Roman" w:hint="eastAsia"/>
                <w:sz w:val="21"/>
                <w:szCs w:val="21"/>
              </w:rPr>
              <w:t>符合</w:t>
            </w:r>
          </w:p>
        </w:tc>
      </w:tr>
    </w:tbl>
    <w:p w:rsidR="004B4777" w:rsidRDefault="004B4777">
      <w:pPr>
        <w:pStyle w:val="2"/>
        <w:adjustRightInd w:val="0"/>
        <w:snapToGrid w:val="0"/>
        <w:spacing w:before="0" w:after="0"/>
        <w:rPr>
          <w:rFonts w:ascii="Times New Roman" w:eastAsia="宋体" w:hAnsi="Times New Roman" w:hint="eastAsia"/>
          <w:b/>
          <w:sz w:val="30"/>
          <w:szCs w:val="30"/>
        </w:rPr>
      </w:pPr>
      <w:bookmarkStart w:id="270" w:name="_Toc523854063"/>
      <w:r>
        <w:rPr>
          <w:rFonts w:ascii="Times New Roman" w:eastAsia="宋体" w:hAnsi="Times New Roman" w:hint="eastAsia"/>
          <w:b/>
          <w:sz w:val="30"/>
          <w:szCs w:val="30"/>
        </w:rPr>
        <w:lastRenderedPageBreak/>
        <w:t>11.4</w:t>
      </w:r>
      <w:r>
        <w:rPr>
          <w:rFonts w:ascii="Times New Roman" w:eastAsia="宋体" w:hAnsi="Times New Roman" w:hint="eastAsia"/>
          <w:b/>
          <w:sz w:val="30"/>
          <w:szCs w:val="30"/>
        </w:rPr>
        <w:tab/>
      </w:r>
      <w:r>
        <w:rPr>
          <w:rFonts w:ascii="Times New Roman" w:eastAsia="宋体" w:hAnsi="Times New Roman" w:hint="eastAsia"/>
          <w:b/>
          <w:sz w:val="30"/>
          <w:szCs w:val="30"/>
        </w:rPr>
        <w:t>选址合理性分析</w:t>
      </w:r>
      <w:bookmarkEnd w:id="268"/>
      <w:bookmarkEnd w:id="270"/>
    </w:p>
    <w:p w:rsidR="004B4777" w:rsidRDefault="004B4777">
      <w:pPr>
        <w:adjustRightInd w:val="0"/>
        <w:snapToGrid w:val="0"/>
        <w:ind w:firstLine="449"/>
        <w:jc w:val="left"/>
        <w:rPr>
          <w:rFonts w:ascii="Times New Roman" w:hAnsi="Times New Roman" w:hint="eastAsia"/>
        </w:rPr>
      </w:pPr>
      <w:r>
        <w:rPr>
          <w:rFonts w:ascii="Times New Roman" w:hAnsi="Times New Roman" w:hint="eastAsia"/>
        </w:rPr>
        <w:t>本项目属于《湖南省湘江干流及洞庭湖区岳阳段河道采砂规划（</w:t>
      </w:r>
      <w:r>
        <w:rPr>
          <w:rFonts w:ascii="Times New Roman" w:hAnsi="Times New Roman" w:hint="eastAsia"/>
        </w:rPr>
        <w:t>2017-2020</w:t>
      </w:r>
      <w:r>
        <w:rPr>
          <w:rFonts w:ascii="Times New Roman" w:hAnsi="Times New Roman" w:hint="eastAsia"/>
        </w:rPr>
        <w:t>年）》规划的</w:t>
      </w:r>
      <w:r>
        <w:rPr>
          <w:rFonts w:ascii="Times New Roman" w:hAnsi="Times New Roman" w:hint="eastAsia"/>
        </w:rPr>
        <w:t>7</w:t>
      </w:r>
      <w:r>
        <w:rPr>
          <w:rFonts w:ascii="Times New Roman" w:hAnsi="Times New Roman" w:hint="eastAsia"/>
        </w:rPr>
        <w:t>个采区的其中</w:t>
      </w:r>
      <w:r>
        <w:rPr>
          <w:rFonts w:ascii="Times New Roman" w:hAnsi="Times New Roman" w:hint="eastAsia"/>
        </w:rPr>
        <w:t>2</w:t>
      </w:r>
      <w:r>
        <w:rPr>
          <w:rFonts w:ascii="Times New Roman" w:hAnsi="Times New Roman" w:hint="eastAsia"/>
        </w:rPr>
        <w:t>个。开采区均未不在自然保护区、国家水产种质资源保护区、重要湿地等生态环境敏感区内，也不在生态红线范围内，</w:t>
      </w:r>
      <w:r>
        <w:rPr>
          <w:rFonts w:ascii="Times New Roman" w:hAnsi="Times New Roman" w:hint="eastAsia"/>
          <w:szCs w:val="24"/>
        </w:rPr>
        <w:t>待柳潭水厂及赛头水厂重新选址并投入使用后，开采区不涉及水源保护区，</w:t>
      </w:r>
      <w:r>
        <w:rPr>
          <w:rFonts w:ascii="Times New Roman" w:hAnsi="Times New Roman" w:hint="eastAsia"/>
        </w:rPr>
        <w:t>因此，开采区的选址基本合理。</w:t>
      </w:r>
    </w:p>
    <w:p w:rsidR="004B4777" w:rsidRDefault="004B4777">
      <w:pPr>
        <w:pStyle w:val="2"/>
        <w:adjustRightInd w:val="0"/>
        <w:snapToGrid w:val="0"/>
        <w:spacing w:before="0" w:after="0"/>
        <w:rPr>
          <w:rFonts w:ascii="Times New Roman" w:eastAsia="宋体" w:hAnsi="Times New Roman"/>
          <w:b/>
          <w:sz w:val="30"/>
          <w:szCs w:val="30"/>
          <w:u w:val="single"/>
        </w:rPr>
      </w:pPr>
      <w:bookmarkStart w:id="271" w:name="_Toc500265593"/>
      <w:bookmarkStart w:id="272" w:name="_Toc508791428"/>
      <w:bookmarkStart w:id="273" w:name="_Toc500077329"/>
      <w:bookmarkStart w:id="274" w:name="_Toc500077959"/>
      <w:bookmarkStart w:id="275" w:name="_Toc500079323"/>
      <w:bookmarkStart w:id="276" w:name="_Toc523854064"/>
      <w:r>
        <w:rPr>
          <w:rFonts w:ascii="Times New Roman" w:eastAsia="宋体" w:hAnsi="Times New Roman" w:hint="eastAsia"/>
          <w:b/>
          <w:sz w:val="30"/>
          <w:szCs w:val="30"/>
          <w:u w:val="single"/>
        </w:rPr>
        <w:t>11.5</w:t>
      </w:r>
      <w:r>
        <w:rPr>
          <w:rFonts w:ascii="Times New Roman" w:eastAsia="宋体" w:hAnsi="Times New Roman" w:hint="eastAsia"/>
          <w:b/>
          <w:sz w:val="30"/>
          <w:szCs w:val="30"/>
          <w:u w:val="single"/>
        </w:rPr>
        <w:t>“三线一单”符合性分析</w:t>
      </w:r>
      <w:bookmarkEnd w:id="271"/>
      <w:bookmarkEnd w:id="272"/>
      <w:bookmarkEnd w:id="273"/>
      <w:bookmarkEnd w:id="274"/>
      <w:bookmarkEnd w:id="275"/>
      <w:bookmarkEnd w:id="276"/>
    </w:p>
    <w:p w:rsidR="004B4777" w:rsidRDefault="004B4777">
      <w:pPr>
        <w:autoSpaceDE w:val="0"/>
        <w:autoSpaceDN w:val="0"/>
        <w:adjustRightInd w:val="0"/>
        <w:snapToGrid w:val="0"/>
        <w:ind w:firstLine="449"/>
        <w:jc w:val="left"/>
        <w:rPr>
          <w:rFonts w:ascii="Times New Roman" w:hAnsi="Times New Roman" w:hint="eastAsia"/>
          <w:szCs w:val="24"/>
          <w:u w:val="single"/>
        </w:rPr>
      </w:pPr>
      <w:r>
        <w:rPr>
          <w:rFonts w:ascii="Times New Roman" w:hAnsi="Times New Roman" w:hint="eastAsia"/>
          <w:szCs w:val="24"/>
          <w:u w:val="single"/>
        </w:rPr>
        <w:t>环境保护部《关于以改善环境质量为核心加强环境影响评价管理的通知》（</w:t>
      </w:r>
      <w:r>
        <w:rPr>
          <w:rFonts w:ascii="Times New Roman" w:hAnsi="Times New Roman"/>
          <w:szCs w:val="24"/>
          <w:u w:val="single"/>
        </w:rPr>
        <w:t>环环评</w:t>
      </w:r>
      <w:r>
        <w:rPr>
          <w:rFonts w:ascii="Times New Roman" w:hAnsi="Times New Roman" w:hint="eastAsia"/>
          <w:szCs w:val="24"/>
          <w:u w:val="single"/>
        </w:rPr>
        <w:t>【</w:t>
      </w:r>
      <w:r>
        <w:rPr>
          <w:rFonts w:ascii="Times New Roman" w:hAnsi="Times New Roman" w:hint="eastAsia"/>
          <w:szCs w:val="24"/>
          <w:u w:val="single"/>
        </w:rPr>
        <w:t>2016</w:t>
      </w:r>
      <w:r>
        <w:rPr>
          <w:rFonts w:ascii="Times New Roman" w:hAnsi="Times New Roman" w:hint="eastAsia"/>
          <w:szCs w:val="24"/>
          <w:u w:val="single"/>
        </w:rPr>
        <w:t>】</w:t>
      </w:r>
      <w:r>
        <w:rPr>
          <w:rFonts w:ascii="Times New Roman" w:hAnsi="Times New Roman"/>
          <w:szCs w:val="24"/>
          <w:u w:val="single"/>
        </w:rPr>
        <w:t>150</w:t>
      </w:r>
      <w:r>
        <w:rPr>
          <w:rFonts w:ascii="Times New Roman" w:hAnsi="Times New Roman"/>
          <w:szCs w:val="24"/>
          <w:u w:val="single"/>
        </w:rPr>
        <w:t>号</w:t>
      </w:r>
      <w:r>
        <w:rPr>
          <w:rFonts w:ascii="Times New Roman" w:hAnsi="Times New Roman" w:hint="eastAsia"/>
          <w:szCs w:val="24"/>
          <w:u w:val="single"/>
        </w:rPr>
        <w:t>）提出“</w:t>
      </w:r>
      <w:r>
        <w:rPr>
          <w:rFonts w:ascii="Times New Roman" w:hAnsi="Times New Roman"/>
          <w:szCs w:val="24"/>
          <w:u w:val="single"/>
        </w:rPr>
        <w:t>切实加强环境影响评价管理，落实</w:t>
      </w:r>
      <w:r>
        <w:rPr>
          <w:rFonts w:ascii="Times New Roman" w:hAnsi="Times New Roman" w:hint="eastAsia"/>
          <w:szCs w:val="24"/>
          <w:u w:val="single"/>
        </w:rPr>
        <w:t>“</w:t>
      </w:r>
      <w:r>
        <w:rPr>
          <w:rFonts w:ascii="Times New Roman" w:hAnsi="Times New Roman"/>
          <w:szCs w:val="24"/>
          <w:u w:val="single"/>
        </w:rPr>
        <w:t>生态保护红线、环境质量底线、资源利用上线和环境准入负面清单</w:t>
      </w:r>
      <w:r>
        <w:rPr>
          <w:rFonts w:ascii="Times New Roman" w:hAnsi="Times New Roman" w:hint="eastAsia"/>
          <w:szCs w:val="24"/>
          <w:u w:val="single"/>
        </w:rPr>
        <w:t>”（</w:t>
      </w:r>
      <w:r>
        <w:rPr>
          <w:rFonts w:ascii="Times New Roman" w:hAnsi="Times New Roman"/>
          <w:szCs w:val="24"/>
          <w:u w:val="single"/>
        </w:rPr>
        <w:t>以下简称</w:t>
      </w:r>
      <w:r>
        <w:rPr>
          <w:rFonts w:ascii="Times New Roman" w:hAnsi="Times New Roman" w:hint="eastAsia"/>
          <w:szCs w:val="24"/>
          <w:u w:val="single"/>
        </w:rPr>
        <w:t>“</w:t>
      </w:r>
      <w:r>
        <w:rPr>
          <w:rFonts w:ascii="Times New Roman" w:hAnsi="Times New Roman"/>
          <w:szCs w:val="24"/>
          <w:u w:val="single"/>
        </w:rPr>
        <w:t>三线一单</w:t>
      </w:r>
      <w:r>
        <w:rPr>
          <w:rFonts w:ascii="Times New Roman" w:hAnsi="Times New Roman" w:hint="eastAsia"/>
          <w:szCs w:val="24"/>
          <w:u w:val="single"/>
        </w:rPr>
        <w:t>”）</w:t>
      </w:r>
      <w:r>
        <w:rPr>
          <w:rFonts w:ascii="Times New Roman" w:hAnsi="Times New Roman"/>
          <w:szCs w:val="24"/>
          <w:u w:val="single"/>
        </w:rPr>
        <w:t>约束，建立项目环评审批与规划环评、现有项目环境管理、区域环境质量联动机制</w:t>
      </w:r>
      <w:r>
        <w:rPr>
          <w:rFonts w:ascii="Times New Roman" w:hAnsi="Times New Roman" w:hint="eastAsia"/>
          <w:szCs w:val="24"/>
          <w:u w:val="single"/>
        </w:rPr>
        <w:t>”。</w:t>
      </w:r>
    </w:p>
    <w:p w:rsidR="004B4777" w:rsidRDefault="004B4777">
      <w:pPr>
        <w:autoSpaceDE w:val="0"/>
        <w:autoSpaceDN w:val="0"/>
        <w:adjustRightInd w:val="0"/>
        <w:snapToGrid w:val="0"/>
        <w:ind w:firstLine="449"/>
        <w:jc w:val="left"/>
        <w:rPr>
          <w:rFonts w:ascii="Times New Roman" w:hAnsi="Times New Roman" w:hint="eastAsia"/>
          <w:szCs w:val="24"/>
          <w:u w:val="single"/>
        </w:rPr>
      </w:pPr>
      <w:r>
        <w:rPr>
          <w:rFonts w:ascii="Times New Roman" w:hAnsi="Times New Roman" w:hint="eastAsia"/>
          <w:szCs w:val="24"/>
          <w:u w:val="single"/>
        </w:rPr>
        <w:t>项目与“三线一单”相符性分析如下表：</w:t>
      </w:r>
    </w:p>
    <w:p w:rsidR="004B4777" w:rsidRDefault="004B4777">
      <w:pPr>
        <w:autoSpaceDE w:val="0"/>
        <w:autoSpaceDN w:val="0"/>
        <w:adjustRightInd w:val="0"/>
        <w:ind w:firstLine="451"/>
        <w:jc w:val="center"/>
        <w:rPr>
          <w:rFonts w:ascii="Times New Roman" w:hAnsi="Times New Roman"/>
          <w:b/>
          <w:szCs w:val="24"/>
          <w:u w:val="single"/>
        </w:rPr>
      </w:pPr>
      <w:r>
        <w:rPr>
          <w:rFonts w:ascii="Times New Roman" w:hAnsi="Times New Roman"/>
          <w:b/>
          <w:szCs w:val="24"/>
          <w:u w:val="single"/>
        </w:rPr>
        <w:t>表</w:t>
      </w:r>
      <w:r>
        <w:rPr>
          <w:rFonts w:ascii="Times New Roman" w:hAnsi="Times New Roman"/>
          <w:b/>
          <w:szCs w:val="24"/>
          <w:u w:val="single"/>
        </w:rPr>
        <w:t xml:space="preserve">11.4-1  </w:t>
      </w:r>
      <w:r>
        <w:rPr>
          <w:rFonts w:ascii="Times New Roman" w:hAnsi="Times New Roman"/>
          <w:b/>
          <w:szCs w:val="24"/>
          <w:u w:val="single"/>
        </w:rPr>
        <w:t>项目与</w:t>
      </w:r>
      <w:r>
        <w:rPr>
          <w:rFonts w:ascii="Times New Roman" w:hAnsi="Times New Roman"/>
          <w:b/>
          <w:szCs w:val="24"/>
          <w:u w:val="single"/>
        </w:rPr>
        <w:t>“</w:t>
      </w:r>
      <w:r>
        <w:rPr>
          <w:rFonts w:ascii="Times New Roman" w:hAnsi="Times New Roman"/>
          <w:b/>
          <w:szCs w:val="24"/>
          <w:u w:val="single"/>
        </w:rPr>
        <w:t>三线一单</w:t>
      </w:r>
      <w:r>
        <w:rPr>
          <w:rFonts w:ascii="Times New Roman" w:hAnsi="Times New Roman"/>
          <w:b/>
          <w:szCs w:val="24"/>
          <w:u w:val="single"/>
        </w:rPr>
        <w:t>”</w:t>
      </w:r>
      <w:r>
        <w:rPr>
          <w:rFonts w:ascii="Times New Roman" w:hAnsi="Times New Roman"/>
          <w:b/>
          <w:szCs w:val="24"/>
          <w:u w:val="single"/>
        </w:rPr>
        <w:t>相符性分析一览表</w:t>
      </w:r>
    </w:p>
    <w:tbl>
      <w:tblPr>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53"/>
        <w:gridCol w:w="4504"/>
        <w:gridCol w:w="3185"/>
      </w:tblGrid>
      <w:tr w:rsidR="004B4777">
        <w:trPr>
          <w:trHeight w:val="454"/>
          <w:jc w:val="center"/>
        </w:trPr>
        <w:tc>
          <w:tcPr>
            <w:tcW w:w="1253" w:type="dxa"/>
            <w:vAlign w:val="center"/>
          </w:tcPr>
          <w:p w:rsidR="004B4777" w:rsidRDefault="004B4777">
            <w:pPr>
              <w:autoSpaceDE w:val="0"/>
              <w:autoSpaceDN w:val="0"/>
              <w:adjustRightInd w:val="0"/>
              <w:spacing w:line="240" w:lineRule="auto"/>
              <w:ind w:firstLine="389"/>
              <w:rPr>
                <w:rFonts w:ascii="Times New Roman" w:hAnsi="Times New Roman"/>
                <w:sz w:val="21"/>
                <w:szCs w:val="21"/>
                <w:u w:val="single"/>
              </w:rPr>
            </w:pPr>
            <w:r>
              <w:rPr>
                <w:rFonts w:ascii="Times New Roman" w:hAnsi="Times New Roman" w:hint="eastAsia"/>
                <w:sz w:val="21"/>
                <w:szCs w:val="21"/>
                <w:u w:val="single"/>
              </w:rPr>
              <w:t>内容</w:t>
            </w:r>
          </w:p>
        </w:tc>
        <w:tc>
          <w:tcPr>
            <w:tcW w:w="4504" w:type="dxa"/>
            <w:vAlign w:val="center"/>
          </w:tcPr>
          <w:p w:rsidR="004B4777" w:rsidRDefault="004B4777">
            <w:pPr>
              <w:autoSpaceDE w:val="0"/>
              <w:autoSpaceDN w:val="0"/>
              <w:adjustRightInd w:val="0"/>
              <w:spacing w:line="240" w:lineRule="auto"/>
              <w:ind w:firstLine="389"/>
              <w:jc w:val="center"/>
              <w:rPr>
                <w:rFonts w:ascii="Times New Roman" w:hAnsi="Times New Roman"/>
                <w:sz w:val="21"/>
                <w:szCs w:val="21"/>
                <w:u w:val="single"/>
              </w:rPr>
            </w:pPr>
            <w:r>
              <w:rPr>
                <w:rFonts w:ascii="Times New Roman" w:hAnsi="Times New Roman" w:hint="eastAsia"/>
                <w:sz w:val="21"/>
                <w:szCs w:val="21"/>
                <w:u w:val="single"/>
              </w:rPr>
              <w:t>相符性分析</w:t>
            </w:r>
          </w:p>
        </w:tc>
        <w:tc>
          <w:tcPr>
            <w:tcW w:w="3185" w:type="dxa"/>
            <w:vAlign w:val="center"/>
          </w:tcPr>
          <w:p w:rsidR="004B4777" w:rsidRDefault="004B4777">
            <w:pPr>
              <w:autoSpaceDE w:val="0"/>
              <w:autoSpaceDN w:val="0"/>
              <w:adjustRightInd w:val="0"/>
              <w:spacing w:line="240" w:lineRule="auto"/>
              <w:ind w:firstLine="389"/>
              <w:rPr>
                <w:rFonts w:ascii="Times New Roman" w:hAnsi="Times New Roman"/>
                <w:sz w:val="21"/>
                <w:szCs w:val="21"/>
                <w:u w:val="single"/>
              </w:rPr>
            </w:pPr>
            <w:r>
              <w:rPr>
                <w:rFonts w:ascii="Times New Roman" w:hAnsi="Times New Roman" w:hint="eastAsia"/>
                <w:sz w:val="21"/>
                <w:szCs w:val="21"/>
                <w:u w:val="single"/>
              </w:rPr>
              <w:t>调整建议与区域减排措施</w:t>
            </w:r>
          </w:p>
        </w:tc>
      </w:tr>
      <w:tr w:rsidR="004B4777">
        <w:trPr>
          <w:trHeight w:val="454"/>
          <w:jc w:val="center"/>
        </w:trPr>
        <w:tc>
          <w:tcPr>
            <w:tcW w:w="1253" w:type="dxa"/>
            <w:vAlign w:val="center"/>
          </w:tcPr>
          <w:p w:rsidR="004B4777" w:rsidRDefault="004B4777">
            <w:pPr>
              <w:autoSpaceDE w:val="0"/>
              <w:autoSpaceDN w:val="0"/>
              <w:adjustRightInd w:val="0"/>
              <w:spacing w:line="240" w:lineRule="auto"/>
              <w:ind w:firstLineChars="0" w:firstLine="0"/>
              <w:rPr>
                <w:rFonts w:ascii="Times New Roman" w:hAnsi="Times New Roman"/>
                <w:sz w:val="21"/>
                <w:szCs w:val="21"/>
                <w:u w:val="single"/>
              </w:rPr>
            </w:pPr>
            <w:r>
              <w:rPr>
                <w:rFonts w:ascii="Times New Roman" w:hAnsi="Times New Roman"/>
                <w:sz w:val="21"/>
                <w:szCs w:val="21"/>
                <w:u w:val="single"/>
              </w:rPr>
              <w:t>生态保护红线</w:t>
            </w:r>
          </w:p>
        </w:tc>
        <w:tc>
          <w:tcPr>
            <w:tcW w:w="4504" w:type="dxa"/>
            <w:vAlign w:val="center"/>
          </w:tcPr>
          <w:p w:rsidR="004B4777" w:rsidRDefault="004B4777">
            <w:pPr>
              <w:autoSpaceDE w:val="0"/>
              <w:autoSpaceDN w:val="0"/>
              <w:adjustRightInd w:val="0"/>
              <w:spacing w:line="240" w:lineRule="auto"/>
              <w:ind w:firstLine="389"/>
              <w:rPr>
                <w:rFonts w:ascii="Times New Roman" w:hAnsi="Times New Roman"/>
                <w:sz w:val="21"/>
                <w:szCs w:val="21"/>
                <w:u w:val="single"/>
              </w:rPr>
            </w:pPr>
            <w:r>
              <w:rPr>
                <w:rFonts w:ascii="Times New Roman" w:hAnsi="Times New Roman" w:hint="eastAsia"/>
                <w:sz w:val="21"/>
                <w:szCs w:val="21"/>
                <w:u w:val="single"/>
              </w:rPr>
              <w:t>位于主体功能区划中的省级重点开发区和国家级农产品主产区，不涉及禁止开发区域范围；开采区均不涉及生态红线保护区、自然保护区、森林公园等敏感区范围，在柳潭水厂及赛头水厂重新选址并投入使用后，开采区不涉及水源保护区，项目开采区选址合理。</w:t>
            </w:r>
          </w:p>
        </w:tc>
        <w:tc>
          <w:tcPr>
            <w:tcW w:w="3185" w:type="dxa"/>
            <w:vAlign w:val="center"/>
          </w:tcPr>
          <w:p w:rsidR="004B4777" w:rsidRDefault="004B4777">
            <w:pPr>
              <w:autoSpaceDE w:val="0"/>
              <w:autoSpaceDN w:val="0"/>
              <w:adjustRightInd w:val="0"/>
              <w:spacing w:line="240" w:lineRule="auto"/>
              <w:ind w:firstLine="389"/>
              <w:jc w:val="center"/>
              <w:rPr>
                <w:rFonts w:ascii="Times New Roman" w:hAnsi="Times New Roman"/>
                <w:sz w:val="21"/>
                <w:szCs w:val="21"/>
                <w:u w:val="single"/>
              </w:rPr>
            </w:pPr>
            <w:r>
              <w:rPr>
                <w:rFonts w:ascii="Times New Roman" w:hAnsi="Times New Roman" w:hint="eastAsia"/>
                <w:sz w:val="21"/>
                <w:szCs w:val="21"/>
                <w:u w:val="single"/>
              </w:rPr>
              <w:t>在柳潭水厂及赛头水厂新取水口投入使用后，</w:t>
            </w:r>
            <w:r>
              <w:rPr>
                <w:rFonts w:ascii="Times New Roman" w:hAnsi="Times New Roman" w:hint="eastAsia"/>
                <w:snapToGrid w:val="0"/>
                <w:kern w:val="0"/>
                <w:sz w:val="21"/>
                <w:szCs w:val="21"/>
                <w:u w:val="single"/>
              </w:rPr>
              <w:t>项目现位于饮用水二级保护区范围内的采砂区方可开采。</w:t>
            </w:r>
          </w:p>
        </w:tc>
      </w:tr>
      <w:tr w:rsidR="004B4777">
        <w:trPr>
          <w:trHeight w:val="454"/>
          <w:jc w:val="center"/>
        </w:trPr>
        <w:tc>
          <w:tcPr>
            <w:tcW w:w="1253" w:type="dxa"/>
            <w:vAlign w:val="center"/>
          </w:tcPr>
          <w:p w:rsidR="004B4777" w:rsidRDefault="004B4777">
            <w:pPr>
              <w:autoSpaceDE w:val="0"/>
              <w:autoSpaceDN w:val="0"/>
              <w:adjustRightInd w:val="0"/>
              <w:spacing w:line="240" w:lineRule="auto"/>
              <w:ind w:firstLineChars="0" w:firstLine="0"/>
              <w:rPr>
                <w:rFonts w:ascii="Times New Roman" w:hAnsi="Times New Roman"/>
                <w:sz w:val="21"/>
                <w:szCs w:val="21"/>
                <w:u w:val="single"/>
              </w:rPr>
            </w:pPr>
            <w:r>
              <w:rPr>
                <w:rFonts w:ascii="Times New Roman" w:hAnsi="Times New Roman"/>
                <w:sz w:val="21"/>
                <w:szCs w:val="21"/>
                <w:u w:val="single"/>
              </w:rPr>
              <w:t>环境质量底线</w:t>
            </w:r>
          </w:p>
        </w:tc>
        <w:tc>
          <w:tcPr>
            <w:tcW w:w="4504" w:type="dxa"/>
            <w:vAlign w:val="center"/>
          </w:tcPr>
          <w:p w:rsidR="004B4777" w:rsidRDefault="004B4777">
            <w:pPr>
              <w:autoSpaceDE w:val="0"/>
              <w:autoSpaceDN w:val="0"/>
              <w:adjustRightInd w:val="0"/>
              <w:spacing w:line="240" w:lineRule="auto"/>
              <w:ind w:firstLineChars="0" w:firstLine="0"/>
              <w:rPr>
                <w:rFonts w:ascii="Times New Roman" w:hAnsi="Times New Roman"/>
                <w:sz w:val="21"/>
                <w:szCs w:val="21"/>
                <w:u w:val="single"/>
              </w:rPr>
            </w:pPr>
            <w:r>
              <w:rPr>
                <w:rFonts w:ascii="Times New Roman" w:hAnsi="Times New Roman" w:hint="eastAsia"/>
                <w:sz w:val="21"/>
                <w:szCs w:val="21"/>
                <w:u w:val="single"/>
              </w:rPr>
              <w:t>规划开采区所在区域地表水环境、环境空气、声环境质量均满足功能区划要求。</w:t>
            </w:r>
          </w:p>
        </w:tc>
        <w:tc>
          <w:tcPr>
            <w:tcW w:w="3185" w:type="dxa"/>
            <w:vAlign w:val="center"/>
          </w:tcPr>
          <w:p w:rsidR="004B4777" w:rsidRDefault="004B4777">
            <w:pPr>
              <w:autoSpaceDE w:val="0"/>
              <w:autoSpaceDN w:val="0"/>
              <w:adjustRightInd w:val="0"/>
              <w:spacing w:line="240" w:lineRule="auto"/>
              <w:ind w:firstLine="389"/>
              <w:jc w:val="center"/>
              <w:rPr>
                <w:rFonts w:ascii="Times New Roman" w:hAnsi="Times New Roman"/>
                <w:sz w:val="21"/>
                <w:szCs w:val="21"/>
                <w:u w:val="single"/>
              </w:rPr>
            </w:pPr>
            <w:r>
              <w:rPr>
                <w:rFonts w:ascii="Times New Roman" w:hAnsi="Times New Roman" w:hint="eastAsia"/>
                <w:sz w:val="21"/>
                <w:szCs w:val="21"/>
                <w:u w:val="single"/>
              </w:rPr>
              <w:t>——</w:t>
            </w:r>
          </w:p>
        </w:tc>
      </w:tr>
      <w:tr w:rsidR="004B4777">
        <w:trPr>
          <w:trHeight w:val="454"/>
          <w:jc w:val="center"/>
        </w:trPr>
        <w:tc>
          <w:tcPr>
            <w:tcW w:w="1253" w:type="dxa"/>
            <w:vAlign w:val="center"/>
          </w:tcPr>
          <w:p w:rsidR="004B4777" w:rsidRDefault="004B4777">
            <w:pPr>
              <w:autoSpaceDE w:val="0"/>
              <w:autoSpaceDN w:val="0"/>
              <w:adjustRightInd w:val="0"/>
              <w:spacing w:line="240" w:lineRule="auto"/>
              <w:ind w:firstLineChars="0" w:firstLine="0"/>
              <w:rPr>
                <w:rFonts w:ascii="Times New Roman" w:hAnsi="Times New Roman"/>
                <w:sz w:val="21"/>
                <w:szCs w:val="21"/>
                <w:u w:val="single"/>
              </w:rPr>
            </w:pPr>
            <w:r>
              <w:rPr>
                <w:rFonts w:ascii="Times New Roman" w:hAnsi="Times New Roman" w:hint="eastAsia"/>
                <w:sz w:val="21"/>
                <w:szCs w:val="21"/>
                <w:u w:val="single"/>
              </w:rPr>
              <w:t>资源利用上线</w:t>
            </w:r>
          </w:p>
        </w:tc>
        <w:tc>
          <w:tcPr>
            <w:tcW w:w="4504" w:type="dxa"/>
            <w:vAlign w:val="center"/>
          </w:tcPr>
          <w:p w:rsidR="004B4777" w:rsidRDefault="004B4777">
            <w:pPr>
              <w:autoSpaceDE w:val="0"/>
              <w:autoSpaceDN w:val="0"/>
              <w:adjustRightInd w:val="0"/>
              <w:spacing w:line="240" w:lineRule="auto"/>
              <w:ind w:firstLineChars="0" w:firstLine="0"/>
              <w:jc w:val="left"/>
              <w:rPr>
                <w:rFonts w:ascii="Times New Roman" w:hAnsi="Times New Roman"/>
                <w:bCs/>
                <w:sz w:val="21"/>
                <w:szCs w:val="21"/>
                <w:u w:val="single"/>
              </w:rPr>
            </w:pPr>
            <w:r>
              <w:rPr>
                <w:rFonts w:ascii="Times New Roman" w:hAnsi="Times New Roman" w:hint="eastAsia"/>
                <w:sz w:val="21"/>
                <w:szCs w:val="21"/>
                <w:u w:val="single"/>
              </w:rPr>
              <w:t>易婆塘采区资源储量（</w:t>
            </w:r>
            <w:r>
              <w:rPr>
                <w:rFonts w:ascii="Times New Roman" w:hAnsi="Times New Roman" w:hint="eastAsia"/>
                <w:sz w:val="21"/>
                <w:szCs w:val="21"/>
                <w:u w:val="single"/>
              </w:rPr>
              <w:t>122b</w:t>
            </w:r>
            <w:r>
              <w:rPr>
                <w:rFonts w:ascii="Times New Roman" w:hAnsi="Times New Roman" w:hint="eastAsia"/>
                <w:sz w:val="21"/>
                <w:szCs w:val="21"/>
                <w:u w:val="single"/>
              </w:rPr>
              <w:t>）</w:t>
            </w:r>
            <w:r>
              <w:rPr>
                <w:rFonts w:ascii="Times New Roman" w:hAnsi="Times New Roman" w:hint="eastAsia"/>
                <w:sz w:val="21"/>
                <w:szCs w:val="21"/>
                <w:u w:val="single"/>
              </w:rPr>
              <w:t xml:space="preserve">13131.7 </w:t>
            </w:r>
            <w:r>
              <w:rPr>
                <w:rFonts w:ascii="Times New Roman" w:hAnsi="Times New Roman" w:hint="eastAsia"/>
                <w:sz w:val="21"/>
                <w:szCs w:val="21"/>
                <w:u w:val="single"/>
              </w:rPr>
              <w:t>万吨，年度控制开采量</w:t>
            </w:r>
            <w:r>
              <w:rPr>
                <w:rFonts w:ascii="Times New Roman" w:hAnsi="Times New Roman" w:hint="eastAsia"/>
                <w:sz w:val="21"/>
                <w:szCs w:val="21"/>
                <w:u w:val="single"/>
              </w:rPr>
              <w:t>1170</w:t>
            </w:r>
            <w:r>
              <w:rPr>
                <w:rFonts w:ascii="Times New Roman" w:hAnsi="Times New Roman" w:hint="eastAsia"/>
                <w:sz w:val="21"/>
                <w:szCs w:val="21"/>
                <w:u w:val="single"/>
              </w:rPr>
              <w:t>万吨，占</w:t>
            </w:r>
            <w:r>
              <w:rPr>
                <w:rFonts w:ascii="Times New Roman" w:hAnsi="Times New Roman" w:hint="eastAsia"/>
                <w:bCs/>
                <w:sz w:val="21"/>
                <w:szCs w:val="21"/>
                <w:u w:val="single"/>
              </w:rPr>
              <w:t>资源总储量的</w:t>
            </w:r>
            <w:r>
              <w:rPr>
                <w:rFonts w:ascii="Times New Roman" w:hAnsi="Times New Roman" w:hint="eastAsia"/>
                <w:bCs/>
                <w:sz w:val="21"/>
                <w:szCs w:val="21"/>
                <w:u w:val="single"/>
              </w:rPr>
              <w:t>8.91%</w:t>
            </w:r>
            <w:r>
              <w:rPr>
                <w:rFonts w:ascii="Times New Roman" w:hAnsi="Times New Roman" w:hint="eastAsia"/>
                <w:bCs/>
                <w:sz w:val="21"/>
                <w:szCs w:val="21"/>
                <w:u w:val="single"/>
              </w:rPr>
              <w:t>，规划期内开采总量占开采区资源总量的</w:t>
            </w:r>
            <w:r>
              <w:rPr>
                <w:rFonts w:ascii="Times New Roman" w:hAnsi="Times New Roman" w:hint="eastAsia"/>
                <w:bCs/>
                <w:sz w:val="21"/>
                <w:szCs w:val="21"/>
                <w:u w:val="single"/>
              </w:rPr>
              <w:t>34.17%</w:t>
            </w:r>
            <w:r>
              <w:rPr>
                <w:rFonts w:ascii="Times New Roman" w:hAnsi="Times New Roman" w:hint="eastAsia"/>
                <w:sz w:val="21"/>
                <w:szCs w:val="21"/>
                <w:u w:val="single"/>
              </w:rPr>
              <w:t>；斗米咀采区资源储量（</w:t>
            </w:r>
            <w:r>
              <w:rPr>
                <w:rFonts w:ascii="Times New Roman" w:hAnsi="Times New Roman" w:hint="eastAsia"/>
                <w:sz w:val="21"/>
                <w:szCs w:val="21"/>
                <w:u w:val="single"/>
              </w:rPr>
              <w:t>122b</w:t>
            </w:r>
            <w:r>
              <w:rPr>
                <w:rFonts w:ascii="Times New Roman" w:hAnsi="Times New Roman" w:hint="eastAsia"/>
                <w:sz w:val="21"/>
                <w:szCs w:val="21"/>
                <w:u w:val="single"/>
              </w:rPr>
              <w:t>）</w:t>
            </w:r>
            <w:r>
              <w:rPr>
                <w:rFonts w:ascii="Times New Roman" w:hAnsi="Times New Roman" w:hint="eastAsia"/>
                <w:sz w:val="21"/>
                <w:szCs w:val="21"/>
                <w:u w:val="single"/>
              </w:rPr>
              <w:t>2383.03</w:t>
            </w:r>
            <w:r>
              <w:rPr>
                <w:rFonts w:ascii="Times New Roman" w:hAnsi="Times New Roman" w:hint="eastAsia"/>
                <w:sz w:val="21"/>
                <w:szCs w:val="21"/>
                <w:u w:val="single"/>
              </w:rPr>
              <w:t>万吨，年度控制开</w:t>
            </w:r>
            <w:r>
              <w:rPr>
                <w:rFonts w:ascii="Times New Roman" w:hAnsi="Times New Roman" w:hint="eastAsia"/>
                <w:sz w:val="21"/>
                <w:szCs w:val="21"/>
                <w:u w:val="single"/>
              </w:rPr>
              <w:lastRenderedPageBreak/>
              <w:t>采量</w:t>
            </w:r>
            <w:r>
              <w:rPr>
                <w:rFonts w:ascii="Times New Roman" w:hAnsi="Times New Roman" w:hint="eastAsia"/>
                <w:sz w:val="21"/>
                <w:szCs w:val="21"/>
                <w:u w:val="single"/>
              </w:rPr>
              <w:t>251</w:t>
            </w:r>
            <w:r>
              <w:rPr>
                <w:rFonts w:ascii="Times New Roman" w:hAnsi="Times New Roman" w:hint="eastAsia"/>
                <w:sz w:val="21"/>
                <w:szCs w:val="21"/>
                <w:u w:val="single"/>
              </w:rPr>
              <w:t>吨，</w:t>
            </w:r>
            <w:r>
              <w:rPr>
                <w:rFonts w:ascii="Times New Roman" w:hAnsi="Times New Roman" w:hint="eastAsia"/>
                <w:bCs/>
                <w:sz w:val="21"/>
                <w:szCs w:val="21"/>
                <w:u w:val="single"/>
              </w:rPr>
              <w:t>年开采量占开采区资源总储量的</w:t>
            </w:r>
            <w:r>
              <w:rPr>
                <w:rFonts w:ascii="Times New Roman" w:hAnsi="Times New Roman" w:hint="eastAsia"/>
                <w:bCs/>
                <w:sz w:val="21"/>
                <w:szCs w:val="21"/>
                <w:u w:val="single"/>
              </w:rPr>
              <w:t>11.41%</w:t>
            </w:r>
            <w:r>
              <w:rPr>
                <w:rFonts w:ascii="Times New Roman" w:hAnsi="Times New Roman" w:hint="eastAsia"/>
                <w:sz w:val="21"/>
                <w:szCs w:val="21"/>
                <w:u w:val="single"/>
              </w:rPr>
              <w:t>。</w:t>
            </w:r>
            <w:r>
              <w:rPr>
                <w:rFonts w:ascii="Times New Roman" w:hAnsi="Times New Roman" w:hint="eastAsia"/>
                <w:bCs/>
                <w:sz w:val="21"/>
                <w:szCs w:val="21"/>
                <w:u w:val="single"/>
              </w:rPr>
              <w:t>在未考虑上游砂石资源补给的情况下，各采区开采总量低于资源历史储量，开采规模较为合理。</w:t>
            </w:r>
          </w:p>
        </w:tc>
        <w:tc>
          <w:tcPr>
            <w:tcW w:w="3185" w:type="dxa"/>
            <w:vAlign w:val="center"/>
          </w:tcPr>
          <w:p w:rsidR="004B4777" w:rsidRDefault="004B4777">
            <w:pPr>
              <w:autoSpaceDE w:val="0"/>
              <w:autoSpaceDN w:val="0"/>
              <w:adjustRightInd w:val="0"/>
              <w:spacing w:line="240" w:lineRule="auto"/>
              <w:ind w:firstLine="389"/>
              <w:jc w:val="center"/>
              <w:rPr>
                <w:rFonts w:ascii="Times New Roman" w:hAnsi="Times New Roman"/>
                <w:sz w:val="21"/>
                <w:szCs w:val="21"/>
                <w:u w:val="single"/>
              </w:rPr>
            </w:pPr>
            <w:r>
              <w:rPr>
                <w:rFonts w:ascii="Times New Roman" w:hAnsi="Times New Roman" w:hint="eastAsia"/>
                <w:sz w:val="21"/>
                <w:szCs w:val="21"/>
                <w:u w:val="single"/>
              </w:rPr>
              <w:lastRenderedPageBreak/>
              <w:t>——</w:t>
            </w:r>
          </w:p>
        </w:tc>
      </w:tr>
      <w:tr w:rsidR="004B4777">
        <w:trPr>
          <w:trHeight w:val="454"/>
          <w:jc w:val="center"/>
        </w:trPr>
        <w:tc>
          <w:tcPr>
            <w:tcW w:w="1253" w:type="dxa"/>
            <w:vAlign w:val="center"/>
          </w:tcPr>
          <w:p w:rsidR="004B4777" w:rsidRDefault="004B4777">
            <w:pPr>
              <w:autoSpaceDE w:val="0"/>
              <w:autoSpaceDN w:val="0"/>
              <w:adjustRightInd w:val="0"/>
              <w:spacing w:line="240" w:lineRule="auto"/>
              <w:ind w:firstLineChars="0" w:firstLine="0"/>
              <w:rPr>
                <w:rFonts w:ascii="Times New Roman" w:hAnsi="Times New Roman"/>
                <w:sz w:val="21"/>
                <w:szCs w:val="21"/>
                <w:u w:val="single"/>
              </w:rPr>
            </w:pPr>
            <w:r>
              <w:rPr>
                <w:rFonts w:ascii="Times New Roman" w:hAnsi="Times New Roman"/>
                <w:sz w:val="21"/>
                <w:szCs w:val="21"/>
                <w:u w:val="single"/>
              </w:rPr>
              <w:lastRenderedPageBreak/>
              <w:t>环境准入负面清单</w:t>
            </w:r>
          </w:p>
        </w:tc>
        <w:tc>
          <w:tcPr>
            <w:tcW w:w="4504" w:type="dxa"/>
            <w:vAlign w:val="center"/>
          </w:tcPr>
          <w:p w:rsidR="004B4777" w:rsidRDefault="004B4777">
            <w:pPr>
              <w:autoSpaceDE w:val="0"/>
              <w:autoSpaceDN w:val="0"/>
              <w:adjustRightInd w:val="0"/>
              <w:spacing w:line="240" w:lineRule="auto"/>
              <w:ind w:firstLineChars="0" w:firstLine="0"/>
              <w:jc w:val="left"/>
              <w:rPr>
                <w:rFonts w:ascii="Times New Roman" w:hAnsi="Times New Roman"/>
                <w:sz w:val="21"/>
                <w:szCs w:val="21"/>
                <w:u w:val="single"/>
              </w:rPr>
            </w:pPr>
            <w:r>
              <w:rPr>
                <w:rFonts w:ascii="Times New Roman" w:hAnsi="Times New Roman" w:hint="eastAsia"/>
                <w:sz w:val="21"/>
                <w:szCs w:val="21"/>
                <w:u w:val="single"/>
              </w:rPr>
              <w:t>目前湖南省生态保护红线环境准入负面清单暂未公布，待环境准入负面清单公布后，采区如与环境准入负面清单冲突再根据批准后的环境准入负面清单进行调整。</w:t>
            </w:r>
          </w:p>
        </w:tc>
        <w:tc>
          <w:tcPr>
            <w:tcW w:w="3185" w:type="dxa"/>
            <w:vAlign w:val="center"/>
          </w:tcPr>
          <w:p w:rsidR="004B4777" w:rsidRDefault="004B4777">
            <w:pPr>
              <w:autoSpaceDE w:val="0"/>
              <w:autoSpaceDN w:val="0"/>
              <w:adjustRightInd w:val="0"/>
              <w:spacing w:line="240" w:lineRule="auto"/>
              <w:ind w:firstLine="389"/>
              <w:jc w:val="center"/>
              <w:rPr>
                <w:rFonts w:ascii="Times New Roman" w:hAnsi="Times New Roman"/>
                <w:sz w:val="21"/>
                <w:szCs w:val="21"/>
                <w:u w:val="single"/>
              </w:rPr>
            </w:pPr>
            <w:r>
              <w:rPr>
                <w:rFonts w:ascii="Times New Roman" w:hAnsi="Times New Roman" w:hint="eastAsia"/>
                <w:sz w:val="21"/>
                <w:szCs w:val="21"/>
                <w:u w:val="single"/>
              </w:rPr>
              <w:t>——</w:t>
            </w:r>
          </w:p>
        </w:tc>
      </w:tr>
    </w:tbl>
    <w:p w:rsidR="004B4777" w:rsidRDefault="004B4777">
      <w:pPr>
        <w:widowControl/>
        <w:spacing w:line="264" w:lineRule="auto"/>
        <w:ind w:firstLine="489"/>
        <w:jc w:val="left"/>
        <w:rPr>
          <w:rFonts w:ascii="Times New Roman" w:hAnsi="Times New Roman"/>
          <w:snapToGrid w:val="0"/>
          <w:spacing w:val="10"/>
          <w:kern w:val="0"/>
        </w:rPr>
        <w:sectPr w:rsidR="004B4777">
          <w:pgSz w:w="11907" w:h="16840"/>
          <w:pgMar w:top="1644" w:right="1406" w:bottom="1701" w:left="1157" w:header="964" w:footer="964" w:gutter="567"/>
          <w:cols w:space="720"/>
          <w:docGrid w:type="linesAndChars" w:linePitch="421" w:charSpace="-3161"/>
        </w:sectPr>
      </w:pPr>
    </w:p>
    <w:p w:rsidR="004B4777" w:rsidRDefault="004B4777">
      <w:pPr>
        <w:keepNext/>
        <w:keepLines/>
        <w:ind w:firstLineChars="0" w:firstLine="0"/>
        <w:jc w:val="center"/>
        <w:outlineLvl w:val="0"/>
        <w:rPr>
          <w:rFonts w:ascii="Times New Roman" w:hAnsi="Times New Roman"/>
          <w:b/>
          <w:bCs/>
          <w:kern w:val="44"/>
          <w:sz w:val="32"/>
          <w:szCs w:val="32"/>
        </w:rPr>
      </w:pPr>
      <w:bookmarkStart w:id="277" w:name="_Toc13920"/>
      <w:bookmarkStart w:id="278" w:name="_Toc523854065"/>
      <w:bookmarkEnd w:id="186"/>
      <w:bookmarkEnd w:id="187"/>
      <w:bookmarkEnd w:id="188"/>
      <w:r>
        <w:rPr>
          <w:rFonts w:ascii="Times New Roman" w:hAnsi="Times New Roman"/>
          <w:b/>
          <w:bCs/>
          <w:kern w:val="44"/>
          <w:sz w:val="32"/>
          <w:szCs w:val="32"/>
        </w:rPr>
        <w:lastRenderedPageBreak/>
        <w:t>第</w:t>
      </w:r>
      <w:r>
        <w:rPr>
          <w:rFonts w:ascii="Times New Roman" w:hAnsi="Times New Roman" w:hint="eastAsia"/>
          <w:b/>
          <w:bCs/>
          <w:kern w:val="44"/>
          <w:sz w:val="32"/>
          <w:szCs w:val="32"/>
        </w:rPr>
        <w:t>12</w:t>
      </w:r>
      <w:r>
        <w:rPr>
          <w:rFonts w:ascii="Times New Roman" w:hAnsi="Times New Roman"/>
          <w:b/>
          <w:bCs/>
          <w:kern w:val="44"/>
          <w:sz w:val="32"/>
          <w:szCs w:val="32"/>
        </w:rPr>
        <w:t>章</w:t>
      </w:r>
      <w:r>
        <w:rPr>
          <w:rFonts w:ascii="Times New Roman" w:hAnsi="Times New Roman"/>
          <w:b/>
          <w:bCs/>
          <w:kern w:val="44"/>
          <w:sz w:val="32"/>
          <w:szCs w:val="32"/>
        </w:rPr>
        <w:t xml:space="preserve"> </w:t>
      </w:r>
      <w:r>
        <w:rPr>
          <w:rFonts w:ascii="Times New Roman" w:hAnsi="Times New Roman"/>
          <w:b/>
          <w:bCs/>
          <w:kern w:val="44"/>
          <w:sz w:val="32"/>
          <w:szCs w:val="32"/>
        </w:rPr>
        <w:t>结论与建议</w:t>
      </w:r>
      <w:bookmarkEnd w:id="277"/>
      <w:bookmarkEnd w:id="278"/>
    </w:p>
    <w:p w:rsidR="004B4777" w:rsidRDefault="004B4777">
      <w:pPr>
        <w:pStyle w:val="2"/>
        <w:spacing w:before="0" w:after="0"/>
        <w:rPr>
          <w:rFonts w:ascii="Times New Roman" w:eastAsia="宋体" w:hAnsi="Times New Roman"/>
          <w:b/>
          <w:sz w:val="30"/>
          <w:szCs w:val="30"/>
        </w:rPr>
      </w:pPr>
      <w:bookmarkStart w:id="279" w:name="_Toc9335"/>
      <w:bookmarkStart w:id="280" w:name="_Toc523854066"/>
      <w:r>
        <w:rPr>
          <w:rFonts w:ascii="Times New Roman" w:eastAsia="宋体" w:hAnsi="Times New Roman" w:hint="eastAsia"/>
          <w:b/>
          <w:sz w:val="30"/>
          <w:szCs w:val="30"/>
        </w:rPr>
        <w:t>12</w:t>
      </w:r>
      <w:r>
        <w:rPr>
          <w:rFonts w:ascii="Times New Roman" w:eastAsia="宋体" w:hAnsi="Times New Roman"/>
          <w:b/>
          <w:sz w:val="30"/>
          <w:szCs w:val="30"/>
        </w:rPr>
        <w:t xml:space="preserve">.1 </w:t>
      </w:r>
      <w:r>
        <w:rPr>
          <w:rFonts w:ascii="Times New Roman" w:eastAsia="宋体" w:hAnsi="Times New Roman"/>
          <w:b/>
          <w:sz w:val="30"/>
          <w:szCs w:val="30"/>
        </w:rPr>
        <w:t>项目概况</w:t>
      </w:r>
      <w:bookmarkEnd w:id="279"/>
      <w:bookmarkEnd w:id="280"/>
    </w:p>
    <w:p w:rsidR="004B4777" w:rsidRDefault="004B4777">
      <w:pPr>
        <w:widowControl/>
        <w:ind w:firstLine="480"/>
        <w:rPr>
          <w:rFonts w:ascii="Times New Roman" w:hAnsi="Times New Roman"/>
          <w:kern w:val="0"/>
          <w:szCs w:val="24"/>
          <w:lang w:val="en-US" w:eastAsia="zh-CN"/>
        </w:rPr>
      </w:pPr>
      <w:r>
        <w:rPr>
          <w:rFonts w:ascii="Times New Roman" w:hAnsi="Times New Roman"/>
        </w:rPr>
        <w:t>湘阴县河道砂石综合执法局拟新建</w:t>
      </w:r>
      <w:r>
        <w:rPr>
          <w:rFonts w:ascii="Times New Roman" w:hAnsi="Times New Roman" w:hint="eastAsia"/>
        </w:rPr>
        <w:t>湘阴县资江段易婆塘采区、湘江段斗米咀采区采砂项目。</w:t>
      </w:r>
      <w:r>
        <w:rPr>
          <w:rFonts w:ascii="Times New Roman" w:hAnsi="Times New Roman" w:hint="eastAsia"/>
          <w:szCs w:val="24"/>
          <w:lang w:val="en-GB"/>
        </w:rPr>
        <w:t>易婆塘采区</w:t>
      </w:r>
      <w:r>
        <w:rPr>
          <w:rFonts w:ascii="Times New Roman" w:hAnsi="Times New Roman"/>
          <w:szCs w:val="24"/>
          <w:lang w:val="en-GB"/>
        </w:rPr>
        <w:t>位于资江</w:t>
      </w:r>
      <w:r>
        <w:rPr>
          <w:rFonts w:ascii="Times New Roman" w:hAnsi="Times New Roman" w:hint="eastAsia"/>
          <w:szCs w:val="24"/>
          <w:lang w:val="en-GB"/>
        </w:rPr>
        <w:t>北支，岳阳市湘阴县与益阳市资阳区交界处，斗米咀采区</w:t>
      </w:r>
      <w:r>
        <w:rPr>
          <w:rFonts w:ascii="Times New Roman" w:hAnsi="Times New Roman"/>
          <w:szCs w:val="24"/>
          <w:lang w:val="en-GB"/>
        </w:rPr>
        <w:t>位于</w:t>
      </w:r>
      <w:r>
        <w:rPr>
          <w:rFonts w:ascii="Times New Roman" w:hAnsi="Times New Roman" w:hint="eastAsia"/>
          <w:szCs w:val="24"/>
          <w:lang w:val="en-GB"/>
        </w:rPr>
        <w:t>湘江东西支交汇处，地处湘阴县</w:t>
      </w:r>
      <w:r>
        <w:rPr>
          <w:rFonts w:ascii="Times New Roman" w:hAnsi="Times New Roman"/>
          <w:szCs w:val="24"/>
          <w:lang w:val="en-GB"/>
        </w:rPr>
        <w:t>，</w:t>
      </w:r>
      <w:r>
        <w:rPr>
          <w:rFonts w:ascii="Times New Roman" w:hAnsi="Times New Roman" w:hint="eastAsia"/>
          <w:szCs w:val="24"/>
          <w:lang w:val="en-GB"/>
        </w:rPr>
        <w:t>运砂船通过</w:t>
      </w:r>
      <w:r>
        <w:rPr>
          <w:rFonts w:ascii="Times New Roman" w:hAnsi="Times New Roman"/>
          <w:szCs w:val="24"/>
          <w:lang w:val="en-GB"/>
        </w:rPr>
        <w:t>湘江、资江南支运输至</w:t>
      </w:r>
      <w:r>
        <w:rPr>
          <w:rFonts w:ascii="Times New Roman" w:hAnsi="Times New Roman"/>
        </w:rPr>
        <w:t>湘阴县河道砂石综合执法局</w:t>
      </w:r>
      <w:r>
        <w:rPr>
          <w:rFonts w:ascii="Times New Roman" w:hAnsi="Times New Roman" w:hint="eastAsia"/>
        </w:rPr>
        <w:t>现有</w:t>
      </w:r>
      <w:r>
        <w:rPr>
          <w:rFonts w:ascii="Times New Roman" w:hAnsi="Times New Roman"/>
        </w:rPr>
        <w:t>的</w:t>
      </w:r>
      <w:r>
        <w:rPr>
          <w:rFonts w:ascii="Times New Roman" w:hAnsi="Times New Roman" w:hint="eastAsia"/>
        </w:rPr>
        <w:t>易婆塘砂石场、燎原砂石场</w:t>
      </w:r>
      <w:r>
        <w:rPr>
          <w:rFonts w:ascii="Times New Roman" w:hAnsi="Times New Roman"/>
        </w:rPr>
        <w:t>和</w:t>
      </w:r>
      <w:r>
        <w:rPr>
          <w:rFonts w:ascii="Times New Roman" w:hAnsi="Times New Roman" w:hint="eastAsia"/>
        </w:rPr>
        <w:t>港口砂石场</w:t>
      </w:r>
      <w:r>
        <w:rPr>
          <w:rFonts w:ascii="Times New Roman" w:hAnsi="Times New Roman"/>
        </w:rPr>
        <w:t>三个堆料场</w:t>
      </w:r>
      <w:r>
        <w:rPr>
          <w:rFonts w:ascii="Times New Roman" w:hAnsi="Times New Roman" w:hint="eastAsia"/>
        </w:rPr>
        <w:t>，</w:t>
      </w:r>
      <w:r>
        <w:rPr>
          <w:rFonts w:ascii="Times New Roman" w:hAnsi="Times New Roman"/>
        </w:rPr>
        <w:t>然后由堆料场进行统一调配</w:t>
      </w:r>
      <w:r>
        <w:rPr>
          <w:rFonts w:ascii="Times New Roman" w:hAnsi="Times New Roman" w:hint="eastAsia"/>
        </w:rPr>
        <w:t>运输，为水运和</w:t>
      </w:r>
      <w:r>
        <w:rPr>
          <w:rFonts w:ascii="Times New Roman" w:hAnsi="Times New Roman"/>
        </w:rPr>
        <w:t>汽车运输</w:t>
      </w:r>
      <w:r>
        <w:rPr>
          <w:rFonts w:ascii="Times New Roman" w:hAnsi="Times New Roman" w:hint="eastAsia"/>
        </w:rPr>
        <w:t>，</w:t>
      </w:r>
      <w:r>
        <w:rPr>
          <w:rFonts w:ascii="Times New Roman" w:hAnsi="Times New Roman"/>
        </w:rPr>
        <w:t>堆料场为湘阴县河道砂石综合执法局</w:t>
      </w:r>
      <w:r>
        <w:rPr>
          <w:rFonts w:ascii="Times New Roman" w:hAnsi="Times New Roman" w:hint="eastAsia"/>
        </w:rPr>
        <w:t>现有</w:t>
      </w:r>
      <w:r>
        <w:rPr>
          <w:rFonts w:ascii="Times New Roman" w:hAnsi="Times New Roman"/>
        </w:rPr>
        <w:t>堆料场，不为本次评价范围内</w:t>
      </w:r>
      <w:r>
        <w:rPr>
          <w:rFonts w:ascii="Times New Roman" w:hAnsi="Times New Roman"/>
          <w:kern w:val="0"/>
          <w:szCs w:val="24"/>
          <w:lang w:val="en-US" w:eastAsia="zh-CN"/>
        </w:rPr>
        <w:t>。</w:t>
      </w:r>
    </w:p>
    <w:p w:rsidR="004B4777" w:rsidRDefault="004B4777">
      <w:pPr>
        <w:widowControl/>
        <w:ind w:firstLine="480"/>
        <w:rPr>
          <w:rFonts w:ascii="Times New Roman" w:hAnsi="Times New Roman"/>
          <w:kern w:val="0"/>
          <w:szCs w:val="24"/>
          <w:lang w:val="en-US" w:eastAsia="zh-CN"/>
        </w:rPr>
      </w:pPr>
      <w:r>
        <w:rPr>
          <w:rFonts w:ascii="Times New Roman" w:hAnsi="Times New Roman" w:hint="eastAsia"/>
          <w:kern w:val="0"/>
          <w:szCs w:val="24"/>
          <w:lang w:val="en-US" w:eastAsia="zh-CN"/>
        </w:rPr>
        <w:t>项目采区规划采砂期为</w:t>
      </w:r>
      <w:r>
        <w:rPr>
          <w:rFonts w:ascii="Times New Roman" w:hAnsi="Times New Roman" w:hint="eastAsia"/>
          <w:kern w:val="0"/>
          <w:szCs w:val="24"/>
          <w:lang w:val="en-US" w:eastAsia="zh-CN"/>
        </w:rPr>
        <w:t>4</w:t>
      </w:r>
      <w:r>
        <w:rPr>
          <w:rFonts w:ascii="Times New Roman" w:hAnsi="Times New Roman" w:hint="eastAsia"/>
          <w:kern w:val="0"/>
          <w:szCs w:val="24"/>
          <w:lang w:val="en-US" w:eastAsia="zh-CN"/>
        </w:rPr>
        <w:t>年，即</w:t>
      </w:r>
      <w:r>
        <w:rPr>
          <w:rFonts w:ascii="Times New Roman" w:hAnsi="Times New Roman" w:hint="eastAsia"/>
          <w:kern w:val="0"/>
          <w:szCs w:val="24"/>
          <w:lang w:val="en-US" w:eastAsia="zh-CN"/>
        </w:rPr>
        <w:t>2017~2020</w:t>
      </w:r>
      <w:r>
        <w:rPr>
          <w:rFonts w:ascii="Times New Roman" w:hAnsi="Times New Roman" w:hint="eastAsia"/>
          <w:kern w:val="0"/>
          <w:szCs w:val="24"/>
          <w:lang w:val="en-US" w:eastAsia="zh-CN"/>
        </w:rPr>
        <w:t>年，可采时段为</w:t>
      </w:r>
      <w:r>
        <w:rPr>
          <w:rFonts w:ascii="Times New Roman" w:hAnsi="Times New Roman" w:hint="eastAsia"/>
          <w:kern w:val="0"/>
          <w:szCs w:val="24"/>
          <w:lang w:val="en-US" w:eastAsia="zh-CN"/>
        </w:rPr>
        <w:t>6</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00</w:t>
      </w:r>
      <w:r>
        <w:rPr>
          <w:rFonts w:ascii="Times New Roman" w:hAnsi="Times New Roman" w:hint="eastAsia"/>
          <w:kern w:val="0"/>
          <w:szCs w:val="24"/>
          <w:lang w:val="en-US" w:eastAsia="zh-CN"/>
        </w:rPr>
        <w:t>至</w:t>
      </w:r>
      <w:r>
        <w:rPr>
          <w:rFonts w:ascii="Times New Roman" w:hAnsi="Times New Roman" w:hint="eastAsia"/>
          <w:kern w:val="0"/>
          <w:szCs w:val="24"/>
          <w:lang w:val="en-US" w:eastAsia="zh-CN"/>
        </w:rPr>
        <w:t>20</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00</w:t>
      </w:r>
      <w:r>
        <w:rPr>
          <w:rFonts w:ascii="Times New Roman" w:hAnsi="Times New Roman" w:hint="eastAsia"/>
          <w:kern w:val="0"/>
          <w:szCs w:val="24"/>
          <w:lang w:val="en-US" w:eastAsia="zh-CN"/>
        </w:rPr>
        <w:t>。原则上禁采期为</w:t>
      </w:r>
      <w:r>
        <w:rPr>
          <w:rFonts w:ascii="Times New Roman" w:hAnsi="Times New Roman" w:hint="eastAsia"/>
          <w:kern w:val="0"/>
          <w:szCs w:val="24"/>
          <w:lang w:val="en-US" w:eastAsia="zh-CN"/>
        </w:rPr>
        <w:t>6</w:t>
      </w:r>
      <w:r>
        <w:rPr>
          <w:rFonts w:ascii="Times New Roman" w:hAnsi="Times New Roman" w:hint="eastAsia"/>
          <w:kern w:val="0"/>
          <w:szCs w:val="24"/>
          <w:lang w:val="en-US" w:eastAsia="zh-CN"/>
        </w:rPr>
        <w:t>、</w:t>
      </w:r>
      <w:r>
        <w:rPr>
          <w:rFonts w:ascii="Times New Roman" w:hAnsi="Times New Roman" w:hint="eastAsia"/>
          <w:kern w:val="0"/>
          <w:szCs w:val="24"/>
          <w:lang w:val="en-US" w:eastAsia="zh-CN"/>
        </w:rPr>
        <w:t>7</w:t>
      </w:r>
      <w:r>
        <w:rPr>
          <w:rFonts w:ascii="Times New Roman" w:hAnsi="Times New Roman" w:hint="eastAsia"/>
          <w:kern w:val="0"/>
          <w:szCs w:val="24"/>
          <w:lang w:val="en-US" w:eastAsia="zh-CN"/>
        </w:rPr>
        <w:t>月，实际禁采期根据当地防汛部门指令调整。</w:t>
      </w:r>
    </w:p>
    <w:p w:rsidR="004B4777" w:rsidRDefault="004B4777">
      <w:pPr>
        <w:widowControl/>
        <w:ind w:firstLine="480"/>
        <w:rPr>
          <w:rFonts w:ascii="Times New Roman" w:hAnsi="Times New Roman"/>
          <w:kern w:val="0"/>
          <w:szCs w:val="24"/>
          <w:lang w:val="en-US" w:eastAsia="zh-CN"/>
        </w:rPr>
      </w:pPr>
      <w:r>
        <w:rPr>
          <w:rFonts w:ascii="Times New Roman" w:hAnsi="Times New Roman" w:hint="eastAsia"/>
          <w:kern w:val="0"/>
          <w:szCs w:val="24"/>
          <w:lang w:val="en-US" w:eastAsia="zh-CN"/>
        </w:rPr>
        <w:t>项目开采</w:t>
      </w:r>
      <w:r>
        <w:rPr>
          <w:rFonts w:ascii="Times New Roman" w:hAnsi="Times New Roman"/>
          <w:kern w:val="0"/>
          <w:szCs w:val="24"/>
          <w:lang w:val="en-US" w:eastAsia="zh-CN"/>
        </w:rPr>
        <w:t>方式为</w:t>
      </w:r>
      <w:r>
        <w:rPr>
          <w:rFonts w:ascii="Times New Roman" w:hAnsi="Times New Roman" w:hint="eastAsia"/>
          <w:kern w:val="0"/>
          <w:szCs w:val="24"/>
          <w:lang w:val="en-US" w:eastAsia="zh-CN"/>
        </w:rPr>
        <w:t>易婆塘采区选用</w:t>
      </w:r>
      <w:r>
        <w:rPr>
          <w:rFonts w:ascii="Times New Roman" w:hAnsi="Times New Roman" w:hint="eastAsia"/>
          <w:kern w:val="0"/>
          <w:szCs w:val="24"/>
          <w:lang w:val="en-US" w:eastAsia="zh-CN"/>
        </w:rPr>
        <w:t>6</w:t>
      </w:r>
      <w:r>
        <w:rPr>
          <w:rFonts w:ascii="Times New Roman" w:hAnsi="Times New Roman" w:hint="eastAsia"/>
          <w:kern w:val="0"/>
          <w:szCs w:val="24"/>
          <w:lang w:val="en-US" w:eastAsia="zh-CN"/>
        </w:rPr>
        <w:t>艘</w:t>
      </w:r>
      <w:r>
        <w:rPr>
          <w:rFonts w:ascii="Times New Roman" w:hAnsi="Times New Roman" w:hint="eastAsia"/>
          <w:kern w:val="0"/>
          <w:szCs w:val="24"/>
          <w:lang w:val="en-US" w:eastAsia="zh-CN"/>
        </w:rPr>
        <w:t>2600kW</w:t>
      </w:r>
      <w:r>
        <w:rPr>
          <w:rFonts w:ascii="Times New Roman" w:hAnsi="Times New Roman" w:hint="eastAsia"/>
          <w:kern w:val="0"/>
          <w:szCs w:val="24"/>
          <w:lang w:val="en-US" w:eastAsia="zh-CN"/>
        </w:rPr>
        <w:t>以下吸管式吸泵挖砂式采砂船进行</w:t>
      </w:r>
      <w:r>
        <w:rPr>
          <w:rFonts w:ascii="Times New Roman" w:hAnsi="Times New Roman"/>
          <w:kern w:val="0"/>
          <w:szCs w:val="24"/>
          <w:lang w:val="en-US" w:eastAsia="zh-CN"/>
        </w:rPr>
        <w:t>开采</w:t>
      </w:r>
      <w:r>
        <w:rPr>
          <w:rFonts w:ascii="Times New Roman" w:hAnsi="Times New Roman" w:hint="eastAsia"/>
          <w:kern w:val="0"/>
          <w:szCs w:val="24"/>
          <w:lang w:val="en-US" w:eastAsia="zh-CN"/>
        </w:rPr>
        <w:t>，斗米咀采区选用</w:t>
      </w:r>
      <w:r>
        <w:rPr>
          <w:rFonts w:ascii="Times New Roman" w:hAnsi="Times New Roman" w:hint="eastAsia"/>
          <w:kern w:val="0"/>
          <w:szCs w:val="24"/>
          <w:lang w:val="en-US" w:eastAsia="zh-CN"/>
        </w:rPr>
        <w:t>1</w:t>
      </w:r>
      <w:r>
        <w:rPr>
          <w:rFonts w:ascii="Times New Roman" w:hAnsi="Times New Roman" w:hint="eastAsia"/>
          <w:kern w:val="0"/>
          <w:szCs w:val="24"/>
          <w:lang w:val="en-US" w:eastAsia="zh-CN"/>
        </w:rPr>
        <w:t>艘</w:t>
      </w:r>
      <w:r>
        <w:rPr>
          <w:rFonts w:ascii="Times New Roman" w:hAnsi="Times New Roman" w:hint="eastAsia"/>
          <w:kern w:val="0"/>
          <w:szCs w:val="24"/>
          <w:lang w:val="en-US" w:eastAsia="zh-CN"/>
        </w:rPr>
        <w:t>2600kW</w:t>
      </w:r>
      <w:r>
        <w:rPr>
          <w:rFonts w:ascii="Times New Roman" w:hAnsi="Times New Roman" w:hint="eastAsia"/>
          <w:kern w:val="0"/>
          <w:szCs w:val="24"/>
          <w:lang w:val="en-US" w:eastAsia="zh-CN"/>
        </w:rPr>
        <w:t>以下吸管式吸泵挖砂式采砂船进行</w:t>
      </w:r>
      <w:r>
        <w:rPr>
          <w:rFonts w:ascii="Times New Roman" w:hAnsi="Times New Roman"/>
          <w:kern w:val="0"/>
          <w:szCs w:val="24"/>
          <w:lang w:val="en-US" w:eastAsia="zh-CN"/>
        </w:rPr>
        <w:t>开采</w:t>
      </w:r>
      <w:r>
        <w:rPr>
          <w:rFonts w:ascii="Times New Roman" w:hAnsi="Times New Roman" w:hint="eastAsia"/>
          <w:kern w:val="0"/>
          <w:szCs w:val="24"/>
          <w:lang w:val="en-US" w:eastAsia="zh-CN"/>
        </w:rPr>
        <w:t>。</w:t>
      </w:r>
    </w:p>
    <w:p w:rsidR="004B4777" w:rsidRDefault="004B4777">
      <w:pPr>
        <w:widowControl/>
        <w:ind w:firstLine="480"/>
        <w:rPr>
          <w:rFonts w:ascii="Times New Roman" w:hAnsi="Times New Roman" w:hint="eastAsia"/>
          <w:kern w:val="0"/>
          <w:szCs w:val="24"/>
          <w:lang w:val="en-US" w:eastAsia="zh-CN"/>
        </w:rPr>
      </w:pPr>
      <w:r>
        <w:rPr>
          <w:rFonts w:ascii="Times New Roman" w:hAnsi="Times New Roman" w:hint="eastAsia"/>
          <w:kern w:val="0"/>
          <w:szCs w:val="24"/>
          <w:lang w:val="en-US" w:eastAsia="zh-CN"/>
        </w:rPr>
        <w:t>工程区采砂设计采用采掘船水下采矿方法，矿段矿体厚度一般</w:t>
      </w:r>
      <w:r>
        <w:rPr>
          <w:rFonts w:ascii="Times New Roman" w:hAnsi="Times New Roman" w:hint="eastAsia"/>
          <w:kern w:val="0"/>
          <w:szCs w:val="24"/>
          <w:lang w:val="en-US" w:eastAsia="zh-CN"/>
        </w:rPr>
        <w:t>16.4-31.1m</w:t>
      </w:r>
      <w:r>
        <w:rPr>
          <w:rFonts w:ascii="Times New Roman" w:hAnsi="Times New Roman" w:hint="eastAsia"/>
          <w:kern w:val="0"/>
          <w:szCs w:val="24"/>
          <w:lang w:val="en-US" w:eastAsia="zh-CN"/>
        </w:rPr>
        <w:t>，只划分一个开采水平。为了防止主流线对堤脚的冲刷（特别是凸岸），设计由西部逐步向东岸推进，以防对江堤造成威胁。采池内采掘面自上游（南）向下游（北）前进采掘的顺序。</w:t>
      </w:r>
    </w:p>
    <w:p w:rsidR="004B4777" w:rsidRDefault="004B4777">
      <w:pPr>
        <w:pStyle w:val="2"/>
        <w:spacing w:before="0" w:after="0"/>
        <w:rPr>
          <w:rFonts w:ascii="Times New Roman" w:eastAsia="宋体" w:hAnsi="Times New Roman"/>
          <w:b/>
          <w:sz w:val="30"/>
          <w:szCs w:val="30"/>
        </w:rPr>
      </w:pPr>
      <w:bookmarkStart w:id="281" w:name="_Toc523854067"/>
      <w:r>
        <w:rPr>
          <w:rFonts w:ascii="Times New Roman" w:eastAsia="宋体" w:hAnsi="Times New Roman" w:hint="eastAsia"/>
          <w:b/>
          <w:sz w:val="30"/>
          <w:szCs w:val="30"/>
        </w:rPr>
        <w:t>12</w:t>
      </w:r>
      <w:r>
        <w:rPr>
          <w:rFonts w:ascii="Times New Roman" w:eastAsia="宋体" w:hAnsi="Times New Roman"/>
          <w:b/>
          <w:sz w:val="30"/>
          <w:szCs w:val="30"/>
        </w:rPr>
        <w:t xml:space="preserve">.2 </w:t>
      </w:r>
      <w:r>
        <w:rPr>
          <w:rFonts w:ascii="Times New Roman" w:eastAsia="宋体" w:hAnsi="Times New Roman" w:hint="eastAsia"/>
          <w:b/>
          <w:sz w:val="30"/>
          <w:szCs w:val="30"/>
        </w:rPr>
        <w:t>与</w:t>
      </w:r>
      <w:r>
        <w:rPr>
          <w:rFonts w:ascii="Times New Roman" w:eastAsia="宋体" w:hAnsi="Times New Roman"/>
          <w:b/>
          <w:sz w:val="30"/>
          <w:szCs w:val="30"/>
        </w:rPr>
        <w:t>产业政策符合性分析</w:t>
      </w:r>
      <w:bookmarkEnd w:id="281"/>
    </w:p>
    <w:p w:rsidR="004B4777" w:rsidRDefault="004B4777">
      <w:pPr>
        <w:ind w:firstLine="480"/>
        <w:rPr>
          <w:rFonts w:ascii="Times New Roman" w:hAnsi="Times New Roman" w:hint="eastAsia"/>
          <w:kern w:val="0"/>
          <w:szCs w:val="24"/>
        </w:rPr>
      </w:pPr>
      <w:r>
        <w:rPr>
          <w:rFonts w:ascii="Times New Roman" w:hAnsi="Times New Roman" w:hint="eastAsia"/>
          <w:kern w:val="0"/>
          <w:szCs w:val="24"/>
        </w:rPr>
        <w:t>本项目属于土砂石、石材开采加工项目，对照《产业结构调整指导目录（</w:t>
      </w:r>
      <w:r>
        <w:rPr>
          <w:rFonts w:ascii="Times New Roman" w:hAnsi="Times New Roman" w:hint="eastAsia"/>
          <w:kern w:val="0"/>
          <w:szCs w:val="24"/>
        </w:rPr>
        <w:t xml:space="preserve">2011 </w:t>
      </w:r>
      <w:r>
        <w:rPr>
          <w:rFonts w:ascii="Times New Roman" w:hAnsi="Times New Roman" w:hint="eastAsia"/>
          <w:kern w:val="0"/>
          <w:szCs w:val="24"/>
        </w:rPr>
        <w:t>年本）》（</w:t>
      </w:r>
      <w:r>
        <w:rPr>
          <w:rFonts w:ascii="Times New Roman" w:hAnsi="Times New Roman" w:hint="eastAsia"/>
          <w:kern w:val="0"/>
          <w:szCs w:val="24"/>
        </w:rPr>
        <w:t>2013</w:t>
      </w:r>
      <w:r>
        <w:rPr>
          <w:rFonts w:ascii="Times New Roman" w:hAnsi="Times New Roman" w:hint="eastAsia"/>
          <w:kern w:val="0"/>
          <w:szCs w:val="24"/>
        </w:rPr>
        <w:t>年修正），本项目不属于“限制类”和“淘汰类”。因此，项目符合相关的产业政策要求。</w:t>
      </w:r>
    </w:p>
    <w:p w:rsidR="004B4777" w:rsidRDefault="004B4777">
      <w:pPr>
        <w:pStyle w:val="2"/>
        <w:spacing w:before="0" w:after="0"/>
        <w:rPr>
          <w:rFonts w:ascii="Times New Roman" w:eastAsia="宋体" w:hAnsi="Times New Roman"/>
          <w:b/>
          <w:sz w:val="30"/>
          <w:szCs w:val="30"/>
        </w:rPr>
      </w:pPr>
      <w:bookmarkStart w:id="282" w:name="_Toc27002"/>
      <w:bookmarkStart w:id="283" w:name="_Toc523854068"/>
      <w:r>
        <w:rPr>
          <w:rFonts w:ascii="Times New Roman" w:eastAsia="宋体" w:hAnsi="Times New Roman" w:hint="eastAsia"/>
          <w:b/>
          <w:sz w:val="30"/>
          <w:szCs w:val="30"/>
        </w:rPr>
        <w:t>12</w:t>
      </w:r>
      <w:r>
        <w:rPr>
          <w:rFonts w:ascii="Times New Roman" w:eastAsia="宋体" w:hAnsi="Times New Roman"/>
          <w:b/>
          <w:sz w:val="30"/>
          <w:szCs w:val="30"/>
        </w:rPr>
        <w:t xml:space="preserve">.3 </w:t>
      </w:r>
      <w:r>
        <w:rPr>
          <w:rFonts w:ascii="Times New Roman" w:eastAsia="宋体" w:hAnsi="Times New Roman"/>
          <w:b/>
          <w:sz w:val="30"/>
          <w:szCs w:val="30"/>
        </w:rPr>
        <w:t>选址合理性分析</w:t>
      </w:r>
      <w:bookmarkEnd w:id="282"/>
      <w:bookmarkEnd w:id="283"/>
    </w:p>
    <w:p w:rsidR="004B4777" w:rsidRDefault="004B4777">
      <w:pPr>
        <w:ind w:firstLine="480"/>
        <w:rPr>
          <w:rFonts w:ascii="Times New Roman" w:hAnsi="Times New Roman" w:hint="eastAsia"/>
          <w:kern w:val="0"/>
          <w:szCs w:val="24"/>
        </w:rPr>
      </w:pPr>
      <w:bookmarkStart w:id="284" w:name="_Toc21211"/>
      <w:bookmarkStart w:id="285" w:name="_Toc13125"/>
      <w:bookmarkStart w:id="286" w:name="_Toc26414"/>
      <w:r>
        <w:rPr>
          <w:rFonts w:ascii="Times New Roman" w:hAnsi="Times New Roman" w:hint="eastAsia"/>
          <w:kern w:val="0"/>
          <w:szCs w:val="24"/>
        </w:rPr>
        <w:t>本项目属于《湖南省湘江干流及洞庭湖区岳阳段河道采砂规划（</w:t>
      </w:r>
      <w:r>
        <w:rPr>
          <w:rFonts w:ascii="Times New Roman" w:hAnsi="Times New Roman" w:hint="eastAsia"/>
          <w:kern w:val="0"/>
          <w:szCs w:val="24"/>
        </w:rPr>
        <w:t>2017-2020</w:t>
      </w:r>
      <w:r>
        <w:rPr>
          <w:rFonts w:ascii="Times New Roman" w:hAnsi="Times New Roman" w:hint="eastAsia"/>
          <w:kern w:val="0"/>
          <w:szCs w:val="24"/>
        </w:rPr>
        <w:t>年）》规划的</w:t>
      </w:r>
      <w:r>
        <w:rPr>
          <w:rFonts w:ascii="Times New Roman" w:hAnsi="Times New Roman" w:hint="eastAsia"/>
          <w:kern w:val="0"/>
          <w:szCs w:val="24"/>
        </w:rPr>
        <w:t>7</w:t>
      </w:r>
      <w:r>
        <w:rPr>
          <w:rFonts w:ascii="Times New Roman" w:hAnsi="Times New Roman" w:hint="eastAsia"/>
          <w:kern w:val="0"/>
          <w:szCs w:val="24"/>
        </w:rPr>
        <w:t>个采区的其中</w:t>
      </w:r>
      <w:r>
        <w:rPr>
          <w:rFonts w:ascii="Times New Roman" w:hAnsi="Times New Roman" w:hint="eastAsia"/>
          <w:kern w:val="0"/>
          <w:szCs w:val="24"/>
        </w:rPr>
        <w:t>2</w:t>
      </w:r>
      <w:r>
        <w:rPr>
          <w:rFonts w:ascii="Times New Roman" w:hAnsi="Times New Roman" w:hint="eastAsia"/>
          <w:kern w:val="0"/>
          <w:szCs w:val="24"/>
        </w:rPr>
        <w:t>个。开采区均未不在自然保护区、国家水产种质资源保护区、重要湿地等生态环境敏感区内，也不在生态红线范围内，待柳潭水厂及赛头水厂重新选址并投入使用后，开采区不涉及水源保护区，因此，开采区的选址基本合理。</w:t>
      </w:r>
    </w:p>
    <w:p w:rsidR="004B4777" w:rsidRDefault="004B4777">
      <w:pPr>
        <w:pStyle w:val="2"/>
        <w:spacing w:before="0" w:after="0"/>
        <w:rPr>
          <w:rFonts w:ascii="Times New Roman" w:eastAsia="宋体" w:hAnsi="Times New Roman"/>
          <w:b/>
          <w:sz w:val="30"/>
          <w:szCs w:val="30"/>
        </w:rPr>
      </w:pPr>
      <w:bookmarkStart w:id="287" w:name="_Toc8507"/>
      <w:bookmarkStart w:id="288" w:name="_Toc523854069"/>
      <w:bookmarkEnd w:id="284"/>
      <w:bookmarkEnd w:id="285"/>
      <w:bookmarkEnd w:id="286"/>
      <w:r>
        <w:rPr>
          <w:rFonts w:ascii="Times New Roman" w:eastAsia="宋体" w:hAnsi="Times New Roman" w:hint="eastAsia"/>
          <w:b/>
          <w:sz w:val="30"/>
          <w:szCs w:val="30"/>
        </w:rPr>
        <w:lastRenderedPageBreak/>
        <w:t>12</w:t>
      </w:r>
      <w:r>
        <w:rPr>
          <w:rFonts w:ascii="Times New Roman" w:eastAsia="宋体" w:hAnsi="Times New Roman"/>
          <w:b/>
          <w:sz w:val="30"/>
          <w:szCs w:val="30"/>
        </w:rPr>
        <w:t xml:space="preserve">.4 </w:t>
      </w:r>
      <w:bookmarkEnd w:id="287"/>
      <w:r>
        <w:rPr>
          <w:rFonts w:ascii="Times New Roman" w:eastAsia="宋体" w:hAnsi="Times New Roman" w:hint="eastAsia"/>
          <w:b/>
          <w:sz w:val="30"/>
          <w:szCs w:val="30"/>
        </w:rPr>
        <w:t>环境质量现状评价</w:t>
      </w:r>
      <w:bookmarkEnd w:id="288"/>
    </w:p>
    <w:p w:rsidR="004B4777" w:rsidRDefault="004B4777" w:rsidP="004B4777">
      <w:pPr>
        <w:adjustRightInd w:val="0"/>
        <w:ind w:firstLineChars="224" w:firstLine="538"/>
        <w:rPr>
          <w:rFonts w:ascii="Times New Roman" w:hAnsi="Times New Roman" w:hint="eastAsia"/>
        </w:rPr>
      </w:pPr>
      <w:r>
        <w:rPr>
          <w:rFonts w:ascii="Times New Roman" w:hAnsi="Times New Roman" w:hint="eastAsia"/>
        </w:rPr>
        <w:t>本项目沿线区域进行的现状监测结果显示，</w:t>
      </w:r>
      <w:r>
        <w:rPr>
          <w:rFonts w:ascii="Times New Roman" w:hAnsi="Times New Roman"/>
          <w:bCs/>
          <w:szCs w:val="24"/>
        </w:rPr>
        <w:t>评价区域</w:t>
      </w:r>
      <w:r>
        <w:rPr>
          <w:rFonts w:ascii="Times New Roman" w:hAnsi="Times New Roman" w:hint="eastAsia"/>
        </w:rPr>
        <w:t>监测点</w:t>
      </w: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hint="eastAsia"/>
        </w:rPr>
        <w:t>、</w:t>
      </w:r>
      <w:r>
        <w:rPr>
          <w:rFonts w:ascii="Times New Roman" w:hAnsi="Times New Roman"/>
        </w:rPr>
        <w:t>PM</w:t>
      </w:r>
      <w:r>
        <w:rPr>
          <w:rFonts w:ascii="Times New Roman" w:hAnsi="Times New Roman" w:hint="eastAsia"/>
          <w:vertAlign w:val="subscript"/>
        </w:rPr>
        <w:t>2.5</w:t>
      </w:r>
      <w:r>
        <w:rPr>
          <w:rFonts w:ascii="Times New Roman" w:hAnsi="Times New Roman" w:hint="eastAsia"/>
        </w:rPr>
        <w:t>、</w:t>
      </w:r>
      <w:r>
        <w:rPr>
          <w:rFonts w:ascii="Times New Roman" w:hAnsi="Times New Roman"/>
        </w:rPr>
        <w:t>TSP</w:t>
      </w:r>
      <w:r>
        <w:rPr>
          <w:rFonts w:ascii="Times New Roman" w:hAnsi="Times New Roman" w:hint="eastAsia"/>
        </w:rPr>
        <w:t>均满足</w:t>
      </w:r>
      <w:r>
        <w:rPr>
          <w:rFonts w:ascii="Times New Roman" w:hAnsi="Times New Roman"/>
        </w:rPr>
        <w:t>《环境空气质量标准》（</w:t>
      </w:r>
      <w:r>
        <w:rPr>
          <w:rFonts w:ascii="Times New Roman" w:hAnsi="Times New Roman"/>
        </w:rPr>
        <w:t>GB3095-</w:t>
      </w:r>
      <w:r>
        <w:rPr>
          <w:rFonts w:ascii="Times New Roman" w:hAnsi="Times New Roman" w:hint="eastAsia"/>
        </w:rPr>
        <w:t>2012</w:t>
      </w:r>
      <w:r>
        <w:rPr>
          <w:rFonts w:ascii="Times New Roman" w:hAnsi="Times New Roman"/>
        </w:rPr>
        <w:t>）</w:t>
      </w:r>
      <w:r>
        <w:rPr>
          <w:rFonts w:ascii="Times New Roman" w:hAnsi="Times New Roman" w:hint="eastAsia"/>
        </w:rPr>
        <w:t>中</w:t>
      </w:r>
      <w:r>
        <w:rPr>
          <w:rFonts w:ascii="Times New Roman" w:hAnsi="Times New Roman"/>
        </w:rPr>
        <w:t>二级</w:t>
      </w:r>
      <w:r>
        <w:rPr>
          <w:rFonts w:ascii="Times New Roman" w:hAnsi="Times New Roman" w:hint="eastAsia"/>
        </w:rPr>
        <w:t>浓度</w:t>
      </w:r>
      <w:r>
        <w:rPr>
          <w:rFonts w:ascii="Times New Roman" w:hAnsi="Times New Roman"/>
        </w:rPr>
        <w:t>限值</w:t>
      </w:r>
      <w:r>
        <w:rPr>
          <w:rFonts w:ascii="Times New Roman" w:hAnsi="Times New Roman" w:hint="eastAsia"/>
        </w:rPr>
        <w:t>的要求；易婆塘采区和斗米咀采区各断面各个监测因子均可满足《地表水环境质量》（</w:t>
      </w:r>
      <w:r>
        <w:rPr>
          <w:rFonts w:ascii="Times New Roman" w:hAnsi="Times New Roman" w:hint="eastAsia"/>
        </w:rPr>
        <w:t>GB3838-2002</w:t>
      </w:r>
      <w:r>
        <w:rPr>
          <w:rFonts w:ascii="Times New Roman" w:hAnsi="Times New Roman" w:hint="eastAsia"/>
        </w:rPr>
        <w:t>）中Ⅲ类水质标准的要求，屈原管理区鸡啼湖取水口断面各个监测因子均可满足《地表水环境质量》（</w:t>
      </w:r>
      <w:r>
        <w:rPr>
          <w:rFonts w:ascii="Times New Roman" w:hAnsi="Times New Roman" w:hint="eastAsia"/>
        </w:rPr>
        <w:t>GB3838-2002</w:t>
      </w:r>
      <w:r>
        <w:rPr>
          <w:rFonts w:ascii="Times New Roman" w:hAnsi="Times New Roman" w:hint="eastAsia"/>
        </w:rPr>
        <w:t>）中Ⅱ类水质标准的要求；</w:t>
      </w:r>
      <w:r>
        <w:rPr>
          <w:rStyle w:val="Charf2"/>
          <w:rFonts w:hint="eastAsia"/>
        </w:rPr>
        <w:t>各个监测点的地下水水质监测因子均满足《地下水质量标准》（</w:t>
      </w:r>
      <w:r>
        <w:rPr>
          <w:rStyle w:val="Charf2"/>
          <w:rFonts w:hint="eastAsia"/>
        </w:rPr>
        <w:t>GB/T 14848-2017</w:t>
      </w:r>
      <w:r>
        <w:rPr>
          <w:rStyle w:val="Charf2"/>
          <w:rFonts w:hint="eastAsia"/>
        </w:rPr>
        <w:t>）中Ⅲ类水质标准的要求；</w:t>
      </w:r>
      <w:r>
        <w:rPr>
          <w:rFonts w:ascii="Times New Roman" w:hAnsi="Times New Roman" w:hint="eastAsia"/>
        </w:rPr>
        <w:t>各监测点的声环境质量现状均可满足</w:t>
      </w:r>
      <w:r>
        <w:rPr>
          <w:rFonts w:ascii="Times New Roman" w:hAnsi="Times New Roman"/>
        </w:rPr>
        <w:t>《声环境质量标准》</w:t>
      </w:r>
      <w:r>
        <w:rPr>
          <w:rFonts w:ascii="Times New Roman" w:hAnsi="Times New Roman" w:hint="eastAsia"/>
        </w:rPr>
        <w:t>（</w:t>
      </w:r>
      <w:r>
        <w:rPr>
          <w:rFonts w:ascii="Times New Roman" w:hAnsi="Times New Roman"/>
        </w:rPr>
        <w:t>GB3096-2008</w:t>
      </w:r>
      <w:r>
        <w:rPr>
          <w:rFonts w:ascii="Times New Roman" w:hAnsi="Times New Roman" w:hint="eastAsia"/>
        </w:rPr>
        <w:t>）</w:t>
      </w:r>
      <w:r>
        <w:rPr>
          <w:rFonts w:ascii="Times New Roman" w:hAnsi="Times New Roman"/>
        </w:rPr>
        <w:t>中的</w:t>
      </w:r>
      <w:r>
        <w:rPr>
          <w:rFonts w:ascii="Times New Roman" w:hAnsi="Times New Roman" w:hint="eastAsia"/>
        </w:rPr>
        <w:t>2</w:t>
      </w:r>
      <w:r>
        <w:rPr>
          <w:rFonts w:ascii="Times New Roman" w:hAnsi="Times New Roman"/>
        </w:rPr>
        <w:t>类声环境质量标准的要求</w:t>
      </w:r>
      <w:r>
        <w:rPr>
          <w:rFonts w:ascii="Times New Roman" w:hAnsi="Times New Roman" w:hint="eastAsia"/>
        </w:rPr>
        <w:t>；</w:t>
      </w:r>
      <w:r>
        <w:rPr>
          <w:rFonts w:ascii="Times New Roman" w:hAnsi="Times New Roman"/>
        </w:rPr>
        <w:t>本次调查的</w:t>
      </w:r>
      <w:r>
        <w:rPr>
          <w:rFonts w:ascii="Times New Roman" w:hAnsi="Times New Roman" w:hint="eastAsia"/>
        </w:rPr>
        <w:t>2</w:t>
      </w:r>
      <w:r>
        <w:rPr>
          <w:rFonts w:ascii="Times New Roman" w:hAnsi="Times New Roman"/>
        </w:rPr>
        <w:t>个断面河流底泥中各监测因子均未出现超标，河流底泥各监测点符合《土壤环境质量</w:t>
      </w:r>
      <w:r>
        <w:rPr>
          <w:rFonts w:ascii="Times New Roman" w:hAnsi="Times New Roman" w:hint="eastAsia"/>
        </w:rPr>
        <w:t xml:space="preserve"> </w:t>
      </w:r>
      <w:r>
        <w:rPr>
          <w:rFonts w:ascii="Times New Roman" w:hAnsi="Times New Roman" w:hint="eastAsia"/>
        </w:rPr>
        <w:t>农用地土壤污染风险管控</w:t>
      </w:r>
      <w:r>
        <w:rPr>
          <w:rFonts w:ascii="Times New Roman" w:hAnsi="Times New Roman"/>
        </w:rPr>
        <w:t>标准》（</w:t>
      </w:r>
      <w:r>
        <w:rPr>
          <w:rFonts w:ascii="Times New Roman" w:hAnsi="Times New Roman"/>
        </w:rPr>
        <w:t>GB15618-</w:t>
      </w:r>
      <w:r>
        <w:rPr>
          <w:rFonts w:ascii="Times New Roman" w:hAnsi="Times New Roman" w:hint="eastAsia"/>
        </w:rPr>
        <w:t>2018</w:t>
      </w:r>
      <w:r>
        <w:rPr>
          <w:rFonts w:ascii="Times New Roman" w:hAnsi="Times New Roman"/>
        </w:rPr>
        <w:t>）</w:t>
      </w:r>
      <w:r>
        <w:rPr>
          <w:rFonts w:ascii="Times New Roman" w:hAnsi="Times New Roman" w:hint="eastAsia"/>
        </w:rPr>
        <w:t>中的风险筛选值。</w:t>
      </w:r>
    </w:p>
    <w:p w:rsidR="004B4777" w:rsidRDefault="004B4777">
      <w:pPr>
        <w:pStyle w:val="2"/>
        <w:spacing w:before="0" w:after="0"/>
        <w:rPr>
          <w:rFonts w:ascii="Times New Roman" w:eastAsia="宋体" w:hAnsi="Times New Roman"/>
          <w:b/>
          <w:sz w:val="30"/>
          <w:szCs w:val="30"/>
        </w:rPr>
      </w:pPr>
      <w:bookmarkStart w:id="289" w:name="_Toc523854070"/>
      <w:r>
        <w:rPr>
          <w:rFonts w:ascii="Times New Roman" w:eastAsia="宋体" w:hAnsi="Times New Roman" w:hint="eastAsia"/>
          <w:b/>
          <w:sz w:val="30"/>
          <w:szCs w:val="30"/>
        </w:rPr>
        <w:t>12</w:t>
      </w:r>
      <w:r>
        <w:rPr>
          <w:rFonts w:ascii="Times New Roman" w:eastAsia="宋体" w:hAnsi="Times New Roman"/>
          <w:b/>
          <w:sz w:val="30"/>
          <w:szCs w:val="30"/>
        </w:rPr>
        <w:t xml:space="preserve">.5 </w:t>
      </w:r>
      <w:r>
        <w:rPr>
          <w:rFonts w:ascii="Times New Roman" w:eastAsia="宋体" w:hAnsi="Times New Roman"/>
          <w:b/>
          <w:sz w:val="30"/>
          <w:szCs w:val="30"/>
        </w:rPr>
        <w:t>环境影响分析结论</w:t>
      </w:r>
      <w:bookmarkEnd w:id="289"/>
    </w:p>
    <w:p w:rsidR="004B4777" w:rsidRDefault="004B4777">
      <w:pPr>
        <w:pStyle w:val="3"/>
        <w:spacing w:before="0" w:after="0"/>
        <w:rPr>
          <w:rFonts w:ascii="Times New Roman" w:eastAsia="宋体" w:hAnsi="Times New Roman"/>
          <w:b/>
        </w:rPr>
      </w:pPr>
      <w:r>
        <w:rPr>
          <w:rFonts w:ascii="Times New Roman" w:eastAsia="宋体" w:hAnsi="Times New Roman" w:hint="eastAsia"/>
          <w:b/>
        </w:rPr>
        <w:t>12</w:t>
      </w:r>
      <w:r>
        <w:rPr>
          <w:rFonts w:ascii="Times New Roman" w:eastAsia="宋体" w:hAnsi="Times New Roman"/>
          <w:b/>
        </w:rPr>
        <w:t xml:space="preserve">.5.1 </w:t>
      </w:r>
      <w:r>
        <w:rPr>
          <w:rFonts w:ascii="Times New Roman" w:eastAsia="宋体" w:hAnsi="Times New Roman"/>
          <w:b/>
        </w:rPr>
        <w:t>地表水环境影响分析</w:t>
      </w:r>
    </w:p>
    <w:p w:rsidR="004B4777" w:rsidRDefault="004B4777">
      <w:pPr>
        <w:ind w:firstLine="480"/>
        <w:rPr>
          <w:rFonts w:ascii="Times New Roman" w:hAnsi="Times New Roman"/>
          <w:color w:val="000000"/>
        </w:rPr>
      </w:pPr>
      <w:r>
        <w:rPr>
          <w:rFonts w:ascii="Times New Roman" w:hAnsi="Times New Roman"/>
          <w:color w:val="000000"/>
        </w:rPr>
        <w:t>吸管式采砂船对采砂河段的水体产生一定扰动作用，河道通过采砂，将河道底泥、现有阻水障碍物等清除，使河道水流通畅，河道采砂加深了河床，上述都会对水文情势产生影响，但影响均较小，河床演变趋势不会发生大的变化，也不会明显改变河床冲淤变化。</w:t>
      </w:r>
    </w:p>
    <w:p w:rsidR="004B4777" w:rsidRDefault="004B4777">
      <w:pPr>
        <w:ind w:firstLine="480"/>
        <w:rPr>
          <w:rFonts w:ascii="Times New Roman" w:hAnsi="Times New Roman"/>
          <w:u w:val="single"/>
        </w:rPr>
      </w:pPr>
      <w:r>
        <w:rPr>
          <w:rFonts w:ascii="Times New Roman" w:hAnsi="Times New Roman" w:hint="eastAsia"/>
          <w:u w:val="single"/>
        </w:rPr>
        <w:t>斗米咀采区</w:t>
      </w:r>
      <w:r>
        <w:rPr>
          <w:rFonts w:ascii="Times New Roman" w:hAnsi="Times New Roman"/>
          <w:u w:val="single"/>
        </w:rPr>
        <w:t>SS</w:t>
      </w:r>
      <w:r>
        <w:rPr>
          <w:rFonts w:ascii="Times New Roman" w:hAnsi="Times New Roman" w:hint="eastAsia"/>
          <w:u w:val="single"/>
        </w:rPr>
        <w:t>对湘江</w:t>
      </w:r>
      <w:r>
        <w:rPr>
          <w:rFonts w:ascii="Times New Roman" w:hAnsi="Times New Roman"/>
          <w:u w:val="single"/>
        </w:rPr>
        <w:t>贡献值在刚排放处为最大值</w:t>
      </w:r>
      <w:r>
        <w:rPr>
          <w:rFonts w:ascii="Times New Roman" w:hAnsi="Times New Roman" w:hint="eastAsia"/>
          <w:u w:val="single"/>
        </w:rPr>
        <w:t>1051.9</w:t>
      </w:r>
      <w:r>
        <w:rPr>
          <w:rFonts w:ascii="Times New Roman" w:hAnsi="Times New Roman"/>
          <w:u w:val="single"/>
        </w:rPr>
        <w:t>mg/L</w:t>
      </w:r>
      <w:r>
        <w:rPr>
          <w:rFonts w:ascii="Times New Roman" w:hAnsi="Times New Roman"/>
          <w:u w:val="single"/>
        </w:rPr>
        <w:t>，经过约</w:t>
      </w:r>
      <w:r>
        <w:rPr>
          <w:rFonts w:ascii="Times New Roman" w:hAnsi="Times New Roman" w:hint="eastAsia"/>
          <w:u w:val="single"/>
        </w:rPr>
        <w:t>2050</w:t>
      </w:r>
      <w:r>
        <w:rPr>
          <w:rFonts w:ascii="Times New Roman" w:hAnsi="Times New Roman"/>
          <w:u w:val="single"/>
        </w:rPr>
        <w:t xml:space="preserve"> m</w:t>
      </w:r>
      <w:r>
        <w:rPr>
          <w:rFonts w:ascii="Times New Roman" w:hAnsi="Times New Roman"/>
          <w:u w:val="single"/>
        </w:rPr>
        <w:t>，</w:t>
      </w:r>
      <w:r>
        <w:rPr>
          <w:rFonts w:ascii="Times New Roman" w:hAnsi="Times New Roman"/>
          <w:u w:val="single"/>
        </w:rPr>
        <w:t>SS</w:t>
      </w:r>
      <w:r>
        <w:rPr>
          <w:rFonts w:ascii="Times New Roman" w:hAnsi="Times New Roman"/>
          <w:u w:val="single"/>
        </w:rPr>
        <w:t>能稀释和沉淀到</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左右，与《地表水资源质量标准》（</w:t>
      </w:r>
      <w:r>
        <w:rPr>
          <w:rFonts w:ascii="Times New Roman" w:hAnsi="Times New Roman"/>
          <w:u w:val="single"/>
        </w:rPr>
        <w:t>SL63-94</w:t>
      </w:r>
      <w:r>
        <w:rPr>
          <w:rFonts w:ascii="Times New Roman" w:hAnsi="Times New Roman"/>
          <w:u w:val="single"/>
        </w:rPr>
        <w:t>）</w:t>
      </w:r>
      <w:r>
        <w:rPr>
          <w:rFonts w:ascii="Times New Roman" w:hAnsi="Times New Roman" w:hint="eastAsia"/>
          <w:u w:val="single"/>
        </w:rPr>
        <w:t>三级</w:t>
      </w:r>
      <w:r>
        <w:rPr>
          <w:rFonts w:ascii="Times New Roman" w:hAnsi="Times New Roman"/>
          <w:u w:val="single"/>
        </w:rPr>
        <w:t>标准中</w:t>
      </w:r>
      <w:r>
        <w:rPr>
          <w:rFonts w:ascii="Times New Roman" w:hAnsi="Times New Roman"/>
          <w:u w:val="single"/>
        </w:rPr>
        <w:t>SS</w:t>
      </w:r>
      <w:r>
        <w:rPr>
          <w:rFonts w:ascii="Times New Roman" w:hAnsi="Times New Roman"/>
          <w:u w:val="single"/>
        </w:rPr>
        <w:t>的浓度值</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接近，其影响范围在</w:t>
      </w:r>
      <w:r>
        <w:rPr>
          <w:rFonts w:ascii="Times New Roman" w:hAnsi="Times New Roman" w:hint="eastAsia"/>
          <w:u w:val="single"/>
        </w:rPr>
        <w:t>下游</w:t>
      </w:r>
      <w:r>
        <w:rPr>
          <w:rFonts w:ascii="Times New Roman" w:hAnsi="Times New Roman" w:hint="eastAsia"/>
          <w:u w:val="single"/>
        </w:rPr>
        <w:t>2050</w:t>
      </w:r>
      <w:r>
        <w:rPr>
          <w:rFonts w:ascii="Times New Roman" w:hAnsi="Times New Roman"/>
          <w:u w:val="single"/>
        </w:rPr>
        <w:t>m</w:t>
      </w:r>
      <w:r>
        <w:rPr>
          <w:rFonts w:ascii="Times New Roman" w:hAnsi="Times New Roman"/>
          <w:u w:val="single"/>
        </w:rPr>
        <w:t>以内</w:t>
      </w:r>
      <w:r>
        <w:rPr>
          <w:rFonts w:ascii="Times New Roman" w:hAnsi="Times New Roman" w:hint="eastAsia"/>
          <w:u w:val="single"/>
        </w:rPr>
        <w:t>；易婆塘采区</w:t>
      </w:r>
      <w:r>
        <w:rPr>
          <w:rFonts w:ascii="Times New Roman" w:hAnsi="Times New Roman"/>
          <w:u w:val="single"/>
        </w:rPr>
        <w:t>SS</w:t>
      </w:r>
      <w:r>
        <w:rPr>
          <w:rFonts w:ascii="Times New Roman" w:hAnsi="Times New Roman" w:hint="eastAsia"/>
          <w:u w:val="single"/>
        </w:rPr>
        <w:t>对资江</w:t>
      </w:r>
      <w:r>
        <w:rPr>
          <w:rFonts w:ascii="Times New Roman" w:hAnsi="Times New Roman"/>
          <w:u w:val="single"/>
        </w:rPr>
        <w:t>贡献值在刚排放处为最大值</w:t>
      </w:r>
      <w:r>
        <w:rPr>
          <w:rFonts w:ascii="Times New Roman" w:hAnsi="Times New Roman" w:hint="eastAsia"/>
          <w:u w:val="single"/>
        </w:rPr>
        <w:t>4676</w:t>
      </w:r>
      <w:r>
        <w:rPr>
          <w:rFonts w:ascii="Times New Roman" w:hAnsi="Times New Roman"/>
          <w:u w:val="single"/>
        </w:rPr>
        <w:t>mg/L</w:t>
      </w:r>
      <w:r>
        <w:rPr>
          <w:rFonts w:ascii="Times New Roman" w:hAnsi="Times New Roman"/>
          <w:u w:val="single"/>
        </w:rPr>
        <w:t>，经过约</w:t>
      </w:r>
      <w:r>
        <w:rPr>
          <w:rFonts w:ascii="Times New Roman" w:hAnsi="Times New Roman" w:hint="eastAsia"/>
          <w:u w:val="single"/>
        </w:rPr>
        <w:t>38</w:t>
      </w:r>
      <w:r>
        <w:rPr>
          <w:rFonts w:ascii="Times New Roman" w:hAnsi="Times New Roman"/>
          <w:u w:val="single"/>
        </w:rPr>
        <w:t>00 m</w:t>
      </w:r>
      <w:r>
        <w:rPr>
          <w:rFonts w:ascii="Times New Roman" w:hAnsi="Times New Roman"/>
          <w:u w:val="single"/>
        </w:rPr>
        <w:t>，</w:t>
      </w:r>
      <w:r>
        <w:rPr>
          <w:rFonts w:ascii="Times New Roman" w:hAnsi="Times New Roman"/>
          <w:u w:val="single"/>
        </w:rPr>
        <w:t>SS</w:t>
      </w:r>
      <w:r>
        <w:rPr>
          <w:rFonts w:ascii="Times New Roman" w:hAnsi="Times New Roman"/>
          <w:u w:val="single"/>
        </w:rPr>
        <w:t>能稀释和沉淀到</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左右，与《地表水资源质量标准》（</w:t>
      </w:r>
      <w:r>
        <w:rPr>
          <w:rFonts w:ascii="Times New Roman" w:hAnsi="Times New Roman"/>
          <w:u w:val="single"/>
        </w:rPr>
        <w:t>SL63-94</w:t>
      </w:r>
      <w:r>
        <w:rPr>
          <w:rFonts w:ascii="Times New Roman" w:hAnsi="Times New Roman"/>
          <w:u w:val="single"/>
        </w:rPr>
        <w:t>）</w:t>
      </w:r>
      <w:r>
        <w:rPr>
          <w:rFonts w:ascii="Times New Roman" w:hAnsi="Times New Roman" w:hint="eastAsia"/>
          <w:u w:val="single"/>
        </w:rPr>
        <w:t>三级</w:t>
      </w:r>
      <w:r>
        <w:rPr>
          <w:rFonts w:ascii="Times New Roman" w:hAnsi="Times New Roman"/>
          <w:u w:val="single"/>
        </w:rPr>
        <w:t>标准中</w:t>
      </w:r>
      <w:r>
        <w:rPr>
          <w:rFonts w:ascii="Times New Roman" w:hAnsi="Times New Roman"/>
          <w:u w:val="single"/>
        </w:rPr>
        <w:t>SS</w:t>
      </w:r>
      <w:r>
        <w:rPr>
          <w:rFonts w:ascii="Times New Roman" w:hAnsi="Times New Roman"/>
          <w:u w:val="single"/>
        </w:rPr>
        <w:t>的浓度值</w:t>
      </w:r>
      <w:r>
        <w:rPr>
          <w:rFonts w:ascii="Times New Roman" w:hAnsi="Times New Roman" w:hint="eastAsia"/>
          <w:u w:val="single"/>
        </w:rPr>
        <w:t>3</w:t>
      </w:r>
      <w:r>
        <w:rPr>
          <w:rFonts w:ascii="Times New Roman" w:hAnsi="Times New Roman"/>
          <w:u w:val="single"/>
        </w:rPr>
        <w:t>0mg/L</w:t>
      </w:r>
      <w:r>
        <w:rPr>
          <w:rFonts w:ascii="Times New Roman" w:hAnsi="Times New Roman"/>
          <w:u w:val="single"/>
        </w:rPr>
        <w:t>接近，其影响范围在</w:t>
      </w:r>
      <w:r>
        <w:rPr>
          <w:rFonts w:ascii="Times New Roman" w:hAnsi="Times New Roman" w:hint="eastAsia"/>
          <w:u w:val="single"/>
        </w:rPr>
        <w:t>下游</w:t>
      </w:r>
      <w:r>
        <w:rPr>
          <w:rFonts w:ascii="Times New Roman" w:hAnsi="Times New Roman" w:hint="eastAsia"/>
          <w:u w:val="single"/>
        </w:rPr>
        <w:t>38</w:t>
      </w:r>
      <w:r>
        <w:rPr>
          <w:rFonts w:ascii="Times New Roman" w:hAnsi="Times New Roman"/>
          <w:u w:val="single"/>
        </w:rPr>
        <w:t>00m</w:t>
      </w:r>
      <w:r>
        <w:rPr>
          <w:rFonts w:ascii="Times New Roman" w:hAnsi="Times New Roman"/>
          <w:u w:val="single"/>
        </w:rPr>
        <w:t>以内</w:t>
      </w:r>
      <w:r>
        <w:rPr>
          <w:rFonts w:ascii="Times New Roman" w:hAnsi="Times New Roman" w:hint="eastAsia"/>
          <w:u w:val="single"/>
        </w:rPr>
        <w:t>。由于资江采区分布有</w:t>
      </w:r>
      <w:r>
        <w:rPr>
          <w:rFonts w:ascii="Times New Roman" w:hAnsi="Times New Roman" w:hint="eastAsia"/>
          <w:u w:val="single"/>
        </w:rPr>
        <w:t>6</w:t>
      </w:r>
      <w:r>
        <w:rPr>
          <w:rFonts w:ascii="Times New Roman" w:hAnsi="Times New Roman" w:hint="eastAsia"/>
          <w:u w:val="single"/>
        </w:rPr>
        <w:t>座采砂船，同时开采其</w:t>
      </w:r>
      <w:r>
        <w:rPr>
          <w:rFonts w:ascii="Times New Roman" w:hAnsi="Times New Roman" w:hint="eastAsia"/>
          <w:u w:val="single"/>
        </w:rPr>
        <w:t>SS</w:t>
      </w:r>
      <w:r>
        <w:rPr>
          <w:rFonts w:ascii="Times New Roman" w:hAnsi="Times New Roman" w:hint="eastAsia"/>
          <w:u w:val="single"/>
        </w:rPr>
        <w:t>对水环境的影响较大。</w:t>
      </w:r>
      <w:r>
        <w:rPr>
          <w:rFonts w:ascii="Times New Roman" w:hAnsi="Times New Roman"/>
          <w:u w:val="single"/>
        </w:rPr>
        <w:t>根据</w:t>
      </w:r>
      <w:r>
        <w:rPr>
          <w:rFonts w:ascii="Times New Roman" w:hAnsi="Times New Roman" w:hint="eastAsia"/>
          <w:u w:val="single"/>
        </w:rPr>
        <w:t>预测结果，</w:t>
      </w:r>
      <w:r>
        <w:rPr>
          <w:rFonts w:ascii="Times New Roman" w:hAnsi="Times New Roman" w:hint="eastAsia"/>
          <w:u w:val="single"/>
        </w:rPr>
        <w:t>SS</w:t>
      </w:r>
      <w:r>
        <w:rPr>
          <w:rFonts w:ascii="Times New Roman" w:hAnsi="Times New Roman"/>
          <w:u w:val="single"/>
        </w:rPr>
        <w:t>对水环境的</w:t>
      </w:r>
      <w:r>
        <w:rPr>
          <w:rFonts w:ascii="Times New Roman" w:hAnsi="Times New Roman" w:hint="eastAsia"/>
          <w:u w:val="single"/>
        </w:rPr>
        <w:t>影响较大，须采取相关措施</w:t>
      </w:r>
      <w:r>
        <w:rPr>
          <w:rFonts w:ascii="Times New Roman" w:hAnsi="Times New Roman"/>
          <w:u w:val="single"/>
        </w:rPr>
        <w:t>。</w:t>
      </w:r>
    </w:p>
    <w:p w:rsidR="004B4777" w:rsidRDefault="004B4777">
      <w:pPr>
        <w:tabs>
          <w:tab w:val="left" w:pos="1080"/>
        </w:tabs>
        <w:autoSpaceDE w:val="0"/>
        <w:autoSpaceDN w:val="0"/>
        <w:ind w:firstLine="480"/>
        <w:rPr>
          <w:rFonts w:ascii="Times New Roman" w:hAnsi="Times New Roman" w:hint="eastAsia"/>
          <w:kern w:val="0"/>
          <w:szCs w:val="24"/>
          <w:u w:val="single"/>
        </w:rPr>
      </w:pPr>
      <w:r>
        <w:rPr>
          <w:rFonts w:ascii="Times New Roman" w:hAnsi="Times New Roman"/>
          <w:kern w:val="0"/>
          <w:szCs w:val="24"/>
          <w:u w:val="single"/>
        </w:rPr>
        <w:t>项目船舶底油污水需经船舶自带的油水分离器处理后</w:t>
      </w:r>
      <w:r>
        <w:rPr>
          <w:rFonts w:ascii="Times New Roman" w:hAnsi="Times New Roman" w:hint="eastAsia"/>
          <w:kern w:val="0"/>
          <w:szCs w:val="24"/>
          <w:u w:val="single"/>
        </w:rPr>
        <w:t>暂存于船舶自备的容器中；</w:t>
      </w:r>
      <w:r>
        <w:rPr>
          <w:rFonts w:ascii="Times New Roman" w:hAnsi="Times New Roman"/>
          <w:kern w:val="0"/>
          <w:szCs w:val="24"/>
          <w:u w:val="single"/>
        </w:rPr>
        <w:t>没有安装油水分离器的船舶，其舱底油污水应暂存于船舶自备的容器中，</w:t>
      </w:r>
      <w:r>
        <w:rPr>
          <w:rFonts w:ascii="Times New Roman" w:hAnsi="Times New Roman" w:hint="eastAsia"/>
          <w:kern w:val="0"/>
          <w:szCs w:val="24"/>
          <w:u w:val="single"/>
        </w:rPr>
        <w:t>一</w:t>
      </w:r>
      <w:r>
        <w:rPr>
          <w:rFonts w:ascii="Times New Roman" w:hAnsi="Times New Roman"/>
          <w:kern w:val="0"/>
          <w:szCs w:val="24"/>
          <w:u w:val="single"/>
        </w:rPr>
        <w:t>并送油污水接收接收船或岸上的油污水接收单位接收处理。施工船舶舱底油污</w:t>
      </w:r>
      <w:r>
        <w:rPr>
          <w:rFonts w:ascii="Times New Roman" w:hAnsi="Times New Roman"/>
          <w:kern w:val="0"/>
          <w:szCs w:val="24"/>
          <w:u w:val="single"/>
        </w:rPr>
        <w:lastRenderedPageBreak/>
        <w:t>水达标排放对水环境造成的石油类增值有限，对区域河流水环境影响较小。生活污水</w:t>
      </w:r>
      <w:r>
        <w:rPr>
          <w:rFonts w:ascii="Times New Roman" w:hAnsi="Times New Roman" w:hint="eastAsia"/>
          <w:kern w:val="0"/>
          <w:szCs w:val="24"/>
          <w:u w:val="single"/>
        </w:rPr>
        <w:t>经一体化处理设备处理达标后暂存于船舶自备的容器中委托有资质单位接收处置</w:t>
      </w:r>
      <w:r>
        <w:rPr>
          <w:rFonts w:ascii="Times New Roman" w:hAnsi="Times New Roman"/>
          <w:kern w:val="0"/>
          <w:szCs w:val="24"/>
          <w:u w:val="single"/>
        </w:rPr>
        <w:t>，基本不会对周围水环境产生影响。</w:t>
      </w:r>
    </w:p>
    <w:p w:rsidR="004B4777" w:rsidRDefault="004B4777">
      <w:pPr>
        <w:pStyle w:val="3"/>
        <w:spacing w:before="0" w:after="0"/>
        <w:rPr>
          <w:rFonts w:ascii="Times New Roman" w:eastAsia="宋体" w:hAnsi="Times New Roman"/>
          <w:b/>
        </w:rPr>
      </w:pPr>
      <w:r>
        <w:rPr>
          <w:rFonts w:ascii="Times New Roman" w:eastAsia="宋体" w:hAnsi="Times New Roman" w:hint="eastAsia"/>
          <w:b/>
        </w:rPr>
        <w:t>12</w:t>
      </w:r>
      <w:r>
        <w:rPr>
          <w:rFonts w:ascii="Times New Roman" w:eastAsia="宋体" w:hAnsi="Times New Roman"/>
          <w:b/>
        </w:rPr>
        <w:t xml:space="preserve">.5.2 </w:t>
      </w:r>
      <w:r>
        <w:rPr>
          <w:rFonts w:ascii="Times New Roman" w:eastAsia="宋体" w:hAnsi="Times New Roman" w:hint="eastAsia"/>
          <w:b/>
        </w:rPr>
        <w:t>地形地貌与冲淤环境影响分析</w:t>
      </w:r>
    </w:p>
    <w:p w:rsidR="004B4777" w:rsidRDefault="004B4777">
      <w:pPr>
        <w:tabs>
          <w:tab w:val="left" w:pos="1080"/>
        </w:tabs>
        <w:autoSpaceDE w:val="0"/>
        <w:autoSpaceDN w:val="0"/>
        <w:ind w:firstLine="480"/>
        <w:rPr>
          <w:rFonts w:ascii="Times New Roman" w:hAnsi="Times New Roman" w:hint="eastAsia"/>
          <w:kern w:val="0"/>
          <w:szCs w:val="24"/>
        </w:rPr>
      </w:pPr>
      <w:r>
        <w:rPr>
          <w:rFonts w:ascii="Times New Roman" w:hAnsi="Times New Roman"/>
        </w:rPr>
        <w:t>项目采砂</w:t>
      </w:r>
      <w:r>
        <w:rPr>
          <w:rFonts w:ascii="Times New Roman" w:hAnsi="Times New Roman" w:hint="eastAsia"/>
        </w:rPr>
        <w:t>河道均有一定的上游来砂</w:t>
      </w:r>
      <w:r>
        <w:rPr>
          <w:rFonts w:ascii="Times New Roman" w:hAnsi="Times New Roman"/>
        </w:rPr>
        <w:t>，项目采砂期间将得到一定的补充，在一定程度上降低了采砂过程中冲淤的影响。</w:t>
      </w:r>
    </w:p>
    <w:p w:rsidR="004B4777" w:rsidRDefault="004B4777">
      <w:pPr>
        <w:pStyle w:val="3"/>
        <w:spacing w:before="0" w:after="0"/>
        <w:rPr>
          <w:rFonts w:ascii="Times New Roman" w:eastAsia="宋体" w:hAnsi="Times New Roman"/>
          <w:b/>
        </w:rPr>
      </w:pPr>
      <w:r>
        <w:rPr>
          <w:rFonts w:ascii="Times New Roman" w:eastAsia="宋体" w:hAnsi="Times New Roman" w:hint="eastAsia"/>
          <w:b/>
        </w:rPr>
        <w:t>12</w:t>
      </w:r>
      <w:r>
        <w:rPr>
          <w:rFonts w:ascii="Times New Roman" w:eastAsia="宋体" w:hAnsi="Times New Roman"/>
          <w:b/>
        </w:rPr>
        <w:t>.5.</w:t>
      </w:r>
      <w:r>
        <w:rPr>
          <w:rFonts w:ascii="Times New Roman" w:eastAsia="宋体" w:hAnsi="Times New Roman" w:hint="eastAsia"/>
          <w:b/>
        </w:rPr>
        <w:t>3</w:t>
      </w:r>
      <w:r>
        <w:rPr>
          <w:rFonts w:ascii="Times New Roman" w:eastAsia="宋体" w:hAnsi="Times New Roman"/>
          <w:b/>
        </w:rPr>
        <w:t xml:space="preserve"> </w:t>
      </w:r>
      <w:r>
        <w:rPr>
          <w:rFonts w:ascii="Times New Roman" w:eastAsia="宋体" w:hAnsi="Times New Roman"/>
          <w:b/>
        </w:rPr>
        <w:t>采砂对沉积物影响分析</w:t>
      </w:r>
    </w:p>
    <w:p w:rsidR="004B4777" w:rsidRDefault="004B4777">
      <w:pPr>
        <w:ind w:firstLine="480"/>
        <w:rPr>
          <w:rFonts w:ascii="Times New Roman" w:hAnsi="Times New Roman" w:hint="eastAsia"/>
        </w:rPr>
      </w:pPr>
      <w:r>
        <w:rPr>
          <w:rFonts w:ascii="Times New Roman" w:hAnsi="Times New Roman"/>
        </w:rPr>
        <w:t>根据施工方式，采砂溢流产生的悬浮物浓度增量主要集中在采砂区，基本不会改变其悬浮物浓度，因此，在陆源污染不变的情况下，吸附到悬浮泥沙上的污染物基本不会改变采砂区以外河底的沉积物特征。采砂作业结束后，采砂区将通过相当长的一段时间重新建立新的相对稳定的沉积物环境。</w:t>
      </w:r>
    </w:p>
    <w:p w:rsidR="004B4777" w:rsidRDefault="004B4777">
      <w:pPr>
        <w:pStyle w:val="3"/>
        <w:spacing w:before="0" w:after="0"/>
        <w:rPr>
          <w:rFonts w:ascii="Times New Roman" w:eastAsia="宋体" w:hAnsi="Times New Roman"/>
          <w:b/>
        </w:rPr>
      </w:pPr>
      <w:r>
        <w:rPr>
          <w:rFonts w:ascii="Times New Roman" w:eastAsia="宋体" w:hAnsi="Times New Roman" w:hint="eastAsia"/>
          <w:b/>
        </w:rPr>
        <w:t>12</w:t>
      </w:r>
      <w:r>
        <w:rPr>
          <w:rFonts w:ascii="Times New Roman" w:eastAsia="宋体" w:hAnsi="Times New Roman"/>
          <w:b/>
        </w:rPr>
        <w:t>.5.</w:t>
      </w:r>
      <w:r>
        <w:rPr>
          <w:rFonts w:ascii="Times New Roman" w:eastAsia="宋体" w:hAnsi="Times New Roman" w:hint="eastAsia"/>
          <w:b/>
        </w:rPr>
        <w:t>4</w:t>
      </w:r>
      <w:r>
        <w:rPr>
          <w:rFonts w:ascii="Times New Roman" w:eastAsia="宋体" w:hAnsi="Times New Roman"/>
          <w:b/>
        </w:rPr>
        <w:t xml:space="preserve"> </w:t>
      </w:r>
      <w:r>
        <w:rPr>
          <w:rFonts w:ascii="Times New Roman" w:eastAsia="宋体" w:hAnsi="Times New Roman"/>
          <w:b/>
        </w:rPr>
        <w:t>大气环境影响分析</w:t>
      </w:r>
    </w:p>
    <w:p w:rsidR="004B4777" w:rsidRDefault="004B4777">
      <w:pPr>
        <w:ind w:firstLine="480"/>
        <w:rPr>
          <w:rFonts w:ascii="Times New Roman" w:hAnsi="Times New Roman" w:hint="eastAsia"/>
          <w:szCs w:val="20"/>
        </w:rPr>
      </w:pPr>
      <w:r>
        <w:rPr>
          <w:rFonts w:ascii="Times New Roman" w:hAnsi="Times New Roman"/>
          <w:szCs w:val="20"/>
        </w:rPr>
        <w:t>采砂船和运砂船的燃油废气，主要污染物为</w:t>
      </w:r>
      <w:r>
        <w:rPr>
          <w:rFonts w:ascii="Times New Roman" w:hAnsi="Times New Roman"/>
          <w:szCs w:val="20"/>
        </w:rPr>
        <w:t>SO</w:t>
      </w:r>
      <w:r>
        <w:rPr>
          <w:rFonts w:ascii="Times New Roman" w:hAnsi="Times New Roman"/>
          <w:szCs w:val="20"/>
          <w:vertAlign w:val="subscript"/>
        </w:rPr>
        <w:t>2</w:t>
      </w:r>
      <w:r>
        <w:rPr>
          <w:rFonts w:ascii="Times New Roman" w:hAnsi="Times New Roman"/>
          <w:szCs w:val="20"/>
        </w:rPr>
        <w:t>、</w:t>
      </w:r>
      <w:r>
        <w:rPr>
          <w:rFonts w:ascii="Times New Roman" w:hAnsi="Times New Roman"/>
          <w:szCs w:val="20"/>
        </w:rPr>
        <w:t>NO</w:t>
      </w:r>
      <w:r>
        <w:rPr>
          <w:rFonts w:ascii="Times New Roman" w:hAnsi="Times New Roman"/>
          <w:szCs w:val="20"/>
          <w:vertAlign w:val="subscript"/>
        </w:rPr>
        <w:t>2</w:t>
      </w:r>
      <w:r>
        <w:rPr>
          <w:rFonts w:ascii="Times New Roman" w:hAnsi="Times New Roman"/>
          <w:szCs w:val="20"/>
        </w:rPr>
        <w:t>等，经扩散后影响较小。</w:t>
      </w:r>
    </w:p>
    <w:p w:rsidR="004B4777" w:rsidRDefault="004B4777">
      <w:pPr>
        <w:ind w:firstLine="480"/>
        <w:rPr>
          <w:rFonts w:ascii="Times New Roman" w:hAnsi="Times New Roman"/>
          <w:szCs w:val="20"/>
        </w:rPr>
      </w:pPr>
      <w:r>
        <w:rPr>
          <w:rFonts w:ascii="Times New Roman" w:hAnsi="Times New Roman"/>
          <w:szCs w:val="20"/>
        </w:rPr>
        <w:t>含有机物腐殖的污染底泥，在受到扰动和堆置地面时，会引起恶臭物质。本工程主要为采砂，开挖土方大部分未受污染，恶臭物质产生量少，且根据大气环境敏感目标表，所有敏感目标距疏浚线的距离均较远，因此采砂底泥恶臭不会对周边的居民产生明显不利影响。采砂过程中受恶臭影响的主要是施工人员，应做好相关防护措施。</w:t>
      </w:r>
    </w:p>
    <w:p w:rsidR="004B4777" w:rsidRDefault="004B4777">
      <w:pPr>
        <w:pStyle w:val="3"/>
        <w:spacing w:before="0" w:after="0"/>
        <w:rPr>
          <w:rFonts w:ascii="Times New Roman" w:eastAsia="宋体" w:hAnsi="Times New Roman"/>
          <w:b/>
        </w:rPr>
      </w:pPr>
      <w:r>
        <w:rPr>
          <w:rFonts w:ascii="Times New Roman" w:eastAsia="宋体" w:hAnsi="Times New Roman" w:hint="eastAsia"/>
          <w:b/>
        </w:rPr>
        <w:t>12</w:t>
      </w:r>
      <w:r>
        <w:rPr>
          <w:rFonts w:ascii="Times New Roman" w:eastAsia="宋体" w:hAnsi="Times New Roman"/>
          <w:b/>
        </w:rPr>
        <w:t>.5.</w:t>
      </w:r>
      <w:r>
        <w:rPr>
          <w:rFonts w:ascii="Times New Roman" w:eastAsia="宋体" w:hAnsi="Times New Roman" w:hint="eastAsia"/>
          <w:b/>
        </w:rPr>
        <w:t>5</w:t>
      </w:r>
      <w:r>
        <w:rPr>
          <w:rFonts w:ascii="Times New Roman" w:eastAsia="宋体" w:hAnsi="Times New Roman"/>
          <w:b/>
        </w:rPr>
        <w:t xml:space="preserve"> </w:t>
      </w:r>
      <w:r>
        <w:rPr>
          <w:rFonts w:ascii="Times New Roman" w:eastAsia="宋体" w:hAnsi="Times New Roman"/>
          <w:b/>
        </w:rPr>
        <w:t>声环境影响分析</w:t>
      </w:r>
    </w:p>
    <w:p w:rsidR="004B4777" w:rsidRDefault="004B4777">
      <w:pPr>
        <w:ind w:firstLine="480"/>
        <w:rPr>
          <w:rFonts w:ascii="Times New Roman" w:hAnsi="Times New Roman"/>
          <w:szCs w:val="20"/>
        </w:rPr>
      </w:pPr>
      <w:r>
        <w:rPr>
          <w:rFonts w:ascii="Times New Roman" w:hAnsi="Times New Roman"/>
          <w:szCs w:val="24"/>
        </w:rPr>
        <w:t>项目主要噪声源为采砂船和运砂船，源强为</w:t>
      </w:r>
      <w:r>
        <w:rPr>
          <w:rFonts w:ascii="Times New Roman" w:hAnsi="Times New Roman" w:hint="eastAsia"/>
          <w:szCs w:val="24"/>
        </w:rPr>
        <w:t>75</w:t>
      </w:r>
      <w:r>
        <w:rPr>
          <w:rFonts w:ascii="Times New Roman" w:hAnsi="Times New Roman"/>
          <w:szCs w:val="24"/>
        </w:rPr>
        <w:t>～</w:t>
      </w:r>
      <w:r>
        <w:rPr>
          <w:rFonts w:ascii="Times New Roman" w:hAnsi="Times New Roman"/>
          <w:szCs w:val="24"/>
        </w:rPr>
        <w:t>9</w:t>
      </w:r>
      <w:r>
        <w:rPr>
          <w:rFonts w:ascii="Times New Roman" w:hAnsi="Times New Roman" w:hint="eastAsia"/>
          <w:szCs w:val="24"/>
        </w:rPr>
        <w:t>5</w:t>
      </w:r>
      <w:r>
        <w:rPr>
          <w:rFonts w:ascii="Times New Roman" w:hAnsi="Times New Roman" w:hint="eastAsia"/>
        </w:rPr>
        <w:t xml:space="preserve"> </w:t>
      </w:r>
      <w:r>
        <w:rPr>
          <w:rFonts w:ascii="Times New Roman" w:hAnsi="Times New Roman" w:hint="eastAsia"/>
          <w:szCs w:val="20"/>
        </w:rPr>
        <w:t>dB</w:t>
      </w:r>
      <w:r>
        <w:rPr>
          <w:rFonts w:ascii="Times New Roman" w:hAnsi="Times New Roman" w:hint="eastAsia"/>
          <w:szCs w:val="20"/>
        </w:rPr>
        <w:t>（</w:t>
      </w:r>
      <w:r>
        <w:rPr>
          <w:rFonts w:ascii="Times New Roman" w:hAnsi="Times New Roman" w:hint="eastAsia"/>
          <w:szCs w:val="20"/>
        </w:rPr>
        <w:t>A</w:t>
      </w:r>
      <w:r>
        <w:rPr>
          <w:rFonts w:ascii="Times New Roman" w:hAnsi="Times New Roman" w:hint="eastAsia"/>
          <w:szCs w:val="20"/>
        </w:rPr>
        <w:t>），经预测，</w:t>
      </w:r>
      <w:r>
        <w:rPr>
          <w:rFonts w:ascii="Times New Roman" w:hAnsi="Times New Roman"/>
          <w:szCs w:val="20"/>
        </w:rPr>
        <w:t>要使挖沙船施工产生的噪声达到《声环境质量标准》</w:t>
      </w:r>
      <w:r>
        <w:rPr>
          <w:rFonts w:ascii="Times New Roman" w:hAnsi="Times New Roman"/>
          <w:szCs w:val="20"/>
        </w:rPr>
        <w:t>(GB3096-2008)</w:t>
      </w:r>
      <w:r>
        <w:rPr>
          <w:rFonts w:ascii="Times New Roman" w:hAnsi="Times New Roman"/>
          <w:szCs w:val="20"/>
        </w:rPr>
        <w:t>中</w:t>
      </w:r>
      <w:r>
        <w:rPr>
          <w:rFonts w:ascii="Times New Roman" w:hAnsi="Times New Roman" w:hint="eastAsia"/>
          <w:szCs w:val="20"/>
        </w:rPr>
        <w:t>2</w:t>
      </w:r>
      <w:r>
        <w:rPr>
          <w:rFonts w:ascii="Times New Roman" w:hAnsi="Times New Roman"/>
          <w:szCs w:val="20"/>
        </w:rPr>
        <w:t xml:space="preserve"> </w:t>
      </w:r>
      <w:r>
        <w:rPr>
          <w:rFonts w:ascii="Times New Roman" w:hAnsi="Times New Roman"/>
          <w:szCs w:val="20"/>
        </w:rPr>
        <w:t>类标准，白天</w:t>
      </w:r>
      <w:r>
        <w:rPr>
          <w:rFonts w:ascii="Times New Roman" w:hAnsi="Times New Roman" w:hint="eastAsia"/>
          <w:szCs w:val="20"/>
        </w:rPr>
        <w:t>均可达标</w:t>
      </w:r>
      <w:r>
        <w:rPr>
          <w:rFonts w:ascii="Times New Roman" w:hAnsi="Times New Roman"/>
          <w:szCs w:val="20"/>
        </w:rPr>
        <w:t>，夜间需达到</w:t>
      </w:r>
      <w:r>
        <w:rPr>
          <w:rFonts w:ascii="Times New Roman" w:hAnsi="Times New Roman" w:hint="eastAsia"/>
          <w:szCs w:val="20"/>
        </w:rPr>
        <w:t>30</w:t>
      </w:r>
      <w:r>
        <w:rPr>
          <w:rFonts w:ascii="Times New Roman" w:hAnsi="Times New Roman"/>
          <w:szCs w:val="20"/>
        </w:rPr>
        <w:t>m</w:t>
      </w:r>
      <w:r>
        <w:rPr>
          <w:rFonts w:ascii="Times New Roman" w:hAnsi="Times New Roman"/>
          <w:szCs w:val="20"/>
        </w:rPr>
        <w:t>，因此应尽量避免夜间施工。</w:t>
      </w:r>
      <w:r>
        <w:rPr>
          <w:rFonts w:ascii="Times New Roman" w:hAnsi="Times New Roman" w:hint="eastAsia"/>
          <w:szCs w:val="20"/>
        </w:rPr>
        <w:t>根据项目开采计划，项目夜间不施工。</w:t>
      </w:r>
      <w:r>
        <w:rPr>
          <w:rFonts w:ascii="Times New Roman" w:hAnsi="Times New Roman"/>
          <w:szCs w:val="20"/>
        </w:rPr>
        <w:t>据现场调查结果可知，工程区基本位于农村地区，工程周围地势较为开阔、村庄规模较小，项目周边敏感目标都在</w:t>
      </w:r>
      <w:r>
        <w:rPr>
          <w:rFonts w:ascii="Times New Roman" w:hAnsi="Times New Roman" w:hint="eastAsia"/>
          <w:szCs w:val="20"/>
        </w:rPr>
        <w:t>10</w:t>
      </w:r>
      <w:r>
        <w:rPr>
          <w:rFonts w:ascii="Times New Roman" w:hAnsi="Times New Roman"/>
          <w:szCs w:val="20"/>
        </w:rPr>
        <w:t>0m</w:t>
      </w:r>
      <w:r>
        <w:rPr>
          <w:rFonts w:ascii="Times New Roman" w:hAnsi="Times New Roman"/>
          <w:szCs w:val="20"/>
        </w:rPr>
        <w:t>以外，因此河道采砂施工噪声的总体影响较小。</w:t>
      </w:r>
    </w:p>
    <w:p w:rsidR="004B4777" w:rsidRDefault="004B4777">
      <w:pPr>
        <w:pStyle w:val="3"/>
        <w:spacing w:before="0" w:after="0"/>
        <w:rPr>
          <w:rFonts w:ascii="Times New Roman" w:eastAsia="宋体" w:hAnsi="Times New Roman"/>
          <w:b/>
        </w:rPr>
      </w:pPr>
      <w:r>
        <w:rPr>
          <w:rFonts w:ascii="Times New Roman" w:eastAsia="宋体" w:hAnsi="Times New Roman" w:hint="eastAsia"/>
          <w:b/>
        </w:rPr>
        <w:t>12</w:t>
      </w:r>
      <w:r>
        <w:rPr>
          <w:rFonts w:ascii="Times New Roman" w:eastAsia="宋体" w:hAnsi="Times New Roman"/>
          <w:b/>
        </w:rPr>
        <w:t>.5.</w:t>
      </w:r>
      <w:r>
        <w:rPr>
          <w:rFonts w:ascii="Times New Roman" w:eastAsia="宋体" w:hAnsi="Times New Roman" w:hint="eastAsia"/>
          <w:b/>
        </w:rPr>
        <w:t>6</w:t>
      </w:r>
      <w:r>
        <w:rPr>
          <w:rFonts w:ascii="Times New Roman" w:eastAsia="宋体" w:hAnsi="Times New Roman"/>
          <w:b/>
        </w:rPr>
        <w:t xml:space="preserve"> </w:t>
      </w:r>
      <w:r>
        <w:rPr>
          <w:rFonts w:ascii="Times New Roman" w:eastAsia="宋体" w:hAnsi="Times New Roman"/>
          <w:b/>
        </w:rPr>
        <w:t>固体废物影响分析</w:t>
      </w:r>
    </w:p>
    <w:p w:rsidR="004B4777" w:rsidRDefault="004B4777">
      <w:pPr>
        <w:ind w:firstLine="480"/>
        <w:rPr>
          <w:rFonts w:ascii="Times New Roman" w:hAnsi="Times New Roman" w:hint="eastAsia"/>
          <w:szCs w:val="20"/>
        </w:rPr>
      </w:pPr>
      <w:r>
        <w:rPr>
          <w:rFonts w:ascii="Times New Roman" w:hAnsi="Times New Roman" w:hint="eastAsia"/>
          <w:szCs w:val="20"/>
        </w:rPr>
        <w:t>本项目产生的各类固体废物均能妥善处置，一般固体废物分类处置、统一清</w:t>
      </w:r>
      <w:r>
        <w:rPr>
          <w:rFonts w:ascii="Times New Roman" w:hAnsi="Times New Roman" w:hint="eastAsia"/>
          <w:szCs w:val="20"/>
        </w:rPr>
        <w:lastRenderedPageBreak/>
        <w:t>运，危险废物在各采砂船应设置专门的储藏室储藏回收的危险废物（储藏室应做到通风、防雨、防晒、防漏）并委托有资质单位处置，最终排放量为零，本项目产生固废对外环境不会产生影响。</w:t>
      </w:r>
    </w:p>
    <w:p w:rsidR="004B4777" w:rsidRDefault="004B4777">
      <w:pPr>
        <w:pStyle w:val="2"/>
        <w:spacing w:before="0" w:after="0"/>
        <w:rPr>
          <w:rFonts w:ascii="Times New Roman" w:eastAsia="宋体" w:hAnsi="Times New Roman" w:hint="eastAsia"/>
          <w:b/>
          <w:sz w:val="30"/>
          <w:szCs w:val="30"/>
        </w:rPr>
      </w:pPr>
      <w:bookmarkStart w:id="290" w:name="_Toc523854071"/>
      <w:r>
        <w:rPr>
          <w:rFonts w:ascii="Times New Roman" w:eastAsia="宋体" w:hAnsi="Times New Roman" w:hint="eastAsia"/>
          <w:b/>
          <w:sz w:val="30"/>
          <w:szCs w:val="30"/>
        </w:rPr>
        <w:t>12</w:t>
      </w:r>
      <w:r>
        <w:rPr>
          <w:rFonts w:ascii="Times New Roman" w:eastAsia="宋体" w:hAnsi="Times New Roman"/>
          <w:b/>
          <w:sz w:val="30"/>
          <w:szCs w:val="30"/>
        </w:rPr>
        <w:t xml:space="preserve">.6 </w:t>
      </w:r>
      <w:r>
        <w:rPr>
          <w:rFonts w:ascii="Times New Roman" w:eastAsia="宋体" w:hAnsi="Times New Roman"/>
          <w:b/>
          <w:sz w:val="30"/>
          <w:szCs w:val="30"/>
        </w:rPr>
        <w:t>环境风险分析</w:t>
      </w:r>
      <w:bookmarkEnd w:id="290"/>
    </w:p>
    <w:p w:rsidR="004B4777" w:rsidRDefault="004B4777">
      <w:pPr>
        <w:ind w:firstLine="480"/>
        <w:rPr>
          <w:rFonts w:ascii="Times New Roman" w:hAnsi="Times New Roman"/>
          <w:snapToGrid w:val="0"/>
          <w:kern w:val="0"/>
          <w:szCs w:val="28"/>
        </w:rPr>
      </w:pPr>
      <w:r>
        <w:rPr>
          <w:rFonts w:ascii="Times New Roman" w:hAnsi="Times New Roman"/>
          <w:snapToGrid w:val="0"/>
          <w:kern w:val="0"/>
          <w:szCs w:val="28"/>
        </w:rPr>
        <w:t>本项目为开采类项目，柴油仅作为动力燃料，风险评价不同于有毒有害和易燃易爆物质的生产、使用、储运等项目的环境风险评价。结合预测，风险源仅为概率较低的船舶事故碰撞的溢油，发生事故后泄漏柴油量相对较小。发生溢油事故时，鉴于本工程配置了足够的应急设备，事故发生时可以在较短时间内启动应急议案，从而有效控制溢油对区域水体污染，本项目建设风险水平是可以接受的。</w:t>
      </w:r>
    </w:p>
    <w:p w:rsidR="004B4777" w:rsidRDefault="004B4777">
      <w:pPr>
        <w:pStyle w:val="2"/>
        <w:spacing w:before="0" w:after="0"/>
        <w:rPr>
          <w:rFonts w:ascii="Times New Roman" w:eastAsia="宋体" w:hAnsi="Times New Roman" w:hint="eastAsia"/>
          <w:b/>
          <w:sz w:val="30"/>
          <w:szCs w:val="30"/>
        </w:rPr>
      </w:pPr>
      <w:bookmarkStart w:id="291" w:name="_Toc523854072"/>
      <w:r>
        <w:rPr>
          <w:rFonts w:ascii="Times New Roman" w:eastAsia="宋体" w:hAnsi="Times New Roman" w:hint="eastAsia"/>
          <w:b/>
          <w:sz w:val="30"/>
          <w:szCs w:val="30"/>
        </w:rPr>
        <w:t>12</w:t>
      </w:r>
      <w:r>
        <w:rPr>
          <w:rFonts w:ascii="Times New Roman" w:eastAsia="宋体" w:hAnsi="Times New Roman"/>
          <w:b/>
          <w:sz w:val="30"/>
          <w:szCs w:val="30"/>
        </w:rPr>
        <w:t xml:space="preserve">.7 </w:t>
      </w:r>
      <w:r>
        <w:rPr>
          <w:rFonts w:ascii="Times New Roman" w:eastAsia="宋体" w:hAnsi="Times New Roman" w:hint="eastAsia"/>
          <w:b/>
          <w:sz w:val="30"/>
          <w:szCs w:val="30"/>
        </w:rPr>
        <w:t>水生生态影响</w:t>
      </w:r>
      <w:r>
        <w:rPr>
          <w:rFonts w:ascii="Times New Roman" w:eastAsia="宋体" w:hAnsi="Times New Roman"/>
          <w:b/>
          <w:sz w:val="30"/>
          <w:szCs w:val="30"/>
        </w:rPr>
        <w:t>分析</w:t>
      </w:r>
      <w:bookmarkEnd w:id="291"/>
    </w:p>
    <w:p w:rsidR="004B4777" w:rsidRDefault="004B4777">
      <w:pPr>
        <w:ind w:firstLine="480"/>
        <w:rPr>
          <w:rFonts w:ascii="Times New Roman" w:hAnsi="Times New Roman"/>
          <w:szCs w:val="24"/>
        </w:rPr>
      </w:pPr>
      <w:r>
        <w:rPr>
          <w:rFonts w:ascii="Times New Roman" w:hAnsi="Times New Roman" w:hint="eastAsia"/>
          <w:szCs w:val="24"/>
        </w:rPr>
        <w:t>项目采砂会对水生生态产生一定的影响，基于避让、减缓、恢复的原则，提出了鱼类繁殖期避让、优化施工工艺、强化水环境和鱼类资源保护、环境噪声控制、实施增殖放流、水域生态修复与水生生态监测等一系列保护措施，在落实上述措施后，可有效减缓采砂工程开采期对采砂江段及保护区的不利影响。</w:t>
      </w:r>
    </w:p>
    <w:p w:rsidR="004B4777" w:rsidRDefault="004B4777">
      <w:pPr>
        <w:ind w:firstLine="480"/>
        <w:rPr>
          <w:rFonts w:ascii="Times New Roman" w:hAnsi="Times New Roman" w:hint="eastAsia"/>
          <w:szCs w:val="24"/>
        </w:rPr>
      </w:pPr>
      <w:r>
        <w:rPr>
          <w:rFonts w:ascii="Times New Roman" w:hAnsi="Times New Roman" w:hint="eastAsia"/>
          <w:szCs w:val="24"/>
        </w:rPr>
        <w:t>从保护区水产种质资源保护的角度分析，在加强监督管理，严格执行国家相关法律、法规并认真落实本报告提出的有关措施的前提下，该项目建设对</w:t>
      </w:r>
      <w:r>
        <w:rPr>
          <w:rFonts w:ascii="Times New Roman" w:hAnsi="Times New Roman" w:hint="eastAsia"/>
          <w:spacing w:val="10"/>
          <w:szCs w:val="20"/>
        </w:rPr>
        <w:t>南洞庭湖省级自然保护区、横岭湖省级自然保护区、横岭湖湖泊湿地、南洞庭湖大口鲶青虾中华鳖国家级水产种质资源保护区、</w:t>
      </w:r>
      <w:r>
        <w:rPr>
          <w:rFonts w:ascii="Times New Roman" w:hAnsi="Times New Roman" w:hint="eastAsia"/>
        </w:rPr>
        <w:t>南洞庭湖银鱼三角帆蚌国家级水产种质资源保护区</w:t>
      </w:r>
      <w:r>
        <w:rPr>
          <w:rFonts w:ascii="Times New Roman" w:hAnsi="Times New Roman" w:hint="eastAsia"/>
          <w:szCs w:val="24"/>
        </w:rPr>
        <w:t>的影响是可以接受的。</w:t>
      </w:r>
    </w:p>
    <w:p w:rsidR="004B4777" w:rsidRDefault="004B4777">
      <w:pPr>
        <w:pStyle w:val="2"/>
        <w:spacing w:before="0" w:after="0"/>
        <w:rPr>
          <w:rFonts w:ascii="Times New Roman" w:eastAsia="宋体" w:hAnsi="Times New Roman" w:hint="eastAsia"/>
          <w:b/>
          <w:sz w:val="30"/>
          <w:szCs w:val="30"/>
        </w:rPr>
      </w:pPr>
      <w:bookmarkStart w:id="292" w:name="_Toc523854073"/>
      <w:r>
        <w:rPr>
          <w:rFonts w:ascii="Times New Roman" w:eastAsia="宋体" w:hAnsi="Times New Roman" w:hint="eastAsia"/>
          <w:b/>
          <w:sz w:val="30"/>
          <w:szCs w:val="30"/>
        </w:rPr>
        <w:t>12</w:t>
      </w:r>
      <w:r>
        <w:rPr>
          <w:rFonts w:ascii="Times New Roman" w:eastAsia="宋体" w:hAnsi="Times New Roman"/>
          <w:b/>
          <w:sz w:val="30"/>
          <w:szCs w:val="30"/>
        </w:rPr>
        <w:t>.</w:t>
      </w:r>
      <w:r>
        <w:rPr>
          <w:rFonts w:ascii="Times New Roman" w:eastAsia="宋体" w:hAnsi="Times New Roman" w:hint="eastAsia"/>
          <w:b/>
          <w:sz w:val="30"/>
          <w:szCs w:val="30"/>
        </w:rPr>
        <w:t>8</w:t>
      </w:r>
      <w:r>
        <w:rPr>
          <w:rFonts w:ascii="Times New Roman" w:eastAsia="宋体" w:hAnsi="Times New Roman"/>
          <w:b/>
          <w:sz w:val="30"/>
          <w:szCs w:val="30"/>
        </w:rPr>
        <w:t xml:space="preserve"> </w:t>
      </w:r>
      <w:r>
        <w:rPr>
          <w:rFonts w:ascii="Times New Roman" w:eastAsia="宋体" w:hAnsi="Times New Roman" w:hint="eastAsia"/>
          <w:b/>
          <w:sz w:val="30"/>
          <w:szCs w:val="30"/>
        </w:rPr>
        <w:t>公众参与</w:t>
      </w:r>
      <w:bookmarkEnd w:id="292"/>
    </w:p>
    <w:p w:rsidR="004B4777" w:rsidRDefault="004B4777">
      <w:pPr>
        <w:ind w:firstLine="480"/>
        <w:rPr>
          <w:rFonts w:ascii="Times New Roman" w:hAnsi="Times New Roman" w:hint="eastAsia"/>
          <w:snapToGrid w:val="0"/>
          <w:kern w:val="0"/>
          <w:szCs w:val="24"/>
        </w:rPr>
      </w:pPr>
      <w:r>
        <w:rPr>
          <w:rFonts w:ascii="Times New Roman" w:hAnsi="Times New Roman" w:hint="eastAsia"/>
          <w:snapToGrid w:val="0"/>
          <w:kern w:val="0"/>
          <w:szCs w:val="24"/>
        </w:rPr>
        <w:t>从建设单位编制的《湘阴县资江段易婆塘采区、湘江段斗米咀采区采砂项目环境影响评价公众参与说明书》（</w:t>
      </w:r>
      <w:r>
        <w:rPr>
          <w:rFonts w:ascii="Times New Roman" w:hAnsi="Times New Roman" w:hint="eastAsia"/>
          <w:snapToGrid w:val="0"/>
          <w:kern w:val="0"/>
          <w:szCs w:val="24"/>
        </w:rPr>
        <w:t>2018.7</w:t>
      </w:r>
      <w:r>
        <w:rPr>
          <w:rFonts w:ascii="Times New Roman" w:hAnsi="Times New Roman" w:hint="eastAsia"/>
          <w:snapToGrid w:val="0"/>
          <w:kern w:val="0"/>
          <w:szCs w:val="24"/>
        </w:rPr>
        <w:t>）可以看出，受调查个人都对本项目有所了解，受调查者认为区域内目前主要为水污染和噪声污染，受调查者绝大多数认为工程建设有必要；受调查者认为本项目对环境影响主要为水污染和噪声污染；受调查者认为项目建设对其工作和生活环境带来不良影响很小，个人对本项目建设持支持态度。受调查团体单位都对本工程的建设持支持态度，希望能加强管理，依法依规进行项目建设，只能在规定的采区开展开采活动，同时也希望建设单位认真执行环保法律、法规，加强环境管理，减轻扬尘、噪声等对周边环境的影响，</w:t>
      </w:r>
      <w:r>
        <w:rPr>
          <w:rFonts w:ascii="Times New Roman" w:hAnsi="Times New Roman" w:hint="eastAsia"/>
          <w:snapToGrid w:val="0"/>
          <w:kern w:val="0"/>
          <w:szCs w:val="24"/>
        </w:rPr>
        <w:lastRenderedPageBreak/>
        <w:t>确保周围群众有一个好的生产、生活环境。</w:t>
      </w:r>
    </w:p>
    <w:p w:rsidR="004B4777" w:rsidRDefault="004B4777">
      <w:pPr>
        <w:pStyle w:val="2"/>
        <w:spacing w:before="0" w:after="0"/>
        <w:rPr>
          <w:rFonts w:ascii="Times New Roman" w:eastAsia="宋体" w:hAnsi="Times New Roman"/>
          <w:b/>
          <w:sz w:val="30"/>
          <w:szCs w:val="30"/>
        </w:rPr>
      </w:pPr>
      <w:bookmarkStart w:id="293" w:name="_Toc523854074"/>
      <w:r>
        <w:rPr>
          <w:rFonts w:ascii="Times New Roman" w:eastAsia="宋体" w:hAnsi="Times New Roman" w:hint="eastAsia"/>
          <w:b/>
          <w:sz w:val="30"/>
          <w:szCs w:val="30"/>
        </w:rPr>
        <w:t>12</w:t>
      </w:r>
      <w:r>
        <w:rPr>
          <w:rFonts w:ascii="Times New Roman" w:eastAsia="宋体" w:hAnsi="Times New Roman"/>
          <w:b/>
          <w:sz w:val="30"/>
          <w:szCs w:val="30"/>
        </w:rPr>
        <w:t>.</w:t>
      </w:r>
      <w:r>
        <w:rPr>
          <w:rFonts w:ascii="Times New Roman" w:eastAsia="宋体" w:hAnsi="Times New Roman" w:hint="eastAsia"/>
          <w:b/>
          <w:sz w:val="30"/>
          <w:szCs w:val="30"/>
        </w:rPr>
        <w:t>9</w:t>
      </w:r>
      <w:r>
        <w:rPr>
          <w:rFonts w:ascii="Times New Roman" w:eastAsia="宋体" w:hAnsi="Times New Roman"/>
          <w:b/>
          <w:sz w:val="30"/>
          <w:szCs w:val="30"/>
        </w:rPr>
        <w:t xml:space="preserve"> </w:t>
      </w:r>
      <w:r>
        <w:rPr>
          <w:rFonts w:ascii="Times New Roman" w:eastAsia="宋体" w:hAnsi="Times New Roman"/>
          <w:b/>
          <w:sz w:val="30"/>
          <w:szCs w:val="30"/>
        </w:rPr>
        <w:t>综合结论</w:t>
      </w:r>
      <w:bookmarkEnd w:id="293"/>
    </w:p>
    <w:p w:rsidR="004B4777" w:rsidRDefault="004B4777">
      <w:pPr>
        <w:ind w:firstLine="482"/>
        <w:rPr>
          <w:rFonts w:ascii="Times New Roman" w:hAnsi="Times New Roman" w:hint="eastAsia"/>
          <w:b/>
          <w:snapToGrid w:val="0"/>
          <w:kern w:val="0"/>
        </w:rPr>
      </w:pPr>
      <w:r>
        <w:rPr>
          <w:rFonts w:ascii="Times New Roman" w:hAnsi="Times New Roman" w:hint="eastAsia"/>
          <w:b/>
          <w:snapToGrid w:val="0"/>
          <w:kern w:val="0"/>
        </w:rPr>
        <w:t>本项目的建设符合国家产业政策。采砂区位于禁采区外，项目建设符合《湖南省湘江干流及洞庭湖区岳阳段河道采砂规划（</w:t>
      </w:r>
      <w:r>
        <w:rPr>
          <w:rFonts w:ascii="Times New Roman" w:hAnsi="Times New Roman" w:hint="eastAsia"/>
          <w:b/>
          <w:snapToGrid w:val="0"/>
          <w:kern w:val="0"/>
        </w:rPr>
        <w:t>2017~2020</w:t>
      </w:r>
      <w:r>
        <w:rPr>
          <w:rFonts w:ascii="Times New Roman" w:hAnsi="Times New Roman" w:hint="eastAsia"/>
          <w:b/>
          <w:snapToGrid w:val="0"/>
          <w:kern w:val="0"/>
        </w:rPr>
        <w:t>年）》，项目建设基本符合《湖南省生态保护红线》的要求，项目选址基本可行。项目实施后，具有明显的社会经济效益。项目带来的生态影响在环保容许范围内，排放的污染物符合国家和地方污染排放标准和总量控制要求，项目建成后能够维持当地环境质量，符合功能区要求。因此，在保证污染防治措施的前提下，该项目的建设符合建设项目环保审批原则。</w:t>
      </w:r>
    </w:p>
    <w:p w:rsidR="004B4777" w:rsidRDefault="004B4777">
      <w:pPr>
        <w:ind w:firstLine="482"/>
        <w:rPr>
          <w:rFonts w:ascii="Times New Roman" w:hAnsi="Times New Roman" w:hint="eastAsia"/>
          <w:b/>
          <w:snapToGrid w:val="0"/>
          <w:kern w:val="0"/>
        </w:rPr>
      </w:pPr>
      <w:r>
        <w:rPr>
          <w:rFonts w:ascii="Times New Roman" w:hAnsi="Times New Roman" w:hint="eastAsia"/>
          <w:b/>
          <w:u w:val="single"/>
        </w:rPr>
        <w:t>项目资江段易婆塘采区涉及柳潭水厂及赛头水厂饮用水源二级保护区，在柳潭水厂及赛头水厂新取水口正式启用前，易婆塘采区现位于二级水源保护区范围内的采砂区禁止开采。</w:t>
      </w:r>
    </w:p>
    <w:p w:rsidR="004B4777" w:rsidRDefault="004B4777">
      <w:pPr>
        <w:ind w:firstLine="482"/>
        <w:rPr>
          <w:rFonts w:ascii="Times New Roman" w:hAnsi="Times New Roman"/>
          <w:b/>
          <w:snapToGrid w:val="0"/>
          <w:kern w:val="0"/>
        </w:rPr>
      </w:pPr>
      <w:r>
        <w:rPr>
          <w:rFonts w:ascii="Times New Roman" w:hAnsi="Times New Roman" w:hint="eastAsia"/>
          <w:b/>
          <w:snapToGrid w:val="0"/>
          <w:kern w:val="0"/>
        </w:rPr>
        <w:t>综上所述，建设单位在项目建设和日常运行管理中，认真落实本评价报告所提出的生态保护要求和各项污染防治措施，切实执行建设项目的“三同时”制度，则本项目从环保角度论证是可行的。</w:t>
      </w:r>
    </w:p>
    <w:sectPr w:rsidR="004B4777">
      <w:headerReference w:type="even" r:id="rId102"/>
      <w:headerReference w:type="default" r:id="rId103"/>
      <w:footerReference w:type="default" r:id="rId104"/>
      <w:headerReference w:type="first" r:id="rId10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353" w:rsidRDefault="00164353" w:rsidP="004B4777">
      <w:pPr>
        <w:spacing w:line="240" w:lineRule="auto"/>
        <w:ind w:firstLine="480"/>
      </w:pPr>
      <w:r>
        <w:separator/>
      </w:r>
    </w:p>
  </w:endnote>
  <w:endnote w:type="continuationSeparator" w:id="1">
    <w:p w:rsidR="00164353" w:rsidRDefault="00164353" w:rsidP="004B477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charset w:val="86"/>
    <w:family w:val="auto"/>
    <w:pitch w:val="default"/>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Swis721 Lt BT">
    <w:panose1 w:val="020B0403020202020204"/>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jc w:val="center"/>
    </w:pPr>
    <w:fldSimple w:instr="PAGE   \* MERGEFORMAT">
      <w:r w:rsidR="00FC6AEC" w:rsidRPr="00FC6AEC">
        <w:rPr>
          <w:noProof/>
          <w:lang w:val="zh-CN" w:eastAsia="zh-CN"/>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jc w:val="center"/>
    </w:pPr>
    <w:fldSimple w:instr="PAGE   \* MERGEFORMAT">
      <w:r w:rsidR="00FC6AEC" w:rsidRPr="00FC6AEC">
        <w:rPr>
          <w:noProof/>
          <w:lang w:val="zh-CN" w:eastAsia="zh-CN"/>
        </w:rPr>
        <w:t>50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jc w:val="center"/>
    </w:pPr>
    <w:fldSimple w:instr="PAGE   \* MERGEFORMAT">
      <w:r w:rsidR="00FC6AEC" w:rsidRPr="00FC6AEC">
        <w:rPr>
          <w:noProof/>
          <w:lang w:val="zh-CN" w:eastAsia="zh-CN"/>
        </w:rPr>
        <w:t>92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jc w:val="center"/>
    </w:pPr>
    <w:fldSimple w:instr="PAGE   \* MERGEFORMAT">
      <w:r w:rsidR="00FC6AEC" w:rsidRPr="00FC6AEC">
        <w:rPr>
          <w:noProof/>
          <w:lang w:val="zh-CN" w:eastAsia="zh-CN"/>
        </w:rPr>
        <w:t>106</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jc w:val="center"/>
    </w:pPr>
    <w:fldSimple w:instr="PAGE   \* MERGEFORMAT">
      <w:r w:rsidR="00FC6AEC" w:rsidRPr="00FC6AEC">
        <w:rPr>
          <w:noProof/>
          <w:lang w:val="zh-CN" w:eastAsia="zh-CN"/>
        </w:rPr>
        <w:t>154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f3"/>
      <w:ind w:firstLine="360"/>
      <w:jc w:val="center"/>
    </w:pPr>
    <w:fldSimple w:instr="PAGE   \* MERGEFORMAT">
      <w:r w:rsidR="00FC6AEC" w:rsidRPr="00FC6AEC">
        <w:rPr>
          <w:noProof/>
          <w:lang w:val="zh-CN" w:eastAsia="zh-CN"/>
        </w:rPr>
        <w:t>159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353" w:rsidRDefault="00164353" w:rsidP="004B4777">
      <w:pPr>
        <w:spacing w:line="240" w:lineRule="auto"/>
        <w:ind w:firstLine="480"/>
      </w:pPr>
      <w:r>
        <w:separator/>
      </w:r>
    </w:p>
  </w:footnote>
  <w:footnote w:type="continuationSeparator" w:id="1">
    <w:p w:rsidR="00164353" w:rsidRDefault="00164353" w:rsidP="004B477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p w:rsidR="004B4777" w:rsidRDefault="004B4777">
    <w:pPr>
      <w:ind w:firstLine="480"/>
    </w:pPr>
  </w:p>
  <w:p w:rsidR="004B4777" w:rsidRDefault="004B4777">
    <w:pPr>
      <w:ind w:firstLine="48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420"/>
    </w:pPr>
    <w:r>
      <w:rPr>
        <w:rFonts w:hint="eastAsia"/>
        <w:sz w:val="21"/>
        <w:szCs w:val="21"/>
      </w:rPr>
      <w:t>湘阴县资江段易婆塘采区、湘江段斗米咀采区采砂项目环境影响报告书</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p w:rsidR="004B4777" w:rsidRDefault="004B4777">
    <w:pPr>
      <w:ind w:firstLine="480"/>
    </w:pPr>
  </w:p>
  <w:p w:rsidR="004B4777" w:rsidRDefault="004B4777">
    <w:pPr>
      <w:ind w:firstLine="48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420"/>
    </w:pPr>
    <w:r>
      <w:rPr>
        <w:rFonts w:hint="eastAsia"/>
        <w:sz w:val="21"/>
        <w:szCs w:val="21"/>
      </w:rPr>
      <w:t>湘阴县资江段易婆塘采区、湘江段斗米咀采区采砂项目环境影响报告书</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420"/>
      <w:rPr>
        <w:rFonts w:hint="eastAsia"/>
      </w:rPr>
    </w:pPr>
    <w:r>
      <w:rPr>
        <w:rFonts w:hint="eastAsia"/>
        <w:sz w:val="21"/>
        <w:szCs w:val="21"/>
      </w:rPr>
      <w:t>湘阴县资江段易婆塘采区、湘江段斗米咀采区采砂项目环境影响报告书</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Chars="0" w:firstLine="0"/>
      <w:rPr>
        <w:sz w:val="21"/>
        <w:szCs w:val="21"/>
      </w:rPr>
    </w:pPr>
    <w:r>
      <w:rPr>
        <w:rFonts w:hint="eastAsia"/>
        <w:sz w:val="21"/>
        <w:szCs w:val="21"/>
      </w:rPr>
      <w:t>湘阴县资江段易婆塘采区、湘江段斗米咀采区采砂项目环境影响报告书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r>
      <w:rPr>
        <w:rFonts w:hint="eastAsia"/>
      </w:rPr>
      <w:t>湘阴县资江段易婆塘采区、湘江段斗米咀采区采砂项目环境影响报告书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420"/>
    </w:pPr>
    <w:r>
      <w:rPr>
        <w:rFonts w:hint="eastAsia"/>
        <w:sz w:val="21"/>
        <w:szCs w:val="21"/>
      </w:rPr>
      <w:t>湘阴县资江段易婆塘采区、湘江段斗米咀采区采砂项目环境影响报告书</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777" w:rsidRDefault="004B4777">
    <w:pPr>
      <w:pStyle w:val="af0"/>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FFFFF88"/>
    <w:lvl w:ilvl="0">
      <w:start w:val="1"/>
      <w:numFmt w:val="decimal"/>
      <w:lvlText w:val="%1."/>
      <w:lvlJc w:val="left"/>
      <w:pPr>
        <w:tabs>
          <w:tab w:val="num" w:pos="1211"/>
        </w:tabs>
        <w:ind w:left="1211" w:hanging="360"/>
      </w:pPr>
    </w:lvl>
  </w:abstractNum>
  <w:abstractNum w:abstractNumId="1">
    <w:nsid w:val="126275CC"/>
    <w:multiLevelType w:val="multilevel"/>
    <w:tmpl w:val="126275CC"/>
    <w:lvl w:ilvl="0">
      <w:start w:val="1"/>
      <w:numFmt w:val="decimal"/>
      <w:suff w:val="nothing"/>
      <w:lvlText w:val="（%1）"/>
      <w:lvlJc w:val="left"/>
      <w:pPr>
        <w:ind w:left="539" w:hanging="397"/>
      </w:pPr>
      <w:rPr>
        <w:rFonts w:ascii="Times New Roman" w:hAnsi="Times New Roman" w:hint="default"/>
      </w:rPr>
    </w:lvl>
    <w:lvl w:ilvl="1">
      <w:start w:val="1"/>
      <w:numFmt w:val="lowerLetter"/>
      <w:lvlText w:val="%2)"/>
      <w:lvlJc w:val="left"/>
      <w:pPr>
        <w:ind w:left="1065" w:hanging="420"/>
      </w:pPr>
    </w:lvl>
    <w:lvl w:ilvl="2">
      <w:start w:val="1"/>
      <w:numFmt w:val="lowerRoman"/>
      <w:lvlText w:val="%3."/>
      <w:lvlJc w:val="right"/>
      <w:pPr>
        <w:ind w:left="1485" w:hanging="420"/>
      </w:pPr>
    </w:lvl>
    <w:lvl w:ilvl="3">
      <w:start w:val="1"/>
      <w:numFmt w:val="decimal"/>
      <w:lvlText w:val="%4."/>
      <w:lvlJc w:val="left"/>
      <w:pPr>
        <w:ind w:left="1905" w:hanging="420"/>
      </w:pPr>
    </w:lvl>
    <w:lvl w:ilvl="4">
      <w:start w:val="1"/>
      <w:numFmt w:val="lowerLetter"/>
      <w:lvlText w:val="%5)"/>
      <w:lvlJc w:val="left"/>
      <w:pPr>
        <w:ind w:left="2325" w:hanging="420"/>
      </w:pPr>
    </w:lvl>
    <w:lvl w:ilvl="5">
      <w:start w:val="1"/>
      <w:numFmt w:val="lowerRoman"/>
      <w:lvlText w:val="%6."/>
      <w:lvlJc w:val="right"/>
      <w:pPr>
        <w:ind w:left="2745" w:hanging="420"/>
      </w:pPr>
    </w:lvl>
    <w:lvl w:ilvl="6">
      <w:start w:val="1"/>
      <w:numFmt w:val="decimal"/>
      <w:lvlText w:val="%7."/>
      <w:lvlJc w:val="left"/>
      <w:pPr>
        <w:ind w:left="3165" w:hanging="420"/>
      </w:pPr>
    </w:lvl>
    <w:lvl w:ilvl="7">
      <w:start w:val="1"/>
      <w:numFmt w:val="lowerLetter"/>
      <w:lvlText w:val="%8)"/>
      <w:lvlJc w:val="left"/>
      <w:pPr>
        <w:ind w:left="3585" w:hanging="420"/>
      </w:pPr>
    </w:lvl>
    <w:lvl w:ilvl="8">
      <w:start w:val="1"/>
      <w:numFmt w:val="lowerRoman"/>
      <w:lvlText w:val="%9."/>
      <w:lvlJc w:val="right"/>
      <w:pPr>
        <w:ind w:left="4005" w:hanging="420"/>
      </w:pPr>
    </w:lvl>
  </w:abstractNum>
  <w:abstractNum w:abstractNumId="2">
    <w:nsid w:val="20687E49"/>
    <w:multiLevelType w:val="multilevel"/>
    <w:tmpl w:val="20687E49"/>
    <w:lvl w:ilvl="0">
      <w:start w:val="1"/>
      <w:numFmt w:val="decimalEnclosedCircle"/>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3">
    <w:nsid w:val="2337209C"/>
    <w:multiLevelType w:val="multilevel"/>
    <w:tmpl w:val="2337209C"/>
    <w:lvl w:ilvl="0">
      <w:start w:val="1"/>
      <w:numFmt w:val="decimalEnclosedCircle"/>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nsid w:val="356D46EA"/>
    <w:multiLevelType w:val="multilevel"/>
    <w:tmpl w:val="356D46EA"/>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7116347"/>
    <w:multiLevelType w:val="multilevel"/>
    <w:tmpl w:val="57116347"/>
    <w:lvl w:ilvl="0">
      <w:start w:val="1"/>
      <w:numFmt w:val="decimal"/>
      <w:suff w:val="nothing"/>
      <w:lvlText w:val="（%1）"/>
      <w:lvlJc w:val="left"/>
      <w:pPr>
        <w:ind w:left="794" w:hanging="397"/>
      </w:pPr>
      <w:rPr>
        <w:rFonts w:ascii="Times New Roman" w:hAnsi="Times New Roman" w:hint="default"/>
      </w:rPr>
    </w:lvl>
    <w:lvl w:ilvl="1">
      <w:start w:val="1"/>
      <w:numFmt w:val="decimalEnclosedCircle"/>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74E7043E"/>
    <w:multiLevelType w:val="multilevel"/>
    <w:tmpl w:val="74E7043E"/>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4"/>
  </w:num>
  <w:num w:numId="3">
    <w:abstractNumId w:val="0"/>
  </w:num>
  <w:num w:numId="4">
    <w:abstractNumId w:val="2"/>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345"/>
    <w:rsid w:val="00001657"/>
    <w:rsid w:val="000017E5"/>
    <w:rsid w:val="00001933"/>
    <w:rsid w:val="00001E8F"/>
    <w:rsid w:val="000026DC"/>
    <w:rsid w:val="0000295C"/>
    <w:rsid w:val="00002BEA"/>
    <w:rsid w:val="00002EA8"/>
    <w:rsid w:val="00003C1F"/>
    <w:rsid w:val="00004BA7"/>
    <w:rsid w:val="000065A1"/>
    <w:rsid w:val="00007C8C"/>
    <w:rsid w:val="00010317"/>
    <w:rsid w:val="00010344"/>
    <w:rsid w:val="00011204"/>
    <w:rsid w:val="00012780"/>
    <w:rsid w:val="00012F8B"/>
    <w:rsid w:val="000133A8"/>
    <w:rsid w:val="0001404D"/>
    <w:rsid w:val="00014326"/>
    <w:rsid w:val="00014C1E"/>
    <w:rsid w:val="00014D80"/>
    <w:rsid w:val="00015583"/>
    <w:rsid w:val="00016985"/>
    <w:rsid w:val="00017555"/>
    <w:rsid w:val="00017FDD"/>
    <w:rsid w:val="00020C03"/>
    <w:rsid w:val="00021B23"/>
    <w:rsid w:val="0002274F"/>
    <w:rsid w:val="00023C03"/>
    <w:rsid w:val="00023CFE"/>
    <w:rsid w:val="00024780"/>
    <w:rsid w:val="00024CC4"/>
    <w:rsid w:val="0002585D"/>
    <w:rsid w:val="00026162"/>
    <w:rsid w:val="00026E7D"/>
    <w:rsid w:val="0002723B"/>
    <w:rsid w:val="000273E9"/>
    <w:rsid w:val="000274CA"/>
    <w:rsid w:val="000320EB"/>
    <w:rsid w:val="0003220F"/>
    <w:rsid w:val="000333D1"/>
    <w:rsid w:val="00033B09"/>
    <w:rsid w:val="00034434"/>
    <w:rsid w:val="00034FDE"/>
    <w:rsid w:val="00035459"/>
    <w:rsid w:val="00036439"/>
    <w:rsid w:val="00036D00"/>
    <w:rsid w:val="00036FE0"/>
    <w:rsid w:val="000400D4"/>
    <w:rsid w:val="000408B9"/>
    <w:rsid w:val="0004096C"/>
    <w:rsid w:val="00040D1B"/>
    <w:rsid w:val="00041204"/>
    <w:rsid w:val="000413FF"/>
    <w:rsid w:val="00041924"/>
    <w:rsid w:val="00042FCD"/>
    <w:rsid w:val="00043559"/>
    <w:rsid w:val="000465A1"/>
    <w:rsid w:val="00046F81"/>
    <w:rsid w:val="000473F8"/>
    <w:rsid w:val="000475A9"/>
    <w:rsid w:val="000477B6"/>
    <w:rsid w:val="00047F07"/>
    <w:rsid w:val="000520CA"/>
    <w:rsid w:val="000526CB"/>
    <w:rsid w:val="00052D61"/>
    <w:rsid w:val="0005352B"/>
    <w:rsid w:val="00054379"/>
    <w:rsid w:val="00055A78"/>
    <w:rsid w:val="00056873"/>
    <w:rsid w:val="00056CE8"/>
    <w:rsid w:val="00057CC3"/>
    <w:rsid w:val="00061B64"/>
    <w:rsid w:val="00062B7B"/>
    <w:rsid w:val="0006306C"/>
    <w:rsid w:val="00063A09"/>
    <w:rsid w:val="00063D38"/>
    <w:rsid w:val="00064FA6"/>
    <w:rsid w:val="00065726"/>
    <w:rsid w:val="00065A88"/>
    <w:rsid w:val="00067DC5"/>
    <w:rsid w:val="000715FA"/>
    <w:rsid w:val="00072960"/>
    <w:rsid w:val="00072E7D"/>
    <w:rsid w:val="00072FED"/>
    <w:rsid w:val="0007334B"/>
    <w:rsid w:val="00074A7F"/>
    <w:rsid w:val="00075130"/>
    <w:rsid w:val="0007565F"/>
    <w:rsid w:val="000761EF"/>
    <w:rsid w:val="00076568"/>
    <w:rsid w:val="00077189"/>
    <w:rsid w:val="000777EC"/>
    <w:rsid w:val="00077CF5"/>
    <w:rsid w:val="0008029C"/>
    <w:rsid w:val="00080CE9"/>
    <w:rsid w:val="00080F5F"/>
    <w:rsid w:val="00083A12"/>
    <w:rsid w:val="00083C94"/>
    <w:rsid w:val="0008453D"/>
    <w:rsid w:val="00084B86"/>
    <w:rsid w:val="000857DD"/>
    <w:rsid w:val="00085CEE"/>
    <w:rsid w:val="000871FF"/>
    <w:rsid w:val="0008769D"/>
    <w:rsid w:val="00087944"/>
    <w:rsid w:val="00087C73"/>
    <w:rsid w:val="00090651"/>
    <w:rsid w:val="00090A82"/>
    <w:rsid w:val="00090B2A"/>
    <w:rsid w:val="00090EA7"/>
    <w:rsid w:val="0009133C"/>
    <w:rsid w:val="00091F94"/>
    <w:rsid w:val="00092259"/>
    <w:rsid w:val="00093A9F"/>
    <w:rsid w:val="00094437"/>
    <w:rsid w:val="00096971"/>
    <w:rsid w:val="00097201"/>
    <w:rsid w:val="00097600"/>
    <w:rsid w:val="000A0ACC"/>
    <w:rsid w:val="000A0FFD"/>
    <w:rsid w:val="000A1C5C"/>
    <w:rsid w:val="000A1D54"/>
    <w:rsid w:val="000A2BC8"/>
    <w:rsid w:val="000A2E12"/>
    <w:rsid w:val="000A3283"/>
    <w:rsid w:val="000A36F2"/>
    <w:rsid w:val="000A3DDE"/>
    <w:rsid w:val="000A4C92"/>
    <w:rsid w:val="000A50CC"/>
    <w:rsid w:val="000A5215"/>
    <w:rsid w:val="000A5843"/>
    <w:rsid w:val="000A60BD"/>
    <w:rsid w:val="000A70C2"/>
    <w:rsid w:val="000B0591"/>
    <w:rsid w:val="000B081D"/>
    <w:rsid w:val="000B08E7"/>
    <w:rsid w:val="000B0CE6"/>
    <w:rsid w:val="000B1A06"/>
    <w:rsid w:val="000B1B3C"/>
    <w:rsid w:val="000B1B5B"/>
    <w:rsid w:val="000B2E5A"/>
    <w:rsid w:val="000B373D"/>
    <w:rsid w:val="000B5066"/>
    <w:rsid w:val="000C061A"/>
    <w:rsid w:val="000C2197"/>
    <w:rsid w:val="000C2C1C"/>
    <w:rsid w:val="000C2F7D"/>
    <w:rsid w:val="000C3F83"/>
    <w:rsid w:val="000C434B"/>
    <w:rsid w:val="000C4BE5"/>
    <w:rsid w:val="000C53D7"/>
    <w:rsid w:val="000C5747"/>
    <w:rsid w:val="000C578F"/>
    <w:rsid w:val="000C616E"/>
    <w:rsid w:val="000C62A0"/>
    <w:rsid w:val="000C67D0"/>
    <w:rsid w:val="000C760C"/>
    <w:rsid w:val="000C792E"/>
    <w:rsid w:val="000D08AC"/>
    <w:rsid w:val="000D1DF7"/>
    <w:rsid w:val="000D1F01"/>
    <w:rsid w:val="000D203B"/>
    <w:rsid w:val="000D255C"/>
    <w:rsid w:val="000D3CE0"/>
    <w:rsid w:val="000D47CA"/>
    <w:rsid w:val="000D70BE"/>
    <w:rsid w:val="000D7684"/>
    <w:rsid w:val="000D7926"/>
    <w:rsid w:val="000E0321"/>
    <w:rsid w:val="000E04E8"/>
    <w:rsid w:val="000E0CAF"/>
    <w:rsid w:val="000E1425"/>
    <w:rsid w:val="000E210C"/>
    <w:rsid w:val="000E231A"/>
    <w:rsid w:val="000E30C5"/>
    <w:rsid w:val="000E4117"/>
    <w:rsid w:val="000E5613"/>
    <w:rsid w:val="000E5B92"/>
    <w:rsid w:val="000E5CF4"/>
    <w:rsid w:val="000E5DDF"/>
    <w:rsid w:val="000E7112"/>
    <w:rsid w:val="000F0106"/>
    <w:rsid w:val="000F08E8"/>
    <w:rsid w:val="000F0CC3"/>
    <w:rsid w:val="000F0D1D"/>
    <w:rsid w:val="000F21E2"/>
    <w:rsid w:val="000F24DB"/>
    <w:rsid w:val="000F2546"/>
    <w:rsid w:val="000F26EF"/>
    <w:rsid w:val="000F3734"/>
    <w:rsid w:val="000F3B00"/>
    <w:rsid w:val="000F43EC"/>
    <w:rsid w:val="000F4D72"/>
    <w:rsid w:val="000F4E28"/>
    <w:rsid w:val="000F57E5"/>
    <w:rsid w:val="000F5C51"/>
    <w:rsid w:val="000F5E04"/>
    <w:rsid w:val="000F63E6"/>
    <w:rsid w:val="000F7416"/>
    <w:rsid w:val="000F7912"/>
    <w:rsid w:val="000F7C54"/>
    <w:rsid w:val="000F7DF9"/>
    <w:rsid w:val="001003E7"/>
    <w:rsid w:val="00101258"/>
    <w:rsid w:val="00101C38"/>
    <w:rsid w:val="00101FBD"/>
    <w:rsid w:val="00102072"/>
    <w:rsid w:val="0010263D"/>
    <w:rsid w:val="00103E28"/>
    <w:rsid w:val="00103F33"/>
    <w:rsid w:val="00105370"/>
    <w:rsid w:val="00106784"/>
    <w:rsid w:val="00106C22"/>
    <w:rsid w:val="00107076"/>
    <w:rsid w:val="001123E7"/>
    <w:rsid w:val="0011268F"/>
    <w:rsid w:val="00113408"/>
    <w:rsid w:val="0011362E"/>
    <w:rsid w:val="0011507B"/>
    <w:rsid w:val="001159D6"/>
    <w:rsid w:val="00116C20"/>
    <w:rsid w:val="001177B7"/>
    <w:rsid w:val="00120215"/>
    <w:rsid w:val="001209F7"/>
    <w:rsid w:val="00120D29"/>
    <w:rsid w:val="00121F0A"/>
    <w:rsid w:val="0012296E"/>
    <w:rsid w:val="00122E24"/>
    <w:rsid w:val="00122EB2"/>
    <w:rsid w:val="0012311E"/>
    <w:rsid w:val="001240E8"/>
    <w:rsid w:val="00124213"/>
    <w:rsid w:val="00124291"/>
    <w:rsid w:val="0012483E"/>
    <w:rsid w:val="00125193"/>
    <w:rsid w:val="0012530A"/>
    <w:rsid w:val="00125D0D"/>
    <w:rsid w:val="00126073"/>
    <w:rsid w:val="001262ED"/>
    <w:rsid w:val="00127694"/>
    <w:rsid w:val="00127965"/>
    <w:rsid w:val="00127EFB"/>
    <w:rsid w:val="00130509"/>
    <w:rsid w:val="00130F2B"/>
    <w:rsid w:val="00132CDB"/>
    <w:rsid w:val="00132EEF"/>
    <w:rsid w:val="00134452"/>
    <w:rsid w:val="0013475C"/>
    <w:rsid w:val="001347FE"/>
    <w:rsid w:val="001349D2"/>
    <w:rsid w:val="00135A00"/>
    <w:rsid w:val="00135E62"/>
    <w:rsid w:val="0013632A"/>
    <w:rsid w:val="00137FFE"/>
    <w:rsid w:val="001410E6"/>
    <w:rsid w:val="0014144A"/>
    <w:rsid w:val="00141901"/>
    <w:rsid w:val="0014201B"/>
    <w:rsid w:val="0014343E"/>
    <w:rsid w:val="00143664"/>
    <w:rsid w:val="00143EE5"/>
    <w:rsid w:val="00145953"/>
    <w:rsid w:val="00146994"/>
    <w:rsid w:val="00146A3D"/>
    <w:rsid w:val="001472F5"/>
    <w:rsid w:val="001473D7"/>
    <w:rsid w:val="00150261"/>
    <w:rsid w:val="001502D2"/>
    <w:rsid w:val="0015053B"/>
    <w:rsid w:val="001515AC"/>
    <w:rsid w:val="00152A4D"/>
    <w:rsid w:val="00152BA7"/>
    <w:rsid w:val="00152F48"/>
    <w:rsid w:val="00153072"/>
    <w:rsid w:val="001530BF"/>
    <w:rsid w:val="00154D9F"/>
    <w:rsid w:val="001552BC"/>
    <w:rsid w:val="0015611D"/>
    <w:rsid w:val="00156CA2"/>
    <w:rsid w:val="00160A6B"/>
    <w:rsid w:val="00160BE7"/>
    <w:rsid w:val="00161AAD"/>
    <w:rsid w:val="0016272A"/>
    <w:rsid w:val="00162AE6"/>
    <w:rsid w:val="001633BC"/>
    <w:rsid w:val="00164353"/>
    <w:rsid w:val="00164C5A"/>
    <w:rsid w:val="0016684B"/>
    <w:rsid w:val="00167126"/>
    <w:rsid w:val="001671C6"/>
    <w:rsid w:val="00167F5E"/>
    <w:rsid w:val="0017227D"/>
    <w:rsid w:val="0017245D"/>
    <w:rsid w:val="00172E32"/>
    <w:rsid w:val="00173A8E"/>
    <w:rsid w:val="00173B73"/>
    <w:rsid w:val="00174C47"/>
    <w:rsid w:val="00174F8A"/>
    <w:rsid w:val="001753B0"/>
    <w:rsid w:val="001759D0"/>
    <w:rsid w:val="00176558"/>
    <w:rsid w:val="001767DD"/>
    <w:rsid w:val="00176929"/>
    <w:rsid w:val="0018029A"/>
    <w:rsid w:val="001815C8"/>
    <w:rsid w:val="001815FC"/>
    <w:rsid w:val="001819DF"/>
    <w:rsid w:val="0018361C"/>
    <w:rsid w:val="00183697"/>
    <w:rsid w:val="001837E4"/>
    <w:rsid w:val="00184E3B"/>
    <w:rsid w:val="001851CE"/>
    <w:rsid w:val="00185E0A"/>
    <w:rsid w:val="0019187E"/>
    <w:rsid w:val="0019221D"/>
    <w:rsid w:val="001926E0"/>
    <w:rsid w:val="0019326E"/>
    <w:rsid w:val="0019389B"/>
    <w:rsid w:val="00193DD2"/>
    <w:rsid w:val="0019472C"/>
    <w:rsid w:val="0019604E"/>
    <w:rsid w:val="00196506"/>
    <w:rsid w:val="0019654B"/>
    <w:rsid w:val="0019751F"/>
    <w:rsid w:val="00197F03"/>
    <w:rsid w:val="001A1118"/>
    <w:rsid w:val="001A26D6"/>
    <w:rsid w:val="001A30EB"/>
    <w:rsid w:val="001A412A"/>
    <w:rsid w:val="001A6D7F"/>
    <w:rsid w:val="001A6EF7"/>
    <w:rsid w:val="001B00EF"/>
    <w:rsid w:val="001B12E4"/>
    <w:rsid w:val="001B3F5A"/>
    <w:rsid w:val="001B430B"/>
    <w:rsid w:val="001B4671"/>
    <w:rsid w:val="001B4735"/>
    <w:rsid w:val="001B5640"/>
    <w:rsid w:val="001B59D0"/>
    <w:rsid w:val="001B7A62"/>
    <w:rsid w:val="001C04BE"/>
    <w:rsid w:val="001C0F9B"/>
    <w:rsid w:val="001C1085"/>
    <w:rsid w:val="001C21D7"/>
    <w:rsid w:val="001C27C2"/>
    <w:rsid w:val="001C3C77"/>
    <w:rsid w:val="001C674D"/>
    <w:rsid w:val="001C70C4"/>
    <w:rsid w:val="001C780C"/>
    <w:rsid w:val="001D3031"/>
    <w:rsid w:val="001D35F9"/>
    <w:rsid w:val="001D3DA4"/>
    <w:rsid w:val="001D59D0"/>
    <w:rsid w:val="001D5E3E"/>
    <w:rsid w:val="001D6CDF"/>
    <w:rsid w:val="001D7AEB"/>
    <w:rsid w:val="001E05A0"/>
    <w:rsid w:val="001E13A1"/>
    <w:rsid w:val="001E3C24"/>
    <w:rsid w:val="001E7D5A"/>
    <w:rsid w:val="001F0971"/>
    <w:rsid w:val="001F254A"/>
    <w:rsid w:val="001F2A69"/>
    <w:rsid w:val="001F37CB"/>
    <w:rsid w:val="001F3AB8"/>
    <w:rsid w:val="001F3EE6"/>
    <w:rsid w:val="001F6CA0"/>
    <w:rsid w:val="001F7B47"/>
    <w:rsid w:val="00201B12"/>
    <w:rsid w:val="00203D4E"/>
    <w:rsid w:val="0020458B"/>
    <w:rsid w:val="00207851"/>
    <w:rsid w:val="00210DC6"/>
    <w:rsid w:val="00212072"/>
    <w:rsid w:val="00212546"/>
    <w:rsid w:val="00212C4F"/>
    <w:rsid w:val="00212F4D"/>
    <w:rsid w:val="00213C7A"/>
    <w:rsid w:val="00214888"/>
    <w:rsid w:val="00215663"/>
    <w:rsid w:val="002167CA"/>
    <w:rsid w:val="0021754A"/>
    <w:rsid w:val="00217FD8"/>
    <w:rsid w:val="00223562"/>
    <w:rsid w:val="002235B7"/>
    <w:rsid w:val="00224043"/>
    <w:rsid w:val="002248D1"/>
    <w:rsid w:val="00225A0A"/>
    <w:rsid w:val="00225E4B"/>
    <w:rsid w:val="002269C7"/>
    <w:rsid w:val="002273BC"/>
    <w:rsid w:val="00231F18"/>
    <w:rsid w:val="00232387"/>
    <w:rsid w:val="00232B2A"/>
    <w:rsid w:val="00233895"/>
    <w:rsid w:val="00234371"/>
    <w:rsid w:val="002353B2"/>
    <w:rsid w:val="00235FAE"/>
    <w:rsid w:val="00236FE2"/>
    <w:rsid w:val="00237357"/>
    <w:rsid w:val="0023768A"/>
    <w:rsid w:val="00241FF5"/>
    <w:rsid w:val="002422AB"/>
    <w:rsid w:val="002432DF"/>
    <w:rsid w:val="0024428D"/>
    <w:rsid w:val="002445EF"/>
    <w:rsid w:val="00244ACA"/>
    <w:rsid w:val="0024545A"/>
    <w:rsid w:val="00250292"/>
    <w:rsid w:val="00251EFA"/>
    <w:rsid w:val="002520B6"/>
    <w:rsid w:val="0025217A"/>
    <w:rsid w:val="00252CB0"/>
    <w:rsid w:val="002539E7"/>
    <w:rsid w:val="002545AF"/>
    <w:rsid w:val="0025488D"/>
    <w:rsid w:val="00254B2B"/>
    <w:rsid w:val="0025516E"/>
    <w:rsid w:val="002559B6"/>
    <w:rsid w:val="00255B98"/>
    <w:rsid w:val="00256981"/>
    <w:rsid w:val="002576A3"/>
    <w:rsid w:val="002600A5"/>
    <w:rsid w:val="00260327"/>
    <w:rsid w:val="00261372"/>
    <w:rsid w:val="0026156E"/>
    <w:rsid w:val="0026231F"/>
    <w:rsid w:val="00262785"/>
    <w:rsid w:val="0026519C"/>
    <w:rsid w:val="00265E04"/>
    <w:rsid w:val="0026712A"/>
    <w:rsid w:val="0026773E"/>
    <w:rsid w:val="00272001"/>
    <w:rsid w:val="00272CA7"/>
    <w:rsid w:val="00272FE6"/>
    <w:rsid w:val="00273867"/>
    <w:rsid w:val="00273BD3"/>
    <w:rsid w:val="0027494C"/>
    <w:rsid w:val="002757AC"/>
    <w:rsid w:val="00275D28"/>
    <w:rsid w:val="0027693F"/>
    <w:rsid w:val="00277FD0"/>
    <w:rsid w:val="00281357"/>
    <w:rsid w:val="002818AF"/>
    <w:rsid w:val="00281F3D"/>
    <w:rsid w:val="00282717"/>
    <w:rsid w:val="00283392"/>
    <w:rsid w:val="002833D0"/>
    <w:rsid w:val="002840D7"/>
    <w:rsid w:val="002842B3"/>
    <w:rsid w:val="00286312"/>
    <w:rsid w:val="00287671"/>
    <w:rsid w:val="00290495"/>
    <w:rsid w:val="002909B3"/>
    <w:rsid w:val="00290C49"/>
    <w:rsid w:val="002916AF"/>
    <w:rsid w:val="00292A6B"/>
    <w:rsid w:val="00292BA3"/>
    <w:rsid w:val="002932F3"/>
    <w:rsid w:val="00294266"/>
    <w:rsid w:val="00295115"/>
    <w:rsid w:val="002957CD"/>
    <w:rsid w:val="002963C0"/>
    <w:rsid w:val="00296EF2"/>
    <w:rsid w:val="00297BA6"/>
    <w:rsid w:val="00297BAD"/>
    <w:rsid w:val="002A10BD"/>
    <w:rsid w:val="002A1F37"/>
    <w:rsid w:val="002A2674"/>
    <w:rsid w:val="002A3614"/>
    <w:rsid w:val="002A3778"/>
    <w:rsid w:val="002A3F23"/>
    <w:rsid w:val="002A44BE"/>
    <w:rsid w:val="002A503B"/>
    <w:rsid w:val="002A54CE"/>
    <w:rsid w:val="002A6ACC"/>
    <w:rsid w:val="002A6D0C"/>
    <w:rsid w:val="002B080B"/>
    <w:rsid w:val="002B09AF"/>
    <w:rsid w:val="002B17A6"/>
    <w:rsid w:val="002B1E58"/>
    <w:rsid w:val="002B2348"/>
    <w:rsid w:val="002B2A94"/>
    <w:rsid w:val="002B2B3E"/>
    <w:rsid w:val="002B2EDF"/>
    <w:rsid w:val="002B4BFD"/>
    <w:rsid w:val="002B6107"/>
    <w:rsid w:val="002B6F4A"/>
    <w:rsid w:val="002B7256"/>
    <w:rsid w:val="002C0C00"/>
    <w:rsid w:val="002C142F"/>
    <w:rsid w:val="002C14DD"/>
    <w:rsid w:val="002C1EB9"/>
    <w:rsid w:val="002C3547"/>
    <w:rsid w:val="002C3803"/>
    <w:rsid w:val="002C3D7F"/>
    <w:rsid w:val="002C5117"/>
    <w:rsid w:val="002C6FFB"/>
    <w:rsid w:val="002C7BB7"/>
    <w:rsid w:val="002C7CC5"/>
    <w:rsid w:val="002D04E3"/>
    <w:rsid w:val="002D0C44"/>
    <w:rsid w:val="002D12DD"/>
    <w:rsid w:val="002D1C3F"/>
    <w:rsid w:val="002D2DE6"/>
    <w:rsid w:val="002D31B5"/>
    <w:rsid w:val="002D3CA9"/>
    <w:rsid w:val="002D3D59"/>
    <w:rsid w:val="002D4681"/>
    <w:rsid w:val="002D5791"/>
    <w:rsid w:val="002D68F4"/>
    <w:rsid w:val="002D70DB"/>
    <w:rsid w:val="002D7921"/>
    <w:rsid w:val="002D7C64"/>
    <w:rsid w:val="002E0241"/>
    <w:rsid w:val="002E033F"/>
    <w:rsid w:val="002E0400"/>
    <w:rsid w:val="002E1CE6"/>
    <w:rsid w:val="002E4031"/>
    <w:rsid w:val="002E4845"/>
    <w:rsid w:val="002E48FA"/>
    <w:rsid w:val="002E7855"/>
    <w:rsid w:val="002F07D1"/>
    <w:rsid w:val="002F11D4"/>
    <w:rsid w:val="002F1B2B"/>
    <w:rsid w:val="002F224E"/>
    <w:rsid w:val="002F2464"/>
    <w:rsid w:val="002F324C"/>
    <w:rsid w:val="002F46D2"/>
    <w:rsid w:val="002F5983"/>
    <w:rsid w:val="002F6468"/>
    <w:rsid w:val="002F6703"/>
    <w:rsid w:val="002F6ADD"/>
    <w:rsid w:val="002F6B89"/>
    <w:rsid w:val="002F7E1D"/>
    <w:rsid w:val="00300D4D"/>
    <w:rsid w:val="0030139D"/>
    <w:rsid w:val="00301E47"/>
    <w:rsid w:val="00302D64"/>
    <w:rsid w:val="00304BE9"/>
    <w:rsid w:val="00304E6C"/>
    <w:rsid w:val="0030505A"/>
    <w:rsid w:val="00305779"/>
    <w:rsid w:val="00305973"/>
    <w:rsid w:val="00305A6D"/>
    <w:rsid w:val="00306072"/>
    <w:rsid w:val="00306357"/>
    <w:rsid w:val="00306984"/>
    <w:rsid w:val="003100DB"/>
    <w:rsid w:val="00311BE9"/>
    <w:rsid w:val="00312338"/>
    <w:rsid w:val="00312CA2"/>
    <w:rsid w:val="0031432D"/>
    <w:rsid w:val="00315943"/>
    <w:rsid w:val="00316B0C"/>
    <w:rsid w:val="00317595"/>
    <w:rsid w:val="003175B0"/>
    <w:rsid w:val="003175EF"/>
    <w:rsid w:val="0031764C"/>
    <w:rsid w:val="00317C28"/>
    <w:rsid w:val="0032050A"/>
    <w:rsid w:val="0032317B"/>
    <w:rsid w:val="0032373F"/>
    <w:rsid w:val="003239BF"/>
    <w:rsid w:val="0032473F"/>
    <w:rsid w:val="00324BB6"/>
    <w:rsid w:val="00325721"/>
    <w:rsid w:val="003258ED"/>
    <w:rsid w:val="00326074"/>
    <w:rsid w:val="00326B6B"/>
    <w:rsid w:val="0032755E"/>
    <w:rsid w:val="00327946"/>
    <w:rsid w:val="00330313"/>
    <w:rsid w:val="00330DBD"/>
    <w:rsid w:val="00330FEC"/>
    <w:rsid w:val="00331161"/>
    <w:rsid w:val="00331445"/>
    <w:rsid w:val="0033169A"/>
    <w:rsid w:val="003327F8"/>
    <w:rsid w:val="00332C3D"/>
    <w:rsid w:val="00333CCA"/>
    <w:rsid w:val="0033570E"/>
    <w:rsid w:val="00335DBD"/>
    <w:rsid w:val="00336345"/>
    <w:rsid w:val="00336407"/>
    <w:rsid w:val="0033644A"/>
    <w:rsid w:val="003367B9"/>
    <w:rsid w:val="00336C2C"/>
    <w:rsid w:val="0033700B"/>
    <w:rsid w:val="00337D7E"/>
    <w:rsid w:val="00340731"/>
    <w:rsid w:val="00340F7D"/>
    <w:rsid w:val="00341AC8"/>
    <w:rsid w:val="00342C32"/>
    <w:rsid w:val="00342C81"/>
    <w:rsid w:val="00342D07"/>
    <w:rsid w:val="00343277"/>
    <w:rsid w:val="00343B2C"/>
    <w:rsid w:val="0034400B"/>
    <w:rsid w:val="00344B2D"/>
    <w:rsid w:val="00344D3C"/>
    <w:rsid w:val="00346840"/>
    <w:rsid w:val="00346912"/>
    <w:rsid w:val="00346A71"/>
    <w:rsid w:val="00346F35"/>
    <w:rsid w:val="00347973"/>
    <w:rsid w:val="00350649"/>
    <w:rsid w:val="00350669"/>
    <w:rsid w:val="00350840"/>
    <w:rsid w:val="003525B1"/>
    <w:rsid w:val="00352D0F"/>
    <w:rsid w:val="0035368F"/>
    <w:rsid w:val="0035446D"/>
    <w:rsid w:val="003565B8"/>
    <w:rsid w:val="00356828"/>
    <w:rsid w:val="00357CC9"/>
    <w:rsid w:val="0036082B"/>
    <w:rsid w:val="0036135C"/>
    <w:rsid w:val="00361D48"/>
    <w:rsid w:val="00362297"/>
    <w:rsid w:val="00362E2A"/>
    <w:rsid w:val="00362F13"/>
    <w:rsid w:val="00362F52"/>
    <w:rsid w:val="00363931"/>
    <w:rsid w:val="00363E8C"/>
    <w:rsid w:val="00364494"/>
    <w:rsid w:val="00364CD0"/>
    <w:rsid w:val="00365706"/>
    <w:rsid w:val="00367024"/>
    <w:rsid w:val="00367BBF"/>
    <w:rsid w:val="00367E99"/>
    <w:rsid w:val="00370170"/>
    <w:rsid w:val="0037089B"/>
    <w:rsid w:val="00370FFD"/>
    <w:rsid w:val="00371035"/>
    <w:rsid w:val="00371195"/>
    <w:rsid w:val="003712A1"/>
    <w:rsid w:val="00371A64"/>
    <w:rsid w:val="003727B5"/>
    <w:rsid w:val="00373E36"/>
    <w:rsid w:val="00374EB0"/>
    <w:rsid w:val="0037605E"/>
    <w:rsid w:val="00376403"/>
    <w:rsid w:val="00376F61"/>
    <w:rsid w:val="00376F9A"/>
    <w:rsid w:val="003806C7"/>
    <w:rsid w:val="00381006"/>
    <w:rsid w:val="00381071"/>
    <w:rsid w:val="0038207B"/>
    <w:rsid w:val="00382922"/>
    <w:rsid w:val="00383587"/>
    <w:rsid w:val="003835EA"/>
    <w:rsid w:val="00383A03"/>
    <w:rsid w:val="00383A17"/>
    <w:rsid w:val="00383D3F"/>
    <w:rsid w:val="00384776"/>
    <w:rsid w:val="00384DC9"/>
    <w:rsid w:val="00384DE6"/>
    <w:rsid w:val="00385B12"/>
    <w:rsid w:val="00385FDB"/>
    <w:rsid w:val="00386529"/>
    <w:rsid w:val="00386B38"/>
    <w:rsid w:val="00386E37"/>
    <w:rsid w:val="00390DD7"/>
    <w:rsid w:val="00390F36"/>
    <w:rsid w:val="00391289"/>
    <w:rsid w:val="00391EE6"/>
    <w:rsid w:val="00392231"/>
    <w:rsid w:val="00392731"/>
    <w:rsid w:val="00392C4C"/>
    <w:rsid w:val="00393253"/>
    <w:rsid w:val="00393963"/>
    <w:rsid w:val="00394D1A"/>
    <w:rsid w:val="00394FD6"/>
    <w:rsid w:val="003957DF"/>
    <w:rsid w:val="00395CDE"/>
    <w:rsid w:val="0039608B"/>
    <w:rsid w:val="00396170"/>
    <w:rsid w:val="00396224"/>
    <w:rsid w:val="00397A9A"/>
    <w:rsid w:val="00397F2B"/>
    <w:rsid w:val="003A060C"/>
    <w:rsid w:val="003A0781"/>
    <w:rsid w:val="003A1D02"/>
    <w:rsid w:val="003A26DB"/>
    <w:rsid w:val="003A27F5"/>
    <w:rsid w:val="003A2AC1"/>
    <w:rsid w:val="003A3FF4"/>
    <w:rsid w:val="003A4549"/>
    <w:rsid w:val="003A506C"/>
    <w:rsid w:val="003A5089"/>
    <w:rsid w:val="003A53CE"/>
    <w:rsid w:val="003A71D0"/>
    <w:rsid w:val="003A7274"/>
    <w:rsid w:val="003A76FB"/>
    <w:rsid w:val="003B01E7"/>
    <w:rsid w:val="003B021B"/>
    <w:rsid w:val="003B0C36"/>
    <w:rsid w:val="003B0E6D"/>
    <w:rsid w:val="003B1619"/>
    <w:rsid w:val="003B2470"/>
    <w:rsid w:val="003B2D39"/>
    <w:rsid w:val="003B2F8D"/>
    <w:rsid w:val="003B3D23"/>
    <w:rsid w:val="003B3D36"/>
    <w:rsid w:val="003B3F16"/>
    <w:rsid w:val="003B466B"/>
    <w:rsid w:val="003B4B7F"/>
    <w:rsid w:val="003B6056"/>
    <w:rsid w:val="003B6218"/>
    <w:rsid w:val="003B63D4"/>
    <w:rsid w:val="003B6DAF"/>
    <w:rsid w:val="003B6F03"/>
    <w:rsid w:val="003B775D"/>
    <w:rsid w:val="003C0C39"/>
    <w:rsid w:val="003C2CA4"/>
    <w:rsid w:val="003C34B9"/>
    <w:rsid w:val="003C37C2"/>
    <w:rsid w:val="003C39DC"/>
    <w:rsid w:val="003C3B33"/>
    <w:rsid w:val="003C4524"/>
    <w:rsid w:val="003C482D"/>
    <w:rsid w:val="003C4999"/>
    <w:rsid w:val="003C50B8"/>
    <w:rsid w:val="003C68DC"/>
    <w:rsid w:val="003C696F"/>
    <w:rsid w:val="003C732E"/>
    <w:rsid w:val="003C74EE"/>
    <w:rsid w:val="003C754E"/>
    <w:rsid w:val="003D035A"/>
    <w:rsid w:val="003D0A38"/>
    <w:rsid w:val="003D16D7"/>
    <w:rsid w:val="003D1833"/>
    <w:rsid w:val="003D3886"/>
    <w:rsid w:val="003D3CDB"/>
    <w:rsid w:val="003D469D"/>
    <w:rsid w:val="003D5754"/>
    <w:rsid w:val="003D5A0D"/>
    <w:rsid w:val="003D6177"/>
    <w:rsid w:val="003D6B7A"/>
    <w:rsid w:val="003D6C2E"/>
    <w:rsid w:val="003E1C48"/>
    <w:rsid w:val="003E266D"/>
    <w:rsid w:val="003E28E3"/>
    <w:rsid w:val="003E3201"/>
    <w:rsid w:val="003E35D8"/>
    <w:rsid w:val="003E5034"/>
    <w:rsid w:val="003E53ED"/>
    <w:rsid w:val="003E63D4"/>
    <w:rsid w:val="003E664C"/>
    <w:rsid w:val="003E6ECB"/>
    <w:rsid w:val="003E78CA"/>
    <w:rsid w:val="003E78DC"/>
    <w:rsid w:val="003E78EB"/>
    <w:rsid w:val="003E7F89"/>
    <w:rsid w:val="003F05AB"/>
    <w:rsid w:val="003F14E9"/>
    <w:rsid w:val="003F1F5B"/>
    <w:rsid w:val="003F2582"/>
    <w:rsid w:val="003F30A5"/>
    <w:rsid w:val="003F4824"/>
    <w:rsid w:val="003F4AFE"/>
    <w:rsid w:val="003F4C21"/>
    <w:rsid w:val="003F5819"/>
    <w:rsid w:val="003F5DD2"/>
    <w:rsid w:val="003F6C02"/>
    <w:rsid w:val="003F7D94"/>
    <w:rsid w:val="004004CD"/>
    <w:rsid w:val="00400E68"/>
    <w:rsid w:val="00402373"/>
    <w:rsid w:val="004024FE"/>
    <w:rsid w:val="00402C93"/>
    <w:rsid w:val="00403BF4"/>
    <w:rsid w:val="00403D71"/>
    <w:rsid w:val="00403F69"/>
    <w:rsid w:val="00404284"/>
    <w:rsid w:val="00405433"/>
    <w:rsid w:val="00405AD6"/>
    <w:rsid w:val="004074DA"/>
    <w:rsid w:val="00407B8B"/>
    <w:rsid w:val="00410006"/>
    <w:rsid w:val="0041018C"/>
    <w:rsid w:val="004102C7"/>
    <w:rsid w:val="00410E63"/>
    <w:rsid w:val="0041126B"/>
    <w:rsid w:val="004117DB"/>
    <w:rsid w:val="0041213E"/>
    <w:rsid w:val="00412696"/>
    <w:rsid w:val="00412A00"/>
    <w:rsid w:val="00413203"/>
    <w:rsid w:val="00413377"/>
    <w:rsid w:val="00415332"/>
    <w:rsid w:val="00415651"/>
    <w:rsid w:val="00415668"/>
    <w:rsid w:val="0041742F"/>
    <w:rsid w:val="00417938"/>
    <w:rsid w:val="004206A1"/>
    <w:rsid w:val="00421310"/>
    <w:rsid w:val="0042150B"/>
    <w:rsid w:val="004218D9"/>
    <w:rsid w:val="00421C45"/>
    <w:rsid w:val="00422A2F"/>
    <w:rsid w:val="004235BC"/>
    <w:rsid w:val="00423794"/>
    <w:rsid w:val="0042384C"/>
    <w:rsid w:val="00424EFF"/>
    <w:rsid w:val="0042693C"/>
    <w:rsid w:val="00426947"/>
    <w:rsid w:val="004269A4"/>
    <w:rsid w:val="004276B9"/>
    <w:rsid w:val="00430E11"/>
    <w:rsid w:val="0043127E"/>
    <w:rsid w:val="004315BD"/>
    <w:rsid w:val="0043576A"/>
    <w:rsid w:val="00435810"/>
    <w:rsid w:val="00436152"/>
    <w:rsid w:val="00437090"/>
    <w:rsid w:val="004379CA"/>
    <w:rsid w:val="00440B8D"/>
    <w:rsid w:val="00440D06"/>
    <w:rsid w:val="00442303"/>
    <w:rsid w:val="004427A8"/>
    <w:rsid w:val="00443226"/>
    <w:rsid w:val="0044359E"/>
    <w:rsid w:val="00443685"/>
    <w:rsid w:val="0044405E"/>
    <w:rsid w:val="004445D1"/>
    <w:rsid w:val="00444CB1"/>
    <w:rsid w:val="004452D9"/>
    <w:rsid w:val="00445772"/>
    <w:rsid w:val="00446163"/>
    <w:rsid w:val="00450DB4"/>
    <w:rsid w:val="004516AB"/>
    <w:rsid w:val="004537EE"/>
    <w:rsid w:val="004543B3"/>
    <w:rsid w:val="004545E3"/>
    <w:rsid w:val="00454EB0"/>
    <w:rsid w:val="0045591D"/>
    <w:rsid w:val="00455C05"/>
    <w:rsid w:val="00456826"/>
    <w:rsid w:val="004607F5"/>
    <w:rsid w:val="0046228B"/>
    <w:rsid w:val="00462F59"/>
    <w:rsid w:val="004632EC"/>
    <w:rsid w:val="00463C6F"/>
    <w:rsid w:val="00463CF1"/>
    <w:rsid w:val="00464706"/>
    <w:rsid w:val="00464C1A"/>
    <w:rsid w:val="0046520E"/>
    <w:rsid w:val="00465353"/>
    <w:rsid w:val="004664E6"/>
    <w:rsid w:val="0046706A"/>
    <w:rsid w:val="004670CA"/>
    <w:rsid w:val="004679B1"/>
    <w:rsid w:val="00467BD6"/>
    <w:rsid w:val="00470596"/>
    <w:rsid w:val="00470E01"/>
    <w:rsid w:val="00472313"/>
    <w:rsid w:val="004735D5"/>
    <w:rsid w:val="00473C95"/>
    <w:rsid w:val="00474072"/>
    <w:rsid w:val="004741C1"/>
    <w:rsid w:val="004743EF"/>
    <w:rsid w:val="00474AD6"/>
    <w:rsid w:val="00477380"/>
    <w:rsid w:val="00480316"/>
    <w:rsid w:val="00480CC2"/>
    <w:rsid w:val="00480DB3"/>
    <w:rsid w:val="004816C6"/>
    <w:rsid w:val="00481CB3"/>
    <w:rsid w:val="00482143"/>
    <w:rsid w:val="00482642"/>
    <w:rsid w:val="00482E59"/>
    <w:rsid w:val="00483021"/>
    <w:rsid w:val="00483080"/>
    <w:rsid w:val="00483D9F"/>
    <w:rsid w:val="0048434D"/>
    <w:rsid w:val="004843D6"/>
    <w:rsid w:val="00484CFF"/>
    <w:rsid w:val="00485A8A"/>
    <w:rsid w:val="00485B03"/>
    <w:rsid w:val="004864B1"/>
    <w:rsid w:val="00486604"/>
    <w:rsid w:val="00491869"/>
    <w:rsid w:val="00492170"/>
    <w:rsid w:val="0049460C"/>
    <w:rsid w:val="00494FF5"/>
    <w:rsid w:val="00495810"/>
    <w:rsid w:val="00495C6F"/>
    <w:rsid w:val="00495FBF"/>
    <w:rsid w:val="00496298"/>
    <w:rsid w:val="0049768E"/>
    <w:rsid w:val="004A1EBB"/>
    <w:rsid w:val="004A2397"/>
    <w:rsid w:val="004A23A2"/>
    <w:rsid w:val="004A2455"/>
    <w:rsid w:val="004A28B4"/>
    <w:rsid w:val="004A3956"/>
    <w:rsid w:val="004A3BE5"/>
    <w:rsid w:val="004A463C"/>
    <w:rsid w:val="004A620D"/>
    <w:rsid w:val="004A6AB5"/>
    <w:rsid w:val="004A6B97"/>
    <w:rsid w:val="004A7392"/>
    <w:rsid w:val="004A7B27"/>
    <w:rsid w:val="004B03CE"/>
    <w:rsid w:val="004B063E"/>
    <w:rsid w:val="004B072F"/>
    <w:rsid w:val="004B11D7"/>
    <w:rsid w:val="004B1443"/>
    <w:rsid w:val="004B1B12"/>
    <w:rsid w:val="004B1E26"/>
    <w:rsid w:val="004B2435"/>
    <w:rsid w:val="004B32F7"/>
    <w:rsid w:val="004B42E2"/>
    <w:rsid w:val="004B4777"/>
    <w:rsid w:val="004B6BFE"/>
    <w:rsid w:val="004B7C54"/>
    <w:rsid w:val="004C0210"/>
    <w:rsid w:val="004C0228"/>
    <w:rsid w:val="004C02D0"/>
    <w:rsid w:val="004C1AB5"/>
    <w:rsid w:val="004C1FE7"/>
    <w:rsid w:val="004C2A01"/>
    <w:rsid w:val="004C5BB6"/>
    <w:rsid w:val="004C61FA"/>
    <w:rsid w:val="004C65A7"/>
    <w:rsid w:val="004C6C76"/>
    <w:rsid w:val="004C6C77"/>
    <w:rsid w:val="004C717F"/>
    <w:rsid w:val="004C7515"/>
    <w:rsid w:val="004C7724"/>
    <w:rsid w:val="004C7760"/>
    <w:rsid w:val="004D08D6"/>
    <w:rsid w:val="004D1A42"/>
    <w:rsid w:val="004D1F77"/>
    <w:rsid w:val="004D23AC"/>
    <w:rsid w:val="004D315C"/>
    <w:rsid w:val="004D3E27"/>
    <w:rsid w:val="004D5756"/>
    <w:rsid w:val="004D6048"/>
    <w:rsid w:val="004D6620"/>
    <w:rsid w:val="004D699D"/>
    <w:rsid w:val="004D6CF0"/>
    <w:rsid w:val="004D6EE1"/>
    <w:rsid w:val="004D6F0F"/>
    <w:rsid w:val="004D759C"/>
    <w:rsid w:val="004D7D89"/>
    <w:rsid w:val="004E0092"/>
    <w:rsid w:val="004E1794"/>
    <w:rsid w:val="004E1A9C"/>
    <w:rsid w:val="004E1B60"/>
    <w:rsid w:val="004E217A"/>
    <w:rsid w:val="004E3C6F"/>
    <w:rsid w:val="004E4FA1"/>
    <w:rsid w:val="004E51E2"/>
    <w:rsid w:val="004E6586"/>
    <w:rsid w:val="004E7457"/>
    <w:rsid w:val="004E789F"/>
    <w:rsid w:val="004E7B38"/>
    <w:rsid w:val="004E7F08"/>
    <w:rsid w:val="004F0381"/>
    <w:rsid w:val="004F12C7"/>
    <w:rsid w:val="004F157E"/>
    <w:rsid w:val="004F228C"/>
    <w:rsid w:val="004F28AB"/>
    <w:rsid w:val="004F3160"/>
    <w:rsid w:val="004F3D52"/>
    <w:rsid w:val="004F424F"/>
    <w:rsid w:val="004F4CDF"/>
    <w:rsid w:val="004F5470"/>
    <w:rsid w:val="004F5EEE"/>
    <w:rsid w:val="004F7E87"/>
    <w:rsid w:val="00500112"/>
    <w:rsid w:val="00500DBF"/>
    <w:rsid w:val="0050190F"/>
    <w:rsid w:val="00501FE9"/>
    <w:rsid w:val="00503374"/>
    <w:rsid w:val="00503427"/>
    <w:rsid w:val="005036BC"/>
    <w:rsid w:val="00503C61"/>
    <w:rsid w:val="00504090"/>
    <w:rsid w:val="00505080"/>
    <w:rsid w:val="00505D77"/>
    <w:rsid w:val="00506782"/>
    <w:rsid w:val="005075AF"/>
    <w:rsid w:val="00507909"/>
    <w:rsid w:val="005079BF"/>
    <w:rsid w:val="00510460"/>
    <w:rsid w:val="005104DF"/>
    <w:rsid w:val="00512112"/>
    <w:rsid w:val="0051243A"/>
    <w:rsid w:val="00513FC8"/>
    <w:rsid w:val="005147BF"/>
    <w:rsid w:val="00516AC4"/>
    <w:rsid w:val="005173B6"/>
    <w:rsid w:val="005200DE"/>
    <w:rsid w:val="00520229"/>
    <w:rsid w:val="005203E3"/>
    <w:rsid w:val="00520AE9"/>
    <w:rsid w:val="00520B05"/>
    <w:rsid w:val="00522034"/>
    <w:rsid w:val="00522CB9"/>
    <w:rsid w:val="005232E1"/>
    <w:rsid w:val="00524E7B"/>
    <w:rsid w:val="005275C6"/>
    <w:rsid w:val="00527D03"/>
    <w:rsid w:val="00530494"/>
    <w:rsid w:val="00530F2D"/>
    <w:rsid w:val="00530FA0"/>
    <w:rsid w:val="00531A50"/>
    <w:rsid w:val="00531DF7"/>
    <w:rsid w:val="005321CF"/>
    <w:rsid w:val="0053311C"/>
    <w:rsid w:val="005332D0"/>
    <w:rsid w:val="00533DEA"/>
    <w:rsid w:val="005373DC"/>
    <w:rsid w:val="00537ABF"/>
    <w:rsid w:val="00540B07"/>
    <w:rsid w:val="0054168D"/>
    <w:rsid w:val="00541849"/>
    <w:rsid w:val="0054193A"/>
    <w:rsid w:val="00542F8B"/>
    <w:rsid w:val="00544384"/>
    <w:rsid w:val="005444D7"/>
    <w:rsid w:val="00544596"/>
    <w:rsid w:val="00547BE9"/>
    <w:rsid w:val="00550B58"/>
    <w:rsid w:val="00551C06"/>
    <w:rsid w:val="0055272B"/>
    <w:rsid w:val="00553C55"/>
    <w:rsid w:val="00553C77"/>
    <w:rsid w:val="00553CDA"/>
    <w:rsid w:val="00554A84"/>
    <w:rsid w:val="005550D2"/>
    <w:rsid w:val="0055622E"/>
    <w:rsid w:val="005562D7"/>
    <w:rsid w:val="00556594"/>
    <w:rsid w:val="00557567"/>
    <w:rsid w:val="005612AD"/>
    <w:rsid w:val="00561E86"/>
    <w:rsid w:val="00561FEB"/>
    <w:rsid w:val="0056422F"/>
    <w:rsid w:val="00564585"/>
    <w:rsid w:val="00564C02"/>
    <w:rsid w:val="00566688"/>
    <w:rsid w:val="00567B54"/>
    <w:rsid w:val="0057157C"/>
    <w:rsid w:val="00572851"/>
    <w:rsid w:val="00572A7C"/>
    <w:rsid w:val="00573843"/>
    <w:rsid w:val="005738E8"/>
    <w:rsid w:val="00574485"/>
    <w:rsid w:val="00575924"/>
    <w:rsid w:val="00576E2F"/>
    <w:rsid w:val="00577226"/>
    <w:rsid w:val="005777B3"/>
    <w:rsid w:val="00580C20"/>
    <w:rsid w:val="00580F5B"/>
    <w:rsid w:val="005815A3"/>
    <w:rsid w:val="00581624"/>
    <w:rsid w:val="00581BE2"/>
    <w:rsid w:val="0058262C"/>
    <w:rsid w:val="00582AC3"/>
    <w:rsid w:val="005832CB"/>
    <w:rsid w:val="005844F5"/>
    <w:rsid w:val="005845E3"/>
    <w:rsid w:val="00584649"/>
    <w:rsid w:val="00585C2A"/>
    <w:rsid w:val="00586F39"/>
    <w:rsid w:val="00590D21"/>
    <w:rsid w:val="00591058"/>
    <w:rsid w:val="005913C1"/>
    <w:rsid w:val="005917D8"/>
    <w:rsid w:val="00591D4A"/>
    <w:rsid w:val="0059236C"/>
    <w:rsid w:val="00592B12"/>
    <w:rsid w:val="00592E1F"/>
    <w:rsid w:val="00593127"/>
    <w:rsid w:val="00593430"/>
    <w:rsid w:val="00594D2C"/>
    <w:rsid w:val="00594ECC"/>
    <w:rsid w:val="005960E7"/>
    <w:rsid w:val="00596C13"/>
    <w:rsid w:val="005A0061"/>
    <w:rsid w:val="005A0A58"/>
    <w:rsid w:val="005A1446"/>
    <w:rsid w:val="005A17B4"/>
    <w:rsid w:val="005A25FA"/>
    <w:rsid w:val="005A2956"/>
    <w:rsid w:val="005A2B7F"/>
    <w:rsid w:val="005A3E71"/>
    <w:rsid w:val="005A4B3E"/>
    <w:rsid w:val="005A7981"/>
    <w:rsid w:val="005B02FF"/>
    <w:rsid w:val="005B0E2C"/>
    <w:rsid w:val="005B20FC"/>
    <w:rsid w:val="005B2140"/>
    <w:rsid w:val="005B294A"/>
    <w:rsid w:val="005B2C43"/>
    <w:rsid w:val="005B2CBC"/>
    <w:rsid w:val="005B3273"/>
    <w:rsid w:val="005B5205"/>
    <w:rsid w:val="005B5F66"/>
    <w:rsid w:val="005B6DAE"/>
    <w:rsid w:val="005B78A7"/>
    <w:rsid w:val="005B7C0B"/>
    <w:rsid w:val="005B7E20"/>
    <w:rsid w:val="005C0D9F"/>
    <w:rsid w:val="005C1C10"/>
    <w:rsid w:val="005C2CCB"/>
    <w:rsid w:val="005C4514"/>
    <w:rsid w:val="005C50FB"/>
    <w:rsid w:val="005C549E"/>
    <w:rsid w:val="005C5E4C"/>
    <w:rsid w:val="005C7701"/>
    <w:rsid w:val="005D057F"/>
    <w:rsid w:val="005D15BC"/>
    <w:rsid w:val="005D27C2"/>
    <w:rsid w:val="005D27CB"/>
    <w:rsid w:val="005D316F"/>
    <w:rsid w:val="005D3355"/>
    <w:rsid w:val="005D3BDD"/>
    <w:rsid w:val="005D3CDF"/>
    <w:rsid w:val="005D3CF9"/>
    <w:rsid w:val="005D495D"/>
    <w:rsid w:val="005D581A"/>
    <w:rsid w:val="005D5B7D"/>
    <w:rsid w:val="005D716C"/>
    <w:rsid w:val="005D7587"/>
    <w:rsid w:val="005D7DF0"/>
    <w:rsid w:val="005E00AD"/>
    <w:rsid w:val="005E1661"/>
    <w:rsid w:val="005E271B"/>
    <w:rsid w:val="005E3D40"/>
    <w:rsid w:val="005E4177"/>
    <w:rsid w:val="005E5157"/>
    <w:rsid w:val="005E5AF1"/>
    <w:rsid w:val="005E5F38"/>
    <w:rsid w:val="005E70EA"/>
    <w:rsid w:val="005F14BD"/>
    <w:rsid w:val="005F163F"/>
    <w:rsid w:val="005F2221"/>
    <w:rsid w:val="005F249B"/>
    <w:rsid w:val="005F24D7"/>
    <w:rsid w:val="005F2539"/>
    <w:rsid w:val="005F2ED4"/>
    <w:rsid w:val="005F3837"/>
    <w:rsid w:val="005F3BD6"/>
    <w:rsid w:val="005F496C"/>
    <w:rsid w:val="005F4DE7"/>
    <w:rsid w:val="005F5390"/>
    <w:rsid w:val="005F5982"/>
    <w:rsid w:val="005F7925"/>
    <w:rsid w:val="005F7B81"/>
    <w:rsid w:val="00601BF1"/>
    <w:rsid w:val="0060297A"/>
    <w:rsid w:val="00602B57"/>
    <w:rsid w:val="00603C97"/>
    <w:rsid w:val="00604DB4"/>
    <w:rsid w:val="006053D3"/>
    <w:rsid w:val="00605444"/>
    <w:rsid w:val="006054B2"/>
    <w:rsid w:val="00610632"/>
    <w:rsid w:val="00610EF5"/>
    <w:rsid w:val="006113B5"/>
    <w:rsid w:val="006119F0"/>
    <w:rsid w:val="00611A8D"/>
    <w:rsid w:val="00611AAF"/>
    <w:rsid w:val="0061329A"/>
    <w:rsid w:val="00613A5A"/>
    <w:rsid w:val="00613B88"/>
    <w:rsid w:val="00613BF9"/>
    <w:rsid w:val="006144B5"/>
    <w:rsid w:val="00614637"/>
    <w:rsid w:val="006147DD"/>
    <w:rsid w:val="006159CE"/>
    <w:rsid w:val="00616443"/>
    <w:rsid w:val="006169C4"/>
    <w:rsid w:val="00617123"/>
    <w:rsid w:val="0061712F"/>
    <w:rsid w:val="00617332"/>
    <w:rsid w:val="00620010"/>
    <w:rsid w:val="00620065"/>
    <w:rsid w:val="00620AC1"/>
    <w:rsid w:val="00620F98"/>
    <w:rsid w:val="006223D5"/>
    <w:rsid w:val="00623E42"/>
    <w:rsid w:val="00624060"/>
    <w:rsid w:val="00627587"/>
    <w:rsid w:val="006303AB"/>
    <w:rsid w:val="00630CB3"/>
    <w:rsid w:val="00630D8B"/>
    <w:rsid w:val="00631F7D"/>
    <w:rsid w:val="00632852"/>
    <w:rsid w:val="00632B38"/>
    <w:rsid w:val="0063312C"/>
    <w:rsid w:val="0063373E"/>
    <w:rsid w:val="00633C71"/>
    <w:rsid w:val="00636772"/>
    <w:rsid w:val="006417C6"/>
    <w:rsid w:val="00641DA7"/>
    <w:rsid w:val="006429F8"/>
    <w:rsid w:val="00643870"/>
    <w:rsid w:val="00643E01"/>
    <w:rsid w:val="00644633"/>
    <w:rsid w:val="00644A5C"/>
    <w:rsid w:val="006451F4"/>
    <w:rsid w:val="0064592D"/>
    <w:rsid w:val="00645D1B"/>
    <w:rsid w:val="00646F8A"/>
    <w:rsid w:val="0064774B"/>
    <w:rsid w:val="00647907"/>
    <w:rsid w:val="00652794"/>
    <w:rsid w:val="006538B1"/>
    <w:rsid w:val="006549DA"/>
    <w:rsid w:val="006555D9"/>
    <w:rsid w:val="006566A6"/>
    <w:rsid w:val="0065710C"/>
    <w:rsid w:val="00657450"/>
    <w:rsid w:val="00660E3F"/>
    <w:rsid w:val="006622B2"/>
    <w:rsid w:val="006629E2"/>
    <w:rsid w:val="006632D4"/>
    <w:rsid w:val="006643B2"/>
    <w:rsid w:val="00664670"/>
    <w:rsid w:val="0066516E"/>
    <w:rsid w:val="0066567E"/>
    <w:rsid w:val="006657A5"/>
    <w:rsid w:val="0066599A"/>
    <w:rsid w:val="006666B3"/>
    <w:rsid w:val="006674AF"/>
    <w:rsid w:val="006678FE"/>
    <w:rsid w:val="00667F9A"/>
    <w:rsid w:val="0067190A"/>
    <w:rsid w:val="00671B02"/>
    <w:rsid w:val="00672677"/>
    <w:rsid w:val="00673051"/>
    <w:rsid w:val="006731E0"/>
    <w:rsid w:val="0067381E"/>
    <w:rsid w:val="00675503"/>
    <w:rsid w:val="00675A12"/>
    <w:rsid w:val="00675BA6"/>
    <w:rsid w:val="00676983"/>
    <w:rsid w:val="00676AA8"/>
    <w:rsid w:val="006777DF"/>
    <w:rsid w:val="00677D03"/>
    <w:rsid w:val="00680397"/>
    <w:rsid w:val="006803FC"/>
    <w:rsid w:val="00680AEA"/>
    <w:rsid w:val="00681181"/>
    <w:rsid w:val="006818E4"/>
    <w:rsid w:val="00682137"/>
    <w:rsid w:val="006840DE"/>
    <w:rsid w:val="00684B27"/>
    <w:rsid w:val="006854DF"/>
    <w:rsid w:val="006861EF"/>
    <w:rsid w:val="006862C6"/>
    <w:rsid w:val="0068728A"/>
    <w:rsid w:val="00687B0B"/>
    <w:rsid w:val="00687E49"/>
    <w:rsid w:val="00690439"/>
    <w:rsid w:val="00691159"/>
    <w:rsid w:val="00691477"/>
    <w:rsid w:val="00692FA6"/>
    <w:rsid w:val="0069316C"/>
    <w:rsid w:val="00693BC9"/>
    <w:rsid w:val="00695115"/>
    <w:rsid w:val="00696FBC"/>
    <w:rsid w:val="006975EA"/>
    <w:rsid w:val="00697882"/>
    <w:rsid w:val="00697C9F"/>
    <w:rsid w:val="00697F57"/>
    <w:rsid w:val="006A0CF2"/>
    <w:rsid w:val="006A1FB7"/>
    <w:rsid w:val="006A39F4"/>
    <w:rsid w:val="006A4907"/>
    <w:rsid w:val="006A6265"/>
    <w:rsid w:val="006A6434"/>
    <w:rsid w:val="006A693B"/>
    <w:rsid w:val="006A6DF7"/>
    <w:rsid w:val="006A7BAC"/>
    <w:rsid w:val="006B0F19"/>
    <w:rsid w:val="006B111E"/>
    <w:rsid w:val="006B28D1"/>
    <w:rsid w:val="006B2D71"/>
    <w:rsid w:val="006B3C23"/>
    <w:rsid w:val="006B4202"/>
    <w:rsid w:val="006B58EC"/>
    <w:rsid w:val="006B7799"/>
    <w:rsid w:val="006C0AD8"/>
    <w:rsid w:val="006C0ED6"/>
    <w:rsid w:val="006C2034"/>
    <w:rsid w:val="006C2073"/>
    <w:rsid w:val="006C2B4F"/>
    <w:rsid w:val="006C2CE3"/>
    <w:rsid w:val="006C2DC9"/>
    <w:rsid w:val="006C3C44"/>
    <w:rsid w:val="006C524F"/>
    <w:rsid w:val="006C55CD"/>
    <w:rsid w:val="006C60B8"/>
    <w:rsid w:val="006C61BC"/>
    <w:rsid w:val="006C6AD2"/>
    <w:rsid w:val="006C6E57"/>
    <w:rsid w:val="006C7410"/>
    <w:rsid w:val="006C7E35"/>
    <w:rsid w:val="006D1642"/>
    <w:rsid w:val="006D1673"/>
    <w:rsid w:val="006D17F7"/>
    <w:rsid w:val="006D1953"/>
    <w:rsid w:val="006D287E"/>
    <w:rsid w:val="006D2ADA"/>
    <w:rsid w:val="006D4D1E"/>
    <w:rsid w:val="006D6383"/>
    <w:rsid w:val="006D6D88"/>
    <w:rsid w:val="006D7FCC"/>
    <w:rsid w:val="006D7FE8"/>
    <w:rsid w:val="006E1FCB"/>
    <w:rsid w:val="006E395C"/>
    <w:rsid w:val="006E3BAF"/>
    <w:rsid w:val="006E45E2"/>
    <w:rsid w:val="006E47D0"/>
    <w:rsid w:val="006E4B1F"/>
    <w:rsid w:val="006E4EA8"/>
    <w:rsid w:val="006E72B5"/>
    <w:rsid w:val="006E77E5"/>
    <w:rsid w:val="006F087E"/>
    <w:rsid w:val="006F16FE"/>
    <w:rsid w:val="006F1CFA"/>
    <w:rsid w:val="006F30D0"/>
    <w:rsid w:val="006F3263"/>
    <w:rsid w:val="006F327C"/>
    <w:rsid w:val="006F39D8"/>
    <w:rsid w:val="006F4733"/>
    <w:rsid w:val="006F6BFB"/>
    <w:rsid w:val="007011E5"/>
    <w:rsid w:val="00703044"/>
    <w:rsid w:val="00703746"/>
    <w:rsid w:val="007055A8"/>
    <w:rsid w:val="007057D8"/>
    <w:rsid w:val="00705A88"/>
    <w:rsid w:val="00705D10"/>
    <w:rsid w:val="00707F32"/>
    <w:rsid w:val="00711085"/>
    <w:rsid w:val="00711415"/>
    <w:rsid w:val="00711FCB"/>
    <w:rsid w:val="00712476"/>
    <w:rsid w:val="00712983"/>
    <w:rsid w:val="00715353"/>
    <w:rsid w:val="0071611E"/>
    <w:rsid w:val="00716122"/>
    <w:rsid w:val="00716B8A"/>
    <w:rsid w:val="00716E03"/>
    <w:rsid w:val="00717379"/>
    <w:rsid w:val="00717B4A"/>
    <w:rsid w:val="00717B4C"/>
    <w:rsid w:val="00717EC2"/>
    <w:rsid w:val="00717F4C"/>
    <w:rsid w:val="00717F8D"/>
    <w:rsid w:val="007205DA"/>
    <w:rsid w:val="00723D7E"/>
    <w:rsid w:val="00724A21"/>
    <w:rsid w:val="00725936"/>
    <w:rsid w:val="0072595D"/>
    <w:rsid w:val="00726DDD"/>
    <w:rsid w:val="00726E5B"/>
    <w:rsid w:val="00727E4A"/>
    <w:rsid w:val="00731B42"/>
    <w:rsid w:val="007320B0"/>
    <w:rsid w:val="00732A01"/>
    <w:rsid w:val="007333C7"/>
    <w:rsid w:val="00733BAB"/>
    <w:rsid w:val="007341A8"/>
    <w:rsid w:val="00734DC0"/>
    <w:rsid w:val="007351E5"/>
    <w:rsid w:val="00735BD8"/>
    <w:rsid w:val="007365F9"/>
    <w:rsid w:val="00737225"/>
    <w:rsid w:val="007374A6"/>
    <w:rsid w:val="00737DBA"/>
    <w:rsid w:val="00740EFB"/>
    <w:rsid w:val="00741675"/>
    <w:rsid w:val="0074371A"/>
    <w:rsid w:val="00745410"/>
    <w:rsid w:val="00746593"/>
    <w:rsid w:val="00747E62"/>
    <w:rsid w:val="007503F0"/>
    <w:rsid w:val="00751225"/>
    <w:rsid w:val="0075215B"/>
    <w:rsid w:val="00752CEA"/>
    <w:rsid w:val="007534AF"/>
    <w:rsid w:val="0075431F"/>
    <w:rsid w:val="00754B72"/>
    <w:rsid w:val="007551AA"/>
    <w:rsid w:val="00755FED"/>
    <w:rsid w:val="0075604E"/>
    <w:rsid w:val="007567BE"/>
    <w:rsid w:val="00756D1C"/>
    <w:rsid w:val="00756DFB"/>
    <w:rsid w:val="0075761F"/>
    <w:rsid w:val="0075773F"/>
    <w:rsid w:val="00760013"/>
    <w:rsid w:val="00760F42"/>
    <w:rsid w:val="0076326F"/>
    <w:rsid w:val="007639CE"/>
    <w:rsid w:val="00764625"/>
    <w:rsid w:val="0076497A"/>
    <w:rsid w:val="007656EF"/>
    <w:rsid w:val="0076632F"/>
    <w:rsid w:val="00766458"/>
    <w:rsid w:val="007667F7"/>
    <w:rsid w:val="00766A2F"/>
    <w:rsid w:val="00766D9C"/>
    <w:rsid w:val="007675FA"/>
    <w:rsid w:val="0077175A"/>
    <w:rsid w:val="007723EE"/>
    <w:rsid w:val="007724EB"/>
    <w:rsid w:val="007742BB"/>
    <w:rsid w:val="00774E43"/>
    <w:rsid w:val="00775A4E"/>
    <w:rsid w:val="00777665"/>
    <w:rsid w:val="00777DE1"/>
    <w:rsid w:val="007803D5"/>
    <w:rsid w:val="00782165"/>
    <w:rsid w:val="00783789"/>
    <w:rsid w:val="00784207"/>
    <w:rsid w:val="00785205"/>
    <w:rsid w:val="00785335"/>
    <w:rsid w:val="00785F3F"/>
    <w:rsid w:val="007862DA"/>
    <w:rsid w:val="00787045"/>
    <w:rsid w:val="00790E50"/>
    <w:rsid w:val="00791242"/>
    <w:rsid w:val="007928C0"/>
    <w:rsid w:val="00792FAC"/>
    <w:rsid w:val="00793BB7"/>
    <w:rsid w:val="00793CFE"/>
    <w:rsid w:val="00794B74"/>
    <w:rsid w:val="0079575A"/>
    <w:rsid w:val="00796BA6"/>
    <w:rsid w:val="00797C36"/>
    <w:rsid w:val="007A143C"/>
    <w:rsid w:val="007A349F"/>
    <w:rsid w:val="007A3DBD"/>
    <w:rsid w:val="007A4D26"/>
    <w:rsid w:val="007A5C66"/>
    <w:rsid w:val="007A5D64"/>
    <w:rsid w:val="007A5F2E"/>
    <w:rsid w:val="007A72DE"/>
    <w:rsid w:val="007A7BB4"/>
    <w:rsid w:val="007B04B0"/>
    <w:rsid w:val="007B0500"/>
    <w:rsid w:val="007B0A93"/>
    <w:rsid w:val="007B0E31"/>
    <w:rsid w:val="007B15CF"/>
    <w:rsid w:val="007B238F"/>
    <w:rsid w:val="007B29E4"/>
    <w:rsid w:val="007B2C27"/>
    <w:rsid w:val="007B3137"/>
    <w:rsid w:val="007B35C0"/>
    <w:rsid w:val="007B47D1"/>
    <w:rsid w:val="007B549D"/>
    <w:rsid w:val="007B58EE"/>
    <w:rsid w:val="007B5D89"/>
    <w:rsid w:val="007B70ED"/>
    <w:rsid w:val="007B77B1"/>
    <w:rsid w:val="007C01FF"/>
    <w:rsid w:val="007C06F2"/>
    <w:rsid w:val="007C1A49"/>
    <w:rsid w:val="007C2564"/>
    <w:rsid w:val="007C292E"/>
    <w:rsid w:val="007C2A9C"/>
    <w:rsid w:val="007C2CFC"/>
    <w:rsid w:val="007C3229"/>
    <w:rsid w:val="007C353E"/>
    <w:rsid w:val="007C46AD"/>
    <w:rsid w:val="007C507E"/>
    <w:rsid w:val="007C5552"/>
    <w:rsid w:val="007C6B06"/>
    <w:rsid w:val="007C7482"/>
    <w:rsid w:val="007D1224"/>
    <w:rsid w:val="007D249B"/>
    <w:rsid w:val="007D5BB2"/>
    <w:rsid w:val="007D5D10"/>
    <w:rsid w:val="007D7A99"/>
    <w:rsid w:val="007E1B57"/>
    <w:rsid w:val="007E3E5B"/>
    <w:rsid w:val="007E3F2D"/>
    <w:rsid w:val="007E40B4"/>
    <w:rsid w:val="007E447A"/>
    <w:rsid w:val="007E497C"/>
    <w:rsid w:val="007E4EDC"/>
    <w:rsid w:val="007E54C6"/>
    <w:rsid w:val="007E58B8"/>
    <w:rsid w:val="007F05D8"/>
    <w:rsid w:val="007F0DF9"/>
    <w:rsid w:val="007F1026"/>
    <w:rsid w:val="007F1451"/>
    <w:rsid w:val="007F1852"/>
    <w:rsid w:val="007F3171"/>
    <w:rsid w:val="007F49A1"/>
    <w:rsid w:val="007F4A70"/>
    <w:rsid w:val="007F5FA9"/>
    <w:rsid w:val="007F5FB5"/>
    <w:rsid w:val="007F62E7"/>
    <w:rsid w:val="007F65F0"/>
    <w:rsid w:val="007F6B87"/>
    <w:rsid w:val="007F6FA0"/>
    <w:rsid w:val="0080048F"/>
    <w:rsid w:val="00800673"/>
    <w:rsid w:val="00801CDE"/>
    <w:rsid w:val="008025D3"/>
    <w:rsid w:val="00802619"/>
    <w:rsid w:val="00802E12"/>
    <w:rsid w:val="00803340"/>
    <w:rsid w:val="00803B13"/>
    <w:rsid w:val="00803D66"/>
    <w:rsid w:val="00804633"/>
    <w:rsid w:val="0080574D"/>
    <w:rsid w:val="00806676"/>
    <w:rsid w:val="00807244"/>
    <w:rsid w:val="00810C8E"/>
    <w:rsid w:val="00811956"/>
    <w:rsid w:val="00812337"/>
    <w:rsid w:val="00812420"/>
    <w:rsid w:val="008127B8"/>
    <w:rsid w:val="008133B4"/>
    <w:rsid w:val="008141C1"/>
    <w:rsid w:val="00814DBC"/>
    <w:rsid w:val="00815437"/>
    <w:rsid w:val="00816ABB"/>
    <w:rsid w:val="00816EF1"/>
    <w:rsid w:val="00817BE1"/>
    <w:rsid w:val="00817E68"/>
    <w:rsid w:val="008204EC"/>
    <w:rsid w:val="00820744"/>
    <w:rsid w:val="0082168C"/>
    <w:rsid w:val="008218B9"/>
    <w:rsid w:val="008219D2"/>
    <w:rsid w:val="00822FB5"/>
    <w:rsid w:val="008230F8"/>
    <w:rsid w:val="008235FA"/>
    <w:rsid w:val="0082368C"/>
    <w:rsid w:val="00823A53"/>
    <w:rsid w:val="00824A5B"/>
    <w:rsid w:val="00824CE8"/>
    <w:rsid w:val="00824CEA"/>
    <w:rsid w:val="00824E7C"/>
    <w:rsid w:val="008267B6"/>
    <w:rsid w:val="008269AA"/>
    <w:rsid w:val="00827A60"/>
    <w:rsid w:val="00827E01"/>
    <w:rsid w:val="00831D3B"/>
    <w:rsid w:val="008327BE"/>
    <w:rsid w:val="00833C26"/>
    <w:rsid w:val="0083456B"/>
    <w:rsid w:val="00834F98"/>
    <w:rsid w:val="00834FB8"/>
    <w:rsid w:val="00835669"/>
    <w:rsid w:val="008374D6"/>
    <w:rsid w:val="00840456"/>
    <w:rsid w:val="0084121A"/>
    <w:rsid w:val="008413FD"/>
    <w:rsid w:val="0084175A"/>
    <w:rsid w:val="00842845"/>
    <w:rsid w:val="00843C9C"/>
    <w:rsid w:val="0084435E"/>
    <w:rsid w:val="00845054"/>
    <w:rsid w:val="008458F8"/>
    <w:rsid w:val="00845D50"/>
    <w:rsid w:val="008460F1"/>
    <w:rsid w:val="008468D0"/>
    <w:rsid w:val="00847000"/>
    <w:rsid w:val="0084774B"/>
    <w:rsid w:val="0085070C"/>
    <w:rsid w:val="00850A18"/>
    <w:rsid w:val="008510EA"/>
    <w:rsid w:val="00852E7E"/>
    <w:rsid w:val="0085445D"/>
    <w:rsid w:val="008564DC"/>
    <w:rsid w:val="00856F43"/>
    <w:rsid w:val="008572EC"/>
    <w:rsid w:val="0086046A"/>
    <w:rsid w:val="008609AB"/>
    <w:rsid w:val="00862477"/>
    <w:rsid w:val="00862B84"/>
    <w:rsid w:val="008632EF"/>
    <w:rsid w:val="00863659"/>
    <w:rsid w:val="00864781"/>
    <w:rsid w:val="00865019"/>
    <w:rsid w:val="00865035"/>
    <w:rsid w:val="00865356"/>
    <w:rsid w:val="008654CD"/>
    <w:rsid w:val="00865977"/>
    <w:rsid w:val="008671D1"/>
    <w:rsid w:val="00870C5E"/>
    <w:rsid w:val="00870E58"/>
    <w:rsid w:val="00871C78"/>
    <w:rsid w:val="008727A8"/>
    <w:rsid w:val="0087456C"/>
    <w:rsid w:val="008755D1"/>
    <w:rsid w:val="00876B74"/>
    <w:rsid w:val="00876C7A"/>
    <w:rsid w:val="008777FC"/>
    <w:rsid w:val="008807BE"/>
    <w:rsid w:val="00880AE9"/>
    <w:rsid w:val="00880CEA"/>
    <w:rsid w:val="008811EF"/>
    <w:rsid w:val="00881AF6"/>
    <w:rsid w:val="00881DD0"/>
    <w:rsid w:val="00882034"/>
    <w:rsid w:val="00883B3C"/>
    <w:rsid w:val="008847C0"/>
    <w:rsid w:val="00884959"/>
    <w:rsid w:val="00884D89"/>
    <w:rsid w:val="00887DEF"/>
    <w:rsid w:val="00892047"/>
    <w:rsid w:val="0089231C"/>
    <w:rsid w:val="0089316F"/>
    <w:rsid w:val="00893734"/>
    <w:rsid w:val="00895130"/>
    <w:rsid w:val="0089520D"/>
    <w:rsid w:val="00895A29"/>
    <w:rsid w:val="00896525"/>
    <w:rsid w:val="0089665B"/>
    <w:rsid w:val="00896A04"/>
    <w:rsid w:val="00897618"/>
    <w:rsid w:val="00897788"/>
    <w:rsid w:val="008A080D"/>
    <w:rsid w:val="008A09A3"/>
    <w:rsid w:val="008A4A7E"/>
    <w:rsid w:val="008A4C73"/>
    <w:rsid w:val="008A52E4"/>
    <w:rsid w:val="008A7ABB"/>
    <w:rsid w:val="008B0F2E"/>
    <w:rsid w:val="008B147A"/>
    <w:rsid w:val="008B249D"/>
    <w:rsid w:val="008B2A5C"/>
    <w:rsid w:val="008B365F"/>
    <w:rsid w:val="008B4269"/>
    <w:rsid w:val="008B4E69"/>
    <w:rsid w:val="008B4EF7"/>
    <w:rsid w:val="008B5934"/>
    <w:rsid w:val="008B6876"/>
    <w:rsid w:val="008B7266"/>
    <w:rsid w:val="008B78D0"/>
    <w:rsid w:val="008C046F"/>
    <w:rsid w:val="008C2396"/>
    <w:rsid w:val="008C3788"/>
    <w:rsid w:val="008C436A"/>
    <w:rsid w:val="008C4B2E"/>
    <w:rsid w:val="008C5C1F"/>
    <w:rsid w:val="008C6AE9"/>
    <w:rsid w:val="008D0F95"/>
    <w:rsid w:val="008D10FC"/>
    <w:rsid w:val="008D1657"/>
    <w:rsid w:val="008D1DEC"/>
    <w:rsid w:val="008D23BA"/>
    <w:rsid w:val="008D2965"/>
    <w:rsid w:val="008D298F"/>
    <w:rsid w:val="008D316D"/>
    <w:rsid w:val="008D34B1"/>
    <w:rsid w:val="008D48D6"/>
    <w:rsid w:val="008D534D"/>
    <w:rsid w:val="008D5686"/>
    <w:rsid w:val="008D5CC8"/>
    <w:rsid w:val="008D74EA"/>
    <w:rsid w:val="008D77ED"/>
    <w:rsid w:val="008E0526"/>
    <w:rsid w:val="008E1766"/>
    <w:rsid w:val="008E2368"/>
    <w:rsid w:val="008E2F9D"/>
    <w:rsid w:val="008E34B1"/>
    <w:rsid w:val="008E3A77"/>
    <w:rsid w:val="008E48DF"/>
    <w:rsid w:val="008E4A5A"/>
    <w:rsid w:val="008E501C"/>
    <w:rsid w:val="008E62D0"/>
    <w:rsid w:val="008E6750"/>
    <w:rsid w:val="008E68FB"/>
    <w:rsid w:val="008E6C58"/>
    <w:rsid w:val="008F04EC"/>
    <w:rsid w:val="008F07DD"/>
    <w:rsid w:val="008F1229"/>
    <w:rsid w:val="008F2780"/>
    <w:rsid w:val="008F3983"/>
    <w:rsid w:val="008F3CD7"/>
    <w:rsid w:val="008F4615"/>
    <w:rsid w:val="008F4AE7"/>
    <w:rsid w:val="008F4B21"/>
    <w:rsid w:val="008F783C"/>
    <w:rsid w:val="00900ACC"/>
    <w:rsid w:val="00900F7F"/>
    <w:rsid w:val="009014E7"/>
    <w:rsid w:val="00903730"/>
    <w:rsid w:val="00905106"/>
    <w:rsid w:val="00905324"/>
    <w:rsid w:val="00906854"/>
    <w:rsid w:val="00906BDF"/>
    <w:rsid w:val="00907239"/>
    <w:rsid w:val="009101D7"/>
    <w:rsid w:val="00910B68"/>
    <w:rsid w:val="00910DD9"/>
    <w:rsid w:val="00911C96"/>
    <w:rsid w:val="009123B7"/>
    <w:rsid w:val="009129FC"/>
    <w:rsid w:val="00912C87"/>
    <w:rsid w:val="00913132"/>
    <w:rsid w:val="009142C2"/>
    <w:rsid w:val="0091457F"/>
    <w:rsid w:val="00915A27"/>
    <w:rsid w:val="00915D66"/>
    <w:rsid w:val="00916315"/>
    <w:rsid w:val="0091681F"/>
    <w:rsid w:val="00917018"/>
    <w:rsid w:val="00917451"/>
    <w:rsid w:val="009206CD"/>
    <w:rsid w:val="00922261"/>
    <w:rsid w:val="0092254F"/>
    <w:rsid w:val="009235F4"/>
    <w:rsid w:val="00923BCE"/>
    <w:rsid w:val="00924060"/>
    <w:rsid w:val="0092409C"/>
    <w:rsid w:val="009249B8"/>
    <w:rsid w:val="009254A7"/>
    <w:rsid w:val="00930A79"/>
    <w:rsid w:val="0093141E"/>
    <w:rsid w:val="0093488E"/>
    <w:rsid w:val="00934AF9"/>
    <w:rsid w:val="009351DA"/>
    <w:rsid w:val="0093580B"/>
    <w:rsid w:val="00936579"/>
    <w:rsid w:val="0093755A"/>
    <w:rsid w:val="00940992"/>
    <w:rsid w:val="00940C20"/>
    <w:rsid w:val="009419C7"/>
    <w:rsid w:val="0094201F"/>
    <w:rsid w:val="0094250D"/>
    <w:rsid w:val="009435AA"/>
    <w:rsid w:val="00943DB5"/>
    <w:rsid w:val="00943F09"/>
    <w:rsid w:val="00944788"/>
    <w:rsid w:val="00945B39"/>
    <w:rsid w:val="00946BC9"/>
    <w:rsid w:val="00946D26"/>
    <w:rsid w:val="00946F1E"/>
    <w:rsid w:val="00947754"/>
    <w:rsid w:val="00947B26"/>
    <w:rsid w:val="009511A4"/>
    <w:rsid w:val="00951F4A"/>
    <w:rsid w:val="009523A1"/>
    <w:rsid w:val="0095372B"/>
    <w:rsid w:val="00953C20"/>
    <w:rsid w:val="0095495A"/>
    <w:rsid w:val="00954BEE"/>
    <w:rsid w:val="00954EE8"/>
    <w:rsid w:val="00955F29"/>
    <w:rsid w:val="009562AA"/>
    <w:rsid w:val="0095634F"/>
    <w:rsid w:val="009564AA"/>
    <w:rsid w:val="00956F8E"/>
    <w:rsid w:val="0096020E"/>
    <w:rsid w:val="00960306"/>
    <w:rsid w:val="00960782"/>
    <w:rsid w:val="009612ED"/>
    <w:rsid w:val="00962596"/>
    <w:rsid w:val="00962683"/>
    <w:rsid w:val="00963BDF"/>
    <w:rsid w:val="00963C01"/>
    <w:rsid w:val="009650E9"/>
    <w:rsid w:val="00965324"/>
    <w:rsid w:val="00965948"/>
    <w:rsid w:val="00965D3C"/>
    <w:rsid w:val="009673DC"/>
    <w:rsid w:val="00967830"/>
    <w:rsid w:val="00967AB8"/>
    <w:rsid w:val="00970B97"/>
    <w:rsid w:val="009714F2"/>
    <w:rsid w:val="00972BE6"/>
    <w:rsid w:val="00973A06"/>
    <w:rsid w:val="00974147"/>
    <w:rsid w:val="00974771"/>
    <w:rsid w:val="00975590"/>
    <w:rsid w:val="009761DF"/>
    <w:rsid w:val="009773CB"/>
    <w:rsid w:val="009807DC"/>
    <w:rsid w:val="009842E9"/>
    <w:rsid w:val="0098465C"/>
    <w:rsid w:val="00984CD9"/>
    <w:rsid w:val="009855DC"/>
    <w:rsid w:val="00985A3D"/>
    <w:rsid w:val="00985B7E"/>
    <w:rsid w:val="00985D85"/>
    <w:rsid w:val="0098688C"/>
    <w:rsid w:val="00986F26"/>
    <w:rsid w:val="009874BC"/>
    <w:rsid w:val="00987D4D"/>
    <w:rsid w:val="0099050F"/>
    <w:rsid w:val="009907C7"/>
    <w:rsid w:val="0099137D"/>
    <w:rsid w:val="00991ECB"/>
    <w:rsid w:val="009926DE"/>
    <w:rsid w:val="00992A8B"/>
    <w:rsid w:val="00993387"/>
    <w:rsid w:val="00993E97"/>
    <w:rsid w:val="00994D65"/>
    <w:rsid w:val="00995D52"/>
    <w:rsid w:val="00995D6B"/>
    <w:rsid w:val="00996841"/>
    <w:rsid w:val="00997447"/>
    <w:rsid w:val="00997CB6"/>
    <w:rsid w:val="009A092A"/>
    <w:rsid w:val="009A245C"/>
    <w:rsid w:val="009A4003"/>
    <w:rsid w:val="009A5824"/>
    <w:rsid w:val="009A663E"/>
    <w:rsid w:val="009A7E8D"/>
    <w:rsid w:val="009B0823"/>
    <w:rsid w:val="009B3548"/>
    <w:rsid w:val="009B3A81"/>
    <w:rsid w:val="009B3CC0"/>
    <w:rsid w:val="009B442C"/>
    <w:rsid w:val="009B6724"/>
    <w:rsid w:val="009B6900"/>
    <w:rsid w:val="009C0631"/>
    <w:rsid w:val="009C1802"/>
    <w:rsid w:val="009C1E30"/>
    <w:rsid w:val="009C3680"/>
    <w:rsid w:val="009C537E"/>
    <w:rsid w:val="009C563F"/>
    <w:rsid w:val="009C56DB"/>
    <w:rsid w:val="009C646A"/>
    <w:rsid w:val="009C6D7F"/>
    <w:rsid w:val="009C7098"/>
    <w:rsid w:val="009C7E8E"/>
    <w:rsid w:val="009D1C03"/>
    <w:rsid w:val="009D315F"/>
    <w:rsid w:val="009D4CE4"/>
    <w:rsid w:val="009D6580"/>
    <w:rsid w:val="009D658E"/>
    <w:rsid w:val="009D68FD"/>
    <w:rsid w:val="009D6D50"/>
    <w:rsid w:val="009D743C"/>
    <w:rsid w:val="009D76D6"/>
    <w:rsid w:val="009D78F7"/>
    <w:rsid w:val="009E0703"/>
    <w:rsid w:val="009E1A1B"/>
    <w:rsid w:val="009E24EE"/>
    <w:rsid w:val="009E2A10"/>
    <w:rsid w:val="009E2FFC"/>
    <w:rsid w:val="009E3881"/>
    <w:rsid w:val="009E417F"/>
    <w:rsid w:val="009E50BA"/>
    <w:rsid w:val="009E53AC"/>
    <w:rsid w:val="009E57D7"/>
    <w:rsid w:val="009E61E4"/>
    <w:rsid w:val="009E6B4E"/>
    <w:rsid w:val="009E6CD4"/>
    <w:rsid w:val="009E70EA"/>
    <w:rsid w:val="009F03F8"/>
    <w:rsid w:val="009F0D4F"/>
    <w:rsid w:val="009F28D5"/>
    <w:rsid w:val="009F2AF6"/>
    <w:rsid w:val="009F37CB"/>
    <w:rsid w:val="009F3A7F"/>
    <w:rsid w:val="009F432A"/>
    <w:rsid w:val="009F4C42"/>
    <w:rsid w:val="009F5FAA"/>
    <w:rsid w:val="00A0005D"/>
    <w:rsid w:val="00A00E58"/>
    <w:rsid w:val="00A00EDF"/>
    <w:rsid w:val="00A017AD"/>
    <w:rsid w:val="00A024DF"/>
    <w:rsid w:val="00A0266B"/>
    <w:rsid w:val="00A02DC0"/>
    <w:rsid w:val="00A02EA2"/>
    <w:rsid w:val="00A02F9B"/>
    <w:rsid w:val="00A03249"/>
    <w:rsid w:val="00A0343F"/>
    <w:rsid w:val="00A038DF"/>
    <w:rsid w:val="00A053ED"/>
    <w:rsid w:val="00A05813"/>
    <w:rsid w:val="00A05CE9"/>
    <w:rsid w:val="00A05EAE"/>
    <w:rsid w:val="00A06C5C"/>
    <w:rsid w:val="00A0721F"/>
    <w:rsid w:val="00A073E3"/>
    <w:rsid w:val="00A076D0"/>
    <w:rsid w:val="00A07E72"/>
    <w:rsid w:val="00A10408"/>
    <w:rsid w:val="00A11A4D"/>
    <w:rsid w:val="00A1274F"/>
    <w:rsid w:val="00A13605"/>
    <w:rsid w:val="00A13A44"/>
    <w:rsid w:val="00A1425B"/>
    <w:rsid w:val="00A1455E"/>
    <w:rsid w:val="00A1469D"/>
    <w:rsid w:val="00A14E37"/>
    <w:rsid w:val="00A150AE"/>
    <w:rsid w:val="00A15D39"/>
    <w:rsid w:val="00A16F51"/>
    <w:rsid w:val="00A17B72"/>
    <w:rsid w:val="00A207B5"/>
    <w:rsid w:val="00A20BD4"/>
    <w:rsid w:val="00A20C9E"/>
    <w:rsid w:val="00A20ED5"/>
    <w:rsid w:val="00A2370D"/>
    <w:rsid w:val="00A23A0B"/>
    <w:rsid w:val="00A247F8"/>
    <w:rsid w:val="00A2586E"/>
    <w:rsid w:val="00A2610F"/>
    <w:rsid w:val="00A26295"/>
    <w:rsid w:val="00A26369"/>
    <w:rsid w:val="00A26A59"/>
    <w:rsid w:val="00A2719E"/>
    <w:rsid w:val="00A30241"/>
    <w:rsid w:val="00A30989"/>
    <w:rsid w:val="00A30BA9"/>
    <w:rsid w:val="00A32CA7"/>
    <w:rsid w:val="00A33C0A"/>
    <w:rsid w:val="00A343E3"/>
    <w:rsid w:val="00A346CF"/>
    <w:rsid w:val="00A34DCD"/>
    <w:rsid w:val="00A36ADE"/>
    <w:rsid w:val="00A37458"/>
    <w:rsid w:val="00A3777F"/>
    <w:rsid w:val="00A40832"/>
    <w:rsid w:val="00A40A3A"/>
    <w:rsid w:val="00A4100F"/>
    <w:rsid w:val="00A412A5"/>
    <w:rsid w:val="00A41DB2"/>
    <w:rsid w:val="00A426A5"/>
    <w:rsid w:val="00A433D5"/>
    <w:rsid w:val="00A43DDF"/>
    <w:rsid w:val="00A43E9E"/>
    <w:rsid w:val="00A44428"/>
    <w:rsid w:val="00A444D9"/>
    <w:rsid w:val="00A456B0"/>
    <w:rsid w:val="00A47586"/>
    <w:rsid w:val="00A508D8"/>
    <w:rsid w:val="00A50CD4"/>
    <w:rsid w:val="00A50D78"/>
    <w:rsid w:val="00A51586"/>
    <w:rsid w:val="00A51EC8"/>
    <w:rsid w:val="00A52E7C"/>
    <w:rsid w:val="00A54515"/>
    <w:rsid w:val="00A54E8D"/>
    <w:rsid w:val="00A55631"/>
    <w:rsid w:val="00A55715"/>
    <w:rsid w:val="00A57252"/>
    <w:rsid w:val="00A572E3"/>
    <w:rsid w:val="00A612A1"/>
    <w:rsid w:val="00A62E5D"/>
    <w:rsid w:val="00A6357B"/>
    <w:rsid w:val="00A63763"/>
    <w:rsid w:val="00A637DA"/>
    <w:rsid w:val="00A642E9"/>
    <w:rsid w:val="00A644B2"/>
    <w:rsid w:val="00A6462E"/>
    <w:rsid w:val="00A6519F"/>
    <w:rsid w:val="00A6608F"/>
    <w:rsid w:val="00A66F5F"/>
    <w:rsid w:val="00A678EE"/>
    <w:rsid w:val="00A67DA4"/>
    <w:rsid w:val="00A70D36"/>
    <w:rsid w:val="00A712D0"/>
    <w:rsid w:val="00A7254C"/>
    <w:rsid w:val="00A731C3"/>
    <w:rsid w:val="00A752B7"/>
    <w:rsid w:val="00A759B6"/>
    <w:rsid w:val="00A75D0B"/>
    <w:rsid w:val="00A76DE6"/>
    <w:rsid w:val="00A77A01"/>
    <w:rsid w:val="00A77AC2"/>
    <w:rsid w:val="00A77CFF"/>
    <w:rsid w:val="00A77E97"/>
    <w:rsid w:val="00A80CF8"/>
    <w:rsid w:val="00A81536"/>
    <w:rsid w:val="00A815C8"/>
    <w:rsid w:val="00A8248D"/>
    <w:rsid w:val="00A84283"/>
    <w:rsid w:val="00A846A1"/>
    <w:rsid w:val="00A84DA0"/>
    <w:rsid w:val="00A8517E"/>
    <w:rsid w:val="00A86963"/>
    <w:rsid w:val="00A87995"/>
    <w:rsid w:val="00A87F0F"/>
    <w:rsid w:val="00A90365"/>
    <w:rsid w:val="00A9037F"/>
    <w:rsid w:val="00A92721"/>
    <w:rsid w:val="00A93D6B"/>
    <w:rsid w:val="00A94442"/>
    <w:rsid w:val="00A95470"/>
    <w:rsid w:val="00A95644"/>
    <w:rsid w:val="00A961C8"/>
    <w:rsid w:val="00A961F6"/>
    <w:rsid w:val="00A96B88"/>
    <w:rsid w:val="00A97625"/>
    <w:rsid w:val="00AA1207"/>
    <w:rsid w:val="00AA140D"/>
    <w:rsid w:val="00AA1EF5"/>
    <w:rsid w:val="00AA2051"/>
    <w:rsid w:val="00AA224C"/>
    <w:rsid w:val="00AA28F7"/>
    <w:rsid w:val="00AA2DD7"/>
    <w:rsid w:val="00AA5E05"/>
    <w:rsid w:val="00AA5F42"/>
    <w:rsid w:val="00AA67FE"/>
    <w:rsid w:val="00AB0053"/>
    <w:rsid w:val="00AB0261"/>
    <w:rsid w:val="00AB0DF6"/>
    <w:rsid w:val="00AB1EBA"/>
    <w:rsid w:val="00AB1F14"/>
    <w:rsid w:val="00AB344D"/>
    <w:rsid w:val="00AB4A67"/>
    <w:rsid w:val="00AB4A76"/>
    <w:rsid w:val="00AB4C7E"/>
    <w:rsid w:val="00AB5935"/>
    <w:rsid w:val="00AB64C7"/>
    <w:rsid w:val="00AB665F"/>
    <w:rsid w:val="00AB67B8"/>
    <w:rsid w:val="00AB6B03"/>
    <w:rsid w:val="00AC087C"/>
    <w:rsid w:val="00AC0B55"/>
    <w:rsid w:val="00AC0DEC"/>
    <w:rsid w:val="00AC11EE"/>
    <w:rsid w:val="00AC182C"/>
    <w:rsid w:val="00AC27DD"/>
    <w:rsid w:val="00AC3975"/>
    <w:rsid w:val="00AC41C3"/>
    <w:rsid w:val="00AC4857"/>
    <w:rsid w:val="00AC48B5"/>
    <w:rsid w:val="00AC65F0"/>
    <w:rsid w:val="00AC7CD3"/>
    <w:rsid w:val="00AD0218"/>
    <w:rsid w:val="00AD2D4D"/>
    <w:rsid w:val="00AD4080"/>
    <w:rsid w:val="00AD451B"/>
    <w:rsid w:val="00AD45CC"/>
    <w:rsid w:val="00AD4970"/>
    <w:rsid w:val="00AD5803"/>
    <w:rsid w:val="00AD64F2"/>
    <w:rsid w:val="00AD724F"/>
    <w:rsid w:val="00AE0561"/>
    <w:rsid w:val="00AE0575"/>
    <w:rsid w:val="00AE5190"/>
    <w:rsid w:val="00AE548B"/>
    <w:rsid w:val="00AE5F76"/>
    <w:rsid w:val="00AE7053"/>
    <w:rsid w:val="00AE7094"/>
    <w:rsid w:val="00AF1647"/>
    <w:rsid w:val="00AF3C8E"/>
    <w:rsid w:val="00AF5ECC"/>
    <w:rsid w:val="00AF6EB3"/>
    <w:rsid w:val="00AF74ED"/>
    <w:rsid w:val="00AF7623"/>
    <w:rsid w:val="00AF7E8F"/>
    <w:rsid w:val="00B0048A"/>
    <w:rsid w:val="00B00889"/>
    <w:rsid w:val="00B00CFD"/>
    <w:rsid w:val="00B0222F"/>
    <w:rsid w:val="00B026DB"/>
    <w:rsid w:val="00B02A92"/>
    <w:rsid w:val="00B035BA"/>
    <w:rsid w:val="00B04A6D"/>
    <w:rsid w:val="00B04EAB"/>
    <w:rsid w:val="00B05125"/>
    <w:rsid w:val="00B05749"/>
    <w:rsid w:val="00B06F02"/>
    <w:rsid w:val="00B107B6"/>
    <w:rsid w:val="00B10FCF"/>
    <w:rsid w:val="00B1126F"/>
    <w:rsid w:val="00B11FD6"/>
    <w:rsid w:val="00B12385"/>
    <w:rsid w:val="00B12C6B"/>
    <w:rsid w:val="00B13B4E"/>
    <w:rsid w:val="00B14978"/>
    <w:rsid w:val="00B14C59"/>
    <w:rsid w:val="00B16923"/>
    <w:rsid w:val="00B16DD1"/>
    <w:rsid w:val="00B17F4C"/>
    <w:rsid w:val="00B20A30"/>
    <w:rsid w:val="00B20BBC"/>
    <w:rsid w:val="00B20DFF"/>
    <w:rsid w:val="00B21537"/>
    <w:rsid w:val="00B216CB"/>
    <w:rsid w:val="00B221AA"/>
    <w:rsid w:val="00B22559"/>
    <w:rsid w:val="00B24229"/>
    <w:rsid w:val="00B2523F"/>
    <w:rsid w:val="00B25778"/>
    <w:rsid w:val="00B25A01"/>
    <w:rsid w:val="00B25D1D"/>
    <w:rsid w:val="00B267C5"/>
    <w:rsid w:val="00B2709D"/>
    <w:rsid w:val="00B2738B"/>
    <w:rsid w:val="00B27DE1"/>
    <w:rsid w:val="00B30028"/>
    <w:rsid w:val="00B30355"/>
    <w:rsid w:val="00B30A1F"/>
    <w:rsid w:val="00B31533"/>
    <w:rsid w:val="00B3414F"/>
    <w:rsid w:val="00B34BDA"/>
    <w:rsid w:val="00B34FCA"/>
    <w:rsid w:val="00B3524F"/>
    <w:rsid w:val="00B35775"/>
    <w:rsid w:val="00B364A9"/>
    <w:rsid w:val="00B36750"/>
    <w:rsid w:val="00B371E5"/>
    <w:rsid w:val="00B376C1"/>
    <w:rsid w:val="00B37815"/>
    <w:rsid w:val="00B41A10"/>
    <w:rsid w:val="00B41E60"/>
    <w:rsid w:val="00B42DAC"/>
    <w:rsid w:val="00B43677"/>
    <w:rsid w:val="00B448E0"/>
    <w:rsid w:val="00B44C6D"/>
    <w:rsid w:val="00B45116"/>
    <w:rsid w:val="00B45711"/>
    <w:rsid w:val="00B458FC"/>
    <w:rsid w:val="00B4645E"/>
    <w:rsid w:val="00B46DF2"/>
    <w:rsid w:val="00B47182"/>
    <w:rsid w:val="00B475FE"/>
    <w:rsid w:val="00B50154"/>
    <w:rsid w:val="00B503D7"/>
    <w:rsid w:val="00B50C32"/>
    <w:rsid w:val="00B522D0"/>
    <w:rsid w:val="00B533B8"/>
    <w:rsid w:val="00B53999"/>
    <w:rsid w:val="00B54317"/>
    <w:rsid w:val="00B544A0"/>
    <w:rsid w:val="00B5735B"/>
    <w:rsid w:val="00B57AA0"/>
    <w:rsid w:val="00B616E3"/>
    <w:rsid w:val="00B63297"/>
    <w:rsid w:val="00B63694"/>
    <w:rsid w:val="00B64790"/>
    <w:rsid w:val="00B6509E"/>
    <w:rsid w:val="00B655EC"/>
    <w:rsid w:val="00B65A8A"/>
    <w:rsid w:val="00B66A60"/>
    <w:rsid w:val="00B66A9E"/>
    <w:rsid w:val="00B67B11"/>
    <w:rsid w:val="00B67C21"/>
    <w:rsid w:val="00B67C39"/>
    <w:rsid w:val="00B70292"/>
    <w:rsid w:val="00B706A0"/>
    <w:rsid w:val="00B71A53"/>
    <w:rsid w:val="00B71EE3"/>
    <w:rsid w:val="00B726A3"/>
    <w:rsid w:val="00B72CEA"/>
    <w:rsid w:val="00B750F6"/>
    <w:rsid w:val="00B753B1"/>
    <w:rsid w:val="00B766FA"/>
    <w:rsid w:val="00B76C86"/>
    <w:rsid w:val="00B77021"/>
    <w:rsid w:val="00B7764B"/>
    <w:rsid w:val="00B778CE"/>
    <w:rsid w:val="00B77FEE"/>
    <w:rsid w:val="00B80DC4"/>
    <w:rsid w:val="00B81683"/>
    <w:rsid w:val="00B81A27"/>
    <w:rsid w:val="00B81B03"/>
    <w:rsid w:val="00B81F7C"/>
    <w:rsid w:val="00B84720"/>
    <w:rsid w:val="00B84F00"/>
    <w:rsid w:val="00B85EBA"/>
    <w:rsid w:val="00B86A2D"/>
    <w:rsid w:val="00B87A6F"/>
    <w:rsid w:val="00B87D99"/>
    <w:rsid w:val="00B9061F"/>
    <w:rsid w:val="00B91E27"/>
    <w:rsid w:val="00B92CEC"/>
    <w:rsid w:val="00B92FA7"/>
    <w:rsid w:val="00B93002"/>
    <w:rsid w:val="00B93D37"/>
    <w:rsid w:val="00B9447E"/>
    <w:rsid w:val="00B94839"/>
    <w:rsid w:val="00B95726"/>
    <w:rsid w:val="00B95C8A"/>
    <w:rsid w:val="00B96333"/>
    <w:rsid w:val="00B96E6E"/>
    <w:rsid w:val="00B974B9"/>
    <w:rsid w:val="00B97691"/>
    <w:rsid w:val="00B97C42"/>
    <w:rsid w:val="00BA1117"/>
    <w:rsid w:val="00BA13F9"/>
    <w:rsid w:val="00BA20A0"/>
    <w:rsid w:val="00BA2EF6"/>
    <w:rsid w:val="00BA3081"/>
    <w:rsid w:val="00BA329E"/>
    <w:rsid w:val="00BA3B87"/>
    <w:rsid w:val="00BA3C5B"/>
    <w:rsid w:val="00BA463C"/>
    <w:rsid w:val="00BA534F"/>
    <w:rsid w:val="00BA551E"/>
    <w:rsid w:val="00BA5B8C"/>
    <w:rsid w:val="00BA6272"/>
    <w:rsid w:val="00BA6571"/>
    <w:rsid w:val="00BA6700"/>
    <w:rsid w:val="00BA6C4C"/>
    <w:rsid w:val="00BB135E"/>
    <w:rsid w:val="00BB1398"/>
    <w:rsid w:val="00BB1466"/>
    <w:rsid w:val="00BB1514"/>
    <w:rsid w:val="00BB232E"/>
    <w:rsid w:val="00BB2F87"/>
    <w:rsid w:val="00BB37FF"/>
    <w:rsid w:val="00BB3A69"/>
    <w:rsid w:val="00BB46FC"/>
    <w:rsid w:val="00BB58DF"/>
    <w:rsid w:val="00BB5B9A"/>
    <w:rsid w:val="00BB6E4A"/>
    <w:rsid w:val="00BB7CE7"/>
    <w:rsid w:val="00BC070D"/>
    <w:rsid w:val="00BC1956"/>
    <w:rsid w:val="00BC1F3C"/>
    <w:rsid w:val="00BC2579"/>
    <w:rsid w:val="00BC307F"/>
    <w:rsid w:val="00BC383C"/>
    <w:rsid w:val="00BC3DA6"/>
    <w:rsid w:val="00BC3F48"/>
    <w:rsid w:val="00BC456C"/>
    <w:rsid w:val="00BC4A92"/>
    <w:rsid w:val="00BC4B9B"/>
    <w:rsid w:val="00BC5368"/>
    <w:rsid w:val="00BC57AB"/>
    <w:rsid w:val="00BC6064"/>
    <w:rsid w:val="00BC6B92"/>
    <w:rsid w:val="00BD11EE"/>
    <w:rsid w:val="00BD17BE"/>
    <w:rsid w:val="00BD1A27"/>
    <w:rsid w:val="00BD1EBE"/>
    <w:rsid w:val="00BD26E6"/>
    <w:rsid w:val="00BD36D9"/>
    <w:rsid w:val="00BD61E0"/>
    <w:rsid w:val="00BD6941"/>
    <w:rsid w:val="00BD6961"/>
    <w:rsid w:val="00BD6FDF"/>
    <w:rsid w:val="00BD7A69"/>
    <w:rsid w:val="00BE0546"/>
    <w:rsid w:val="00BE18C9"/>
    <w:rsid w:val="00BE1C37"/>
    <w:rsid w:val="00BE1D55"/>
    <w:rsid w:val="00BE1F86"/>
    <w:rsid w:val="00BE2242"/>
    <w:rsid w:val="00BE33D8"/>
    <w:rsid w:val="00BE384A"/>
    <w:rsid w:val="00BE3A13"/>
    <w:rsid w:val="00BE4732"/>
    <w:rsid w:val="00BE4B36"/>
    <w:rsid w:val="00BE5100"/>
    <w:rsid w:val="00BE640C"/>
    <w:rsid w:val="00BE6FA6"/>
    <w:rsid w:val="00BE79C4"/>
    <w:rsid w:val="00BE7E4B"/>
    <w:rsid w:val="00BE7EFD"/>
    <w:rsid w:val="00BF0C00"/>
    <w:rsid w:val="00BF2373"/>
    <w:rsid w:val="00BF23DE"/>
    <w:rsid w:val="00BF326F"/>
    <w:rsid w:val="00BF4609"/>
    <w:rsid w:val="00BF4B18"/>
    <w:rsid w:val="00BF4B9E"/>
    <w:rsid w:val="00BF53A2"/>
    <w:rsid w:val="00BF54D0"/>
    <w:rsid w:val="00BF7A48"/>
    <w:rsid w:val="00BF7E77"/>
    <w:rsid w:val="00C011DF"/>
    <w:rsid w:val="00C0174C"/>
    <w:rsid w:val="00C01A6A"/>
    <w:rsid w:val="00C04AAE"/>
    <w:rsid w:val="00C069DA"/>
    <w:rsid w:val="00C06ABC"/>
    <w:rsid w:val="00C06B74"/>
    <w:rsid w:val="00C07722"/>
    <w:rsid w:val="00C07B49"/>
    <w:rsid w:val="00C1098F"/>
    <w:rsid w:val="00C10CB2"/>
    <w:rsid w:val="00C12490"/>
    <w:rsid w:val="00C129C1"/>
    <w:rsid w:val="00C1422D"/>
    <w:rsid w:val="00C142B9"/>
    <w:rsid w:val="00C14787"/>
    <w:rsid w:val="00C15252"/>
    <w:rsid w:val="00C163BF"/>
    <w:rsid w:val="00C17CD3"/>
    <w:rsid w:val="00C21690"/>
    <w:rsid w:val="00C22DEF"/>
    <w:rsid w:val="00C22EEC"/>
    <w:rsid w:val="00C23FB3"/>
    <w:rsid w:val="00C2543E"/>
    <w:rsid w:val="00C2633C"/>
    <w:rsid w:val="00C263AC"/>
    <w:rsid w:val="00C275A1"/>
    <w:rsid w:val="00C30C67"/>
    <w:rsid w:val="00C31403"/>
    <w:rsid w:val="00C3258C"/>
    <w:rsid w:val="00C33262"/>
    <w:rsid w:val="00C33C52"/>
    <w:rsid w:val="00C340DB"/>
    <w:rsid w:val="00C34558"/>
    <w:rsid w:val="00C34C9D"/>
    <w:rsid w:val="00C35E08"/>
    <w:rsid w:val="00C35E9D"/>
    <w:rsid w:val="00C36A5A"/>
    <w:rsid w:val="00C37D3C"/>
    <w:rsid w:val="00C40EBF"/>
    <w:rsid w:val="00C4143C"/>
    <w:rsid w:val="00C41447"/>
    <w:rsid w:val="00C41E43"/>
    <w:rsid w:val="00C429FC"/>
    <w:rsid w:val="00C43653"/>
    <w:rsid w:val="00C43A83"/>
    <w:rsid w:val="00C43D08"/>
    <w:rsid w:val="00C45199"/>
    <w:rsid w:val="00C46D50"/>
    <w:rsid w:val="00C501E9"/>
    <w:rsid w:val="00C50810"/>
    <w:rsid w:val="00C514CA"/>
    <w:rsid w:val="00C52868"/>
    <w:rsid w:val="00C52EE4"/>
    <w:rsid w:val="00C53512"/>
    <w:rsid w:val="00C53873"/>
    <w:rsid w:val="00C53896"/>
    <w:rsid w:val="00C5445E"/>
    <w:rsid w:val="00C55528"/>
    <w:rsid w:val="00C56729"/>
    <w:rsid w:val="00C646AD"/>
    <w:rsid w:val="00C64796"/>
    <w:rsid w:val="00C64A20"/>
    <w:rsid w:val="00C66BEB"/>
    <w:rsid w:val="00C66C6F"/>
    <w:rsid w:val="00C66EA5"/>
    <w:rsid w:val="00C66ED5"/>
    <w:rsid w:val="00C66F5D"/>
    <w:rsid w:val="00C672B5"/>
    <w:rsid w:val="00C701C8"/>
    <w:rsid w:val="00C71B33"/>
    <w:rsid w:val="00C71C99"/>
    <w:rsid w:val="00C722A3"/>
    <w:rsid w:val="00C73052"/>
    <w:rsid w:val="00C73807"/>
    <w:rsid w:val="00C7523B"/>
    <w:rsid w:val="00C763B8"/>
    <w:rsid w:val="00C7698D"/>
    <w:rsid w:val="00C77104"/>
    <w:rsid w:val="00C77BD7"/>
    <w:rsid w:val="00C80769"/>
    <w:rsid w:val="00C80D9A"/>
    <w:rsid w:val="00C817AB"/>
    <w:rsid w:val="00C820E0"/>
    <w:rsid w:val="00C82158"/>
    <w:rsid w:val="00C82A44"/>
    <w:rsid w:val="00C83196"/>
    <w:rsid w:val="00C83406"/>
    <w:rsid w:val="00C83F36"/>
    <w:rsid w:val="00C84313"/>
    <w:rsid w:val="00C84341"/>
    <w:rsid w:val="00C84AFE"/>
    <w:rsid w:val="00C85076"/>
    <w:rsid w:val="00C8525A"/>
    <w:rsid w:val="00C8532E"/>
    <w:rsid w:val="00C87174"/>
    <w:rsid w:val="00C87A10"/>
    <w:rsid w:val="00C902A7"/>
    <w:rsid w:val="00C906CA"/>
    <w:rsid w:val="00C908E1"/>
    <w:rsid w:val="00C90953"/>
    <w:rsid w:val="00C910AB"/>
    <w:rsid w:val="00C91468"/>
    <w:rsid w:val="00C9489D"/>
    <w:rsid w:val="00C94E33"/>
    <w:rsid w:val="00C94F21"/>
    <w:rsid w:val="00C96E86"/>
    <w:rsid w:val="00CA04EA"/>
    <w:rsid w:val="00CA11E3"/>
    <w:rsid w:val="00CA13F9"/>
    <w:rsid w:val="00CA2BFB"/>
    <w:rsid w:val="00CA4885"/>
    <w:rsid w:val="00CA4B74"/>
    <w:rsid w:val="00CA53CF"/>
    <w:rsid w:val="00CA5A87"/>
    <w:rsid w:val="00CA6562"/>
    <w:rsid w:val="00CA6C1F"/>
    <w:rsid w:val="00CA7EBB"/>
    <w:rsid w:val="00CB0938"/>
    <w:rsid w:val="00CB0F43"/>
    <w:rsid w:val="00CB150E"/>
    <w:rsid w:val="00CB219A"/>
    <w:rsid w:val="00CB2363"/>
    <w:rsid w:val="00CB2613"/>
    <w:rsid w:val="00CB2910"/>
    <w:rsid w:val="00CB432F"/>
    <w:rsid w:val="00CB4C1E"/>
    <w:rsid w:val="00CB5321"/>
    <w:rsid w:val="00CB5499"/>
    <w:rsid w:val="00CB77E2"/>
    <w:rsid w:val="00CB7F8D"/>
    <w:rsid w:val="00CC0157"/>
    <w:rsid w:val="00CC01A0"/>
    <w:rsid w:val="00CC03D9"/>
    <w:rsid w:val="00CC15A6"/>
    <w:rsid w:val="00CC2F34"/>
    <w:rsid w:val="00CC435A"/>
    <w:rsid w:val="00CC476A"/>
    <w:rsid w:val="00CC6EF2"/>
    <w:rsid w:val="00CC7A18"/>
    <w:rsid w:val="00CC7BC8"/>
    <w:rsid w:val="00CC7FC1"/>
    <w:rsid w:val="00CD19B6"/>
    <w:rsid w:val="00CD1BDC"/>
    <w:rsid w:val="00CD2F47"/>
    <w:rsid w:val="00CD312D"/>
    <w:rsid w:val="00CD3B7A"/>
    <w:rsid w:val="00CD3F7E"/>
    <w:rsid w:val="00CD4023"/>
    <w:rsid w:val="00CD51EA"/>
    <w:rsid w:val="00CD6D74"/>
    <w:rsid w:val="00CD6EB8"/>
    <w:rsid w:val="00CD6F93"/>
    <w:rsid w:val="00CD6F97"/>
    <w:rsid w:val="00CD7350"/>
    <w:rsid w:val="00CE12F6"/>
    <w:rsid w:val="00CE1C16"/>
    <w:rsid w:val="00CE20DC"/>
    <w:rsid w:val="00CE2277"/>
    <w:rsid w:val="00CE2949"/>
    <w:rsid w:val="00CE45D9"/>
    <w:rsid w:val="00CF03CA"/>
    <w:rsid w:val="00CF1C2E"/>
    <w:rsid w:val="00CF1E30"/>
    <w:rsid w:val="00CF2ABE"/>
    <w:rsid w:val="00CF30B4"/>
    <w:rsid w:val="00CF36FB"/>
    <w:rsid w:val="00CF3F02"/>
    <w:rsid w:val="00CF45F8"/>
    <w:rsid w:val="00CF562B"/>
    <w:rsid w:val="00CF6B9A"/>
    <w:rsid w:val="00CF7520"/>
    <w:rsid w:val="00CF7A8F"/>
    <w:rsid w:val="00D012AE"/>
    <w:rsid w:val="00D02184"/>
    <w:rsid w:val="00D02CAC"/>
    <w:rsid w:val="00D02E43"/>
    <w:rsid w:val="00D02F0C"/>
    <w:rsid w:val="00D03467"/>
    <w:rsid w:val="00D040B9"/>
    <w:rsid w:val="00D04946"/>
    <w:rsid w:val="00D057B3"/>
    <w:rsid w:val="00D06087"/>
    <w:rsid w:val="00D0776C"/>
    <w:rsid w:val="00D07F82"/>
    <w:rsid w:val="00D10069"/>
    <w:rsid w:val="00D11064"/>
    <w:rsid w:val="00D12881"/>
    <w:rsid w:val="00D13216"/>
    <w:rsid w:val="00D135C0"/>
    <w:rsid w:val="00D1407A"/>
    <w:rsid w:val="00D14AA1"/>
    <w:rsid w:val="00D16ADD"/>
    <w:rsid w:val="00D1707D"/>
    <w:rsid w:val="00D20AB3"/>
    <w:rsid w:val="00D20AC5"/>
    <w:rsid w:val="00D211BF"/>
    <w:rsid w:val="00D21A5E"/>
    <w:rsid w:val="00D2374C"/>
    <w:rsid w:val="00D23C4F"/>
    <w:rsid w:val="00D23F34"/>
    <w:rsid w:val="00D2585B"/>
    <w:rsid w:val="00D25FD7"/>
    <w:rsid w:val="00D26796"/>
    <w:rsid w:val="00D26B7F"/>
    <w:rsid w:val="00D26F01"/>
    <w:rsid w:val="00D27329"/>
    <w:rsid w:val="00D279F3"/>
    <w:rsid w:val="00D3123C"/>
    <w:rsid w:val="00D31FD2"/>
    <w:rsid w:val="00D32161"/>
    <w:rsid w:val="00D33047"/>
    <w:rsid w:val="00D34384"/>
    <w:rsid w:val="00D3441C"/>
    <w:rsid w:val="00D34B68"/>
    <w:rsid w:val="00D34CC7"/>
    <w:rsid w:val="00D35A71"/>
    <w:rsid w:val="00D36281"/>
    <w:rsid w:val="00D3767C"/>
    <w:rsid w:val="00D37994"/>
    <w:rsid w:val="00D40294"/>
    <w:rsid w:val="00D402CE"/>
    <w:rsid w:val="00D40BE0"/>
    <w:rsid w:val="00D410B4"/>
    <w:rsid w:val="00D4197C"/>
    <w:rsid w:val="00D42590"/>
    <w:rsid w:val="00D439CB"/>
    <w:rsid w:val="00D46B04"/>
    <w:rsid w:val="00D47207"/>
    <w:rsid w:val="00D47DC9"/>
    <w:rsid w:val="00D52374"/>
    <w:rsid w:val="00D5298C"/>
    <w:rsid w:val="00D52A9B"/>
    <w:rsid w:val="00D52CAA"/>
    <w:rsid w:val="00D53649"/>
    <w:rsid w:val="00D54483"/>
    <w:rsid w:val="00D55014"/>
    <w:rsid w:val="00D5548F"/>
    <w:rsid w:val="00D555AF"/>
    <w:rsid w:val="00D55AAD"/>
    <w:rsid w:val="00D563EA"/>
    <w:rsid w:val="00D56789"/>
    <w:rsid w:val="00D5679B"/>
    <w:rsid w:val="00D56E15"/>
    <w:rsid w:val="00D572D4"/>
    <w:rsid w:val="00D574E3"/>
    <w:rsid w:val="00D61242"/>
    <w:rsid w:val="00D61460"/>
    <w:rsid w:val="00D62DC1"/>
    <w:rsid w:val="00D63308"/>
    <w:rsid w:val="00D64310"/>
    <w:rsid w:val="00D64410"/>
    <w:rsid w:val="00D645E3"/>
    <w:rsid w:val="00D66806"/>
    <w:rsid w:val="00D66AB8"/>
    <w:rsid w:val="00D66C91"/>
    <w:rsid w:val="00D702FE"/>
    <w:rsid w:val="00D71D12"/>
    <w:rsid w:val="00D729FE"/>
    <w:rsid w:val="00D73336"/>
    <w:rsid w:val="00D7387E"/>
    <w:rsid w:val="00D7396B"/>
    <w:rsid w:val="00D73CA1"/>
    <w:rsid w:val="00D74EA9"/>
    <w:rsid w:val="00D76004"/>
    <w:rsid w:val="00D762FC"/>
    <w:rsid w:val="00D76307"/>
    <w:rsid w:val="00D77F7B"/>
    <w:rsid w:val="00D80704"/>
    <w:rsid w:val="00D80E1E"/>
    <w:rsid w:val="00D83393"/>
    <w:rsid w:val="00D84909"/>
    <w:rsid w:val="00D84E96"/>
    <w:rsid w:val="00D8534C"/>
    <w:rsid w:val="00D85F40"/>
    <w:rsid w:val="00D85F55"/>
    <w:rsid w:val="00D86285"/>
    <w:rsid w:val="00D90A86"/>
    <w:rsid w:val="00D92488"/>
    <w:rsid w:val="00D93A0E"/>
    <w:rsid w:val="00D94964"/>
    <w:rsid w:val="00D9505B"/>
    <w:rsid w:val="00D95CBD"/>
    <w:rsid w:val="00D964A6"/>
    <w:rsid w:val="00D96B2D"/>
    <w:rsid w:val="00D96BFF"/>
    <w:rsid w:val="00D97920"/>
    <w:rsid w:val="00DA027B"/>
    <w:rsid w:val="00DA09D0"/>
    <w:rsid w:val="00DA4869"/>
    <w:rsid w:val="00DA5459"/>
    <w:rsid w:val="00DA7175"/>
    <w:rsid w:val="00DA7F4C"/>
    <w:rsid w:val="00DB02B1"/>
    <w:rsid w:val="00DB09BF"/>
    <w:rsid w:val="00DB175E"/>
    <w:rsid w:val="00DB1857"/>
    <w:rsid w:val="00DB1CBC"/>
    <w:rsid w:val="00DB222E"/>
    <w:rsid w:val="00DB231A"/>
    <w:rsid w:val="00DB2DB0"/>
    <w:rsid w:val="00DB3E58"/>
    <w:rsid w:val="00DB4A35"/>
    <w:rsid w:val="00DB55CE"/>
    <w:rsid w:val="00DB75C1"/>
    <w:rsid w:val="00DC09F3"/>
    <w:rsid w:val="00DC1190"/>
    <w:rsid w:val="00DC1308"/>
    <w:rsid w:val="00DC14E7"/>
    <w:rsid w:val="00DC1A97"/>
    <w:rsid w:val="00DC2097"/>
    <w:rsid w:val="00DC2658"/>
    <w:rsid w:val="00DC2D19"/>
    <w:rsid w:val="00DC3E51"/>
    <w:rsid w:val="00DC40B4"/>
    <w:rsid w:val="00DC48CB"/>
    <w:rsid w:val="00DC545E"/>
    <w:rsid w:val="00DC6477"/>
    <w:rsid w:val="00DC64A3"/>
    <w:rsid w:val="00DC7C7D"/>
    <w:rsid w:val="00DC7CBC"/>
    <w:rsid w:val="00DD04A2"/>
    <w:rsid w:val="00DD06A1"/>
    <w:rsid w:val="00DD09B6"/>
    <w:rsid w:val="00DD0BCC"/>
    <w:rsid w:val="00DD0CCD"/>
    <w:rsid w:val="00DD26E3"/>
    <w:rsid w:val="00DD2B73"/>
    <w:rsid w:val="00DD330E"/>
    <w:rsid w:val="00DD45B8"/>
    <w:rsid w:val="00DD4F0F"/>
    <w:rsid w:val="00DD57E9"/>
    <w:rsid w:val="00DE0792"/>
    <w:rsid w:val="00DE0930"/>
    <w:rsid w:val="00DE0A35"/>
    <w:rsid w:val="00DE0A76"/>
    <w:rsid w:val="00DE136D"/>
    <w:rsid w:val="00DE312A"/>
    <w:rsid w:val="00DE357B"/>
    <w:rsid w:val="00DE3E4D"/>
    <w:rsid w:val="00DE3EA9"/>
    <w:rsid w:val="00DE49B0"/>
    <w:rsid w:val="00DE6172"/>
    <w:rsid w:val="00DE6718"/>
    <w:rsid w:val="00DF0294"/>
    <w:rsid w:val="00DF0925"/>
    <w:rsid w:val="00DF2194"/>
    <w:rsid w:val="00DF30FB"/>
    <w:rsid w:val="00DF42F8"/>
    <w:rsid w:val="00DF509F"/>
    <w:rsid w:val="00DF5488"/>
    <w:rsid w:val="00DF57B2"/>
    <w:rsid w:val="00DF5BEB"/>
    <w:rsid w:val="00DF66F5"/>
    <w:rsid w:val="00E00C94"/>
    <w:rsid w:val="00E022B8"/>
    <w:rsid w:val="00E02857"/>
    <w:rsid w:val="00E03A7D"/>
    <w:rsid w:val="00E03E68"/>
    <w:rsid w:val="00E04233"/>
    <w:rsid w:val="00E048A6"/>
    <w:rsid w:val="00E05226"/>
    <w:rsid w:val="00E0613A"/>
    <w:rsid w:val="00E07C90"/>
    <w:rsid w:val="00E11207"/>
    <w:rsid w:val="00E1160C"/>
    <w:rsid w:val="00E125D1"/>
    <w:rsid w:val="00E12AD4"/>
    <w:rsid w:val="00E12E32"/>
    <w:rsid w:val="00E13250"/>
    <w:rsid w:val="00E1358C"/>
    <w:rsid w:val="00E1518E"/>
    <w:rsid w:val="00E1543E"/>
    <w:rsid w:val="00E1558C"/>
    <w:rsid w:val="00E15F60"/>
    <w:rsid w:val="00E164B6"/>
    <w:rsid w:val="00E16AC1"/>
    <w:rsid w:val="00E16B7C"/>
    <w:rsid w:val="00E17840"/>
    <w:rsid w:val="00E2026E"/>
    <w:rsid w:val="00E20882"/>
    <w:rsid w:val="00E213AF"/>
    <w:rsid w:val="00E22191"/>
    <w:rsid w:val="00E226E5"/>
    <w:rsid w:val="00E232C5"/>
    <w:rsid w:val="00E2489D"/>
    <w:rsid w:val="00E25EE1"/>
    <w:rsid w:val="00E27BA1"/>
    <w:rsid w:val="00E27EBE"/>
    <w:rsid w:val="00E3137F"/>
    <w:rsid w:val="00E3209F"/>
    <w:rsid w:val="00E334EE"/>
    <w:rsid w:val="00E348B9"/>
    <w:rsid w:val="00E35368"/>
    <w:rsid w:val="00E37535"/>
    <w:rsid w:val="00E4017F"/>
    <w:rsid w:val="00E404A6"/>
    <w:rsid w:val="00E404B5"/>
    <w:rsid w:val="00E411A0"/>
    <w:rsid w:val="00E420AD"/>
    <w:rsid w:val="00E42F62"/>
    <w:rsid w:val="00E438C1"/>
    <w:rsid w:val="00E443E6"/>
    <w:rsid w:val="00E45061"/>
    <w:rsid w:val="00E4542B"/>
    <w:rsid w:val="00E45CD5"/>
    <w:rsid w:val="00E46BF8"/>
    <w:rsid w:val="00E519A8"/>
    <w:rsid w:val="00E51D0C"/>
    <w:rsid w:val="00E5201F"/>
    <w:rsid w:val="00E5235F"/>
    <w:rsid w:val="00E52E64"/>
    <w:rsid w:val="00E52F27"/>
    <w:rsid w:val="00E5473F"/>
    <w:rsid w:val="00E54CC5"/>
    <w:rsid w:val="00E55859"/>
    <w:rsid w:val="00E606D6"/>
    <w:rsid w:val="00E615D6"/>
    <w:rsid w:val="00E61825"/>
    <w:rsid w:val="00E61BF1"/>
    <w:rsid w:val="00E61FA0"/>
    <w:rsid w:val="00E62EF0"/>
    <w:rsid w:val="00E62FBE"/>
    <w:rsid w:val="00E632BD"/>
    <w:rsid w:val="00E6366A"/>
    <w:rsid w:val="00E6467D"/>
    <w:rsid w:val="00E64AC9"/>
    <w:rsid w:val="00E6591D"/>
    <w:rsid w:val="00E66957"/>
    <w:rsid w:val="00E67360"/>
    <w:rsid w:val="00E679F5"/>
    <w:rsid w:val="00E702F2"/>
    <w:rsid w:val="00E71DB8"/>
    <w:rsid w:val="00E71FA4"/>
    <w:rsid w:val="00E723BC"/>
    <w:rsid w:val="00E7428C"/>
    <w:rsid w:val="00E7501B"/>
    <w:rsid w:val="00E75563"/>
    <w:rsid w:val="00E757DE"/>
    <w:rsid w:val="00E7598C"/>
    <w:rsid w:val="00E76527"/>
    <w:rsid w:val="00E769FB"/>
    <w:rsid w:val="00E77597"/>
    <w:rsid w:val="00E778AF"/>
    <w:rsid w:val="00E77DEE"/>
    <w:rsid w:val="00E77F6C"/>
    <w:rsid w:val="00E80B75"/>
    <w:rsid w:val="00E812B7"/>
    <w:rsid w:val="00E81621"/>
    <w:rsid w:val="00E81C6C"/>
    <w:rsid w:val="00E8208A"/>
    <w:rsid w:val="00E824A5"/>
    <w:rsid w:val="00E82802"/>
    <w:rsid w:val="00E82B79"/>
    <w:rsid w:val="00E83942"/>
    <w:rsid w:val="00E8673F"/>
    <w:rsid w:val="00E879C3"/>
    <w:rsid w:val="00E907EA"/>
    <w:rsid w:val="00E93BD7"/>
    <w:rsid w:val="00E95455"/>
    <w:rsid w:val="00E9679E"/>
    <w:rsid w:val="00EA0729"/>
    <w:rsid w:val="00EA1AF5"/>
    <w:rsid w:val="00EA1FAD"/>
    <w:rsid w:val="00EA2949"/>
    <w:rsid w:val="00EA3184"/>
    <w:rsid w:val="00EA3681"/>
    <w:rsid w:val="00EA372E"/>
    <w:rsid w:val="00EA4CF2"/>
    <w:rsid w:val="00EA5080"/>
    <w:rsid w:val="00EA5F30"/>
    <w:rsid w:val="00EA6B68"/>
    <w:rsid w:val="00EA7B87"/>
    <w:rsid w:val="00EA7D13"/>
    <w:rsid w:val="00EB10E8"/>
    <w:rsid w:val="00EB2BA8"/>
    <w:rsid w:val="00EB363A"/>
    <w:rsid w:val="00EB51D2"/>
    <w:rsid w:val="00EB5433"/>
    <w:rsid w:val="00EB6305"/>
    <w:rsid w:val="00EB6675"/>
    <w:rsid w:val="00EB715F"/>
    <w:rsid w:val="00EB7FC8"/>
    <w:rsid w:val="00EC1D03"/>
    <w:rsid w:val="00EC3501"/>
    <w:rsid w:val="00EC3ED3"/>
    <w:rsid w:val="00EC3F76"/>
    <w:rsid w:val="00EC63A9"/>
    <w:rsid w:val="00EC7019"/>
    <w:rsid w:val="00EC74D0"/>
    <w:rsid w:val="00EC7A33"/>
    <w:rsid w:val="00EC7D72"/>
    <w:rsid w:val="00ED0167"/>
    <w:rsid w:val="00ED02C6"/>
    <w:rsid w:val="00ED07A3"/>
    <w:rsid w:val="00ED0AD3"/>
    <w:rsid w:val="00ED1381"/>
    <w:rsid w:val="00ED19BC"/>
    <w:rsid w:val="00ED21C9"/>
    <w:rsid w:val="00ED2CA6"/>
    <w:rsid w:val="00ED2F20"/>
    <w:rsid w:val="00ED3E68"/>
    <w:rsid w:val="00ED484D"/>
    <w:rsid w:val="00ED4AFA"/>
    <w:rsid w:val="00ED4CB2"/>
    <w:rsid w:val="00ED5EB1"/>
    <w:rsid w:val="00ED6AC4"/>
    <w:rsid w:val="00ED6D77"/>
    <w:rsid w:val="00ED6F5B"/>
    <w:rsid w:val="00EE06EF"/>
    <w:rsid w:val="00EE125A"/>
    <w:rsid w:val="00EE1614"/>
    <w:rsid w:val="00EE1C99"/>
    <w:rsid w:val="00EE1E7A"/>
    <w:rsid w:val="00EE3011"/>
    <w:rsid w:val="00EE364F"/>
    <w:rsid w:val="00EE3768"/>
    <w:rsid w:val="00EE3D78"/>
    <w:rsid w:val="00EE4174"/>
    <w:rsid w:val="00EE4183"/>
    <w:rsid w:val="00EE4EF4"/>
    <w:rsid w:val="00EE5B27"/>
    <w:rsid w:val="00EE5C36"/>
    <w:rsid w:val="00EE609B"/>
    <w:rsid w:val="00EE6480"/>
    <w:rsid w:val="00EE76DB"/>
    <w:rsid w:val="00EF22C6"/>
    <w:rsid w:val="00EF41B5"/>
    <w:rsid w:val="00EF4234"/>
    <w:rsid w:val="00EF53FD"/>
    <w:rsid w:val="00EF6B08"/>
    <w:rsid w:val="00EF7506"/>
    <w:rsid w:val="00F00232"/>
    <w:rsid w:val="00F00678"/>
    <w:rsid w:val="00F00963"/>
    <w:rsid w:val="00F009AF"/>
    <w:rsid w:val="00F01A44"/>
    <w:rsid w:val="00F02C51"/>
    <w:rsid w:val="00F037E9"/>
    <w:rsid w:val="00F039DE"/>
    <w:rsid w:val="00F043BF"/>
    <w:rsid w:val="00F048E0"/>
    <w:rsid w:val="00F04B29"/>
    <w:rsid w:val="00F04F94"/>
    <w:rsid w:val="00F05246"/>
    <w:rsid w:val="00F05809"/>
    <w:rsid w:val="00F072F7"/>
    <w:rsid w:val="00F074B6"/>
    <w:rsid w:val="00F075E3"/>
    <w:rsid w:val="00F07C93"/>
    <w:rsid w:val="00F10FBB"/>
    <w:rsid w:val="00F11C31"/>
    <w:rsid w:val="00F12281"/>
    <w:rsid w:val="00F12558"/>
    <w:rsid w:val="00F12741"/>
    <w:rsid w:val="00F12FC3"/>
    <w:rsid w:val="00F1372B"/>
    <w:rsid w:val="00F13AD9"/>
    <w:rsid w:val="00F13F6E"/>
    <w:rsid w:val="00F16412"/>
    <w:rsid w:val="00F164FB"/>
    <w:rsid w:val="00F16A9F"/>
    <w:rsid w:val="00F173B6"/>
    <w:rsid w:val="00F17F19"/>
    <w:rsid w:val="00F20CA1"/>
    <w:rsid w:val="00F21028"/>
    <w:rsid w:val="00F217A2"/>
    <w:rsid w:val="00F218C6"/>
    <w:rsid w:val="00F21D5D"/>
    <w:rsid w:val="00F226F7"/>
    <w:rsid w:val="00F24805"/>
    <w:rsid w:val="00F24B85"/>
    <w:rsid w:val="00F26367"/>
    <w:rsid w:val="00F27E4B"/>
    <w:rsid w:val="00F300D9"/>
    <w:rsid w:val="00F313C0"/>
    <w:rsid w:val="00F31B0E"/>
    <w:rsid w:val="00F32AC1"/>
    <w:rsid w:val="00F3336E"/>
    <w:rsid w:val="00F33834"/>
    <w:rsid w:val="00F33E98"/>
    <w:rsid w:val="00F3465F"/>
    <w:rsid w:val="00F34726"/>
    <w:rsid w:val="00F35A8C"/>
    <w:rsid w:val="00F36A58"/>
    <w:rsid w:val="00F40220"/>
    <w:rsid w:val="00F410E6"/>
    <w:rsid w:val="00F413C5"/>
    <w:rsid w:val="00F415E7"/>
    <w:rsid w:val="00F41FF3"/>
    <w:rsid w:val="00F4343A"/>
    <w:rsid w:val="00F4354B"/>
    <w:rsid w:val="00F43BCD"/>
    <w:rsid w:val="00F44D47"/>
    <w:rsid w:val="00F4560B"/>
    <w:rsid w:val="00F466B4"/>
    <w:rsid w:val="00F47828"/>
    <w:rsid w:val="00F5092D"/>
    <w:rsid w:val="00F50E80"/>
    <w:rsid w:val="00F51196"/>
    <w:rsid w:val="00F511D7"/>
    <w:rsid w:val="00F5234A"/>
    <w:rsid w:val="00F525F7"/>
    <w:rsid w:val="00F53002"/>
    <w:rsid w:val="00F548A1"/>
    <w:rsid w:val="00F563BB"/>
    <w:rsid w:val="00F57E29"/>
    <w:rsid w:val="00F6107F"/>
    <w:rsid w:val="00F61CC1"/>
    <w:rsid w:val="00F61E0C"/>
    <w:rsid w:val="00F63259"/>
    <w:rsid w:val="00F645CC"/>
    <w:rsid w:val="00F6492A"/>
    <w:rsid w:val="00F64D6C"/>
    <w:rsid w:val="00F64ECF"/>
    <w:rsid w:val="00F65E56"/>
    <w:rsid w:val="00F6684D"/>
    <w:rsid w:val="00F67B97"/>
    <w:rsid w:val="00F7041A"/>
    <w:rsid w:val="00F70CF6"/>
    <w:rsid w:val="00F7122F"/>
    <w:rsid w:val="00F72296"/>
    <w:rsid w:val="00F73860"/>
    <w:rsid w:val="00F7577B"/>
    <w:rsid w:val="00F76ED3"/>
    <w:rsid w:val="00F77982"/>
    <w:rsid w:val="00F80319"/>
    <w:rsid w:val="00F807D7"/>
    <w:rsid w:val="00F8085E"/>
    <w:rsid w:val="00F80F0A"/>
    <w:rsid w:val="00F81128"/>
    <w:rsid w:val="00F815D6"/>
    <w:rsid w:val="00F8213C"/>
    <w:rsid w:val="00F844F5"/>
    <w:rsid w:val="00F84DC2"/>
    <w:rsid w:val="00F84DE3"/>
    <w:rsid w:val="00F84E9A"/>
    <w:rsid w:val="00F85D06"/>
    <w:rsid w:val="00F8703F"/>
    <w:rsid w:val="00F873FE"/>
    <w:rsid w:val="00F87B8D"/>
    <w:rsid w:val="00F90256"/>
    <w:rsid w:val="00F902A9"/>
    <w:rsid w:val="00F90A1D"/>
    <w:rsid w:val="00F90F01"/>
    <w:rsid w:val="00F92281"/>
    <w:rsid w:val="00F96F7D"/>
    <w:rsid w:val="00F975E1"/>
    <w:rsid w:val="00FA09F8"/>
    <w:rsid w:val="00FA1C3B"/>
    <w:rsid w:val="00FA22B0"/>
    <w:rsid w:val="00FA3424"/>
    <w:rsid w:val="00FA3E75"/>
    <w:rsid w:val="00FA3F59"/>
    <w:rsid w:val="00FA4C37"/>
    <w:rsid w:val="00FA4CB6"/>
    <w:rsid w:val="00FA4E44"/>
    <w:rsid w:val="00FA644C"/>
    <w:rsid w:val="00FA650B"/>
    <w:rsid w:val="00FA69B0"/>
    <w:rsid w:val="00FA7CDA"/>
    <w:rsid w:val="00FA7EF4"/>
    <w:rsid w:val="00FB1789"/>
    <w:rsid w:val="00FB269A"/>
    <w:rsid w:val="00FB371A"/>
    <w:rsid w:val="00FB38E9"/>
    <w:rsid w:val="00FB56C2"/>
    <w:rsid w:val="00FB6865"/>
    <w:rsid w:val="00FC1868"/>
    <w:rsid w:val="00FC19AE"/>
    <w:rsid w:val="00FC30BD"/>
    <w:rsid w:val="00FC3390"/>
    <w:rsid w:val="00FC3F5C"/>
    <w:rsid w:val="00FC5F99"/>
    <w:rsid w:val="00FC6608"/>
    <w:rsid w:val="00FC6AEC"/>
    <w:rsid w:val="00FC7C11"/>
    <w:rsid w:val="00FD15AC"/>
    <w:rsid w:val="00FD244E"/>
    <w:rsid w:val="00FD26F8"/>
    <w:rsid w:val="00FD31D5"/>
    <w:rsid w:val="00FD32D6"/>
    <w:rsid w:val="00FD41F6"/>
    <w:rsid w:val="00FD48A5"/>
    <w:rsid w:val="00FD6680"/>
    <w:rsid w:val="00FD689F"/>
    <w:rsid w:val="00FD7351"/>
    <w:rsid w:val="00FE2207"/>
    <w:rsid w:val="00FE292D"/>
    <w:rsid w:val="00FE2D35"/>
    <w:rsid w:val="00FE6A6C"/>
    <w:rsid w:val="00FE6ED5"/>
    <w:rsid w:val="00FF06C5"/>
    <w:rsid w:val="00FF1B04"/>
    <w:rsid w:val="00FF1B49"/>
    <w:rsid w:val="00FF1DCA"/>
    <w:rsid w:val="00FF3339"/>
    <w:rsid w:val="00FF3B96"/>
    <w:rsid w:val="00FF3F92"/>
    <w:rsid w:val="00FF5B72"/>
    <w:rsid w:val="00FF63B0"/>
    <w:rsid w:val="00FF7552"/>
    <w:rsid w:val="05755563"/>
    <w:rsid w:val="0727569B"/>
    <w:rsid w:val="07FC1B1F"/>
    <w:rsid w:val="12C44B17"/>
    <w:rsid w:val="13F83A3E"/>
    <w:rsid w:val="14B614EE"/>
    <w:rsid w:val="160040D2"/>
    <w:rsid w:val="1BB768FD"/>
    <w:rsid w:val="1DE03826"/>
    <w:rsid w:val="24A76BD6"/>
    <w:rsid w:val="256E7A19"/>
    <w:rsid w:val="25BF1102"/>
    <w:rsid w:val="291761C8"/>
    <w:rsid w:val="317A5527"/>
    <w:rsid w:val="39E93944"/>
    <w:rsid w:val="45B1689F"/>
    <w:rsid w:val="46654703"/>
    <w:rsid w:val="47EB0D65"/>
    <w:rsid w:val="4AA14694"/>
    <w:rsid w:val="4BD459B9"/>
    <w:rsid w:val="522E4278"/>
    <w:rsid w:val="53AE0023"/>
    <w:rsid w:val="5DBD2A35"/>
    <w:rsid w:val="5ECE409C"/>
    <w:rsid w:val="6D575B05"/>
    <w:rsid w:val="6EBD54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uiPriority="0"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unhideWhenUsed="1"/>
    <w:lsdException w:name="List Bullet" w:uiPriority="0" w:unhideWhenUsed="1"/>
    <w:lsdException w:name="List Number"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unhideWhenUsed="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unhideWhenUsed="1"/>
    <w:lsdException w:name="Body Text 3" w:uiPriority="0" w:unhideWhenUsed="1"/>
    <w:lsdException w:name="Body Text Indent 2" w:uiPriority="0" w:unhideWhenUsed="1"/>
    <w:lsdException w:name="Body Text Indent 3" w:uiPriority="0" w:unhideWhenUsed="1"/>
    <w:lsdException w:name="Block Text" w:semiHidden="1" w:unhideWhenUsed="1"/>
    <w:lsdException w:name="FollowedHyperlink" w:uiPriority="0" w:unhideWhenUsed="1"/>
    <w:lsdException w:name="Strong" w:uiPriority="0" w:qFormat="1"/>
    <w:lsdException w:name="Emphasis" w:uiPriority="0" w:qFormat="1"/>
    <w:lsdException w:name="Document Map" w:uiPriority="0"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uiPriority="0"/>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200"/>
      <w:jc w:val="both"/>
    </w:pPr>
    <w:rPr>
      <w:rFonts w:ascii="Arial" w:hAnsi="Arial"/>
      <w:kern w:val="2"/>
      <w:sz w:val="24"/>
      <w:szCs w:val="22"/>
    </w:rPr>
  </w:style>
  <w:style w:type="paragraph" w:styleId="1">
    <w:name w:val="heading 1"/>
    <w:basedOn w:val="a"/>
    <w:next w:val="a"/>
    <w:link w:val="1Char"/>
    <w:qFormat/>
    <w:pPr>
      <w:keepNext/>
      <w:keepLines/>
      <w:spacing w:before="400" w:after="400" w:line="520" w:lineRule="exact"/>
      <w:ind w:firstLineChars="0" w:firstLine="0"/>
      <w:jc w:val="center"/>
      <w:outlineLvl w:val="0"/>
    </w:pPr>
    <w:rPr>
      <w:rFonts w:eastAsia="黑体"/>
      <w:bCs/>
      <w:kern w:val="44"/>
      <w:sz w:val="44"/>
      <w:szCs w:val="44"/>
    </w:rPr>
  </w:style>
  <w:style w:type="paragraph" w:styleId="2">
    <w:name w:val="heading 2"/>
    <w:basedOn w:val="a"/>
    <w:next w:val="a"/>
    <w:link w:val="2Char"/>
    <w:qFormat/>
    <w:pPr>
      <w:keepNext/>
      <w:keepLines/>
      <w:spacing w:before="260" w:after="260"/>
      <w:ind w:firstLineChars="0" w:firstLine="0"/>
      <w:jc w:val="left"/>
      <w:outlineLvl w:val="1"/>
    </w:pPr>
    <w:rPr>
      <w:rFonts w:eastAsia="黑体"/>
      <w:bCs/>
      <w:sz w:val="32"/>
      <w:szCs w:val="32"/>
    </w:rPr>
  </w:style>
  <w:style w:type="paragraph" w:styleId="3">
    <w:name w:val="heading 3"/>
    <w:basedOn w:val="a"/>
    <w:next w:val="a"/>
    <w:link w:val="3Char"/>
    <w:qFormat/>
    <w:pPr>
      <w:keepNext/>
      <w:keepLines/>
      <w:spacing w:before="260" w:after="260"/>
      <w:ind w:firstLineChars="0" w:firstLine="0"/>
      <w:jc w:val="left"/>
      <w:outlineLvl w:val="2"/>
    </w:pPr>
    <w:rPr>
      <w:rFonts w:eastAsia="黑体"/>
      <w:bCs/>
      <w:sz w:val="28"/>
      <w:szCs w:val="32"/>
    </w:rPr>
  </w:style>
  <w:style w:type="paragraph" w:styleId="4">
    <w:name w:val="heading 4"/>
    <w:basedOn w:val="a"/>
    <w:next w:val="a"/>
    <w:link w:val="4Char"/>
    <w:qFormat/>
    <w:pPr>
      <w:keepNext/>
      <w:keepLines/>
      <w:spacing w:before="260" w:after="260"/>
      <w:ind w:firstLineChars="0" w:firstLine="0"/>
      <w:jc w:val="left"/>
      <w:outlineLvl w:val="3"/>
    </w:pPr>
    <w:rPr>
      <w:rFonts w:eastAsia="黑体"/>
      <w:bCs/>
      <w:szCs w:val="28"/>
    </w:rPr>
  </w:style>
  <w:style w:type="paragraph" w:styleId="5">
    <w:name w:val="heading 5"/>
    <w:basedOn w:val="a"/>
    <w:next w:val="a"/>
    <w:link w:val="5Char"/>
    <w:qFormat/>
    <w:pPr>
      <w:keepNext/>
      <w:keepLines/>
      <w:ind w:firstLineChars="0" w:firstLine="0"/>
      <w:jc w:val="center"/>
      <w:outlineLvl w:val="4"/>
    </w:pPr>
    <w:rPr>
      <w:rFonts w:eastAsia="黑体"/>
      <w:bCs/>
      <w:sz w:val="21"/>
      <w:szCs w:val="28"/>
    </w:rPr>
  </w:style>
  <w:style w:type="paragraph" w:styleId="6">
    <w:name w:val="heading 6"/>
    <w:basedOn w:val="a"/>
    <w:next w:val="a"/>
    <w:link w:val="6Char"/>
    <w:qFormat/>
    <w:pPr>
      <w:keepNext/>
      <w:keepLines/>
      <w:tabs>
        <w:tab w:val="left" w:pos="1152"/>
      </w:tabs>
      <w:spacing w:before="240" w:after="64" w:line="316" w:lineRule="auto"/>
      <w:ind w:left="3120" w:firstLineChars="0" w:hanging="420"/>
      <w:outlineLvl w:val="5"/>
    </w:pPr>
    <w:rPr>
      <w:rFonts w:eastAsia="黑体"/>
      <w:b/>
      <w:bCs/>
      <w:szCs w:val="24"/>
    </w:rPr>
  </w:style>
  <w:style w:type="paragraph" w:styleId="7">
    <w:name w:val="heading 7"/>
    <w:basedOn w:val="a"/>
    <w:next w:val="a"/>
    <w:link w:val="7Char"/>
    <w:qFormat/>
    <w:pPr>
      <w:keepNext/>
      <w:keepLines/>
      <w:tabs>
        <w:tab w:val="left" w:pos="1296"/>
      </w:tabs>
      <w:spacing w:before="240" w:after="64" w:line="316" w:lineRule="auto"/>
      <w:ind w:left="3540" w:firstLineChars="0" w:hanging="420"/>
      <w:outlineLvl w:val="6"/>
    </w:pPr>
    <w:rPr>
      <w:rFonts w:ascii="Times New Roman" w:hAnsi="Times New Roman"/>
      <w:b/>
      <w:bCs/>
      <w:szCs w:val="24"/>
    </w:rPr>
  </w:style>
  <w:style w:type="paragraph" w:styleId="8">
    <w:name w:val="heading 8"/>
    <w:basedOn w:val="a"/>
    <w:next w:val="a"/>
    <w:link w:val="8Char"/>
    <w:qFormat/>
    <w:pPr>
      <w:keepNext/>
      <w:keepLines/>
      <w:tabs>
        <w:tab w:val="left" w:pos="1440"/>
      </w:tabs>
      <w:spacing w:before="240" w:after="64" w:line="316" w:lineRule="auto"/>
      <w:ind w:left="3960" w:firstLineChars="0" w:hanging="420"/>
      <w:outlineLvl w:val="7"/>
    </w:pPr>
    <w:rPr>
      <w:rFonts w:eastAsia="黑体"/>
      <w:szCs w:val="24"/>
    </w:rPr>
  </w:style>
  <w:style w:type="paragraph" w:styleId="9">
    <w:name w:val="heading 9"/>
    <w:basedOn w:val="a"/>
    <w:next w:val="a"/>
    <w:link w:val="9Char"/>
    <w:qFormat/>
    <w:pPr>
      <w:keepNext/>
      <w:keepLines/>
      <w:tabs>
        <w:tab w:val="left" w:pos="1584"/>
      </w:tabs>
      <w:spacing w:before="240" w:after="64" w:line="316" w:lineRule="auto"/>
      <w:ind w:left="4380" w:firstLineChars="0" w:hanging="420"/>
      <w:outlineLvl w:val="8"/>
    </w:pPr>
    <w:rPr>
      <w:rFonts w:eastAsia="黑体"/>
      <w:sz w:val="21"/>
      <w:szCs w:val="21"/>
    </w:rPr>
  </w:style>
  <w:style w:type="character" w:default="1" w:styleId="a1">
    <w:name w:val="Default Paragraph Font"/>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qFormat/>
    <w:rPr>
      <w:b w:val="0"/>
      <w:bCs w:val="0"/>
      <w:i w:val="0"/>
      <w:iCs w:val="0"/>
      <w:color w:val="CC0033"/>
    </w:rPr>
  </w:style>
  <w:style w:type="character" w:customStyle="1" w:styleId="CharChar4">
    <w:name w:val="Char Char4"/>
    <w:rPr>
      <w:rFonts w:ascii="宋体" w:eastAsia="宋体" w:hAnsi="宋体" w:hint="eastAsia"/>
      <w:kern w:val="2"/>
      <w:sz w:val="24"/>
    </w:rPr>
  </w:style>
  <w:style w:type="character" w:customStyle="1" w:styleId="Char">
    <w:name w:val="正文文本缩进 Char"/>
    <w:link w:val="a5"/>
    <w:rPr>
      <w:rFonts w:ascii="Times New Roman" w:hAnsi="Times New Roman"/>
      <w:kern w:val="2"/>
      <w:sz w:val="21"/>
    </w:rPr>
  </w:style>
  <w:style w:type="character" w:customStyle="1" w:styleId="5Char">
    <w:name w:val="标题 5 Char"/>
    <w:link w:val="5"/>
    <w:rPr>
      <w:rFonts w:ascii="Arial" w:eastAsia="黑体" w:hAnsi="Arial"/>
      <w:bCs/>
      <w:kern w:val="2"/>
      <w:sz w:val="21"/>
      <w:szCs w:val="28"/>
    </w:rPr>
  </w:style>
  <w:style w:type="character" w:customStyle="1" w:styleId="01Char">
    <w:name w:val="正文01 Char"/>
    <w:link w:val="01"/>
    <w:rPr>
      <w:rFonts w:ascii="Times New Roman" w:hAnsi="Times New Roman"/>
      <w:kern w:val="2"/>
      <w:sz w:val="27"/>
    </w:rPr>
  </w:style>
  <w:style w:type="character" w:customStyle="1" w:styleId="a6">
    <w:name w:val="正文缩进 字符"/>
    <w:rPr>
      <w:rFonts w:eastAsia="仿宋_GB2312"/>
      <w:kern w:val="2"/>
      <w:sz w:val="28"/>
      <w:szCs w:val="28"/>
      <w:lang w:val="en-US" w:eastAsia="zh-CN" w:bidi="ar-SA"/>
    </w:rPr>
  </w:style>
  <w:style w:type="character" w:styleId="a7">
    <w:name w:val="Strong"/>
    <w:qFormat/>
    <w:rPr>
      <w:b/>
    </w:rPr>
  </w:style>
  <w:style w:type="character" w:styleId="a8">
    <w:name w:val="annotation reference"/>
    <w:rPr>
      <w:sz w:val="21"/>
      <w:szCs w:val="21"/>
    </w:rPr>
  </w:style>
  <w:style w:type="character" w:styleId="a9">
    <w:name w:val="Hyperlink"/>
    <w:uiPriority w:val="99"/>
    <w:rPr>
      <w:color w:val="0000FF"/>
      <w:u w:val="single"/>
    </w:rPr>
  </w:style>
  <w:style w:type="character" w:styleId="aa">
    <w:name w:val="page number"/>
  </w:style>
  <w:style w:type="character" w:styleId="ab">
    <w:name w:val="FollowedHyperlink"/>
    <w:unhideWhenUsed/>
    <w:rPr>
      <w:color w:val="800080"/>
      <w:u w:val="single"/>
    </w:rPr>
  </w:style>
  <w:style w:type="character" w:styleId="ac">
    <w:name w:val="footnote reference"/>
    <w:unhideWhenUsed/>
    <w:rPr>
      <w:vertAlign w:val="superscript"/>
    </w:rPr>
  </w:style>
  <w:style w:type="character" w:customStyle="1" w:styleId="6Char">
    <w:name w:val="标题 6 Char"/>
    <w:link w:val="6"/>
    <w:rPr>
      <w:rFonts w:ascii="Arial" w:eastAsia="黑体" w:hAnsi="Arial"/>
      <w:b/>
      <w:bCs/>
      <w:kern w:val="2"/>
      <w:sz w:val="24"/>
      <w:szCs w:val="24"/>
    </w:rPr>
  </w:style>
  <w:style w:type="character" w:customStyle="1" w:styleId="Char0">
    <w:name w:val="文档结构图 Char"/>
    <w:link w:val="ad"/>
    <w:semiHidden/>
    <w:rPr>
      <w:rFonts w:ascii="Times New Roman" w:eastAsia="仿宋_GB2312" w:hAnsi="Times New Roman"/>
      <w:kern w:val="2"/>
      <w:sz w:val="28"/>
      <w:shd w:val="clear" w:color="auto" w:fill="000080"/>
    </w:rPr>
  </w:style>
  <w:style w:type="character" w:customStyle="1" w:styleId="Char1">
    <w:name w:val="副标题 Char"/>
    <w:link w:val="ae"/>
    <w:rPr>
      <w:rFonts w:ascii="Times New Roman" w:eastAsia="仿宋_GB2312" w:hAnsi="Times New Roman"/>
      <w:b/>
      <w:bCs/>
      <w:kern w:val="28"/>
      <w:sz w:val="28"/>
      <w:szCs w:val="32"/>
    </w:rPr>
  </w:style>
  <w:style w:type="character" w:customStyle="1" w:styleId="9Char">
    <w:name w:val="标题 9 Char"/>
    <w:link w:val="9"/>
    <w:rPr>
      <w:rFonts w:ascii="Arial" w:eastAsia="黑体" w:hAnsi="Arial"/>
      <w:kern w:val="2"/>
      <w:sz w:val="21"/>
      <w:szCs w:val="21"/>
    </w:rPr>
  </w:style>
  <w:style w:type="character" w:customStyle="1" w:styleId="EChar">
    <w:name w:val="E Char"/>
    <w:link w:val="E"/>
    <w:semiHidden/>
    <w:rPr>
      <w:rFonts w:ascii="Times New Roman" w:hAnsi="Times New Roman"/>
      <w:kern w:val="2"/>
      <w:sz w:val="24"/>
      <w:szCs w:val="24"/>
    </w:rPr>
  </w:style>
  <w:style w:type="character" w:customStyle="1" w:styleId="Char2">
    <w:name w:val="正文首行缩进 Char"/>
    <w:link w:val="a0"/>
    <w:rPr>
      <w:rFonts w:ascii="Times New Roman" w:eastAsia="仿宋_GB2312" w:hAnsi="Times New Roman"/>
      <w:kern w:val="2"/>
      <w:sz w:val="28"/>
      <w:szCs w:val="22"/>
    </w:rPr>
  </w:style>
  <w:style w:type="character" w:customStyle="1" w:styleId="2Char0">
    <w:name w:val="正文文本 2 Char"/>
    <w:link w:val="20"/>
    <w:semiHidden/>
    <w:rPr>
      <w:rFonts w:ascii="Arial" w:hAnsi="Arial" w:cs="Arial"/>
      <w:kern w:val="2"/>
      <w:sz w:val="21"/>
    </w:rPr>
  </w:style>
  <w:style w:type="character" w:customStyle="1" w:styleId="9pt">
    <w:name w:val="正文文本 + 9 pt"/>
    <w:aliases w:val="间距 0 pt,正文文本 + 9.5 pt"/>
    <w:rPr>
      <w:rFonts w:ascii="MingLiU" w:eastAsia="MingLiU" w:hAnsi="MingLiU" w:cs="MingLiU"/>
      <w:b w:val="0"/>
      <w:bCs w:val="0"/>
      <w:i w:val="0"/>
      <w:iCs w:val="0"/>
      <w:smallCaps w:val="0"/>
      <w:strike w:val="0"/>
      <w:color w:val="000000"/>
      <w:spacing w:val="10"/>
      <w:w w:val="100"/>
      <w:position w:val="0"/>
      <w:sz w:val="18"/>
      <w:szCs w:val="18"/>
      <w:u w:val="none"/>
      <w:lang w:val="zh-TW"/>
    </w:rPr>
  </w:style>
  <w:style w:type="character" w:customStyle="1" w:styleId="2Char1">
    <w:name w:val="正文 首行缩进:  2 字符 Char"/>
    <w:link w:val="21"/>
    <w:rPr>
      <w:rFonts w:ascii="Times New Roman" w:hAnsi="Times New Roman" w:cs="宋体"/>
      <w:kern w:val="2"/>
      <w:sz w:val="24"/>
    </w:rPr>
  </w:style>
  <w:style w:type="character" w:customStyle="1" w:styleId="Char3">
    <w:name w:val="表文字 Char"/>
    <w:link w:val="af"/>
    <w:rPr>
      <w:rFonts w:ascii="Times New Roman" w:hAnsi="Times New Roman"/>
      <w:sz w:val="24"/>
    </w:rPr>
  </w:style>
  <w:style w:type="character" w:customStyle="1" w:styleId="7Char">
    <w:name w:val="标题 7 Char"/>
    <w:link w:val="7"/>
    <w:rPr>
      <w:rFonts w:ascii="Times New Roman" w:hAnsi="Times New Roman"/>
      <w:b/>
      <w:bCs/>
      <w:kern w:val="2"/>
      <w:sz w:val="24"/>
      <w:szCs w:val="24"/>
    </w:rPr>
  </w:style>
  <w:style w:type="character" w:customStyle="1" w:styleId="red">
    <w:name w:val="red"/>
  </w:style>
  <w:style w:type="character" w:customStyle="1" w:styleId="4Char">
    <w:name w:val="标题 4 Char"/>
    <w:link w:val="4"/>
    <w:rPr>
      <w:rFonts w:ascii="Arial" w:eastAsia="黑体" w:hAnsi="Arial" w:cs="Times New Roman"/>
      <w:bCs/>
      <w:kern w:val="2"/>
      <w:sz w:val="24"/>
      <w:szCs w:val="28"/>
    </w:rPr>
  </w:style>
  <w:style w:type="character" w:customStyle="1" w:styleId="fontstyle01">
    <w:name w:val="fontstyle01"/>
    <w:qFormat/>
    <w:rPr>
      <w:rFonts w:ascii="宋体" w:eastAsia="宋体" w:hAnsi="宋体" w:hint="eastAsia"/>
      <w:color w:val="000000"/>
      <w:sz w:val="24"/>
      <w:szCs w:val="24"/>
    </w:rPr>
  </w:style>
  <w:style w:type="character" w:customStyle="1" w:styleId="2Char">
    <w:name w:val="标题 2 Char"/>
    <w:link w:val="2"/>
    <w:rPr>
      <w:rFonts w:ascii="Arial" w:eastAsia="黑体" w:hAnsi="Arial" w:cs="Times New Roman"/>
      <w:bCs/>
      <w:kern w:val="2"/>
      <w:sz w:val="32"/>
      <w:szCs w:val="32"/>
    </w:rPr>
  </w:style>
  <w:style w:type="character" w:customStyle="1" w:styleId="txt61">
    <w:name w:val="txt61"/>
    <w:rPr>
      <w:strike w:val="0"/>
      <w:dstrike w:val="0"/>
      <w:color w:val="003366"/>
      <w:sz w:val="20"/>
      <w:szCs w:val="20"/>
      <w:u w:val="none"/>
    </w:rPr>
  </w:style>
  <w:style w:type="character" w:customStyle="1" w:styleId="001Char">
    <w:name w:val="正文001 Char"/>
    <w:link w:val="001"/>
    <w:locked/>
    <w:rPr>
      <w:kern w:val="2"/>
      <w:sz w:val="24"/>
    </w:rPr>
  </w:style>
  <w:style w:type="character" w:customStyle="1" w:styleId="11">
    <w:name w:val="正文文本 (11)_"/>
    <w:rPr>
      <w:rFonts w:ascii="MingLiU" w:eastAsia="MingLiU" w:hAnsi="MingLiU" w:cs="MingLiU"/>
      <w:b w:val="0"/>
      <w:bCs w:val="0"/>
      <w:i w:val="0"/>
      <w:iCs w:val="0"/>
      <w:smallCaps w:val="0"/>
      <w:strike w:val="0"/>
      <w:spacing w:val="10"/>
      <w:sz w:val="18"/>
      <w:szCs w:val="18"/>
      <w:u w:val="none"/>
    </w:rPr>
  </w:style>
  <w:style w:type="character" w:customStyle="1" w:styleId="2Char10">
    <w:name w:val="正文文本缩进 2 Char1"/>
    <w:semiHidden/>
    <w:rPr>
      <w:rFonts w:ascii="仿宋_GB2312" w:eastAsia="仿宋_GB2312" w:hint="eastAsia"/>
      <w:kern w:val="2"/>
      <w:sz w:val="28"/>
    </w:rPr>
  </w:style>
  <w:style w:type="character" w:customStyle="1" w:styleId="contentmiddle111">
    <w:name w:val="content_middle111"/>
  </w:style>
  <w:style w:type="character" w:customStyle="1" w:styleId="Char4">
    <w:name w:val="页眉 Char"/>
    <w:link w:val="af0"/>
    <w:rPr>
      <w:rFonts w:ascii="Arial" w:hAnsi="Arial"/>
      <w:kern w:val="2"/>
      <w:sz w:val="18"/>
      <w:szCs w:val="18"/>
    </w:rPr>
  </w:style>
  <w:style w:type="character" w:customStyle="1" w:styleId="Char5">
    <w:name w:val="批注框文本 Char"/>
    <w:link w:val="af1"/>
    <w:rPr>
      <w:rFonts w:ascii="Arial" w:hAnsi="Arial"/>
      <w:kern w:val="2"/>
      <w:sz w:val="18"/>
      <w:szCs w:val="18"/>
    </w:rPr>
  </w:style>
  <w:style w:type="character" w:customStyle="1" w:styleId="af2">
    <w:name w:val="页脚 字符"/>
    <w:uiPriority w:val="99"/>
  </w:style>
  <w:style w:type="character" w:customStyle="1" w:styleId="apple-converted-space">
    <w:name w:val="apple-converted-space"/>
  </w:style>
  <w:style w:type="character" w:customStyle="1" w:styleId="Char6">
    <w:name w:val="题注 Char"/>
    <w:link w:val="af3"/>
    <w:qFormat/>
    <w:rPr>
      <w:rFonts w:ascii="Arial" w:eastAsia="黑体" w:hAnsi="Arial" w:cs="Arial"/>
      <w:kern w:val="2"/>
    </w:rPr>
  </w:style>
  <w:style w:type="character" w:customStyle="1" w:styleId="Char7">
    <w:name w:val="正文文本 Char"/>
    <w:link w:val="af4"/>
    <w:semiHidden/>
    <w:rPr>
      <w:rFonts w:ascii="Arial" w:hAnsi="Arial"/>
      <w:kern w:val="2"/>
      <w:sz w:val="24"/>
      <w:szCs w:val="22"/>
    </w:rPr>
  </w:style>
  <w:style w:type="character" w:customStyle="1" w:styleId="AChar">
    <w:name w:val="正文A Char"/>
    <w:link w:val="Af5"/>
    <w:rPr>
      <w:rFonts w:cs="宋体"/>
      <w:kern w:val="2"/>
      <w:sz w:val="24"/>
    </w:rPr>
  </w:style>
  <w:style w:type="character" w:customStyle="1" w:styleId="Char8">
    <w:name w:val="脚注文本 Char"/>
    <w:link w:val="af6"/>
    <w:semiHidden/>
    <w:rPr>
      <w:rFonts w:ascii="Times New Roman" w:eastAsia="仿宋_GB2312" w:hAnsi="Times New Roman"/>
      <w:kern w:val="2"/>
      <w:sz w:val="18"/>
    </w:rPr>
  </w:style>
  <w:style w:type="character" w:customStyle="1" w:styleId="Char9">
    <w:name w:val="正文缩进 Char"/>
    <w:link w:val="af7"/>
    <w:rPr>
      <w:rFonts w:ascii="Arial" w:hAnsi="Arial" w:cs="Arial"/>
      <w:spacing w:val="10"/>
      <w:kern w:val="2"/>
      <w:sz w:val="24"/>
    </w:rPr>
  </w:style>
  <w:style w:type="character" w:customStyle="1" w:styleId="Char20">
    <w:name w:val="表格标题 Char2"/>
    <w:aliases w:val="正文（首行缩进两字） Char Char3,标题4 Char3,文本条款 Char2,标题4 Char Char Char Char2,Plain Text Char1 Char2,Plain Text Char Char Char2,Plain Text Char Char3,Plain Text Char2 Char3,Plain Text Char2 Char Char2,Plain Text Char1 Char Char Char2,正文缩进 Char Char2"/>
    <w:rPr>
      <w:rFonts w:eastAsia="宋体"/>
      <w:kern w:val="2"/>
      <w:sz w:val="24"/>
      <w:szCs w:val="24"/>
      <w:lang w:val="en-US" w:eastAsia="zh-CN" w:bidi="ar-SA"/>
    </w:rPr>
  </w:style>
  <w:style w:type="character" w:customStyle="1" w:styleId="2Char2">
    <w:name w:val="正文文本缩进 2 Char"/>
    <w:link w:val="22"/>
    <w:semiHidden/>
    <w:rPr>
      <w:rFonts w:ascii="宋体" w:hAnsi="宋体"/>
      <w:kern w:val="2"/>
      <w:sz w:val="24"/>
    </w:rPr>
  </w:style>
  <w:style w:type="character" w:customStyle="1" w:styleId="3Char0">
    <w:name w:val="正文文本缩进 3 Char"/>
    <w:link w:val="30"/>
    <w:semiHidden/>
    <w:rPr>
      <w:rFonts w:ascii="宋体" w:hAnsi="宋体"/>
      <w:color w:val="000000"/>
      <w:kern w:val="2"/>
      <w:sz w:val="24"/>
    </w:rPr>
  </w:style>
  <w:style w:type="character" w:customStyle="1" w:styleId="Char10">
    <w:name w:val="副标题 Char1"/>
    <w:rPr>
      <w:rFonts w:ascii="Cambria" w:hAnsi="Cambria" w:cs="Times New Roman" w:hint="default"/>
      <w:b/>
      <w:bCs/>
      <w:kern w:val="28"/>
      <w:sz w:val="32"/>
      <w:szCs w:val="32"/>
    </w:rPr>
  </w:style>
  <w:style w:type="character" w:customStyle="1" w:styleId="Chara">
    <w:name w:val="日期 Char"/>
    <w:link w:val="af8"/>
    <w:rPr>
      <w:rFonts w:ascii="Arial" w:hAnsi="Arial"/>
      <w:kern w:val="2"/>
      <w:sz w:val="24"/>
      <w:szCs w:val="22"/>
    </w:rPr>
  </w:style>
  <w:style w:type="character" w:customStyle="1" w:styleId="Charb">
    <w:name w:val="批注主题 Char"/>
    <w:link w:val="af9"/>
    <w:semiHidden/>
    <w:rPr>
      <w:rFonts w:ascii="Arial" w:hAnsi="Arial"/>
      <w:b/>
      <w:bCs/>
      <w:kern w:val="2"/>
      <w:sz w:val="24"/>
      <w:szCs w:val="22"/>
    </w:rPr>
  </w:style>
  <w:style w:type="character" w:customStyle="1" w:styleId="01Char2">
    <w:name w:val="正文01 Char2"/>
    <w:rPr>
      <w:rFonts w:eastAsia="宋体"/>
      <w:snapToGrid w:val="0"/>
      <w:color w:val="000000"/>
      <w:sz w:val="24"/>
      <w:szCs w:val="24"/>
      <w:lang w:val="en-US" w:eastAsia="zh-CN" w:bidi="ar-SA"/>
    </w:rPr>
  </w:style>
  <w:style w:type="character" w:customStyle="1" w:styleId="fs">
    <w:name w:val="fs"/>
  </w:style>
  <w:style w:type="character" w:customStyle="1" w:styleId="8Char">
    <w:name w:val="标题 8 Char"/>
    <w:link w:val="8"/>
    <w:rPr>
      <w:rFonts w:ascii="Arial" w:eastAsia="黑体" w:hAnsi="Arial"/>
      <w:kern w:val="2"/>
      <w:sz w:val="24"/>
      <w:szCs w:val="24"/>
    </w:rPr>
  </w:style>
  <w:style w:type="character" w:customStyle="1" w:styleId="Charc">
    <w:name w:val="列出段落 Char"/>
    <w:link w:val="afa"/>
    <w:locked/>
    <w:rPr>
      <w:kern w:val="2"/>
      <w:sz w:val="21"/>
      <w:szCs w:val="22"/>
    </w:rPr>
  </w:style>
  <w:style w:type="character" w:customStyle="1" w:styleId="font61">
    <w:name w:val="font61"/>
    <w:qFormat/>
    <w:rPr>
      <w:rFonts w:ascii="宋体" w:eastAsia="宋体" w:hAnsi="宋体" w:cs="宋体" w:hint="eastAsia"/>
      <w:color w:val="000000"/>
      <w:sz w:val="20"/>
      <w:szCs w:val="20"/>
      <w:u w:val="none"/>
    </w:rPr>
  </w:style>
  <w:style w:type="character" w:customStyle="1" w:styleId="apple-style-span">
    <w:name w:val="apple-style-span"/>
  </w:style>
  <w:style w:type="character" w:customStyle="1" w:styleId="Chard">
    <w:name w:val="蘑菇段落 Char"/>
    <w:link w:val="afb"/>
    <w:rPr>
      <w:rFonts w:ascii="宋体" w:hAnsi="宋体"/>
      <w:snapToGrid/>
      <w:sz w:val="24"/>
      <w:szCs w:val="24"/>
    </w:rPr>
  </w:style>
  <w:style w:type="character" w:customStyle="1" w:styleId="Chare">
    <w:name w:val="批注文字 Char"/>
    <w:link w:val="afc"/>
    <w:semiHidden/>
    <w:rPr>
      <w:rFonts w:ascii="Arial" w:hAnsi="Arial"/>
      <w:kern w:val="2"/>
      <w:sz w:val="24"/>
      <w:szCs w:val="22"/>
    </w:rPr>
  </w:style>
  <w:style w:type="character" w:customStyle="1" w:styleId="title">
    <w:name w:val="title"/>
  </w:style>
  <w:style w:type="character" w:customStyle="1" w:styleId="afd">
    <w:name w:val="正文文本_"/>
    <w:link w:val="31"/>
    <w:rPr>
      <w:rFonts w:ascii="MingLiU" w:eastAsia="MingLiU" w:hAnsi="MingLiU" w:cs="MingLiU"/>
      <w:spacing w:val="2"/>
      <w:sz w:val="25"/>
      <w:szCs w:val="25"/>
      <w:shd w:val="clear" w:color="auto" w:fill="FFFFFF"/>
    </w:rPr>
  </w:style>
  <w:style w:type="character" w:customStyle="1" w:styleId="1Char">
    <w:name w:val="标题 1 Char"/>
    <w:link w:val="1"/>
    <w:rPr>
      <w:rFonts w:ascii="Arial" w:eastAsia="黑体" w:hAnsi="Arial"/>
      <w:bCs/>
      <w:kern w:val="44"/>
      <w:sz w:val="44"/>
      <w:szCs w:val="44"/>
    </w:rPr>
  </w:style>
  <w:style w:type="character" w:customStyle="1" w:styleId="AngsanaUPC">
    <w:name w:val="正文文本 + AngsanaUPC"/>
    <w:aliases w:val="14.5 pt,间距 -1 pt,13 pt,斜体,14 pt,粗体,间距 -2 pt,正文文本 (11) + AngsanaUPC"/>
    <w:rPr>
      <w:rFonts w:ascii="AngsanaUPC" w:eastAsia="AngsanaUPC" w:hAnsi="AngsanaUPC" w:cs="AngsanaUPC"/>
      <w:b w:val="0"/>
      <w:bCs w:val="0"/>
      <w:i w:val="0"/>
      <w:iCs w:val="0"/>
      <w:smallCaps w:val="0"/>
      <w:strike w:val="0"/>
      <w:color w:val="000000"/>
      <w:spacing w:val="-26"/>
      <w:w w:val="100"/>
      <w:position w:val="0"/>
      <w:sz w:val="29"/>
      <w:szCs w:val="29"/>
      <w:u w:val="none"/>
      <w:lang w:val="en-US"/>
    </w:rPr>
  </w:style>
  <w:style w:type="character" w:customStyle="1" w:styleId="Char11">
    <w:name w:val="纯文本 Char1"/>
    <w:aliases w:val="纯文本 Char Char Char Char1,纯文本 Char Char Char Char Char1,纯文本 Char Char Char Char Char Char,表头 Char,普通文字 Char Char1,普通文字 Char Char Char Char,普通文字 Char Char Char1,普通文字 Char Char Char Char Char Char Char Char Char Char Char,表格文字 Char,普通文字 Char2"/>
    <w:link w:val="afe"/>
    <w:rPr>
      <w:rFonts w:ascii="宋体" w:hAnsi="Courier New"/>
      <w:kern w:val="2"/>
      <w:sz w:val="28"/>
    </w:rPr>
  </w:style>
  <w:style w:type="character" w:customStyle="1" w:styleId="Char21">
    <w:name w:val="正文缩进 Char2"/>
    <w:aliases w:val="首行缩进两字 Char1,标题4 Char1,正文不缩进 Char1,s4 Char1,正文（首行缩进两字） Char Char Char Char Char Char Char Char1,表格标题 Char1,正文缩进 Char Char1,正文（首行缩进两字） Char Char1,正文（首行缩进两字） Char Char Char Char2,正文（首行缩进两字） Char Char Char Char Char2,特点 Char1,正文缩进1 Char1,文本 Char"/>
    <w:rPr>
      <w:rFonts w:ascii="Arial" w:eastAsia="宋体" w:hAnsi="Arial" w:cs="Arial"/>
      <w:spacing w:val="10"/>
      <w:kern w:val="2"/>
      <w:sz w:val="24"/>
      <w:lang w:val="en-US" w:eastAsia="zh-CN" w:bidi="ar-SA"/>
    </w:rPr>
  </w:style>
  <w:style w:type="character" w:customStyle="1" w:styleId="4s4CharCharCharCharCharChar">
    <w:name w:val="样式 正文缩进首行缩进两字标题4正文不缩进s4正文（首行缩进两字） Char Char Char Char Char ... Char"/>
    <w:rPr>
      <w:rFonts w:ascii="Arial" w:eastAsia="宋体" w:hAnsi="Arial" w:cs="Arial" w:hint="default"/>
      <w:color w:val="000000"/>
      <w:spacing w:val="10"/>
      <w:kern w:val="2"/>
      <w:sz w:val="24"/>
      <w:lang w:val="en-US" w:eastAsia="zh-CN" w:bidi="ar-SA"/>
    </w:rPr>
  </w:style>
  <w:style w:type="character" w:customStyle="1" w:styleId="321Char">
    <w:name w:val="样式 样式3 + 首行缩进:  2 字符1 Char"/>
    <w:link w:val="321"/>
    <w:rPr>
      <w:rFonts w:ascii="仿宋_GB2312" w:eastAsia="仿宋_GB2312" w:cs="宋体"/>
      <w:kern w:val="2"/>
      <w:sz w:val="24"/>
    </w:rPr>
  </w:style>
  <w:style w:type="character" w:customStyle="1" w:styleId="Charf">
    <w:name w:val="表格正文 Char"/>
    <w:link w:val="aff"/>
    <w:rPr>
      <w:rFonts w:ascii="Times New Roman" w:hAnsi="Times New Roman"/>
      <w:snapToGrid/>
      <w:color w:val="000000"/>
      <w:sz w:val="21"/>
      <w:szCs w:val="24"/>
    </w:rPr>
  </w:style>
  <w:style w:type="character" w:customStyle="1" w:styleId="110">
    <w:name w:val="正文文本 (11)"/>
    <w:rPr>
      <w:rFonts w:ascii="MingLiU" w:eastAsia="MingLiU" w:hAnsi="MingLiU" w:cs="MingLiU"/>
      <w:b w:val="0"/>
      <w:bCs w:val="0"/>
      <w:i w:val="0"/>
      <w:iCs w:val="0"/>
      <w:smallCaps w:val="0"/>
      <w:strike w:val="0"/>
      <w:color w:val="000000"/>
      <w:spacing w:val="10"/>
      <w:w w:val="100"/>
      <w:position w:val="0"/>
      <w:sz w:val="18"/>
      <w:szCs w:val="18"/>
      <w:u w:val="none"/>
      <w:lang w:val="zh-TW"/>
    </w:rPr>
  </w:style>
  <w:style w:type="character" w:customStyle="1" w:styleId="aff0">
    <w:name w:val="纯文本 字符"/>
    <w:aliases w:val="普通文字 Char 字符,普通文字 Char Char Char 字符,普通文字 Char Char Char Char Char Char Char Char 字符,普通文字 Char Char Char Char Char Char Char 字符,普通文字 Char Char Char Char 字符,表格文字 字符,普通文字 字符,纯文本 Char1 Char Char 字符,纯文本 Char Char Char Char 字符,纯文本 Char Char1 字符,孙普文字 字符"/>
    <w:rPr>
      <w:rFonts w:ascii="Courier New" w:eastAsia="宋体" w:hAnsi="Courier New" w:cs="Times New Roman"/>
      <w:sz w:val="18"/>
      <w:szCs w:val="20"/>
    </w:rPr>
  </w:style>
  <w:style w:type="character" w:customStyle="1" w:styleId="Charf0">
    <w:name w:val="标题 Char"/>
    <w:link w:val="aff1"/>
    <w:rPr>
      <w:rFonts w:ascii="Arial" w:eastAsia="黑体" w:hAnsi="Arial"/>
      <w:kern w:val="2"/>
      <w:sz w:val="36"/>
      <w:szCs w:val="24"/>
    </w:rPr>
  </w:style>
  <w:style w:type="character" w:customStyle="1" w:styleId="Char12">
    <w:name w:val="报告正文 Char1"/>
    <w:link w:val="aff2"/>
    <w:rPr>
      <w:rFonts w:ascii="宋体"/>
      <w:kern w:val="2"/>
      <w:sz w:val="24"/>
    </w:rPr>
  </w:style>
  <w:style w:type="character" w:customStyle="1" w:styleId="Charf1">
    <w:name w:val="页脚 Char"/>
    <w:link w:val="aff3"/>
    <w:rPr>
      <w:rFonts w:ascii="Arial" w:hAnsi="Arial"/>
      <w:kern w:val="2"/>
      <w:sz w:val="18"/>
      <w:szCs w:val="18"/>
    </w:rPr>
  </w:style>
  <w:style w:type="character" w:customStyle="1" w:styleId="3Char">
    <w:name w:val="标题 3 Char"/>
    <w:link w:val="3"/>
    <w:rPr>
      <w:rFonts w:ascii="Arial" w:eastAsia="黑体" w:hAnsi="Arial"/>
      <w:bCs/>
      <w:kern w:val="2"/>
      <w:sz w:val="28"/>
      <w:szCs w:val="32"/>
    </w:rPr>
  </w:style>
  <w:style w:type="character" w:customStyle="1" w:styleId="CharChar">
    <w:name w:val="标 正文 Char Char"/>
    <w:link w:val="aff4"/>
    <w:rPr>
      <w:kern w:val="2"/>
      <w:sz w:val="24"/>
      <w:lang w:val="en-US" w:eastAsia="zh-CN" w:bidi="ar-SA"/>
    </w:rPr>
  </w:style>
  <w:style w:type="character" w:customStyle="1" w:styleId="Charf2">
    <w:name w:val="正文正式用 Char"/>
    <w:link w:val="aff5"/>
    <w:rPr>
      <w:rFonts w:ascii="Times New Roman" w:hAnsi="Times New Roman"/>
      <w:color w:val="000000"/>
      <w:kern w:val="2"/>
      <w:sz w:val="24"/>
      <w:szCs w:val="24"/>
    </w:rPr>
  </w:style>
  <w:style w:type="character" w:customStyle="1" w:styleId="Charf3">
    <w:name w:val="纯文本 Char"/>
    <w:link w:val="aff6"/>
    <w:rPr>
      <w:rFonts w:ascii="宋体" w:hAnsi="Courier New" w:cs="Courier New"/>
      <w:kern w:val="2"/>
      <w:sz w:val="21"/>
      <w:szCs w:val="21"/>
    </w:rPr>
  </w:style>
  <w:style w:type="character" w:customStyle="1" w:styleId="fontstyle21">
    <w:name w:val="fontstyle21"/>
    <w:qFormat/>
    <w:rPr>
      <w:rFonts w:ascii="TimesNewRomanPSMT" w:eastAsia="TimesNewRomanPSMT" w:hint="eastAsia"/>
      <w:color w:val="000000"/>
      <w:sz w:val="24"/>
      <w:szCs w:val="24"/>
    </w:rPr>
  </w:style>
  <w:style w:type="character" w:customStyle="1" w:styleId="3Char1">
    <w:name w:val="标题 3 Char1"/>
    <w:aliases w:val="标题 3 Char Char,小节标题 Char,标题 一 Char,头 Char,小标题 Char,章节3 Char,H3 Char,l3 Char"/>
    <w:rPr>
      <w:rFonts w:ascii="仿宋_GB2312" w:eastAsia="仿宋_GB2312" w:hint="eastAsia"/>
      <w:b/>
      <w:bCs/>
      <w:kern w:val="2"/>
      <w:sz w:val="24"/>
      <w:lang w:val="en-US" w:eastAsia="zh-CN" w:bidi="ar-SA"/>
    </w:rPr>
  </w:style>
  <w:style w:type="character" w:customStyle="1" w:styleId="3Char2">
    <w:name w:val="正文文本 3 Char"/>
    <w:link w:val="32"/>
    <w:semiHidden/>
    <w:rPr>
      <w:rFonts w:ascii="宋体" w:eastAsia="仿宋_GB2312" w:hAnsi="Times New Roman"/>
      <w:color w:val="000000"/>
      <w:kern w:val="2"/>
      <w:sz w:val="24"/>
    </w:rPr>
  </w:style>
  <w:style w:type="character" w:customStyle="1" w:styleId="Charf4">
    <w:name w:val="引用 Char"/>
    <w:link w:val="aff7"/>
    <w:rPr>
      <w:rFonts w:ascii="Arial" w:hAnsi="Arial"/>
      <w:i/>
      <w:iCs/>
      <w:color w:val="000000"/>
      <w:kern w:val="2"/>
      <w:sz w:val="24"/>
      <w:szCs w:val="22"/>
    </w:rPr>
  </w:style>
  <w:style w:type="character" w:customStyle="1" w:styleId="style21">
    <w:name w:val="style21"/>
    <w:rPr>
      <w:color w:val="014878"/>
    </w:rPr>
  </w:style>
  <w:style w:type="paragraph" w:customStyle="1" w:styleId="10">
    <w:name w:val="表头1"/>
    <w:basedOn w:val="a"/>
    <w:next w:val="a"/>
    <w:pPr>
      <w:tabs>
        <w:tab w:val="left" w:pos="605"/>
      </w:tabs>
      <w:adjustRightInd w:val="0"/>
      <w:snapToGrid w:val="0"/>
      <w:jc w:val="center"/>
    </w:pPr>
    <w:rPr>
      <w:rFonts w:eastAsia="黑体"/>
      <w:kern w:val="0"/>
      <w:szCs w:val="28"/>
    </w:rPr>
  </w:style>
  <w:style w:type="paragraph" w:styleId="af4">
    <w:name w:val="Body Text"/>
    <w:basedOn w:val="a"/>
    <w:link w:val="Char7"/>
    <w:unhideWhenUsed/>
    <w:pPr>
      <w:spacing w:after="120"/>
    </w:pPr>
  </w:style>
  <w:style w:type="paragraph" w:styleId="90">
    <w:name w:val="toc 9"/>
    <w:basedOn w:val="a"/>
    <w:next w:val="a"/>
    <w:pPr>
      <w:spacing w:line="240" w:lineRule="auto"/>
      <w:ind w:leftChars="1600" w:left="3360" w:firstLineChars="0" w:firstLine="0"/>
    </w:pPr>
    <w:rPr>
      <w:rFonts w:ascii="Calibri" w:hAnsi="Calibri"/>
      <w:sz w:val="21"/>
    </w:rPr>
  </w:style>
  <w:style w:type="paragraph" w:styleId="af1">
    <w:name w:val="Balloon Text"/>
    <w:basedOn w:val="a"/>
    <w:link w:val="Char5"/>
    <w:pPr>
      <w:spacing w:line="240" w:lineRule="auto"/>
    </w:pPr>
    <w:rPr>
      <w:sz w:val="18"/>
      <w:szCs w:val="18"/>
    </w:rPr>
  </w:style>
  <w:style w:type="paragraph" w:styleId="aff8">
    <w:name w:val="List Bullet"/>
    <w:basedOn w:val="a"/>
    <w:unhideWhenUsed/>
    <w:pPr>
      <w:ind w:left="840" w:hanging="360"/>
      <w:contextualSpacing/>
    </w:pPr>
  </w:style>
  <w:style w:type="paragraph" w:styleId="aff9">
    <w:name w:val="List"/>
    <w:basedOn w:val="a"/>
    <w:unhideWhenUsed/>
    <w:pPr>
      <w:spacing w:line="240" w:lineRule="auto"/>
      <w:ind w:left="200" w:hangingChars="200" w:hanging="200"/>
    </w:pPr>
    <w:rPr>
      <w:rFonts w:ascii="Times New Roman" w:eastAsia="仿宋_GB2312" w:hAnsi="Times New Roman"/>
      <w:sz w:val="28"/>
      <w:szCs w:val="20"/>
    </w:rPr>
  </w:style>
  <w:style w:type="paragraph" w:styleId="70">
    <w:name w:val="toc 7"/>
    <w:basedOn w:val="a"/>
    <w:next w:val="a"/>
    <w:pPr>
      <w:spacing w:line="240" w:lineRule="auto"/>
      <w:ind w:leftChars="1200" w:left="2520" w:firstLineChars="0" w:firstLine="0"/>
    </w:pPr>
    <w:rPr>
      <w:rFonts w:ascii="Calibri" w:hAnsi="Calibri"/>
      <w:sz w:val="21"/>
    </w:rPr>
  </w:style>
  <w:style w:type="paragraph" w:customStyle="1" w:styleId="40">
    <w:name w:val="样式4"/>
    <w:basedOn w:val="4"/>
    <w:next w:val="af7"/>
    <w:pPr>
      <w:tabs>
        <w:tab w:val="left" w:pos="576"/>
        <w:tab w:val="left" w:pos="720"/>
      </w:tabs>
      <w:spacing w:before="0" w:afterLines="50"/>
      <w:ind w:left="576" w:hanging="576"/>
      <w:jc w:val="center"/>
    </w:pPr>
    <w:rPr>
      <w:rFonts w:ascii="Times New Roman" w:eastAsia="楷体_GB2312" w:hAnsi="Times New Roman" w:cs="Arial"/>
      <w:b/>
    </w:rPr>
  </w:style>
  <w:style w:type="paragraph" w:styleId="12">
    <w:name w:val="toc 1"/>
    <w:basedOn w:val="a"/>
    <w:next w:val="a"/>
    <w:uiPriority w:val="39"/>
    <w:pPr>
      <w:spacing w:line="480" w:lineRule="auto"/>
      <w:ind w:firstLineChars="0" w:firstLine="0"/>
    </w:pPr>
    <w:rPr>
      <w:rFonts w:eastAsia="黑体"/>
    </w:rPr>
  </w:style>
  <w:style w:type="paragraph" w:styleId="affa">
    <w:name w:val="List Number"/>
    <w:basedOn w:val="a"/>
    <w:unhideWhenUsed/>
    <w:pPr>
      <w:tabs>
        <w:tab w:val="left" w:pos="360"/>
        <w:tab w:val="left" w:pos="1211"/>
      </w:tabs>
      <w:spacing w:line="240" w:lineRule="auto"/>
      <w:ind w:left="1211" w:hanging="360"/>
    </w:pPr>
    <w:rPr>
      <w:rFonts w:ascii="Times New Roman" w:hAnsi="Times New Roman"/>
      <w:sz w:val="21"/>
      <w:szCs w:val="24"/>
    </w:rPr>
  </w:style>
  <w:style w:type="paragraph" w:customStyle="1" w:styleId="100">
    <w:name w:val="样式10"/>
    <w:basedOn w:val="50"/>
    <w:pPr>
      <w:tabs>
        <w:tab w:val="clear" w:pos="567"/>
      </w:tabs>
    </w:pPr>
  </w:style>
  <w:style w:type="paragraph" w:customStyle="1" w:styleId="23">
    <w:name w:val="样式 正文缩进正文（首行缩进两字） + 首行缩进:  2 字符"/>
    <w:basedOn w:val="af7"/>
    <w:pPr>
      <w:tabs>
        <w:tab w:val="left" w:pos="2835"/>
      </w:tabs>
      <w:spacing w:line="360" w:lineRule="auto"/>
      <w:ind w:firstLineChars="200" w:firstLine="560"/>
    </w:pPr>
    <w:rPr>
      <w:rFonts w:ascii="Times New Roman" w:eastAsia="仿宋_GB2312" w:hAnsi="Times New Roman"/>
      <w:bCs/>
      <w:spacing w:val="0"/>
      <w:sz w:val="28"/>
    </w:rPr>
  </w:style>
  <w:style w:type="paragraph" w:styleId="af8">
    <w:name w:val="Date"/>
    <w:basedOn w:val="a"/>
    <w:next w:val="a"/>
    <w:link w:val="Chara"/>
    <w:pPr>
      <w:ind w:leftChars="2500" w:left="100"/>
    </w:pPr>
  </w:style>
  <w:style w:type="paragraph" w:styleId="a5">
    <w:name w:val="Body Text Indent"/>
    <w:basedOn w:val="a"/>
    <w:link w:val="Char"/>
    <w:unhideWhenUsed/>
    <w:qFormat/>
    <w:pPr>
      <w:spacing w:line="240" w:lineRule="auto"/>
      <w:ind w:firstLineChars="0" w:firstLine="324"/>
    </w:pPr>
    <w:rPr>
      <w:rFonts w:ascii="Times New Roman" w:hAnsi="Times New Roman"/>
      <w:sz w:val="21"/>
      <w:szCs w:val="20"/>
    </w:rPr>
  </w:style>
  <w:style w:type="paragraph" w:styleId="ad">
    <w:name w:val="Document Map"/>
    <w:basedOn w:val="a"/>
    <w:link w:val="Char0"/>
    <w:unhideWhenUsed/>
    <w:pPr>
      <w:shd w:val="clear" w:color="auto" w:fill="000080"/>
      <w:spacing w:line="240" w:lineRule="auto"/>
      <w:ind w:firstLineChars="0" w:firstLine="0"/>
    </w:pPr>
    <w:rPr>
      <w:rFonts w:ascii="Times New Roman" w:eastAsia="仿宋_GB2312" w:hAnsi="Times New Roman"/>
      <w:sz w:val="28"/>
      <w:szCs w:val="20"/>
    </w:rPr>
  </w:style>
  <w:style w:type="paragraph" w:styleId="af9">
    <w:name w:val="annotation subject"/>
    <w:basedOn w:val="afc"/>
    <w:next w:val="afc"/>
    <w:link w:val="Charb"/>
    <w:semiHidden/>
    <w:rPr>
      <w:b/>
      <w:bCs/>
    </w:rPr>
  </w:style>
  <w:style w:type="paragraph" w:styleId="af3">
    <w:name w:val="caption"/>
    <w:basedOn w:val="a"/>
    <w:next w:val="a"/>
    <w:link w:val="Char6"/>
    <w:qFormat/>
    <w:pPr>
      <w:spacing w:before="152" w:after="160" w:line="240" w:lineRule="auto"/>
      <w:ind w:firstLineChars="0" w:firstLine="0"/>
    </w:pPr>
    <w:rPr>
      <w:rFonts w:eastAsia="黑体"/>
      <w:sz w:val="20"/>
      <w:szCs w:val="20"/>
    </w:rPr>
  </w:style>
  <w:style w:type="paragraph" w:styleId="af7">
    <w:name w:val="Normal Indent"/>
    <w:basedOn w:val="a"/>
    <w:link w:val="Char9"/>
    <w:qFormat/>
    <w:pPr>
      <w:spacing w:line="264" w:lineRule="auto"/>
      <w:ind w:firstLineChars="0" w:firstLine="476"/>
    </w:pPr>
    <w:rPr>
      <w:spacing w:val="10"/>
      <w:szCs w:val="20"/>
    </w:rPr>
  </w:style>
  <w:style w:type="paragraph" w:styleId="afc">
    <w:name w:val="annotation text"/>
    <w:basedOn w:val="a"/>
    <w:link w:val="Chare"/>
    <w:qFormat/>
    <w:pPr>
      <w:jc w:val="left"/>
    </w:pPr>
  </w:style>
  <w:style w:type="paragraph" w:styleId="51">
    <w:name w:val="toc 5"/>
    <w:basedOn w:val="a"/>
    <w:next w:val="a"/>
    <w:pPr>
      <w:spacing w:line="240" w:lineRule="auto"/>
      <w:ind w:leftChars="800" w:left="1680" w:firstLineChars="0" w:firstLine="0"/>
    </w:pPr>
    <w:rPr>
      <w:rFonts w:ascii="Calibri" w:hAnsi="Calibri"/>
      <w:sz w:val="21"/>
    </w:rPr>
  </w:style>
  <w:style w:type="paragraph" w:styleId="32">
    <w:name w:val="Body Text 3"/>
    <w:basedOn w:val="a"/>
    <w:link w:val="3Char2"/>
    <w:unhideWhenUsed/>
    <w:pPr>
      <w:spacing w:line="160" w:lineRule="atLeast"/>
      <w:ind w:firstLineChars="0" w:firstLine="0"/>
      <w:jc w:val="center"/>
    </w:pPr>
    <w:rPr>
      <w:rFonts w:ascii="宋体" w:eastAsia="仿宋_GB2312" w:hAnsi="Times New Roman"/>
      <w:color w:val="000000"/>
      <w:szCs w:val="20"/>
    </w:rPr>
  </w:style>
  <w:style w:type="paragraph" w:styleId="a0">
    <w:name w:val="Body Text First Indent"/>
    <w:basedOn w:val="af4"/>
    <w:link w:val="Char2"/>
    <w:pPr>
      <w:spacing w:line="240" w:lineRule="auto"/>
      <w:ind w:firstLineChars="100" w:firstLine="420"/>
    </w:pPr>
    <w:rPr>
      <w:rFonts w:ascii="Times New Roman" w:eastAsia="仿宋_GB2312" w:hAnsi="Times New Roman"/>
      <w:sz w:val="28"/>
    </w:rPr>
  </w:style>
  <w:style w:type="paragraph" w:styleId="22">
    <w:name w:val="Body Text Indent 2"/>
    <w:basedOn w:val="a"/>
    <w:link w:val="2Char2"/>
    <w:unhideWhenUsed/>
    <w:pPr>
      <w:spacing w:line="240" w:lineRule="auto"/>
      <w:ind w:firstLineChars="0" w:firstLine="420"/>
    </w:pPr>
    <w:rPr>
      <w:rFonts w:ascii="宋体" w:hAnsi="宋体"/>
      <w:szCs w:val="20"/>
    </w:rPr>
  </w:style>
  <w:style w:type="paragraph" w:styleId="aff6">
    <w:name w:val="Plain Text"/>
    <w:basedOn w:val="a"/>
    <w:link w:val="Charf3"/>
    <w:qFormat/>
    <w:pPr>
      <w:spacing w:line="240" w:lineRule="auto"/>
      <w:ind w:firstLineChars="0" w:firstLine="0"/>
    </w:pPr>
    <w:rPr>
      <w:rFonts w:ascii="宋体" w:hAnsi="Courier New"/>
      <w:sz w:val="21"/>
      <w:szCs w:val="21"/>
    </w:rPr>
  </w:style>
  <w:style w:type="paragraph" w:customStyle="1" w:styleId="affb">
    <w:name w:val="图标题"/>
    <w:basedOn w:val="a"/>
    <w:pPr>
      <w:spacing w:line="300" w:lineRule="exact"/>
    </w:pPr>
    <w:rPr>
      <w:rFonts w:ascii="仿宋_GB2312" w:eastAsia="仿宋_GB2312" w:hAnsi="Times New Roman"/>
      <w:b/>
      <w:bCs/>
      <w:szCs w:val="24"/>
    </w:rPr>
  </w:style>
  <w:style w:type="paragraph" w:styleId="33">
    <w:name w:val="toc 3"/>
    <w:basedOn w:val="a"/>
    <w:next w:val="a"/>
    <w:pPr>
      <w:spacing w:line="240" w:lineRule="auto"/>
      <w:ind w:leftChars="400" w:left="840" w:firstLineChars="0" w:firstLine="0"/>
    </w:pPr>
    <w:rPr>
      <w:rFonts w:ascii="Calibri" w:hAnsi="Calibri"/>
      <w:sz w:val="21"/>
    </w:rPr>
  </w:style>
  <w:style w:type="paragraph" w:customStyle="1" w:styleId="24">
    <w:name w:val="标题2"/>
    <w:basedOn w:val="2"/>
    <w:next w:val="af7"/>
    <w:pPr>
      <w:tabs>
        <w:tab w:val="left" w:pos="576"/>
      </w:tabs>
      <w:spacing w:before="0" w:after="0"/>
      <w:ind w:left="576" w:hanging="576"/>
      <w:jc w:val="both"/>
    </w:pPr>
    <w:rPr>
      <w:rFonts w:eastAsia="宋体"/>
      <w:b/>
      <w:sz w:val="24"/>
    </w:rPr>
  </w:style>
  <w:style w:type="paragraph" w:styleId="80">
    <w:name w:val="toc 8"/>
    <w:basedOn w:val="a"/>
    <w:next w:val="a"/>
    <w:pPr>
      <w:spacing w:line="240" w:lineRule="auto"/>
      <w:ind w:leftChars="1400" w:left="2940" w:firstLineChars="0" w:firstLine="0"/>
    </w:pPr>
    <w:rPr>
      <w:rFonts w:ascii="Calibri" w:hAnsi="Calibri"/>
      <w:sz w:val="21"/>
    </w:rPr>
  </w:style>
  <w:style w:type="paragraph" w:customStyle="1" w:styleId="affc">
    <w:name w:val="三级标题"/>
    <w:pPr>
      <w:spacing w:before="300" w:line="460" w:lineRule="exact"/>
      <w:outlineLvl w:val="2"/>
    </w:pPr>
    <w:rPr>
      <w:rFonts w:ascii="Times New Roman" w:hAnsi="Times New Roman"/>
      <w:b/>
      <w:bCs/>
      <w:kern w:val="2"/>
      <w:sz w:val="24"/>
      <w:szCs w:val="24"/>
    </w:rPr>
  </w:style>
  <w:style w:type="paragraph" w:styleId="aff3">
    <w:name w:val="footer"/>
    <w:basedOn w:val="a"/>
    <w:link w:val="Charf1"/>
    <w:qFormat/>
    <w:pPr>
      <w:tabs>
        <w:tab w:val="center" w:pos="4153"/>
        <w:tab w:val="right" w:pos="8306"/>
      </w:tabs>
      <w:snapToGrid w:val="0"/>
      <w:spacing w:line="240" w:lineRule="auto"/>
      <w:jc w:val="left"/>
    </w:pPr>
    <w:rPr>
      <w:sz w:val="18"/>
      <w:szCs w:val="18"/>
    </w:rPr>
  </w:style>
  <w:style w:type="paragraph" w:customStyle="1" w:styleId="affd">
    <w:name w:val="样式 左"/>
    <w:basedOn w:val="a"/>
    <w:pPr>
      <w:ind w:firstLine="480"/>
      <w:jc w:val="left"/>
    </w:pPr>
    <w:rPr>
      <w:rFonts w:cs="宋体"/>
      <w:szCs w:val="20"/>
    </w:rPr>
  </w:style>
  <w:style w:type="paragraph" w:styleId="af0">
    <w:name w:val="header"/>
    <w:basedOn w:val="a"/>
    <w:link w:val="Char4"/>
    <w:qFormat/>
    <w:pPr>
      <w:pBdr>
        <w:bottom w:val="single" w:sz="6" w:space="1" w:color="auto"/>
      </w:pBdr>
      <w:tabs>
        <w:tab w:val="center" w:pos="4153"/>
        <w:tab w:val="right" w:pos="8306"/>
      </w:tabs>
      <w:snapToGrid w:val="0"/>
      <w:spacing w:line="240" w:lineRule="auto"/>
      <w:jc w:val="center"/>
    </w:pPr>
    <w:rPr>
      <w:sz w:val="18"/>
      <w:szCs w:val="18"/>
    </w:rPr>
  </w:style>
  <w:style w:type="paragraph" w:customStyle="1" w:styleId="affe">
    <w:name w:val="编号正文"/>
    <w:basedOn w:val="a"/>
    <w:pPr>
      <w:tabs>
        <w:tab w:val="left" w:pos="425"/>
      </w:tabs>
      <w:spacing w:line="240" w:lineRule="auto"/>
      <w:ind w:left="425" w:firstLineChars="0" w:hanging="425"/>
    </w:pPr>
    <w:rPr>
      <w:rFonts w:ascii="Times New Roman" w:eastAsia="仿宋_GB2312" w:hAnsi="Times New Roman"/>
      <w:sz w:val="28"/>
      <w:szCs w:val="20"/>
    </w:rPr>
  </w:style>
  <w:style w:type="paragraph" w:customStyle="1" w:styleId="afff">
    <w:name w:val="居中正文"/>
    <w:basedOn w:val="a0"/>
    <w:pPr>
      <w:adjustRightInd w:val="0"/>
      <w:spacing w:before="120" w:after="0" w:line="360" w:lineRule="auto"/>
      <w:ind w:firstLineChars="0" w:firstLine="0"/>
      <w:jc w:val="center"/>
    </w:pPr>
    <w:rPr>
      <w:rFonts w:ascii="宋体" w:eastAsia="宋体" w:hint="eastAsia"/>
      <w:kern w:val="28"/>
      <w:sz w:val="24"/>
    </w:rPr>
  </w:style>
  <w:style w:type="paragraph" w:styleId="41">
    <w:name w:val="toc 4"/>
    <w:basedOn w:val="a"/>
    <w:next w:val="a"/>
    <w:pPr>
      <w:spacing w:line="240" w:lineRule="auto"/>
      <w:ind w:leftChars="600" w:left="1260" w:firstLineChars="0" w:firstLine="0"/>
    </w:pPr>
    <w:rPr>
      <w:rFonts w:ascii="Calibri" w:hAnsi="Calibri"/>
      <w:sz w:val="21"/>
    </w:rPr>
  </w:style>
  <w:style w:type="paragraph" w:styleId="ae">
    <w:name w:val="Subtitle"/>
    <w:basedOn w:val="a"/>
    <w:next w:val="a"/>
    <w:link w:val="Char1"/>
    <w:qFormat/>
    <w:pPr>
      <w:spacing w:line="500" w:lineRule="exact"/>
      <w:jc w:val="left"/>
      <w:outlineLvl w:val="1"/>
    </w:pPr>
    <w:rPr>
      <w:rFonts w:ascii="Times New Roman" w:eastAsia="仿宋_GB2312" w:hAnsi="Times New Roman"/>
      <w:b/>
      <w:bCs/>
      <w:kern w:val="28"/>
      <w:sz w:val="28"/>
      <w:szCs w:val="32"/>
    </w:rPr>
  </w:style>
  <w:style w:type="paragraph" w:customStyle="1" w:styleId="afff0">
    <w:name w:val="图名"/>
    <w:basedOn w:val="a"/>
    <w:pPr>
      <w:spacing w:line="240" w:lineRule="auto"/>
      <w:ind w:firstLineChars="0" w:firstLine="0"/>
      <w:jc w:val="center"/>
    </w:pPr>
    <w:rPr>
      <w:rFonts w:ascii="黑体" w:eastAsia="黑体" w:hAnsi="Times New Roman"/>
      <w:kern w:val="0"/>
      <w:szCs w:val="20"/>
    </w:rPr>
  </w:style>
  <w:style w:type="paragraph" w:styleId="af6">
    <w:name w:val="footnote text"/>
    <w:basedOn w:val="a"/>
    <w:link w:val="Char8"/>
    <w:unhideWhenUsed/>
    <w:pPr>
      <w:snapToGrid w:val="0"/>
      <w:spacing w:line="240" w:lineRule="auto"/>
      <w:ind w:firstLineChars="0" w:firstLine="0"/>
      <w:jc w:val="left"/>
    </w:pPr>
    <w:rPr>
      <w:rFonts w:ascii="Times New Roman" w:eastAsia="仿宋_GB2312" w:hAnsi="Times New Roman"/>
      <w:sz w:val="18"/>
      <w:szCs w:val="20"/>
    </w:rPr>
  </w:style>
  <w:style w:type="paragraph" w:styleId="60">
    <w:name w:val="toc 6"/>
    <w:basedOn w:val="a"/>
    <w:next w:val="a"/>
    <w:pPr>
      <w:spacing w:line="240" w:lineRule="auto"/>
      <w:ind w:leftChars="1000" w:left="2100" w:firstLineChars="0" w:firstLine="0"/>
    </w:pPr>
    <w:rPr>
      <w:rFonts w:ascii="Calibri" w:hAnsi="Calibri"/>
      <w:sz w:val="21"/>
    </w:rPr>
  </w:style>
  <w:style w:type="paragraph" w:styleId="30">
    <w:name w:val="Body Text Indent 3"/>
    <w:basedOn w:val="a"/>
    <w:link w:val="3Char0"/>
    <w:unhideWhenUsed/>
    <w:pPr>
      <w:spacing w:line="240" w:lineRule="auto"/>
      <w:ind w:firstLine="424"/>
    </w:pPr>
    <w:rPr>
      <w:rFonts w:ascii="宋体" w:hAnsi="宋体"/>
      <w:color w:val="000000"/>
      <w:szCs w:val="20"/>
    </w:rPr>
  </w:style>
  <w:style w:type="paragraph" w:customStyle="1" w:styleId="font8">
    <w:name w:val="font8"/>
    <w:basedOn w:val="a"/>
    <w:pPr>
      <w:widowControl/>
      <w:spacing w:before="100" w:beforeAutospacing="1" w:after="100" w:afterAutospacing="1" w:line="240" w:lineRule="auto"/>
      <w:ind w:firstLineChars="0" w:firstLine="0"/>
      <w:jc w:val="left"/>
    </w:pPr>
    <w:rPr>
      <w:rFonts w:ascii="Times New Roman" w:eastAsia="Arial Unicode MS" w:hAnsi="Times New Roman"/>
      <w:kern w:val="0"/>
      <w:szCs w:val="24"/>
    </w:rPr>
  </w:style>
  <w:style w:type="paragraph" w:styleId="25">
    <w:name w:val="toc 2"/>
    <w:basedOn w:val="a"/>
    <w:next w:val="a"/>
    <w:uiPriority w:val="39"/>
    <w:pPr>
      <w:spacing w:line="240" w:lineRule="auto"/>
      <w:ind w:leftChars="200" w:left="200" w:firstLineChars="0" w:firstLine="0"/>
    </w:pPr>
    <w:rPr>
      <w:sz w:val="21"/>
    </w:rPr>
  </w:style>
  <w:style w:type="paragraph" w:styleId="aff1">
    <w:name w:val="Title"/>
    <w:basedOn w:val="a"/>
    <w:link w:val="Charf0"/>
    <w:qFormat/>
    <w:pPr>
      <w:tabs>
        <w:tab w:val="left" w:pos="720"/>
      </w:tabs>
      <w:spacing w:line="500" w:lineRule="atLeast"/>
      <w:ind w:firstLineChars="0" w:firstLine="0"/>
      <w:jc w:val="center"/>
      <w:outlineLvl w:val="0"/>
    </w:pPr>
    <w:rPr>
      <w:rFonts w:eastAsia="黑体"/>
      <w:sz w:val="36"/>
      <w:szCs w:val="24"/>
    </w:rPr>
  </w:style>
  <w:style w:type="paragraph" w:styleId="20">
    <w:name w:val="Body Text 2"/>
    <w:basedOn w:val="a"/>
    <w:link w:val="2Char0"/>
    <w:unhideWhenUsed/>
    <w:pPr>
      <w:spacing w:line="240" w:lineRule="auto"/>
      <w:ind w:firstLineChars="0" w:firstLine="0"/>
      <w:jc w:val="center"/>
    </w:pPr>
    <w:rPr>
      <w:sz w:val="21"/>
      <w:szCs w:val="20"/>
    </w:rPr>
  </w:style>
  <w:style w:type="paragraph" w:styleId="afff1">
    <w:name w:val="Normal (Web)"/>
    <w:basedOn w:val="a"/>
    <w:unhideWhenUsed/>
    <w:qFormat/>
    <w:pPr>
      <w:widowControl/>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CharChar1CharCharCharCharCharCharCharCharCharCharCharCharCharCharCharCharCharCharCharChar1Char">
    <w:name w:val=" Char Char1 Char Char Char Char Char Char Char Char Char Char Char Char Char Char Char Char Char Char Char Char1 Char"/>
    <w:basedOn w:val="a"/>
    <w:rPr>
      <w:rFonts w:ascii="宋体" w:hAnsi="宋体" w:cs="宋体"/>
      <w:szCs w:val="24"/>
    </w:rPr>
  </w:style>
  <w:style w:type="paragraph" w:customStyle="1" w:styleId="afff2">
    <w:name w:val="表头小四"/>
    <w:basedOn w:val="a"/>
    <w:qFormat/>
    <w:pPr>
      <w:spacing w:beforeLines="50"/>
      <w:jc w:val="center"/>
    </w:pPr>
    <w:rPr>
      <w:rFonts w:ascii="Times New Roman" w:hAnsi="Times New Roman"/>
      <w:b/>
    </w:rPr>
  </w:style>
  <w:style w:type="paragraph" w:customStyle="1" w:styleId="26">
    <w:name w:val="正文2"/>
    <w:basedOn w:val="a"/>
    <w:qFormat/>
    <w:pPr>
      <w:adjustRightInd w:val="0"/>
      <w:snapToGrid w:val="0"/>
      <w:spacing w:line="440" w:lineRule="atLeast"/>
      <w:ind w:firstLineChars="0" w:firstLine="510"/>
    </w:pPr>
    <w:rPr>
      <w:rFonts w:ascii="Times New Roman" w:hAnsi="Times New Roman"/>
      <w:sz w:val="21"/>
      <w:szCs w:val="20"/>
    </w:rPr>
  </w:style>
  <w:style w:type="paragraph" w:customStyle="1" w:styleId="afff3">
    <w:name w:val="新正文"/>
    <w:basedOn w:val="a"/>
    <w:pPr>
      <w:spacing w:before="60" w:line="460" w:lineRule="exact"/>
    </w:pPr>
    <w:rPr>
      <w:rFonts w:ascii="Times New Roman" w:hAnsi="Times New Roman"/>
      <w:szCs w:val="20"/>
    </w:rPr>
  </w:style>
  <w:style w:type="paragraph" w:customStyle="1" w:styleId="aff2">
    <w:name w:val="报告正文"/>
    <w:basedOn w:val="a"/>
    <w:link w:val="Char12"/>
    <w:qFormat/>
    <w:pPr>
      <w:adjustRightInd w:val="0"/>
      <w:snapToGrid w:val="0"/>
    </w:pPr>
    <w:rPr>
      <w:rFonts w:ascii="宋体" w:hAnsi="Calibri"/>
      <w:szCs w:val="20"/>
    </w:rPr>
  </w:style>
  <w:style w:type="paragraph" w:customStyle="1" w:styleId="0012">
    <w:name w:val="样式 正文001 + 首行缩进:  2 字符"/>
    <w:basedOn w:val="a"/>
    <w:pPr>
      <w:spacing w:line="500" w:lineRule="atLeast"/>
      <w:ind w:firstLine="480"/>
    </w:pPr>
    <w:rPr>
      <w:rFonts w:ascii="Times New Roman" w:hAnsi="Times New Roman"/>
      <w:szCs w:val="20"/>
    </w:rPr>
  </w:style>
  <w:style w:type="paragraph" w:customStyle="1" w:styleId="01">
    <w:name w:val="正文01"/>
    <w:basedOn w:val="a"/>
    <w:link w:val="01Char"/>
    <w:pPr>
      <w:spacing w:before="60" w:line="480" w:lineRule="exact"/>
      <w:ind w:firstLineChars="0" w:firstLine="539"/>
    </w:pPr>
    <w:rPr>
      <w:rFonts w:ascii="Times New Roman" w:hAnsi="Times New Roman"/>
      <w:sz w:val="27"/>
      <w:szCs w:val="20"/>
    </w:rPr>
  </w:style>
  <w:style w:type="paragraph" w:customStyle="1" w:styleId="Charf5">
    <w:name w:val=" Char"/>
    <w:basedOn w:val="a"/>
    <w:next w:val="a"/>
    <w:pPr>
      <w:spacing w:line="240" w:lineRule="atLeast"/>
      <w:ind w:left="420" w:firstLineChars="0" w:firstLine="420"/>
      <w:jc w:val="left"/>
    </w:pPr>
    <w:rPr>
      <w:rFonts w:ascii="Times New Roman" w:eastAsia="仿宋_GB2312" w:hAnsi="Times New Roman"/>
      <w:sz w:val="32"/>
      <w:szCs w:val="20"/>
    </w:rPr>
  </w:style>
  <w:style w:type="paragraph" w:customStyle="1" w:styleId="afff4">
    <w:name w:val="表格内标"/>
    <w:basedOn w:val="a"/>
    <w:next w:val="a"/>
    <w:qFormat/>
    <w:pPr>
      <w:keepNext/>
      <w:keepLines/>
      <w:jc w:val="center"/>
    </w:pPr>
    <w:rPr>
      <w:rFonts w:ascii="黑体" w:eastAsia="黑体"/>
      <w:sz w:val="20"/>
    </w:rPr>
  </w:style>
  <w:style w:type="paragraph" w:customStyle="1" w:styleId="50">
    <w:name w:val="样式5"/>
    <w:basedOn w:val="24"/>
    <w:pPr>
      <w:tabs>
        <w:tab w:val="clear" w:pos="576"/>
        <w:tab w:val="left" w:pos="567"/>
      </w:tabs>
      <w:ind w:left="567" w:hanging="567"/>
    </w:pPr>
    <w:rPr>
      <w:sz w:val="28"/>
    </w:rPr>
  </w:style>
  <w:style w:type="paragraph" w:customStyle="1" w:styleId="CharCharCharCharCharCharCharCharCharChar">
    <w:name w:val="Char Char Char Char Char Char Char Char Char Char"/>
    <w:basedOn w:val="a"/>
    <w:rPr>
      <w:rFonts w:ascii="宋体" w:hAnsi="宋体" w:cs="宋体"/>
      <w:szCs w:val="24"/>
    </w:rPr>
  </w:style>
  <w:style w:type="paragraph" w:customStyle="1" w:styleId="afff5">
    <w:name w:val="五号表格"/>
    <w:basedOn w:val="a"/>
    <w:pPr>
      <w:ind w:firstLineChars="0" w:firstLine="0"/>
      <w:jc w:val="center"/>
    </w:pPr>
    <w:rPr>
      <w:rFonts w:ascii="Times New Roman" w:eastAsia="仿宋_GB2312" w:hAnsi="Times New Roman"/>
      <w:sz w:val="28"/>
      <w:szCs w:val="20"/>
    </w:rPr>
  </w:style>
  <w:style w:type="paragraph" w:customStyle="1" w:styleId="13">
    <w:name w:val="1"/>
    <w:basedOn w:val="a"/>
    <w:next w:val="a5"/>
    <w:pPr>
      <w:ind w:firstLine="480"/>
    </w:pPr>
    <w:rPr>
      <w:rFonts w:ascii="仿宋_GB2312" w:eastAsia="仿宋_GB2312" w:hAnsi="Times New Roman"/>
      <w:szCs w:val="24"/>
    </w:rPr>
  </w:style>
  <w:style w:type="paragraph" w:customStyle="1" w:styleId="afb">
    <w:name w:val="蘑菇段落"/>
    <w:basedOn w:val="a"/>
    <w:link w:val="Chard"/>
    <w:pPr>
      <w:autoSpaceDE w:val="0"/>
      <w:autoSpaceDN w:val="0"/>
      <w:adjustRightInd w:val="0"/>
      <w:snapToGrid w:val="0"/>
    </w:pPr>
    <w:rPr>
      <w:rFonts w:ascii="宋体" w:hAnsi="宋体"/>
      <w:kern w:val="0"/>
      <w:szCs w:val="24"/>
    </w:rPr>
  </w:style>
  <w:style w:type="paragraph" w:customStyle="1" w:styleId="z">
    <w:name w:val="z正文"/>
    <w:basedOn w:val="a5"/>
    <w:semiHidden/>
    <w:pPr>
      <w:autoSpaceDE w:val="0"/>
      <w:autoSpaceDN w:val="0"/>
      <w:adjustRightInd w:val="0"/>
      <w:snapToGrid w:val="0"/>
      <w:spacing w:line="360" w:lineRule="auto"/>
      <w:ind w:firstLineChars="200" w:firstLine="200"/>
      <w:textAlignment w:val="baseline"/>
    </w:pPr>
    <w:rPr>
      <w:kern w:val="0"/>
      <w:sz w:val="24"/>
    </w:rPr>
  </w:style>
  <w:style w:type="paragraph" w:customStyle="1" w:styleId="xl22">
    <w:name w:val="xl22"/>
    <w:basedOn w:val="a"/>
    <w:qFormat/>
    <w:pPr>
      <w:widowControl/>
      <w:spacing w:before="100" w:beforeAutospacing="1" w:after="100" w:afterAutospacing="1" w:line="240" w:lineRule="auto"/>
      <w:ind w:firstLineChars="0" w:firstLine="0"/>
      <w:jc w:val="left"/>
    </w:pPr>
    <w:rPr>
      <w:rFonts w:ascii="Times New Roman" w:eastAsia="Arial Unicode MS" w:hAnsi="Times New Roman"/>
      <w:kern w:val="0"/>
      <w:szCs w:val="24"/>
    </w:rPr>
  </w:style>
  <w:style w:type="paragraph" w:customStyle="1" w:styleId="CharChar1">
    <w:name w:val="Char Char1"/>
    <w:basedOn w:val="a"/>
    <w:pPr>
      <w:spacing w:line="240" w:lineRule="auto"/>
      <w:ind w:firstLineChars="0" w:firstLine="0"/>
    </w:pPr>
    <w:rPr>
      <w:rFonts w:ascii="Times New Roman" w:hAnsi="Times New Roman"/>
      <w:sz w:val="21"/>
      <w:szCs w:val="24"/>
    </w:rPr>
  </w:style>
  <w:style w:type="paragraph" w:customStyle="1" w:styleId="21">
    <w:name w:val="正文 首行缩进:  2 字符"/>
    <w:basedOn w:val="a"/>
    <w:link w:val="2Char1"/>
    <w:pPr>
      <w:spacing w:line="440" w:lineRule="exact"/>
      <w:ind w:firstLine="480"/>
    </w:pPr>
    <w:rPr>
      <w:rFonts w:ascii="Times New Roman" w:hAnsi="Times New Roman"/>
      <w:szCs w:val="20"/>
    </w:rPr>
  </w:style>
  <w:style w:type="paragraph" w:customStyle="1" w:styleId="table">
    <w:name w:val="table"/>
    <w:basedOn w:val="a"/>
    <w:pPr>
      <w:ind w:firstLineChars="0" w:firstLine="0"/>
      <w:jc w:val="center"/>
    </w:pPr>
    <w:rPr>
      <w:rFonts w:ascii="Times New Roman" w:hAnsi="Times New Roman"/>
      <w:bCs/>
      <w:szCs w:val="24"/>
    </w:rPr>
  </w:style>
  <w:style w:type="paragraph" w:customStyle="1" w:styleId="CharCharCharCharCharCharCharCharCharCharCharCharCharCharCharChar">
    <w:name w:val="Char Char Char Char Char Char Char Char Char Char Char Char Char Char Char Char"/>
    <w:basedOn w:val="a"/>
    <w:next w:val="a"/>
    <w:pPr>
      <w:spacing w:line="240" w:lineRule="auto"/>
      <w:ind w:firstLineChars="0" w:firstLine="0"/>
    </w:pPr>
    <w:rPr>
      <w:rFonts w:ascii="Times New Roman" w:hAnsi="Times New Roman"/>
      <w:sz w:val="21"/>
      <w:szCs w:val="24"/>
    </w:rPr>
  </w:style>
  <w:style w:type="paragraph" w:customStyle="1" w:styleId="14">
    <w:name w:val="样式 标题 1 + 加粗"/>
    <w:basedOn w:val="1"/>
    <w:pPr>
      <w:pageBreakBefore/>
      <w:spacing w:before="360" w:after="240" w:line="576" w:lineRule="auto"/>
      <w:ind w:left="960" w:hanging="360"/>
    </w:pPr>
    <w:rPr>
      <w:rFonts w:ascii="Times New Roman" w:hAnsi="Times New Roman"/>
      <w:b/>
      <w:sz w:val="36"/>
      <w:szCs w:val="20"/>
    </w:rPr>
  </w:style>
  <w:style w:type="paragraph" w:customStyle="1" w:styleId="T">
    <w:name w:val="T表格"/>
    <w:basedOn w:val="a"/>
    <w:next w:val="a"/>
    <w:pPr>
      <w:autoSpaceDE w:val="0"/>
      <w:autoSpaceDN w:val="0"/>
      <w:adjustRightInd w:val="0"/>
      <w:spacing w:line="240" w:lineRule="auto"/>
      <w:ind w:firstLineChars="0" w:firstLine="0"/>
    </w:pPr>
    <w:rPr>
      <w:rFonts w:ascii="宋体" w:eastAsia="仿宋_GB2312" w:hAnsi="Times New Roman"/>
      <w:sz w:val="20"/>
      <w:szCs w:val="20"/>
    </w:rPr>
  </w:style>
  <w:style w:type="paragraph" w:customStyle="1" w:styleId="Charf6">
    <w:name w:val="表格居中 Char"/>
    <w:basedOn w:val="a"/>
    <w:qFormat/>
    <w:pPr>
      <w:spacing w:line="240" w:lineRule="auto"/>
      <w:ind w:firstLineChars="0" w:firstLine="0"/>
      <w:jc w:val="center"/>
    </w:pPr>
    <w:rPr>
      <w:rFonts w:ascii="宋体" w:hAnsi="宋体"/>
      <w:w w:val="90"/>
      <w:kern w:val="0"/>
      <w:szCs w:val="24"/>
    </w:rPr>
  </w:style>
  <w:style w:type="paragraph" w:customStyle="1" w:styleId="afff6">
    <w:name w:val="一级条标题"/>
    <w:basedOn w:val="a"/>
    <w:next w:val="a"/>
    <w:pPr>
      <w:widowControl/>
      <w:tabs>
        <w:tab w:val="left" w:pos="0"/>
        <w:tab w:val="left" w:pos="360"/>
      </w:tabs>
      <w:spacing w:line="240" w:lineRule="auto"/>
      <w:ind w:left="2580" w:firstLineChars="0" w:hanging="420"/>
      <w:outlineLvl w:val="2"/>
    </w:pPr>
    <w:rPr>
      <w:rFonts w:ascii="黑体" w:eastAsia="黑体" w:hAnsi="Times New Roman"/>
      <w:kern w:val="0"/>
      <w:sz w:val="28"/>
      <w:szCs w:val="20"/>
    </w:rPr>
  </w:style>
  <w:style w:type="paragraph" w:customStyle="1" w:styleId="ParaCharCharCharCharCharCharChar">
    <w:name w:val="默认段落字体 Para Char Char Char Char Char Char Char"/>
    <w:basedOn w:val="a"/>
    <w:pPr>
      <w:spacing w:line="480" w:lineRule="exact"/>
      <w:ind w:firstLine="480"/>
      <w:jc w:val="left"/>
    </w:pPr>
    <w:rPr>
      <w:rFonts w:ascii="Times New Roman" w:hAnsi="Times New Roman"/>
      <w:sz w:val="21"/>
      <w:szCs w:val="24"/>
    </w:rPr>
  </w:style>
  <w:style w:type="paragraph" w:customStyle="1" w:styleId="aff">
    <w:name w:val="表格正文"/>
    <w:basedOn w:val="a"/>
    <w:link w:val="Charf"/>
    <w:pPr>
      <w:spacing w:line="360" w:lineRule="exact"/>
      <w:ind w:firstLineChars="0" w:firstLine="0"/>
      <w:jc w:val="center"/>
    </w:pPr>
    <w:rPr>
      <w:rFonts w:ascii="Times New Roman" w:hAnsi="Times New Roman"/>
      <w:color w:val="000000"/>
      <w:kern w:val="0"/>
      <w:sz w:val="21"/>
      <w:szCs w:val="24"/>
    </w:rPr>
  </w:style>
  <w:style w:type="paragraph" w:customStyle="1" w:styleId="52">
    <w:name w:val="表格内文字 小5"/>
    <w:basedOn w:val="a"/>
    <w:next w:val="a"/>
    <w:locked/>
    <w:pPr>
      <w:widowControl/>
      <w:adjustRightInd w:val="0"/>
      <w:snapToGrid w:val="0"/>
      <w:jc w:val="center"/>
    </w:pPr>
    <w:rPr>
      <w:snapToGrid w:val="0"/>
      <w:color w:val="000000"/>
      <w:kern w:val="0"/>
      <w:szCs w:val="21"/>
    </w:rPr>
  </w:style>
  <w:style w:type="paragraph" w:customStyle="1" w:styleId="afff7">
    <w:name w:val="表"/>
    <w:basedOn w:val="3"/>
    <w:pPr>
      <w:tabs>
        <w:tab w:val="left" w:pos="1080"/>
      </w:tabs>
      <w:spacing w:line="412" w:lineRule="auto"/>
      <w:jc w:val="both"/>
    </w:pPr>
    <w:rPr>
      <w:rFonts w:ascii="Times New Roman" w:eastAsia="宋体" w:hAnsi="Times New Roman"/>
      <w:b/>
    </w:rPr>
  </w:style>
  <w:style w:type="paragraph" w:customStyle="1" w:styleId="xl39">
    <w:name w:val="xl39"/>
    <w:basedOn w:val="a"/>
    <w:pPr>
      <w:widowControl/>
      <w:spacing w:before="100" w:beforeAutospacing="1" w:after="100" w:afterAutospacing="1" w:line="240" w:lineRule="auto"/>
      <w:ind w:firstLineChars="0" w:firstLine="0"/>
      <w:jc w:val="left"/>
    </w:pPr>
    <w:rPr>
      <w:rFonts w:ascii="Times New Roman" w:eastAsia="Arial Unicode MS" w:hAnsi="Times New Roman"/>
      <w:kern w:val="0"/>
      <w:szCs w:val="24"/>
    </w:rPr>
  </w:style>
  <w:style w:type="paragraph" w:customStyle="1" w:styleId="ParaCharCharCharChar">
    <w:name w:val="默认段落字体 Para Char Char Char Char"/>
    <w:basedOn w:val="a"/>
    <w:pPr>
      <w:spacing w:line="240" w:lineRule="auto"/>
      <w:ind w:firstLineChars="0" w:firstLine="0"/>
    </w:pPr>
    <w:rPr>
      <w:rFonts w:ascii="Times New Roman" w:hAnsi="Times New Roman"/>
      <w:szCs w:val="24"/>
    </w:rPr>
  </w:style>
  <w:style w:type="paragraph" w:customStyle="1" w:styleId="15">
    <w:name w:val="标题1"/>
    <w:basedOn w:val="1"/>
    <w:next w:val="af7"/>
    <w:pPr>
      <w:pageBreakBefore/>
      <w:tabs>
        <w:tab w:val="left" w:pos="1080"/>
      </w:tabs>
      <w:spacing w:beforeLines="50" w:afterLines="100" w:line="360" w:lineRule="auto"/>
      <w:ind w:left="432" w:hanging="432"/>
    </w:pPr>
    <w:rPr>
      <w:rFonts w:ascii="Times New Roman" w:eastAsia="宋体" w:hAnsi="Times New Roman"/>
      <w:b/>
      <w:sz w:val="32"/>
    </w:rPr>
  </w:style>
  <w:style w:type="paragraph" w:customStyle="1" w:styleId="CharChar1CharCharCharCharCharCharCharCharCharCharCharCharCharCharCharCharCharChar">
    <w:name w:val="Char Char1 Char Char Char Char Char Char Char Char Char Char Char Char Char Char Char Char Char Char"/>
    <w:basedOn w:val="a"/>
    <w:rPr>
      <w:rFonts w:ascii="宋体" w:hAnsi="宋体" w:cs="宋体"/>
      <w:szCs w:val="24"/>
    </w:rPr>
  </w:style>
  <w:style w:type="paragraph" w:customStyle="1" w:styleId="afff8">
    <w:name w:val="正文(首行缩进)"/>
    <w:basedOn w:val="a"/>
    <w:pPr>
      <w:adjustRightInd w:val="0"/>
      <w:snapToGrid w:val="0"/>
    </w:pPr>
    <w:rPr>
      <w:snapToGrid w:val="0"/>
      <w:kern w:val="0"/>
    </w:rPr>
  </w:style>
  <w:style w:type="paragraph" w:customStyle="1" w:styleId="xl29">
    <w:name w:val="xl29"/>
    <w:basedOn w:val="a"/>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Times New Roman" w:hAnsi="Times New Roman"/>
      <w:kern w:val="0"/>
      <w:sz w:val="21"/>
      <w:szCs w:val="21"/>
    </w:rPr>
  </w:style>
  <w:style w:type="paragraph" w:customStyle="1" w:styleId="16">
    <w:name w:val="正文样式1"/>
    <w:basedOn w:val="a"/>
    <w:pPr>
      <w:adjustRightInd w:val="0"/>
      <w:spacing w:beforeLines="10" w:afterLines="10" w:line="312" w:lineRule="auto"/>
      <w:textAlignment w:val="baseline"/>
    </w:pPr>
    <w:rPr>
      <w:snapToGrid w:val="0"/>
      <w:position w:val="-12"/>
      <w:szCs w:val="24"/>
    </w:rPr>
  </w:style>
  <w:style w:type="paragraph" w:customStyle="1" w:styleId="xl30">
    <w:name w:val="xl30"/>
    <w:basedOn w:val="a"/>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Times New Roman" w:eastAsia="Arial Unicode MS" w:hAnsi="Times New Roman"/>
      <w:kern w:val="0"/>
      <w:szCs w:val="24"/>
    </w:rPr>
  </w:style>
  <w:style w:type="paragraph" w:customStyle="1" w:styleId="T0">
    <w:name w:val="T正文"/>
    <w:basedOn w:val="a"/>
    <w:next w:val="a"/>
    <w:pPr>
      <w:autoSpaceDE w:val="0"/>
      <w:autoSpaceDN w:val="0"/>
      <w:adjustRightInd w:val="0"/>
      <w:spacing w:line="240" w:lineRule="auto"/>
      <w:ind w:firstLineChars="0" w:firstLine="0"/>
      <w:jc w:val="left"/>
    </w:pPr>
    <w:rPr>
      <w:rFonts w:ascii="宋体" w:hAnsi="Times New Roman"/>
      <w:kern w:val="0"/>
      <w:szCs w:val="24"/>
    </w:rPr>
  </w:style>
  <w:style w:type="paragraph" w:customStyle="1" w:styleId="11CharCharCharCharChar1CharChar">
    <w:name w:val="样式 标题 1标题章标题 1 Char标题章 Char Char Char Char标题 1 Char Char章标题..."/>
    <w:basedOn w:val="1"/>
    <w:pPr>
      <w:pageBreakBefore/>
      <w:tabs>
        <w:tab w:val="left" w:pos="425"/>
      </w:tabs>
      <w:spacing w:before="240" w:after="240" w:line="360" w:lineRule="auto"/>
      <w:ind w:left="425" w:hanging="425"/>
    </w:pPr>
    <w:rPr>
      <w:rFonts w:ascii="Times New Roman" w:eastAsia="宋体" w:hAnsi="Times New Roman" w:cs="宋体"/>
      <w:b/>
      <w:sz w:val="36"/>
      <w:szCs w:val="20"/>
    </w:rPr>
  </w:style>
  <w:style w:type="paragraph" w:customStyle="1" w:styleId="34">
    <w:name w:val="样式3"/>
    <w:basedOn w:val="af7"/>
    <w:next w:val="a"/>
    <w:pPr>
      <w:spacing w:line="360" w:lineRule="auto"/>
      <w:ind w:firstLine="480"/>
    </w:pPr>
    <w:rPr>
      <w:szCs w:val="32"/>
    </w:rPr>
  </w:style>
  <w:style w:type="paragraph" w:customStyle="1" w:styleId="xl27">
    <w:name w:val="xl27"/>
    <w:basedOn w:val="a"/>
    <w:pPr>
      <w:widowControl/>
      <w:pBdr>
        <w:top w:val="single" w:sz="4" w:space="0" w:color="auto"/>
        <w:bottom w:val="single" w:sz="4" w:space="0" w:color="auto"/>
      </w:pBdr>
      <w:spacing w:before="100" w:beforeAutospacing="1" w:after="100" w:afterAutospacing="1" w:line="240" w:lineRule="auto"/>
      <w:ind w:firstLineChars="0" w:firstLine="0"/>
      <w:jc w:val="left"/>
    </w:pPr>
    <w:rPr>
      <w:rFonts w:ascii="Arial Unicode MS" w:eastAsia="Arial Unicode MS" w:hAnsi="Arial Unicode MS"/>
      <w:kern w:val="0"/>
      <w:szCs w:val="24"/>
    </w:rPr>
  </w:style>
  <w:style w:type="paragraph" w:customStyle="1" w:styleId="pzg">
    <w:name w:val="pzg表格"/>
    <w:pPr>
      <w:spacing w:line="0" w:lineRule="atLeast"/>
    </w:pPr>
    <w:rPr>
      <w:rFonts w:ascii="Times New Roman" w:hAnsi="Times New Roman"/>
      <w:kern w:val="2"/>
      <w:sz w:val="21"/>
      <w:szCs w:val="24"/>
    </w:rPr>
  </w:style>
  <w:style w:type="paragraph" w:customStyle="1" w:styleId="E">
    <w:name w:val="E"/>
    <w:basedOn w:val="a"/>
    <w:link w:val="EChar"/>
    <w:semiHidden/>
    <w:pPr>
      <w:spacing w:line="500" w:lineRule="exact"/>
      <w:ind w:firstLine="499"/>
    </w:pPr>
    <w:rPr>
      <w:rFonts w:ascii="Times New Roman" w:hAnsi="Times New Roman"/>
      <w:szCs w:val="24"/>
    </w:rPr>
  </w:style>
  <w:style w:type="paragraph" w:customStyle="1" w:styleId="17">
    <w:name w:val="标1"/>
    <w:basedOn w:val="a"/>
    <w:pPr>
      <w:spacing w:before="60" w:line="460" w:lineRule="exact"/>
      <w:ind w:firstLineChars="0" w:firstLine="0"/>
      <w:outlineLvl w:val="0"/>
    </w:pPr>
    <w:rPr>
      <w:rFonts w:ascii="Times New Roman" w:hAnsi="Times New Roman"/>
      <w:b/>
      <w:sz w:val="32"/>
      <w:szCs w:val="20"/>
    </w:rPr>
  </w:style>
  <w:style w:type="paragraph" w:styleId="aff7">
    <w:name w:val="Quote"/>
    <w:basedOn w:val="a"/>
    <w:next w:val="a"/>
    <w:link w:val="Charf4"/>
    <w:qFormat/>
    <w:rPr>
      <w:i/>
      <w:iCs/>
      <w:color w:val="000000"/>
    </w:rPr>
  </w:style>
  <w:style w:type="paragraph" w:customStyle="1" w:styleId="S">
    <w:name w:val="正文段落S"/>
    <w:basedOn w:val="a"/>
    <w:pPr>
      <w:ind w:firstLine="420"/>
    </w:pPr>
    <w:rPr>
      <w:rFonts w:ascii="Times New Roman" w:eastAsia="仿宋_GB2312" w:hAnsi="Times New Roman"/>
      <w:snapToGrid w:val="0"/>
      <w:kern w:val="0"/>
      <w:szCs w:val="20"/>
    </w:rPr>
  </w:style>
  <w:style w:type="paragraph" w:customStyle="1" w:styleId="CharCharCharCharCharCharChar">
    <w:name w:val="Char Char Char Char Char Char Char"/>
    <w:basedOn w:val="a"/>
    <w:pPr>
      <w:tabs>
        <w:tab w:val="left" w:pos="432"/>
      </w:tabs>
      <w:spacing w:line="240" w:lineRule="auto"/>
      <w:ind w:left="432" w:firstLineChars="0" w:hanging="432"/>
    </w:pPr>
    <w:rPr>
      <w:rFonts w:ascii="Times New Roman" w:eastAsia="仿宋_GB2312" w:hAnsi="Times New Roman"/>
      <w:sz w:val="28"/>
      <w:szCs w:val="20"/>
    </w:rPr>
  </w:style>
  <w:style w:type="paragraph" w:customStyle="1" w:styleId="001">
    <w:name w:val="正文001"/>
    <w:basedOn w:val="a"/>
    <w:link w:val="001Char"/>
    <w:pPr>
      <w:spacing w:before="60" w:line="420" w:lineRule="exact"/>
      <w:ind w:firstLineChars="0" w:firstLine="482"/>
    </w:pPr>
    <w:rPr>
      <w:rFonts w:ascii="Calibri" w:hAnsi="Calibri"/>
      <w:szCs w:val="20"/>
    </w:rPr>
  </w:style>
  <w:style w:type="paragraph" w:customStyle="1" w:styleId="18">
    <w:name w:val="样式 标题 1 + 黑体 小三"/>
    <w:basedOn w:val="1"/>
    <w:pPr>
      <w:tabs>
        <w:tab w:val="left" w:pos="840"/>
      </w:tabs>
      <w:spacing w:before="100" w:beforeAutospacing="1" w:after="100" w:afterAutospacing="1" w:line="576" w:lineRule="auto"/>
      <w:ind w:left="840" w:hanging="360"/>
      <w:jc w:val="both"/>
    </w:pPr>
    <w:rPr>
      <w:rFonts w:ascii="黑体" w:hAnsi="黑体"/>
      <w:b/>
      <w:sz w:val="30"/>
    </w:rPr>
  </w:style>
  <w:style w:type="paragraph" w:customStyle="1" w:styleId="0010">
    <w:name w:val="表格001"/>
    <w:basedOn w:val="a"/>
    <w:pPr>
      <w:spacing w:line="240" w:lineRule="auto"/>
      <w:ind w:firstLineChars="0" w:firstLine="0"/>
      <w:jc w:val="center"/>
    </w:pPr>
    <w:rPr>
      <w:rFonts w:ascii="Times New Roman" w:hAnsi="Times New Roman"/>
      <w:szCs w:val="20"/>
    </w:rPr>
  </w:style>
  <w:style w:type="paragraph" w:customStyle="1" w:styleId="afff9">
    <w:name w:val="二级标题"/>
    <w:basedOn w:val="a"/>
    <w:pPr>
      <w:spacing w:before="60" w:line="400" w:lineRule="exact"/>
      <w:ind w:firstLineChars="0" w:firstLine="0"/>
      <w:outlineLvl w:val="1"/>
    </w:pPr>
    <w:rPr>
      <w:rFonts w:cs="Arial"/>
      <w:b/>
      <w:sz w:val="28"/>
      <w:szCs w:val="24"/>
    </w:rPr>
  </w:style>
  <w:style w:type="paragraph" w:customStyle="1" w:styleId="61">
    <w:name w:val="样式6"/>
    <w:basedOn w:val="af7"/>
    <w:pPr>
      <w:tabs>
        <w:tab w:val="left" w:pos="1080"/>
      </w:tabs>
      <w:ind w:left="425" w:hanging="425"/>
    </w:pPr>
  </w:style>
  <w:style w:type="paragraph" w:customStyle="1" w:styleId="af">
    <w:name w:val="表文字"/>
    <w:basedOn w:val="a"/>
    <w:link w:val="Char3"/>
    <w:pPr>
      <w:overflowPunct w:val="0"/>
      <w:autoSpaceDE w:val="0"/>
      <w:autoSpaceDN w:val="0"/>
      <w:adjustRightInd w:val="0"/>
      <w:spacing w:line="240" w:lineRule="atLeast"/>
      <w:ind w:firstLineChars="0" w:firstLine="0"/>
      <w:jc w:val="center"/>
      <w:textAlignment w:val="baseline"/>
    </w:pPr>
    <w:rPr>
      <w:rFonts w:ascii="Times New Roman" w:hAnsi="Times New Roman"/>
      <w:kern w:val="0"/>
      <w:szCs w:val="20"/>
    </w:rPr>
  </w:style>
  <w:style w:type="paragraph" w:customStyle="1" w:styleId="CharCharCharCharCharChar2CharCharCharChar">
    <w:name w:val="Char Char Char Char Char Char2 Char Char Char Char"/>
    <w:basedOn w:val="a"/>
    <w:pPr>
      <w:spacing w:line="240" w:lineRule="auto"/>
      <w:ind w:firstLineChars="0" w:firstLine="0"/>
    </w:pPr>
    <w:rPr>
      <w:rFonts w:ascii="Times New Roman" w:hAnsi="Times New Roman"/>
      <w:sz w:val="21"/>
      <w:szCs w:val="24"/>
    </w:rPr>
  </w:style>
  <w:style w:type="paragraph" w:customStyle="1" w:styleId="afffa">
    <w:name w:val="环评样式"/>
    <w:basedOn w:val="1"/>
    <w:next w:val="1"/>
    <w:pPr>
      <w:tabs>
        <w:tab w:val="left" w:pos="896"/>
      </w:tabs>
      <w:spacing w:before="120" w:after="120" w:line="0" w:lineRule="atLeast"/>
      <w:ind w:left="896" w:hanging="420"/>
      <w:jc w:val="both"/>
      <w:outlineLvl w:val="2"/>
    </w:pPr>
    <w:rPr>
      <w:rFonts w:ascii="Times New Roman" w:hAnsi="Times New Roman"/>
      <w:bCs w:val="0"/>
      <w:sz w:val="36"/>
      <w:szCs w:val="20"/>
    </w:rPr>
  </w:style>
  <w:style w:type="paragraph" w:customStyle="1" w:styleId="xl61">
    <w:name w:val="xl61"/>
    <w:basedOn w:val="a"/>
    <w:qFormat/>
    <w:pPr>
      <w:pBdr>
        <w:top w:val="single" w:sz="4" w:space="0" w:color="auto"/>
        <w:left w:val="single" w:sz="12" w:space="0" w:color="auto"/>
        <w:bottom w:val="single" w:sz="12" w:space="0" w:color="auto"/>
        <w:right w:val="single" w:sz="4" w:space="0" w:color="auto"/>
      </w:pBdr>
      <w:spacing w:before="100" w:beforeAutospacing="1" w:after="100" w:afterAutospacing="1" w:line="240" w:lineRule="auto"/>
      <w:ind w:firstLineChars="0" w:firstLine="0"/>
      <w:jc w:val="center"/>
    </w:pPr>
    <w:rPr>
      <w:rFonts w:ascii="宋体" w:eastAsia="仿宋_GB2312" w:hAnsi="宋体"/>
      <w:b/>
      <w:bCs/>
      <w:sz w:val="28"/>
      <w:szCs w:val="20"/>
    </w:rPr>
  </w:style>
  <w:style w:type="paragraph" w:customStyle="1" w:styleId="19">
    <w:name w:val="字元 字元1"/>
    <w:basedOn w:val="a"/>
    <w:rPr>
      <w:rFonts w:ascii="宋体" w:hAnsi="宋体" w:cs="宋体"/>
      <w:szCs w:val="24"/>
    </w:rPr>
  </w:style>
  <w:style w:type="paragraph" w:customStyle="1" w:styleId="130">
    <w:name w:val="样式13"/>
    <w:basedOn w:val="27"/>
    <w:pPr>
      <w:ind w:firstLineChars="200" w:firstLine="480"/>
    </w:pPr>
    <w:rPr>
      <w:rFonts w:eastAsia="宋体"/>
      <w:spacing w:val="0"/>
      <w:szCs w:val="24"/>
    </w:rPr>
  </w:style>
  <w:style w:type="paragraph" w:customStyle="1" w:styleId="27">
    <w:name w:val="样式2"/>
    <w:basedOn w:val="af7"/>
    <w:next w:val="af7"/>
    <w:pPr>
      <w:spacing w:line="360" w:lineRule="auto"/>
      <w:ind w:firstLine="200"/>
    </w:pPr>
    <w:rPr>
      <w:rFonts w:eastAsia="仿宋_GB2312"/>
      <w:szCs w:val="32"/>
    </w:rPr>
  </w:style>
  <w:style w:type="paragraph" w:customStyle="1" w:styleId="afffb">
    <w:name w:val="表格下方正文"/>
    <w:basedOn w:val="a"/>
    <w:pPr>
      <w:spacing w:before="300" w:line="460" w:lineRule="exact"/>
    </w:pPr>
    <w:rPr>
      <w:rFonts w:ascii="Times New Roman" w:hAnsi="Times New Roman"/>
      <w:snapToGrid w:val="0"/>
      <w:kern w:val="0"/>
      <w:szCs w:val="24"/>
    </w:rPr>
  </w:style>
  <w:style w:type="paragraph" w:customStyle="1" w:styleId="CharCharCharCharCharCharCharCharChar">
    <w:name w:val="Char Char Char Char Char Char Char Char Char"/>
    <w:basedOn w:val="a"/>
    <w:rPr>
      <w:rFonts w:ascii="宋体" w:hAnsi="宋体" w:cs="宋体"/>
      <w:szCs w:val="24"/>
    </w:rPr>
  </w:style>
  <w:style w:type="paragraph" w:customStyle="1" w:styleId="afe">
    <w:name w:val="表头"/>
    <w:basedOn w:val="a0"/>
    <w:link w:val="Char11"/>
    <w:pPr>
      <w:widowControl/>
      <w:spacing w:after="0" w:line="360" w:lineRule="auto"/>
    </w:pPr>
    <w:rPr>
      <w:rFonts w:ascii="宋体" w:eastAsia="宋体" w:hAnsi="Courier New"/>
      <w:szCs w:val="20"/>
    </w:rPr>
  </w:style>
  <w:style w:type="paragraph" w:customStyle="1" w:styleId="31">
    <w:name w:val="正文文本3"/>
    <w:basedOn w:val="a"/>
    <w:link w:val="afd"/>
    <w:pPr>
      <w:shd w:val="clear" w:color="auto" w:fill="FFFFFF"/>
      <w:spacing w:line="619" w:lineRule="exact"/>
      <w:ind w:firstLineChars="0" w:firstLine="0"/>
      <w:jc w:val="left"/>
    </w:pPr>
    <w:rPr>
      <w:rFonts w:ascii="MingLiU" w:eastAsia="MingLiU" w:hAnsi="MingLiU"/>
      <w:spacing w:val="2"/>
      <w:kern w:val="0"/>
      <w:sz w:val="25"/>
      <w:szCs w:val="25"/>
    </w:rPr>
  </w:style>
  <w:style w:type="paragraph" w:customStyle="1" w:styleId="28">
    <w:name w:val="表格2"/>
    <w:basedOn w:val="a"/>
    <w:pPr>
      <w:spacing w:line="360" w:lineRule="atLeast"/>
      <w:ind w:firstLineChars="0" w:firstLine="0"/>
      <w:jc w:val="center"/>
    </w:pPr>
    <w:rPr>
      <w:rFonts w:ascii="Times New Roman" w:hAnsi="Times New Roman"/>
      <w:sz w:val="21"/>
      <w:szCs w:val="21"/>
    </w:rPr>
  </w:style>
  <w:style w:type="paragraph" w:customStyle="1" w:styleId="29">
    <w:name w:val="2"/>
    <w:basedOn w:val="a"/>
    <w:next w:val="aff6"/>
    <w:pPr>
      <w:spacing w:line="240" w:lineRule="auto"/>
      <w:ind w:firstLineChars="0" w:firstLine="0"/>
    </w:pPr>
    <w:rPr>
      <w:rFonts w:ascii="宋体" w:hAnsi="Courier New"/>
      <w:sz w:val="21"/>
      <w:szCs w:val="20"/>
    </w:rPr>
  </w:style>
  <w:style w:type="paragraph" w:customStyle="1" w:styleId="1a">
    <w:name w:val="正文1"/>
    <w:basedOn w:val="a"/>
    <w:pPr>
      <w:adjustRightInd w:val="0"/>
      <w:spacing w:after="120" w:line="360" w:lineRule="atLeast"/>
      <w:ind w:firstLineChars="0" w:firstLine="0"/>
      <w:jc w:val="center"/>
      <w:textAlignment w:val="baseline"/>
    </w:pPr>
    <w:rPr>
      <w:rFonts w:ascii="宋体" w:hAnsi="Times New Roman"/>
      <w:kern w:val="0"/>
      <w:szCs w:val="20"/>
    </w:rPr>
  </w:style>
  <w:style w:type="paragraph" w:customStyle="1" w:styleId="2a">
    <w:name w:val="表格文字2"/>
    <w:basedOn w:val="a"/>
    <w:qFormat/>
    <w:pPr>
      <w:keepNext/>
      <w:keepLines/>
      <w:tabs>
        <w:tab w:val="left" w:pos="0"/>
        <w:tab w:val="left" w:pos="277"/>
        <w:tab w:val="left" w:pos="600"/>
        <w:tab w:val="left" w:pos="780"/>
        <w:tab w:val="left" w:pos="2517"/>
      </w:tabs>
      <w:autoSpaceDE w:val="0"/>
      <w:autoSpaceDN w:val="0"/>
      <w:adjustRightInd w:val="0"/>
      <w:spacing w:before="60" w:line="240" w:lineRule="auto"/>
      <w:ind w:firstLineChars="0" w:firstLine="0"/>
      <w:jc w:val="center"/>
      <w:textAlignment w:val="baseline"/>
    </w:pPr>
    <w:rPr>
      <w:rFonts w:ascii="宋体" w:hAnsi="Times New Roman"/>
      <w:sz w:val="21"/>
      <w:szCs w:val="24"/>
    </w:rPr>
  </w:style>
  <w:style w:type="paragraph" w:customStyle="1" w:styleId="35">
    <w:name w:val="3级标题"/>
    <w:basedOn w:val="a"/>
    <w:pPr>
      <w:spacing w:before="120" w:line="460" w:lineRule="exact"/>
      <w:ind w:firstLineChars="0" w:firstLine="0"/>
      <w:outlineLvl w:val="2"/>
    </w:pPr>
    <w:rPr>
      <w:rFonts w:ascii="Times New Roman" w:hAnsi="Times New Roman"/>
      <w:b/>
      <w:color w:val="000000"/>
      <w:szCs w:val="24"/>
    </w:rPr>
  </w:style>
  <w:style w:type="paragraph" w:customStyle="1" w:styleId="afffc">
    <w:name w:val="简单回函地址"/>
    <w:basedOn w:val="a"/>
    <w:pPr>
      <w:spacing w:line="240" w:lineRule="auto"/>
      <w:ind w:firstLineChars="0" w:firstLine="0"/>
    </w:pPr>
    <w:rPr>
      <w:rFonts w:ascii="Times New Roman" w:hAnsi="Times New Roman"/>
      <w:sz w:val="21"/>
      <w:szCs w:val="20"/>
    </w:rPr>
  </w:style>
  <w:style w:type="paragraph" w:customStyle="1" w:styleId="afffd">
    <w:name w:val="表格内容"/>
    <w:basedOn w:val="a"/>
    <w:pPr>
      <w:overflowPunct w:val="0"/>
      <w:adjustRightInd w:val="0"/>
      <w:spacing w:before="40" w:after="60" w:line="200" w:lineRule="atLeast"/>
      <w:ind w:firstLineChars="0" w:firstLine="0"/>
    </w:pPr>
    <w:rPr>
      <w:rFonts w:eastAsia="仿宋_GB2312"/>
      <w:sz w:val="28"/>
      <w:szCs w:val="20"/>
    </w:rPr>
  </w:style>
  <w:style w:type="paragraph" w:customStyle="1" w:styleId="afffe">
    <w:name w:val="图件头"/>
    <w:basedOn w:val="a"/>
    <w:pPr>
      <w:ind w:firstLineChars="0" w:firstLine="0"/>
    </w:pPr>
    <w:rPr>
      <w:rFonts w:ascii="Times New Roman" w:hAnsi="Times New Roman"/>
      <w:b/>
      <w:bCs/>
      <w:szCs w:val="24"/>
    </w:rPr>
  </w:style>
  <w:style w:type="paragraph" w:customStyle="1" w:styleId="91">
    <w:name w:val="样式9"/>
    <w:basedOn w:val="a"/>
    <w:pPr>
      <w:ind w:firstLine="480"/>
    </w:pPr>
    <w:rPr>
      <w:rFonts w:cs="Arial"/>
      <w:szCs w:val="24"/>
    </w:rPr>
  </w:style>
  <w:style w:type="paragraph" w:customStyle="1" w:styleId="xl23">
    <w:name w:val="xl23"/>
    <w:basedOn w:val="a"/>
    <w:pPr>
      <w:widowControl/>
      <w:pBdr>
        <w:top w:val="single" w:sz="4" w:space="0" w:color="auto"/>
        <w:left w:val="single" w:sz="4" w:space="0" w:color="auto"/>
      </w:pBdr>
      <w:spacing w:before="100" w:beforeAutospacing="1" w:after="100" w:afterAutospacing="1" w:line="240" w:lineRule="auto"/>
      <w:ind w:firstLineChars="0" w:firstLine="0"/>
      <w:jc w:val="center"/>
    </w:pPr>
    <w:rPr>
      <w:rFonts w:ascii="Times New Roman" w:eastAsia="Arial Unicode MS" w:hAnsi="Times New Roman"/>
      <w:kern w:val="0"/>
      <w:szCs w:val="24"/>
    </w:rPr>
  </w:style>
  <w:style w:type="paragraph" w:customStyle="1" w:styleId="120">
    <w:name w:val="样式 表格正文 + 左 行距: 最小值 12 磅"/>
    <w:basedOn w:val="aff"/>
    <w:pPr>
      <w:spacing w:line="280" w:lineRule="exact"/>
    </w:pPr>
    <w:rPr>
      <w:rFonts w:cs="宋体"/>
      <w:color w:val="auto"/>
      <w:szCs w:val="20"/>
    </w:rPr>
  </w:style>
  <w:style w:type="paragraph" w:customStyle="1" w:styleId="nndd">
    <w:name w:val="nndd表格"/>
    <w:basedOn w:val="2"/>
    <w:next w:val="70"/>
    <w:qFormat/>
    <w:pPr>
      <w:keepNext w:val="0"/>
      <w:spacing w:before="0" w:after="0" w:line="320" w:lineRule="exact"/>
      <w:ind w:leftChars="-50" w:left="-105" w:rightChars="-50" w:right="-105"/>
      <w:jc w:val="center"/>
      <w:outlineLvl w:val="9"/>
    </w:pPr>
    <w:rPr>
      <w:rFonts w:ascii="宋体" w:eastAsia="宋体" w:hAnsi="宋体"/>
      <w:bCs w:val="0"/>
      <w:kern w:val="0"/>
      <w:sz w:val="21"/>
      <w:szCs w:val="22"/>
    </w:rPr>
  </w:style>
  <w:style w:type="paragraph" w:customStyle="1" w:styleId="opsom1">
    <w:name w:val="opsom1"/>
    <w:basedOn w:val="aff8"/>
    <w:pPr>
      <w:widowControl/>
      <w:ind w:left="284" w:firstLineChars="0" w:hanging="284"/>
      <w:jc w:val="left"/>
    </w:pPr>
    <w:rPr>
      <w:rFonts w:eastAsia="Times New Roman"/>
      <w:kern w:val="0"/>
      <w:sz w:val="22"/>
      <w:szCs w:val="20"/>
      <w:lang w:val="nl" w:eastAsia="en-US"/>
    </w:rPr>
  </w:style>
  <w:style w:type="paragraph" w:customStyle="1" w:styleId="aff5">
    <w:name w:val="正文正式用"/>
    <w:basedOn w:val="af4"/>
    <w:link w:val="Charf2"/>
    <w:qFormat/>
    <w:pPr>
      <w:adjustRightInd w:val="0"/>
      <w:snapToGrid w:val="0"/>
      <w:spacing w:after="0"/>
      <w:textAlignment w:val="baseline"/>
    </w:pPr>
    <w:rPr>
      <w:rFonts w:ascii="Times New Roman" w:hAnsi="Times New Roman"/>
      <w:color w:val="000000"/>
      <w:szCs w:val="24"/>
    </w:rPr>
  </w:style>
  <w:style w:type="paragraph" w:customStyle="1" w:styleId="nd">
    <w:name w:val="nd正文"/>
    <w:basedOn w:val="22"/>
    <w:qFormat/>
    <w:pPr>
      <w:adjustRightInd w:val="0"/>
      <w:snapToGrid w:val="0"/>
      <w:spacing w:line="360" w:lineRule="auto"/>
      <w:ind w:firstLineChars="200" w:firstLine="200"/>
    </w:pPr>
    <w:rPr>
      <w:rFonts w:ascii="Times New Roman"/>
      <w:kern w:val="0"/>
      <w:szCs w:val="24"/>
    </w:rPr>
  </w:style>
  <w:style w:type="paragraph" w:customStyle="1" w:styleId="07415">
    <w:name w:val="样式 普通(网站) + 首行缩进:  0.74 厘米 行距: 1.5 倍行距"/>
    <w:basedOn w:val="afff1"/>
    <w:pPr>
      <w:spacing w:line="360" w:lineRule="auto"/>
      <w:ind w:firstLine="420"/>
    </w:pPr>
    <w:rPr>
      <w:rFonts w:hint="eastAsia"/>
      <w:szCs w:val="20"/>
    </w:rPr>
  </w:style>
  <w:style w:type="paragraph" w:styleId="afa">
    <w:name w:val="List Paragraph"/>
    <w:basedOn w:val="a"/>
    <w:link w:val="Charc"/>
    <w:qFormat/>
    <w:pPr>
      <w:spacing w:line="240" w:lineRule="auto"/>
      <w:ind w:firstLine="420"/>
    </w:pPr>
    <w:rPr>
      <w:rFonts w:ascii="Calibri" w:hAnsi="Calibri"/>
      <w:sz w:val="21"/>
    </w:rPr>
  </w:style>
  <w:style w:type="paragraph" w:customStyle="1" w:styleId="p0">
    <w:name w:val="p0"/>
    <w:basedOn w:val="a"/>
    <w:uiPriority w:val="99"/>
    <w:qFormat/>
    <w:pPr>
      <w:widowControl/>
      <w:spacing w:line="240" w:lineRule="auto"/>
      <w:ind w:firstLineChars="0" w:firstLine="0"/>
    </w:pPr>
    <w:rPr>
      <w:rFonts w:ascii="仿宋_GB2312" w:eastAsia="仿宋_GB2312" w:hAnsi="宋体"/>
      <w:kern w:val="0"/>
      <w:sz w:val="28"/>
      <w:szCs w:val="20"/>
    </w:rPr>
  </w:style>
  <w:style w:type="paragraph" w:customStyle="1" w:styleId="CharChar1CharCharCharCharCharCharCharCharCharCharCharCharCharCharCharCharCharCharCharChar1Char0">
    <w:name w:val="Char Char1 Char Char Char Char Char Char Char Char Char Char Char Char Char Char Char Char Char Char Char Char1 Char"/>
    <w:basedOn w:val="a"/>
    <w:rPr>
      <w:rFonts w:ascii="宋体" w:hAnsi="宋体" w:cs="宋体"/>
      <w:szCs w:val="24"/>
    </w:rPr>
  </w:style>
  <w:style w:type="paragraph" w:customStyle="1" w:styleId="CM52">
    <w:name w:val="CM52"/>
    <w:basedOn w:val="a"/>
    <w:next w:val="a"/>
    <w:pPr>
      <w:autoSpaceDE w:val="0"/>
      <w:autoSpaceDN w:val="0"/>
      <w:adjustRightInd w:val="0"/>
      <w:spacing w:after="113" w:line="240" w:lineRule="auto"/>
      <w:ind w:firstLineChars="0" w:firstLine="0"/>
      <w:jc w:val="left"/>
    </w:pPr>
    <w:rPr>
      <w:rFonts w:ascii="黑体" w:eastAsia="黑体" w:hAnsi="Times New Roman"/>
      <w:kern w:val="0"/>
      <w:szCs w:val="24"/>
    </w:rPr>
  </w:style>
  <w:style w:type="paragraph" w:customStyle="1" w:styleId="CharCharCharCharCharCharCharCharCharChar0">
    <w:name w:val=" Char Char Char Char Char Char Char Char Char Char"/>
    <w:basedOn w:val="a"/>
    <w:rPr>
      <w:rFonts w:ascii="宋体" w:hAnsi="宋体" w:cs="宋体"/>
      <w:szCs w:val="24"/>
    </w:rPr>
  </w:style>
  <w:style w:type="paragraph" w:customStyle="1" w:styleId="121">
    <w:name w:val="样式12"/>
    <w:basedOn w:val="a"/>
    <w:pPr>
      <w:ind w:firstLineChars="0" w:firstLine="0"/>
    </w:pPr>
    <w:rPr>
      <w:rFonts w:cs="Arial"/>
      <w:b/>
      <w:bCs/>
      <w:szCs w:val="24"/>
    </w:rPr>
  </w:style>
  <w:style w:type="paragraph" w:customStyle="1" w:styleId="CharCharCharCharCharCharCharCharCharCharCharCharCharChar">
    <w:name w:val="Char Char Char Char Char Char Char Char Char Char Char Char Char Char"/>
    <w:basedOn w:val="a"/>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Char0">
    <w:name w:val=" Char Char Char Char Char Char Char"/>
    <w:basedOn w:val="a"/>
    <w:pPr>
      <w:tabs>
        <w:tab w:val="left" w:pos="432"/>
      </w:tabs>
      <w:spacing w:line="240" w:lineRule="auto"/>
      <w:ind w:left="432" w:firstLineChars="0" w:hanging="432"/>
    </w:pPr>
    <w:rPr>
      <w:rFonts w:ascii="Tahoma" w:hAnsi="Tahoma"/>
      <w:szCs w:val="20"/>
    </w:rPr>
  </w:style>
  <w:style w:type="paragraph" w:customStyle="1" w:styleId="ParaChar">
    <w:name w:val="默认段落字体 Para Char"/>
    <w:basedOn w:val="a"/>
    <w:rPr>
      <w:rFonts w:ascii="宋体" w:hAnsi="宋体" w:cs="宋体"/>
      <w:szCs w:val="24"/>
    </w:rPr>
  </w:style>
  <w:style w:type="paragraph" w:customStyle="1" w:styleId="1b">
    <w:name w:val="样式1"/>
    <w:basedOn w:val="3"/>
    <w:next w:val="a0"/>
    <w:pPr>
      <w:tabs>
        <w:tab w:val="left" w:pos="1080"/>
      </w:tabs>
      <w:spacing w:before="120" w:after="120" w:line="240" w:lineRule="auto"/>
      <w:ind w:left="1860" w:hanging="420"/>
      <w:jc w:val="both"/>
    </w:pPr>
    <w:rPr>
      <w:rFonts w:ascii="仿宋_GB2312" w:eastAsia="仿宋_GB2312" w:hAnsi="Times New Roman"/>
      <w:b/>
      <w:sz w:val="24"/>
      <w:szCs w:val="20"/>
    </w:rPr>
  </w:style>
  <w:style w:type="paragraph" w:customStyle="1" w:styleId="css">
    <w:name w:val="css"/>
    <w:basedOn w:val="a"/>
    <w:pPr>
      <w:widowControl/>
      <w:spacing w:before="100" w:beforeAutospacing="1" w:after="100" w:afterAutospacing="1" w:line="272" w:lineRule="atLeast"/>
      <w:ind w:firstLineChars="0" w:firstLine="0"/>
      <w:jc w:val="left"/>
    </w:pPr>
    <w:rPr>
      <w:rFonts w:ascii="ˎ̥" w:hAnsi="ˎ̥" w:cs="宋体"/>
      <w:color w:val="000000"/>
      <w:kern w:val="0"/>
      <w:sz w:val="16"/>
      <w:szCs w:val="16"/>
    </w:rPr>
  </w:style>
  <w:style w:type="paragraph" w:customStyle="1" w:styleId="affff">
    <w:name w:val="内容"/>
    <w:basedOn w:val="a"/>
    <w:pPr>
      <w:ind w:firstLineChars="0" w:firstLine="420"/>
    </w:pPr>
    <w:rPr>
      <w:rFonts w:ascii="Times New Roman" w:hAnsi="Times New Roman"/>
      <w:sz w:val="28"/>
      <w:szCs w:val="20"/>
    </w:rPr>
  </w:style>
  <w:style w:type="paragraph" w:customStyle="1" w:styleId="affff0">
    <w:name w:val="小节"/>
    <w:basedOn w:val="a"/>
    <w:pPr>
      <w:ind w:firstLineChars="0" w:firstLine="0"/>
    </w:pPr>
    <w:rPr>
      <w:rFonts w:ascii="黑体" w:eastAsia="黑体" w:hAnsi="Times New Roman"/>
      <w:sz w:val="28"/>
      <w:szCs w:val="20"/>
    </w:rPr>
  </w:style>
  <w:style w:type="paragraph" w:customStyle="1" w:styleId="CharCharCharCharCharCharChar1CharCharCharCharCharCharChar">
    <w:name w:val=" Char Char Char Char Char Char Char1 Char Char Char Char Char Char Char"/>
    <w:basedOn w:val="a"/>
    <w:pPr>
      <w:tabs>
        <w:tab w:val="left" w:pos="432"/>
      </w:tabs>
      <w:spacing w:line="240" w:lineRule="auto"/>
      <w:ind w:left="432" w:firstLineChars="0" w:hanging="432"/>
    </w:pPr>
    <w:rPr>
      <w:rFonts w:ascii="Tahoma" w:hAnsi="Tahoma"/>
      <w:szCs w:val="20"/>
    </w:rPr>
  </w:style>
  <w:style w:type="paragraph" w:customStyle="1" w:styleId="HeaderBase">
    <w:name w:val="Header Base"/>
    <w:basedOn w:val="af4"/>
    <w:pPr>
      <w:keepLines/>
      <w:tabs>
        <w:tab w:val="center" w:pos="4320"/>
        <w:tab w:val="right" w:pos="8640"/>
      </w:tabs>
      <w:spacing w:after="0" w:line="180" w:lineRule="atLeast"/>
      <w:ind w:firstLineChars="0" w:firstLine="0"/>
    </w:pPr>
    <w:rPr>
      <w:rFonts w:ascii="Times New Roman" w:eastAsia="仿宋_GB2312" w:hAnsi="Times New Roman"/>
      <w:szCs w:val="20"/>
    </w:rPr>
  </w:style>
  <w:style w:type="paragraph" w:customStyle="1" w:styleId="aff4">
    <w:name w:val="标 正文"/>
    <w:link w:val="CharChar"/>
    <w:pPr>
      <w:spacing w:line="360" w:lineRule="auto"/>
      <w:ind w:firstLineChars="200" w:firstLine="200"/>
      <w:jc w:val="both"/>
    </w:pPr>
    <w:rPr>
      <w:kern w:val="2"/>
      <w:sz w:val="24"/>
    </w:rPr>
  </w:style>
  <w:style w:type="paragraph" w:customStyle="1" w:styleId="font7">
    <w:name w:val="font7"/>
    <w:basedOn w:val="a"/>
    <w:pPr>
      <w:widowControl/>
      <w:spacing w:before="100" w:beforeAutospacing="1" w:after="100" w:afterAutospacing="1" w:line="240" w:lineRule="auto"/>
      <w:ind w:firstLineChars="0" w:firstLine="0"/>
      <w:jc w:val="left"/>
    </w:pPr>
    <w:rPr>
      <w:rFonts w:ascii="Times New Roman" w:eastAsia="Arial Unicode MS" w:hAnsi="Times New Roman"/>
      <w:kern w:val="0"/>
      <w:szCs w:val="24"/>
    </w:rPr>
  </w:style>
  <w:style w:type="paragraph" w:customStyle="1" w:styleId="Char22">
    <w:name w:val="Char2"/>
    <w:basedOn w:val="a"/>
    <w:rPr>
      <w:rFonts w:ascii="宋体" w:hAnsi="宋体" w:cs="宋体"/>
      <w:szCs w:val="24"/>
    </w:rPr>
  </w:style>
  <w:style w:type="paragraph" w:customStyle="1" w:styleId="36">
    <w:name w:val="标题3"/>
    <w:basedOn w:val="3"/>
    <w:next w:val="af7"/>
    <w:pPr>
      <w:tabs>
        <w:tab w:val="left" w:pos="1080"/>
      </w:tabs>
      <w:spacing w:before="0" w:after="0"/>
      <w:ind w:left="709" w:hanging="709"/>
      <w:jc w:val="both"/>
    </w:pPr>
    <w:rPr>
      <w:rFonts w:ascii="Times New Roman" w:eastAsia="宋体" w:hAnsi="Times New Roman"/>
      <w:bCs w:val="0"/>
      <w:sz w:val="24"/>
    </w:rPr>
  </w:style>
  <w:style w:type="paragraph" w:customStyle="1" w:styleId="xl28">
    <w:name w:val="xl28"/>
    <w:basedOn w:val="a"/>
    <w:pPr>
      <w:widowControl/>
      <w:pBdr>
        <w:top w:val="single" w:sz="4" w:space="0" w:color="auto"/>
        <w:right w:val="single" w:sz="4" w:space="0" w:color="auto"/>
      </w:pBdr>
      <w:spacing w:before="100" w:beforeAutospacing="1" w:after="100" w:afterAutospacing="1" w:line="240" w:lineRule="auto"/>
      <w:ind w:firstLineChars="0" w:firstLine="0"/>
      <w:jc w:val="center"/>
    </w:pPr>
    <w:rPr>
      <w:rFonts w:ascii="Arial Unicode MS" w:eastAsia="Arial Unicode MS" w:hAnsi="Arial Unicode MS"/>
      <w:kern w:val="0"/>
      <w:szCs w:val="24"/>
    </w:rPr>
  </w:style>
  <w:style w:type="paragraph" w:customStyle="1" w:styleId="Af5">
    <w:name w:val="正文A"/>
    <w:basedOn w:val="a"/>
    <w:link w:val="AChar"/>
    <w:pPr>
      <w:ind w:firstLine="480"/>
    </w:pPr>
    <w:rPr>
      <w:rFonts w:ascii="Calibri" w:hAnsi="Calibri"/>
      <w:szCs w:val="20"/>
    </w:rPr>
  </w:style>
  <w:style w:type="paragraph" w:customStyle="1" w:styleId="CharCharCharChar">
    <w:name w:val="Char Char Char Char"/>
    <w:basedOn w:val="a"/>
    <w:pPr>
      <w:spacing w:beforeLines="20" w:line="440" w:lineRule="atLeast"/>
    </w:pPr>
    <w:rPr>
      <w:rFonts w:ascii="Times New Roman" w:hAnsi="Times New Roman"/>
      <w:szCs w:val="24"/>
    </w:rPr>
  </w:style>
  <w:style w:type="paragraph" w:customStyle="1" w:styleId="xl38">
    <w:name w:val="xl38"/>
    <w:basedOn w:val="a"/>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Cs w:val="24"/>
    </w:rPr>
  </w:style>
  <w:style w:type="paragraph" w:customStyle="1" w:styleId="affff1">
    <w:name w:val="四级标题样式"/>
    <w:pPr>
      <w:tabs>
        <w:tab w:val="left" w:pos="1967"/>
      </w:tabs>
      <w:spacing w:before="100" w:line="312" w:lineRule="auto"/>
    </w:pPr>
    <w:rPr>
      <w:rFonts w:ascii="Times New Roman" w:hAnsi="Times New Roman" w:cs="宋体"/>
    </w:rPr>
  </w:style>
  <w:style w:type="paragraph" w:customStyle="1" w:styleId="affff2">
    <w:name w:val="表格标题新"/>
    <w:basedOn w:val="a"/>
    <w:qFormat/>
    <w:pPr>
      <w:tabs>
        <w:tab w:val="left" w:pos="0"/>
      </w:tabs>
      <w:adjustRightInd w:val="0"/>
      <w:snapToGrid w:val="0"/>
      <w:spacing w:beforeLines="50" w:line="240" w:lineRule="auto"/>
      <w:ind w:firstLine="562"/>
      <w:jc w:val="center"/>
    </w:pPr>
    <w:rPr>
      <w:rFonts w:ascii="仿宋_GB2312" w:eastAsia="黑体" w:hAnsi="Times New Roman"/>
      <w:b/>
      <w:snapToGrid w:val="0"/>
      <w:spacing w:val="4"/>
      <w:kern w:val="0"/>
      <w:szCs w:val="24"/>
    </w:rPr>
  </w:style>
  <w:style w:type="paragraph" w:customStyle="1" w:styleId="4s4CharCharCharCharChar">
    <w:name w:val="样式 正文缩进首行缩进两字标题4正文不缩进s4正文（首行缩进两字） Char Char Char Char Char ..."/>
    <w:basedOn w:val="af7"/>
    <w:rPr>
      <w:color w:val="000000"/>
    </w:rPr>
  </w:style>
  <w:style w:type="paragraph" w:customStyle="1" w:styleId="Default">
    <w:name w:val="Default"/>
    <w:pPr>
      <w:widowControl w:val="0"/>
      <w:autoSpaceDE w:val="0"/>
      <w:autoSpaceDN w:val="0"/>
      <w:adjustRightInd w:val="0"/>
    </w:pPr>
    <w:rPr>
      <w:rFonts w:ascii="宋体" w:hAnsi="Times New Roman" w:cs="宋体"/>
      <w:color w:val="000000"/>
      <w:sz w:val="24"/>
      <w:szCs w:val="24"/>
    </w:rPr>
  </w:style>
  <w:style w:type="paragraph" w:customStyle="1" w:styleId="Charf7">
    <w:name w:val="Char"/>
    <w:basedOn w:val="a"/>
    <w:rPr>
      <w:rFonts w:ascii="宋体" w:hAnsi="宋体" w:cs="宋体"/>
      <w:szCs w:val="24"/>
    </w:rPr>
  </w:style>
  <w:style w:type="paragraph" w:customStyle="1" w:styleId="affff3">
    <w:name w:val="注释"/>
    <w:basedOn w:val="a"/>
    <w:pPr>
      <w:adjustRightInd w:val="0"/>
      <w:snapToGrid w:val="0"/>
      <w:spacing w:line="360" w:lineRule="exact"/>
      <w:ind w:firstLineChars="0" w:firstLine="0"/>
    </w:pPr>
    <w:rPr>
      <w:rFonts w:ascii="Times New Roman" w:hAnsi="Times New Roman"/>
      <w:snapToGrid w:val="0"/>
      <w:color w:val="000000"/>
      <w:kern w:val="0"/>
      <w:sz w:val="21"/>
      <w:szCs w:val="24"/>
    </w:rPr>
  </w:style>
  <w:style w:type="paragraph" w:customStyle="1" w:styleId="CharCharCharCharCharChar3CharCharCharCharCharCharChar">
    <w:name w:val="Char Char Char Char Char Char3 Char Char Char Char Char Char Char"/>
    <w:basedOn w:val="a"/>
    <w:next w:val="a"/>
    <w:pPr>
      <w:spacing w:line="240" w:lineRule="auto"/>
      <w:ind w:firstLineChars="0" w:firstLine="0"/>
    </w:pPr>
    <w:rPr>
      <w:rFonts w:ascii="Times New Roman" w:eastAsia="黑体" w:hAnsi="Times New Roman"/>
      <w:sz w:val="28"/>
      <w:szCs w:val="24"/>
    </w:rPr>
  </w:style>
  <w:style w:type="paragraph" w:customStyle="1" w:styleId="affff4">
    <w:name w:val="字元 字元"/>
    <w:basedOn w:val="a"/>
    <w:rPr>
      <w:rFonts w:ascii="宋体" w:hAnsi="宋体" w:cs="宋体"/>
      <w:szCs w:val="24"/>
    </w:rPr>
  </w:style>
  <w:style w:type="paragraph" w:customStyle="1" w:styleId="font0">
    <w:name w:val="font0"/>
    <w:basedOn w:val="a"/>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nd0">
    <w:name w:val="nd表格名称"/>
    <w:basedOn w:val="a"/>
    <w:qFormat/>
    <w:pPr>
      <w:adjustRightInd w:val="0"/>
      <w:snapToGrid w:val="0"/>
      <w:spacing w:beforeLines="50" w:line="240" w:lineRule="auto"/>
      <w:ind w:firstLineChars="0" w:firstLine="0"/>
      <w:jc w:val="left"/>
      <w:textAlignment w:val="baseline"/>
    </w:pPr>
    <w:rPr>
      <w:rFonts w:ascii="宋体" w:hAnsi="宋体"/>
      <w:b/>
      <w:szCs w:val="24"/>
    </w:rPr>
  </w:style>
  <w:style w:type="paragraph" w:customStyle="1" w:styleId="321">
    <w:name w:val="样式 样式3 + 首行缩进:  2 字符1"/>
    <w:basedOn w:val="a"/>
    <w:link w:val="321Char"/>
    <w:pPr>
      <w:spacing w:line="460" w:lineRule="exact"/>
    </w:pPr>
    <w:rPr>
      <w:rFonts w:ascii="仿宋_GB2312" w:eastAsia="仿宋_GB2312" w:hAnsi="Calibri"/>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kern w:val="0"/>
      <w:sz w:val="21"/>
      <w:szCs w:val="21"/>
    </w:rPr>
  </w:style>
  <w:style w:type="paragraph" w:customStyle="1" w:styleId="mm">
    <w:name w:val="样式 正文mm"/>
    <w:basedOn w:val="a"/>
    <w:next w:val="a"/>
    <w:rPr>
      <w:rFonts w:cs="宋体"/>
    </w:rPr>
  </w:style>
  <w:style w:type="paragraph" w:customStyle="1" w:styleId="affff5">
    <w:name w:val="正文统一用"/>
    <w:qFormat/>
    <w:pPr>
      <w:widowControl w:val="0"/>
      <w:spacing w:line="360" w:lineRule="auto"/>
      <w:ind w:firstLineChars="200" w:firstLine="200"/>
      <w:jc w:val="both"/>
    </w:pPr>
    <w:rPr>
      <w:kern w:val="2"/>
      <w:sz w:val="24"/>
      <w:szCs w:val="24"/>
    </w:rPr>
  </w:style>
  <w:style w:type="paragraph" w:customStyle="1" w:styleId="font5">
    <w:name w:val="font5"/>
    <w:basedOn w:val="a"/>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GB2312">
    <w:name w:val="样式 (中文) 仿宋_GB2312 四号 黑色"/>
    <w:basedOn w:val="a"/>
    <w:pPr>
      <w:spacing w:line="240" w:lineRule="auto"/>
      <w:jc w:val="left"/>
    </w:pPr>
    <w:rPr>
      <w:rFonts w:ascii="Times New Roman" w:eastAsia="仿宋_GB2312" w:hAnsi="Times New Roman" w:cs="宋体"/>
      <w:color w:val="000000"/>
      <w:sz w:val="28"/>
      <w:szCs w:val="20"/>
    </w:rPr>
  </w:style>
  <w:style w:type="paragraph" w:customStyle="1" w:styleId="affff6">
    <w:name w:val="惓暥"/>
    <w:basedOn w:val="a"/>
    <w:pPr>
      <w:tabs>
        <w:tab w:val="left" w:pos="851"/>
        <w:tab w:val="left" w:pos="1701"/>
      </w:tabs>
      <w:suppressAutoHyphens/>
      <w:autoSpaceDE w:val="0"/>
      <w:autoSpaceDN w:val="0"/>
      <w:adjustRightInd w:val="0"/>
      <w:spacing w:line="250" w:lineRule="atLeast"/>
      <w:ind w:firstLineChars="0" w:firstLine="0"/>
      <w:jc w:val="left"/>
    </w:pPr>
    <w:rPr>
      <w:rFonts w:ascii="Swis721 Lt BT" w:eastAsia="黑体" w:hAnsi="Swis721 Lt BT" w:cs="Swis721 Lt BT"/>
      <w:color w:val="000000"/>
      <w:kern w:val="0"/>
      <w:sz w:val="20"/>
      <w:szCs w:val="20"/>
      <w:lang w:val="en-AU"/>
    </w:rPr>
  </w:style>
  <w:style w:type="paragraph" w:customStyle="1" w:styleId="affff7">
    <w:name w:val="报告正文文字"/>
    <w:basedOn w:val="a"/>
    <w:qFormat/>
    <w:pPr>
      <w:widowControl/>
      <w:autoSpaceDE w:val="0"/>
      <w:autoSpaceDN w:val="0"/>
      <w:ind w:firstLine="480"/>
    </w:pPr>
    <w:rPr>
      <w:rFonts w:ascii="宋体" w:hAnsi="宋体"/>
      <w:color w:val="000000"/>
      <w:spacing w:val="4"/>
      <w:kern w:val="0"/>
    </w:rPr>
  </w:style>
  <w:style w:type="paragraph" w:customStyle="1" w:styleId="affff8">
    <w:name w:val="表格内容用"/>
    <w:qFormat/>
    <w:pPr>
      <w:adjustRightInd w:val="0"/>
      <w:snapToGrid w:val="0"/>
      <w:jc w:val="center"/>
    </w:pPr>
    <w:rPr>
      <w:rFonts w:ascii="Times New Roman" w:eastAsia="Times New Roman" w:hAnsi="Times New Roman"/>
      <w:snapToGrid w:val="0"/>
      <w:sz w:val="21"/>
      <w:szCs w:val="21"/>
    </w:rPr>
  </w:style>
  <w:style w:type="paragraph" w:customStyle="1" w:styleId="Char13">
    <w:name w:val="Char1"/>
    <w:basedOn w:val="a"/>
    <w:pPr>
      <w:spacing w:line="240" w:lineRule="auto"/>
      <w:ind w:firstLineChars="0" w:firstLine="0"/>
    </w:pPr>
    <w:rPr>
      <w:rFonts w:ascii="Times New Roman" w:hAnsi="Times New Roman"/>
      <w:sz w:val="21"/>
      <w:szCs w:val="20"/>
    </w:rPr>
  </w:style>
  <w:style w:type="paragraph" w:customStyle="1" w:styleId="font6">
    <w:name w:val="font6"/>
    <w:basedOn w:val="a"/>
    <w:pPr>
      <w:widowControl/>
      <w:spacing w:before="100" w:beforeAutospacing="1" w:after="100" w:afterAutospacing="1" w:line="240" w:lineRule="auto"/>
      <w:ind w:firstLineChars="0" w:firstLine="0"/>
      <w:jc w:val="left"/>
    </w:pPr>
    <w:rPr>
      <w:rFonts w:ascii="Times New Roman" w:eastAsia="Arial Unicode MS" w:hAnsi="Times New Roman"/>
      <w:kern w:val="0"/>
      <w:szCs w:val="24"/>
    </w:rPr>
  </w:style>
  <w:style w:type="paragraph" w:customStyle="1" w:styleId="CharCharCharCharCharCharCharCharCharCharCharCharCharCharCharCharCharCharChar">
    <w:name w:val=" Char Char Char Char Char Char Char Char Char Char Char Char Char Char Char Char Char Char Char"/>
    <w:basedOn w:val="a"/>
    <w:qFormat/>
    <w:rPr>
      <w:szCs w:val="20"/>
    </w:rPr>
  </w:style>
  <w:style w:type="paragraph" w:customStyle="1" w:styleId="xl24">
    <w:name w:val="xl24"/>
    <w:basedOn w:val="a"/>
    <w:pPr>
      <w:widowControl/>
      <w:pBdr>
        <w:top w:val="single" w:sz="4" w:space="0" w:color="auto"/>
      </w:pBdr>
      <w:spacing w:before="100" w:beforeAutospacing="1" w:after="100" w:afterAutospacing="1" w:line="240" w:lineRule="auto"/>
      <w:ind w:firstLineChars="0" w:firstLine="0"/>
      <w:jc w:val="center"/>
    </w:pPr>
    <w:rPr>
      <w:rFonts w:ascii="Times New Roman" w:eastAsia="Arial Unicode MS" w:hAnsi="Times New Roman"/>
      <w:kern w:val="0"/>
      <w:szCs w:val="24"/>
    </w:rPr>
  </w:style>
  <w:style w:type="paragraph" w:customStyle="1" w:styleId="62">
    <w:name w:val="6表(图)头(治)"/>
    <w:next w:val="a"/>
    <w:qFormat/>
    <w:pPr>
      <w:widowControl w:val="0"/>
      <w:jc w:val="center"/>
    </w:pPr>
    <w:rPr>
      <w:rFonts w:ascii="Times New Roman" w:eastAsia="黑体" w:hAnsi="Times New Roman"/>
      <w:b/>
      <w:bCs/>
      <w:sz w:val="28"/>
      <w:szCs w:val="30"/>
    </w:rPr>
  </w:style>
  <w:style w:type="paragraph" w:customStyle="1" w:styleId="37">
    <w:name w:val="3"/>
    <w:basedOn w:val="a"/>
    <w:pPr>
      <w:tabs>
        <w:tab w:val="left" w:pos="432"/>
      </w:tabs>
      <w:spacing w:line="240" w:lineRule="auto"/>
      <w:ind w:left="432" w:firstLineChars="0" w:hanging="432"/>
    </w:pPr>
    <w:rPr>
      <w:rFonts w:ascii="Times New Roman" w:eastAsia="仿宋_GB2312" w:hAnsi="Times New Roman"/>
      <w:sz w:val="28"/>
      <w:szCs w:val="20"/>
    </w:rPr>
  </w:style>
  <w:style w:type="paragraph" w:customStyle="1" w:styleId="220">
    <w:name w:val="样式 表格2 + 行距: 固定值 20 磅"/>
    <w:basedOn w:val="28"/>
    <w:pPr>
      <w:spacing w:line="400" w:lineRule="exact"/>
    </w:pPr>
    <w:rPr>
      <w:rFonts w:cs="宋体"/>
      <w:szCs w:val="20"/>
    </w:rPr>
  </w:style>
  <w:style w:type="paragraph" w:customStyle="1" w:styleId="CharCharChar1Char">
    <w:name w:val="Char Char Char1 Char"/>
    <w:basedOn w:val="a"/>
    <w:pPr>
      <w:spacing w:line="240" w:lineRule="auto"/>
      <w:ind w:firstLineChars="0" w:firstLine="0"/>
    </w:pPr>
    <w:rPr>
      <w:rFonts w:ascii="Times New Roman" w:hAnsi="Times New Roman"/>
      <w:sz w:val="21"/>
      <w:szCs w:val="24"/>
    </w:rPr>
  </w:style>
  <w:style w:type="paragraph" w:customStyle="1" w:styleId="xl25">
    <w:name w:val="xl25"/>
    <w:basedOn w:val="a"/>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Times New Roman" w:eastAsia="Arial Unicode MS" w:hAnsi="Times New Roman"/>
      <w:kern w:val="0"/>
      <w:szCs w:val="24"/>
    </w:rPr>
  </w:style>
  <w:style w:type="paragraph" w:customStyle="1" w:styleId="affff9">
    <w:name w:val="图"/>
    <w:basedOn w:val="af7"/>
    <w:pPr>
      <w:autoSpaceDE w:val="0"/>
      <w:autoSpaceDN w:val="0"/>
      <w:adjustRightInd w:val="0"/>
      <w:spacing w:line="360" w:lineRule="auto"/>
      <w:ind w:leftChars="67" w:left="67" w:firstLineChars="300" w:firstLine="723"/>
      <w:jc w:val="center"/>
    </w:pPr>
    <w:rPr>
      <w:rFonts w:ascii="Times New Roman" w:hAnsi="Times New Roman"/>
      <w:b/>
      <w:bCs/>
      <w:spacing w:val="0"/>
      <w:kern w:val="0"/>
      <w:szCs w:val="18"/>
    </w:rPr>
  </w:style>
  <w:style w:type="paragraph" w:customStyle="1" w:styleId="42">
    <w:name w:val="4正文"/>
    <w:basedOn w:val="a"/>
    <w:qFormat/>
    <w:pPr>
      <w:ind w:firstLine="480"/>
    </w:pPr>
    <w:rPr>
      <w:rFonts w:cs="宋体"/>
      <w:sz w:val="28"/>
    </w:rPr>
  </w:style>
  <w:style w:type="paragraph" w:customStyle="1" w:styleId="CharCharCharCharCharCharCharCharCharCharCharCharChar">
    <w:name w:val="Char Char Char Char Char Char Char Char Char Char Char Char Char"/>
    <w:basedOn w:val="a"/>
    <w:rPr>
      <w:rFonts w:ascii="宋体" w:hAnsi="宋体" w:cs="宋体"/>
      <w:szCs w:val="24"/>
    </w:rPr>
  </w:style>
  <w:style w:type="paragraph" w:customStyle="1" w:styleId="reader-word-layer">
    <w:name w:val="reader-word-layer"/>
    <w:basedOn w:val="a"/>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CharCharCharChar0">
    <w:name w:val=" Char Char Char Char"/>
    <w:basedOn w:val="a"/>
    <w:pPr>
      <w:spacing w:line="240" w:lineRule="auto"/>
      <w:ind w:firstLineChars="0" w:firstLine="0"/>
    </w:pPr>
    <w:rPr>
      <w:rFonts w:ascii="Times New Roman" w:hAnsi="Times New Roman"/>
      <w:sz w:val="21"/>
      <w:szCs w:val="24"/>
    </w:rPr>
  </w:style>
  <w:style w:type="paragraph" w:customStyle="1" w:styleId="affffa">
    <w:name w:val="小四表格"/>
    <w:basedOn w:val="a"/>
    <w:pPr>
      <w:snapToGrid w:val="0"/>
      <w:spacing w:line="240" w:lineRule="auto"/>
      <w:ind w:firstLineChars="0" w:firstLine="0"/>
      <w:jc w:val="center"/>
    </w:pPr>
    <w:rPr>
      <w:rFonts w:ascii="Times New Roman" w:eastAsia="仿宋_GB2312" w:hAnsi="Times New Roman"/>
      <w:kern w:val="0"/>
      <w:szCs w:val="20"/>
    </w:rPr>
  </w:style>
  <w:style w:type="paragraph" w:customStyle="1" w:styleId="WPSPlain">
    <w:name w:val="WPS Plain"/>
    <w:rPr>
      <w:rFonts w:ascii="Times New Roman" w:hAnsi="Times New Roman"/>
    </w:rPr>
  </w:style>
  <w:style w:type="paragraph" w:customStyle="1" w:styleId="affffb">
    <w:name w:val="表格"/>
    <w:basedOn w:val="a"/>
    <w:qFormat/>
    <w:pPr>
      <w:overflowPunct w:val="0"/>
      <w:autoSpaceDE w:val="0"/>
      <w:autoSpaceDN w:val="0"/>
      <w:adjustRightInd w:val="0"/>
      <w:spacing w:before="100" w:after="100" w:line="200" w:lineRule="exact"/>
      <w:ind w:firstLineChars="0" w:firstLine="0"/>
      <w:jc w:val="center"/>
    </w:pPr>
    <w:rPr>
      <w:rFonts w:ascii="Times New Roman" w:hAnsi="Times New Roman"/>
      <w:spacing w:val="24"/>
      <w:kern w:val="0"/>
      <w:szCs w:val="20"/>
    </w:rPr>
  </w:style>
  <w:style w:type="table" w:styleId="affffc">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d">
    <w:name w:val="Table Theme"/>
    <w:basedOn w:val="a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2"/>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网格型2"/>
    <w:basedOn w:val="a2"/>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
    <w:name w:val="网格型c1"/>
    <w:basedOn w:val="a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hyperlink" Target="https://baike.baidu.com/item/%E5%B9%95%E9%98%9C%E5%B1%B1" TargetMode="External"/><Relationship Id="rId47" Type="http://schemas.openxmlformats.org/officeDocument/2006/relationships/hyperlink" Target="https://baike.baidu.com/item/%E6%B2%B3%E6%B8%A0" TargetMode="External"/><Relationship Id="rId63" Type="http://schemas.openxmlformats.org/officeDocument/2006/relationships/header" Target="header11.xml"/><Relationship Id="rId68" Type="http://schemas.openxmlformats.org/officeDocument/2006/relationships/image" Target="media/image16.wmf"/><Relationship Id="rId84" Type="http://schemas.openxmlformats.org/officeDocument/2006/relationships/image" Target="media/image23.wmf"/><Relationship Id="rId89" Type="http://schemas.openxmlformats.org/officeDocument/2006/relationships/oleObject" Target="embeddings/oleObject8.bin"/><Relationship Id="rId7" Type="http://schemas.openxmlformats.org/officeDocument/2006/relationships/header" Target="header1.xml"/><Relationship Id="rId71" Type="http://schemas.openxmlformats.org/officeDocument/2006/relationships/header" Target="header13.xml"/><Relationship Id="rId92"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07" Type="http://schemas.openxmlformats.org/officeDocument/2006/relationships/theme" Target="theme/theme1.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hyperlink" Target="https://baike.baidu.com/item/%E6%B1%A8%E7%BD%97%E5%B8%82" TargetMode="External"/><Relationship Id="rId40" Type="http://schemas.openxmlformats.org/officeDocument/2006/relationships/hyperlink" Target="https://baike.baidu.com/item/%E6%B2%85%E6%B1%9F%E5%B8%82" TargetMode="External"/><Relationship Id="rId45" Type="http://schemas.openxmlformats.org/officeDocument/2006/relationships/hyperlink" Target="https://baike.baidu.com/item/%E6%B4%9E%E5%BA%AD%E6%B9%96" TargetMode="External"/><Relationship Id="rId53" Type="http://schemas.openxmlformats.org/officeDocument/2006/relationships/hyperlink" Target="https://baike.baidu.com/item/%E8%8A%A6%E8%8B%87/1345" TargetMode="External"/><Relationship Id="rId58" Type="http://schemas.openxmlformats.org/officeDocument/2006/relationships/hyperlink" Target="https://baike.baidu.com/item/%E9%93%B6%E6%9D%8F/229130" TargetMode="External"/><Relationship Id="rId66" Type="http://schemas.openxmlformats.org/officeDocument/2006/relationships/image" Target="media/image14.wmf"/><Relationship Id="rId74" Type="http://schemas.openxmlformats.org/officeDocument/2006/relationships/header" Target="header15.xml"/><Relationship Id="rId79" Type="http://schemas.openxmlformats.org/officeDocument/2006/relationships/oleObject" Target="embeddings/oleObject3.bin"/><Relationship Id="rId87" Type="http://schemas.openxmlformats.org/officeDocument/2006/relationships/oleObject" Target="embeddings/oleObject7.bin"/><Relationship Id="rId102" Type="http://schemas.openxmlformats.org/officeDocument/2006/relationships/header" Target="header16.xml"/><Relationship Id="rId5" Type="http://schemas.openxmlformats.org/officeDocument/2006/relationships/footnotes" Target="footnotes.xml"/><Relationship Id="rId61" Type="http://schemas.openxmlformats.org/officeDocument/2006/relationships/hyperlink" Target="https://baike.baidu.com/item/%E9%BA%82" TargetMode="External"/><Relationship Id="rId82" Type="http://schemas.openxmlformats.org/officeDocument/2006/relationships/image" Target="media/image22.wmf"/><Relationship Id="rId90" Type="http://schemas.openxmlformats.org/officeDocument/2006/relationships/image" Target="media/image26.wmf"/><Relationship Id="rId95" Type="http://schemas.openxmlformats.org/officeDocument/2006/relationships/oleObject" Target="embeddings/oleObject11.bin"/><Relationship Id="rId1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header" Target="header7.xml"/><Relationship Id="rId35" Type="http://schemas.openxmlformats.org/officeDocument/2006/relationships/hyperlink" Target="https://baike.baidu.com/item/%E8%B5%84%E6%B1%9F" TargetMode="External"/><Relationship Id="rId43" Type="http://schemas.openxmlformats.org/officeDocument/2006/relationships/hyperlink" Target="https://baike.baidu.com/item/%E6%B9%98%E6%B1%9F/1710" TargetMode="External"/><Relationship Id="rId48" Type="http://schemas.openxmlformats.org/officeDocument/2006/relationships/hyperlink" Target="https://baike.baidu.com/item/%E6%B0%B4%E7%A8%BB" TargetMode="External"/><Relationship Id="rId56" Type="http://schemas.openxmlformats.org/officeDocument/2006/relationships/hyperlink" Target="https://baike.baidu.com/item/%E6%9D%89/12755743" TargetMode="External"/><Relationship Id="rId64" Type="http://schemas.openxmlformats.org/officeDocument/2006/relationships/footer" Target="footer6.xml"/><Relationship Id="rId69" Type="http://schemas.openxmlformats.org/officeDocument/2006/relationships/image" Target="media/image17.wmf"/><Relationship Id="rId77" Type="http://schemas.openxmlformats.org/officeDocument/2006/relationships/oleObject" Target="embeddings/oleObject2.bin"/><Relationship Id="rId100" Type="http://schemas.openxmlformats.org/officeDocument/2006/relationships/image" Target="media/image31.png"/><Relationship Id="rId105" Type="http://schemas.openxmlformats.org/officeDocument/2006/relationships/header" Target="header18.xml"/><Relationship Id="rId8" Type="http://schemas.openxmlformats.org/officeDocument/2006/relationships/header" Target="header2.xml"/><Relationship Id="rId51" Type="http://schemas.openxmlformats.org/officeDocument/2006/relationships/hyperlink" Target="https://baike.baidu.com/item/%E6%A3%89%E8%8A%B1/19498" TargetMode="External"/><Relationship Id="rId72" Type="http://schemas.openxmlformats.org/officeDocument/2006/relationships/header" Target="header14.xml"/><Relationship Id="rId80" Type="http://schemas.openxmlformats.org/officeDocument/2006/relationships/image" Target="media/image21.wmf"/><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hyperlink" Target="https://baike.baidu.com/item/%E7%9B%8A%E9%98%B3%E5%B8%82" TargetMode="External"/><Relationship Id="rId46" Type="http://schemas.openxmlformats.org/officeDocument/2006/relationships/hyperlink" Target="https://baike.baidu.com/item/%E4%BA%9A%E7%83%AD%E5%B8%A6%E5%AD%A3%E9%A3%8E%E6%B9%BF%E6%B6%A6%E6%B0%94%E5%80%99" TargetMode="External"/><Relationship Id="rId59" Type="http://schemas.openxmlformats.org/officeDocument/2006/relationships/hyperlink" Target="https://baike.baidu.com/item/%E6%9E%AB%E9%A6%99" TargetMode="External"/><Relationship Id="rId67" Type="http://schemas.openxmlformats.org/officeDocument/2006/relationships/image" Target="media/image15.png"/><Relationship Id="rId103" Type="http://schemas.openxmlformats.org/officeDocument/2006/relationships/header" Target="header17.xml"/><Relationship Id="rId20" Type="http://schemas.openxmlformats.org/officeDocument/2006/relationships/image" Target="media/image4.png"/><Relationship Id="rId41" Type="http://schemas.openxmlformats.org/officeDocument/2006/relationships/hyperlink" Target="https://baike.baidu.com/item/%E5%B1%88%E5%8E%9F%E7%AE%A1%E7%90%86%E5%8C%BA" TargetMode="External"/><Relationship Id="rId54" Type="http://schemas.openxmlformats.org/officeDocument/2006/relationships/hyperlink" Target="https://baike.baidu.com/item/%E6%B9%98%E8%8E%B2/9664122" TargetMode="External"/><Relationship Id="rId62" Type="http://schemas.openxmlformats.org/officeDocument/2006/relationships/header" Target="header10.xml"/><Relationship Id="rId70" Type="http://schemas.openxmlformats.org/officeDocument/2006/relationships/oleObject" Target="embeddings/oleObject1.bin"/><Relationship Id="rId75" Type="http://schemas.openxmlformats.org/officeDocument/2006/relationships/image" Target="media/image18.wmf"/><Relationship Id="rId83" Type="http://schemas.openxmlformats.org/officeDocument/2006/relationships/oleObject" Target="embeddings/oleObject5.bin"/><Relationship Id="rId88" Type="http://schemas.openxmlformats.org/officeDocument/2006/relationships/image" Target="media/image25.wmf"/><Relationship Id="rId91" Type="http://schemas.openxmlformats.org/officeDocument/2006/relationships/oleObject" Target="embeddings/oleObject9.bin"/><Relationship Id="rId96" Type="http://schemas.openxmlformats.org/officeDocument/2006/relationships/image" Target="media/image2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hyperlink" Target="https://baike.baidu.com/item/%E6%B4%9E%E5%BA%AD%E6%B9%96" TargetMode="External"/><Relationship Id="rId49" Type="http://schemas.openxmlformats.org/officeDocument/2006/relationships/hyperlink" Target="https://baike.baidu.com/item/%E7%BA%A2%E8%96%AF" TargetMode="External"/><Relationship Id="rId57" Type="http://schemas.openxmlformats.org/officeDocument/2006/relationships/hyperlink" Target="https://baike.baidu.com/item/%E6%A8%9F/2506377" TargetMode="Externa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8.xml"/><Relationship Id="rId44" Type="http://schemas.openxmlformats.org/officeDocument/2006/relationships/hyperlink" Target="https://baike.baidu.com/item/%E8%B5%84%E6%B1%9F" TargetMode="External"/><Relationship Id="rId52" Type="http://schemas.openxmlformats.org/officeDocument/2006/relationships/hyperlink" Target="https://baike.baidu.com/item/%E8%8D%9E%E5%A4%B4" TargetMode="External"/><Relationship Id="rId60" Type="http://schemas.openxmlformats.org/officeDocument/2006/relationships/hyperlink" Target="https://baike.baidu.com/item/%E6%9D%9C%E4%BB%B2/234" TargetMode="External"/><Relationship Id="rId65" Type="http://schemas.openxmlformats.org/officeDocument/2006/relationships/header" Target="header12.xml"/><Relationship Id="rId73" Type="http://schemas.openxmlformats.org/officeDocument/2006/relationships/footer" Target="footer7.xml"/><Relationship Id="rId78" Type="http://schemas.openxmlformats.org/officeDocument/2006/relationships/image" Target="media/image20.wmf"/><Relationship Id="rId81" Type="http://schemas.openxmlformats.org/officeDocument/2006/relationships/oleObject" Target="embeddings/oleObject4.bin"/><Relationship Id="rId86" Type="http://schemas.openxmlformats.org/officeDocument/2006/relationships/image" Target="media/image24.wmf"/><Relationship Id="rId94" Type="http://schemas.openxmlformats.org/officeDocument/2006/relationships/image" Target="media/image28.wmf"/><Relationship Id="rId99" Type="http://schemas.openxmlformats.org/officeDocument/2006/relationships/oleObject" Target="embeddings/oleObject13.bin"/><Relationship Id="rId101" Type="http://schemas.openxmlformats.org/officeDocument/2006/relationships/image" Target="media/image32.e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hyperlink" Target="https://baike.baidu.com/item/%E6%9C%9B%E5%9F%8E%E5%8C%BA" TargetMode="External"/><Relationship Id="rId34" Type="http://schemas.openxmlformats.org/officeDocument/2006/relationships/hyperlink" Target="https://baike.baidu.com/item/%E6%B9%98%E6%B1%9F/1710" TargetMode="External"/><Relationship Id="rId50" Type="http://schemas.openxmlformats.org/officeDocument/2006/relationships/hyperlink" Target="https://baike.baidu.com/item/%E8%8C%B6%E5%8F%B6" TargetMode="External"/><Relationship Id="rId55" Type="http://schemas.openxmlformats.org/officeDocument/2006/relationships/hyperlink" Target="https://baike.baidu.com/item/%E6%9D%BE/9770287" TargetMode="External"/><Relationship Id="rId76" Type="http://schemas.openxmlformats.org/officeDocument/2006/relationships/image" Target="media/image19.wmf"/><Relationship Id="rId97" Type="http://schemas.openxmlformats.org/officeDocument/2006/relationships/oleObject" Target="embeddings/oleObject12.bin"/><Relationship Id="rId10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162</Pages>
  <Words>19589</Words>
  <Characters>111658</Characters>
  <Application>Microsoft Office Word</Application>
  <DocSecurity>0</DocSecurity>
  <PresentationFormat/>
  <Lines>930</Lines>
  <Paragraphs>261</Paragraphs>
  <Slides>0</Slides>
  <Notes>0</Notes>
  <HiddenSlides>0</HiddenSlides>
  <MMClips>0</MMClips>
  <ScaleCrop>false</ScaleCrop>
  <Company>LVKJ.taobao.com</Company>
  <LinksUpToDate>false</LinksUpToDate>
  <CharactersWithSpaces>130986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朱科峰</dc:creator>
  <cp:lastModifiedBy>admin</cp:lastModifiedBy>
  <cp:revision>2</cp:revision>
  <cp:lastPrinted>2018-08-30T01:35:00Z</cp:lastPrinted>
  <dcterms:created xsi:type="dcterms:W3CDTF">2018-08-13T00:36:00Z</dcterms:created>
  <dcterms:modified xsi:type="dcterms:W3CDTF">2018-09-04T11:51:00Z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