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3F" w:rsidRDefault="00233E3F">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233E3F" w:rsidRDefault="00233E3F">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233E3F" w:rsidRDefault="00233E3F">
      <w:pPr>
        <w:shd w:val="clear" w:color="auto" w:fill="FFFFFF"/>
        <w:spacing w:before="100" w:beforeAutospacing="1" w:after="100" w:afterAutospacing="1" w:line="440" w:lineRule="exact"/>
        <w:ind w:firstLine="0"/>
        <w:jc w:val="right"/>
        <w:textAlignment w:val="top"/>
        <w:rPr>
          <w:rFonts w:ascii="仿宋" w:eastAsia="仿宋" w:hAnsi="仿宋" w:cs="_4eff_5b8b_GB2312"/>
          <w:bCs/>
          <w:sz w:val="32"/>
          <w:szCs w:val="32"/>
          <w:lang w:eastAsia="zh-CN" w:bidi="ar-SA"/>
        </w:rPr>
      </w:pPr>
    </w:p>
    <w:p w:rsidR="00233E3F" w:rsidRDefault="00C24DB9">
      <w:pPr>
        <w:shd w:val="clear" w:color="auto" w:fill="FFFFFF"/>
        <w:wordWrap w:val="0"/>
        <w:spacing w:before="100" w:beforeAutospacing="1" w:after="100" w:afterAutospacing="1" w:line="400" w:lineRule="exact"/>
        <w:ind w:firstLine="0"/>
        <w:jc w:val="right"/>
        <w:textAlignment w:val="top"/>
        <w:rPr>
          <w:rFonts w:ascii="仿宋" w:eastAsia="仿宋" w:hAnsi="仿宋" w:cs="_4eff_5b8b_GB2312"/>
          <w:bCs/>
          <w:sz w:val="32"/>
          <w:szCs w:val="32"/>
          <w:lang w:eastAsia="zh-CN" w:bidi="ar-SA"/>
        </w:rPr>
      </w:pPr>
      <w:r>
        <w:rPr>
          <w:rFonts w:ascii="仿宋" w:eastAsia="仿宋" w:hAnsi="仿宋" w:cs="_4eff_5b8b_GB2312"/>
          <w:bCs/>
          <w:sz w:val="32"/>
          <w:szCs w:val="32"/>
          <w:lang w:eastAsia="zh-CN" w:bidi="ar-SA"/>
        </w:rPr>
        <w:t>岳环评 [201</w:t>
      </w:r>
      <w:r>
        <w:rPr>
          <w:rFonts w:ascii="仿宋" w:eastAsia="仿宋" w:hAnsi="仿宋" w:cs="_4eff_5b8b_GB2312" w:hint="eastAsia"/>
          <w:bCs/>
          <w:sz w:val="32"/>
          <w:szCs w:val="32"/>
          <w:lang w:eastAsia="zh-CN" w:bidi="ar-SA"/>
        </w:rPr>
        <w:t>8</w:t>
      </w:r>
      <w:r>
        <w:rPr>
          <w:rFonts w:ascii="仿宋" w:eastAsia="仿宋" w:hAnsi="仿宋" w:cs="_4eff_5b8b_GB2312"/>
          <w:bCs/>
          <w:sz w:val="32"/>
          <w:szCs w:val="32"/>
          <w:lang w:eastAsia="zh-CN" w:bidi="ar-SA"/>
        </w:rPr>
        <w:t>]</w:t>
      </w:r>
      <w:r w:rsidR="00233630">
        <w:rPr>
          <w:rFonts w:ascii="仿宋" w:eastAsia="仿宋" w:hAnsi="仿宋" w:cs="_4eff_5b8b_GB2312" w:hint="eastAsia"/>
          <w:bCs/>
          <w:sz w:val="32"/>
          <w:szCs w:val="32"/>
          <w:lang w:eastAsia="zh-CN" w:bidi="ar-SA"/>
        </w:rPr>
        <w:t>86</w:t>
      </w:r>
      <w:r>
        <w:rPr>
          <w:rFonts w:ascii="仿宋" w:eastAsia="仿宋" w:hAnsi="仿宋" w:cs="_4eff_5b8b_GB2312"/>
          <w:bCs/>
          <w:sz w:val="32"/>
          <w:szCs w:val="32"/>
          <w:lang w:eastAsia="zh-CN" w:bidi="ar-SA"/>
        </w:rPr>
        <w:t>号</w:t>
      </w:r>
    </w:p>
    <w:p w:rsidR="00233E3F" w:rsidRDefault="00C24DB9">
      <w:pPr>
        <w:shd w:val="clear" w:color="auto" w:fill="FFFFFF"/>
        <w:spacing w:line="480" w:lineRule="exact"/>
        <w:ind w:firstLine="0"/>
        <w:jc w:val="center"/>
        <w:rPr>
          <w:rFonts w:ascii="_9ed1_4f53" w:eastAsia="宋体" w:hAnsi="_9ed1_4f53" w:cs="_9ed1_4f53" w:hint="eastAsia"/>
          <w:b/>
          <w:bCs/>
          <w:sz w:val="36"/>
          <w:szCs w:val="36"/>
          <w:lang w:eastAsia="zh-CN" w:bidi="ar-SA"/>
        </w:rPr>
      </w:pPr>
      <w:r>
        <w:rPr>
          <w:rFonts w:ascii="_9ed1_4f53" w:eastAsia="宋体" w:hAnsi="_9ed1_4f53" w:cs="_9ed1_4f53" w:hint="eastAsia"/>
          <w:b/>
          <w:bCs/>
          <w:sz w:val="36"/>
          <w:szCs w:val="36"/>
          <w:lang w:eastAsia="zh-CN" w:bidi="ar-SA"/>
        </w:rPr>
        <w:t>关于</w:t>
      </w:r>
      <w:r>
        <w:rPr>
          <w:rFonts w:ascii="_9ed1_4f53" w:eastAsia="宋体" w:hAnsi="_9ed1_4f53" w:cs="_9ed1_4f53"/>
          <w:b/>
          <w:bCs/>
          <w:sz w:val="36"/>
          <w:szCs w:val="36"/>
          <w:lang w:eastAsia="zh-CN" w:bidi="ar-SA"/>
        </w:rPr>
        <w:t>岳阳鑫达实业有限公司年产抗氧化剂</w:t>
      </w:r>
      <w:r>
        <w:rPr>
          <w:rFonts w:ascii="_9ed1_4f53" w:eastAsia="宋体" w:hAnsi="_9ed1_4f53" w:cs="_9ed1_4f53"/>
          <w:b/>
          <w:bCs/>
          <w:sz w:val="36"/>
          <w:szCs w:val="36"/>
          <w:lang w:eastAsia="zh-CN" w:bidi="ar-SA"/>
        </w:rPr>
        <w:t>TNP1000</w:t>
      </w:r>
      <w:r>
        <w:rPr>
          <w:rFonts w:ascii="_9ed1_4f53" w:eastAsia="宋体" w:hAnsi="_9ed1_4f53" w:cs="_9ed1_4f53"/>
          <w:b/>
          <w:bCs/>
          <w:sz w:val="36"/>
          <w:szCs w:val="36"/>
          <w:lang w:eastAsia="zh-CN" w:bidi="ar-SA"/>
        </w:rPr>
        <w:t>吨、氯化锂</w:t>
      </w:r>
      <w:r>
        <w:rPr>
          <w:rFonts w:ascii="_9ed1_4f53" w:eastAsia="宋体" w:hAnsi="_9ed1_4f53" w:cs="_9ed1_4f53"/>
          <w:b/>
          <w:bCs/>
          <w:sz w:val="36"/>
          <w:szCs w:val="36"/>
          <w:lang w:eastAsia="zh-CN" w:bidi="ar-SA"/>
        </w:rPr>
        <w:t>400</w:t>
      </w:r>
      <w:r>
        <w:rPr>
          <w:rFonts w:ascii="_9ed1_4f53" w:eastAsia="宋体" w:hAnsi="_9ed1_4f53" w:cs="_9ed1_4f53"/>
          <w:b/>
          <w:bCs/>
          <w:sz w:val="36"/>
          <w:szCs w:val="36"/>
          <w:lang w:eastAsia="zh-CN" w:bidi="ar-SA"/>
        </w:rPr>
        <w:t>吨、催化剂二氯二茂钛</w:t>
      </w:r>
      <w:r>
        <w:rPr>
          <w:rFonts w:ascii="_9ed1_4f53" w:eastAsia="宋体" w:hAnsi="_9ed1_4f53" w:cs="_9ed1_4f53"/>
          <w:b/>
          <w:bCs/>
          <w:sz w:val="36"/>
          <w:szCs w:val="36"/>
          <w:lang w:eastAsia="zh-CN" w:bidi="ar-SA"/>
        </w:rPr>
        <w:t>12</w:t>
      </w:r>
      <w:r>
        <w:rPr>
          <w:rFonts w:ascii="_9ed1_4f53" w:eastAsia="宋体" w:hAnsi="_9ed1_4f53" w:cs="_9ed1_4f53"/>
          <w:b/>
          <w:bCs/>
          <w:sz w:val="36"/>
          <w:szCs w:val="36"/>
          <w:lang w:eastAsia="zh-CN" w:bidi="ar-SA"/>
        </w:rPr>
        <w:t>吨项目</w:t>
      </w:r>
    </w:p>
    <w:p w:rsidR="00233E3F" w:rsidRDefault="00C24DB9">
      <w:pPr>
        <w:shd w:val="clear" w:color="auto" w:fill="FFFFFF"/>
        <w:spacing w:line="480" w:lineRule="exact"/>
        <w:ind w:firstLine="0"/>
        <w:jc w:val="center"/>
        <w:rPr>
          <w:rFonts w:ascii="_9ed1_4f53" w:eastAsia="宋体" w:hAnsi="_9ed1_4f53" w:cs="_9ed1_4f53" w:hint="eastAsia"/>
          <w:b/>
          <w:bCs/>
          <w:sz w:val="36"/>
          <w:szCs w:val="36"/>
          <w:lang w:eastAsia="zh-CN" w:bidi="ar-SA"/>
        </w:rPr>
      </w:pPr>
      <w:r>
        <w:rPr>
          <w:rFonts w:ascii="_9ed1_4f53" w:eastAsia="宋体" w:hAnsi="_9ed1_4f53" w:cs="_9ed1_4f53" w:hint="eastAsia"/>
          <w:b/>
          <w:bCs/>
          <w:sz w:val="36"/>
          <w:szCs w:val="36"/>
          <w:lang w:eastAsia="zh-CN" w:bidi="ar-SA"/>
        </w:rPr>
        <w:t>环境影响报告书</w:t>
      </w:r>
      <w:r>
        <w:rPr>
          <w:rFonts w:ascii="_9ed1_4f53" w:eastAsia="宋体" w:hAnsi="_9ed1_4f53" w:cs="_9ed1_4f53"/>
          <w:b/>
          <w:bCs/>
          <w:sz w:val="36"/>
          <w:szCs w:val="36"/>
          <w:lang w:eastAsia="zh-CN" w:bidi="ar-SA"/>
        </w:rPr>
        <w:t>的批复</w:t>
      </w:r>
    </w:p>
    <w:p w:rsidR="00233E3F" w:rsidRDefault="00233E3F" w:rsidP="00233E3F">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233E3F" w:rsidRPr="009019B4" w:rsidRDefault="00C24DB9" w:rsidP="00233630">
      <w:pPr>
        <w:spacing w:line="480" w:lineRule="exact"/>
        <w:ind w:firstLine="0"/>
        <w:jc w:val="both"/>
        <w:rPr>
          <w:rFonts w:ascii="仿宋" w:eastAsia="仿宋" w:hAnsi="仿宋"/>
          <w:sz w:val="32"/>
          <w:szCs w:val="32"/>
          <w:lang w:eastAsia="zh-CN"/>
        </w:rPr>
      </w:pPr>
      <w:r w:rsidRPr="009019B4">
        <w:rPr>
          <w:rFonts w:ascii="仿宋" w:eastAsia="仿宋" w:hAnsi="仿宋" w:hint="eastAsia"/>
          <w:sz w:val="32"/>
          <w:szCs w:val="32"/>
          <w:lang w:eastAsia="zh-CN"/>
        </w:rPr>
        <w:t>岳阳鑫达实业有限公司：</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你公司《关于请求对</w:t>
      </w:r>
      <w:r w:rsidRPr="009019B4">
        <w:rPr>
          <w:rFonts w:ascii="仿宋" w:eastAsia="仿宋" w:hAnsi="仿宋"/>
          <w:sz w:val="32"/>
          <w:szCs w:val="32"/>
          <w:lang w:eastAsia="zh-CN"/>
        </w:rPr>
        <w:t>岳阳鑫达实业有限公司年产抗氧化剂TNP1000吨、氯化锂400吨、催化剂二氯二茂钛项目</w:t>
      </w:r>
      <w:r w:rsidRPr="009019B4">
        <w:rPr>
          <w:rFonts w:ascii="仿宋" w:eastAsia="仿宋" w:hAnsi="仿宋" w:hint="eastAsia"/>
          <w:sz w:val="32"/>
          <w:szCs w:val="32"/>
          <w:lang w:eastAsia="zh-CN"/>
        </w:rPr>
        <w:t>环境影响报告书进行批复的报告》、云溪区环保分局预审意见及有关附件收悉。经研究，批复如下：</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一、</w:t>
      </w:r>
      <w:bookmarkStart w:id="0" w:name="OLE_LINK2"/>
      <w:bookmarkStart w:id="1" w:name="OLE_LINK8"/>
      <w:r w:rsidRPr="009019B4">
        <w:rPr>
          <w:rFonts w:ascii="仿宋" w:eastAsia="仿宋" w:hAnsi="仿宋"/>
          <w:sz w:val="32"/>
          <w:szCs w:val="32"/>
          <w:lang w:eastAsia="zh-CN"/>
        </w:rPr>
        <w:t>岳阳鑫达实业有限公司</w:t>
      </w:r>
      <w:r w:rsidRPr="009019B4">
        <w:rPr>
          <w:rFonts w:ascii="仿宋" w:eastAsia="仿宋" w:hAnsi="仿宋" w:hint="eastAsia"/>
          <w:sz w:val="32"/>
          <w:szCs w:val="32"/>
          <w:lang w:eastAsia="zh-CN"/>
        </w:rPr>
        <w:t>是原巴陵石化公司2001年改制后重组的一家股份制化工企业</w:t>
      </w:r>
      <w:r w:rsidRPr="009019B4">
        <w:rPr>
          <w:rFonts w:ascii="仿宋" w:eastAsia="仿宋" w:hAnsi="仿宋"/>
          <w:sz w:val="32"/>
          <w:szCs w:val="32"/>
          <w:lang w:eastAsia="zh-CN"/>
        </w:rPr>
        <w:t>，总投资600万元，</w:t>
      </w:r>
      <w:r w:rsidRPr="009019B4">
        <w:rPr>
          <w:rFonts w:ascii="仿宋" w:eastAsia="仿宋" w:hAnsi="仿宋" w:hint="eastAsia"/>
          <w:sz w:val="32"/>
          <w:szCs w:val="32"/>
          <w:lang w:eastAsia="zh-CN"/>
        </w:rPr>
        <w:t>位于</w:t>
      </w:r>
      <w:r w:rsidRPr="009019B4">
        <w:rPr>
          <w:rFonts w:ascii="仿宋" w:eastAsia="仿宋" w:hAnsi="仿宋"/>
          <w:sz w:val="32"/>
          <w:szCs w:val="32"/>
          <w:lang w:eastAsia="zh-CN"/>
        </w:rPr>
        <w:t>湖南省岳阳云溪区巴陵石化公司工业区岳化大道392号，公司厂区占地面积9231平方米，建筑面积4343平方米</w:t>
      </w:r>
      <w:r w:rsidRPr="009019B4">
        <w:rPr>
          <w:rFonts w:ascii="仿宋" w:eastAsia="仿宋" w:hAnsi="仿宋" w:hint="eastAsia"/>
          <w:sz w:val="32"/>
          <w:szCs w:val="32"/>
          <w:lang w:eastAsia="zh-CN"/>
        </w:rPr>
        <w:t>。根据《关于建设项目“未批先建”违法行为法律适用问题的意见》（环政法函〔2018〕31号）和《关于加强“未批先建”建设项目环境影响评价管理工作的通知》（环办环评〔2018〕18号）中相关规定，岳阳鑫达实业有限公司主动补办</w:t>
      </w:r>
      <w:r w:rsidRPr="009019B4">
        <w:rPr>
          <w:rFonts w:ascii="仿宋" w:eastAsia="仿宋" w:hAnsi="仿宋"/>
          <w:sz w:val="32"/>
          <w:szCs w:val="32"/>
          <w:lang w:eastAsia="zh-CN"/>
        </w:rPr>
        <w:t>年产抗氧化剂TNP1000吨、氯化锂400吨、催化剂二氯二茂钛12吨</w:t>
      </w:r>
      <w:r w:rsidRPr="009019B4">
        <w:rPr>
          <w:rFonts w:ascii="仿宋" w:eastAsia="仿宋" w:hAnsi="仿宋" w:hint="eastAsia"/>
          <w:sz w:val="32"/>
          <w:szCs w:val="32"/>
          <w:lang w:eastAsia="zh-CN"/>
        </w:rPr>
        <w:t>项目环评手续，</w:t>
      </w:r>
      <w:r w:rsidR="00F950B7" w:rsidRPr="009019B4">
        <w:rPr>
          <w:rFonts w:ascii="仿宋" w:eastAsia="仿宋" w:hAnsi="仿宋" w:hint="eastAsia"/>
          <w:sz w:val="32"/>
          <w:szCs w:val="32"/>
          <w:lang w:eastAsia="zh-CN"/>
        </w:rPr>
        <w:t>并对环保工作进行整改，</w:t>
      </w:r>
      <w:r w:rsidRPr="009019B4">
        <w:rPr>
          <w:rFonts w:ascii="仿宋" w:eastAsia="仿宋" w:hAnsi="仿宋" w:hint="eastAsia"/>
          <w:sz w:val="32"/>
          <w:szCs w:val="32"/>
          <w:lang w:eastAsia="zh-CN"/>
        </w:rPr>
        <w:t>项目以壬基酚、三氯化磷、碱液为原料通过反应、减压精馏生产抗氧剂TNP，以锂水、盐酸、碱液为原料通过中和反应、浓缩结晶、离心分离、干燥生产氯化锂，以双环戊二烯、四氯化钛、二乙胺、甲醇、甲苯、四氢呋喃为原料通过裂解、合成、结晶、洗涤、重结晶、过滤生产催化剂二氯二</w:t>
      </w:r>
      <w:r w:rsidRPr="009019B4">
        <w:rPr>
          <w:rFonts w:ascii="仿宋" w:eastAsia="仿宋" w:hAnsi="仿宋" w:hint="eastAsia"/>
          <w:sz w:val="32"/>
          <w:szCs w:val="32"/>
          <w:lang w:eastAsia="zh-CN"/>
        </w:rPr>
        <w:lastRenderedPageBreak/>
        <w:t>茂钛。</w:t>
      </w:r>
      <w:bookmarkEnd w:id="0"/>
      <w:r w:rsidR="00F950B7" w:rsidRPr="009019B4">
        <w:rPr>
          <w:rFonts w:ascii="仿宋" w:eastAsia="仿宋" w:hAnsi="仿宋" w:hint="eastAsia"/>
          <w:sz w:val="32"/>
          <w:szCs w:val="32"/>
          <w:lang w:eastAsia="zh-CN"/>
        </w:rPr>
        <w:t>项目建设符合国家产业政策；</w:t>
      </w:r>
      <w:r w:rsidRPr="009019B4">
        <w:rPr>
          <w:rFonts w:ascii="仿宋" w:eastAsia="仿宋" w:hAnsi="仿宋" w:hint="eastAsia"/>
          <w:sz w:val="32"/>
          <w:szCs w:val="32"/>
          <w:lang w:eastAsia="zh-CN"/>
        </w:rPr>
        <w:t>根据</w:t>
      </w:r>
      <w:bookmarkStart w:id="2" w:name="OLE_LINK1"/>
      <w:r w:rsidRPr="009019B4">
        <w:rPr>
          <w:rFonts w:ascii="仿宋" w:eastAsia="仿宋" w:hAnsi="仿宋" w:hint="eastAsia"/>
          <w:sz w:val="32"/>
          <w:szCs w:val="32"/>
          <w:lang w:eastAsia="zh-CN"/>
        </w:rPr>
        <w:t>广西博环环境咨询服务有限公司</w:t>
      </w:r>
      <w:bookmarkEnd w:id="2"/>
      <w:r w:rsidRPr="009019B4">
        <w:rPr>
          <w:rFonts w:ascii="仿宋" w:eastAsia="仿宋" w:hAnsi="仿宋" w:hint="eastAsia"/>
          <w:sz w:val="32"/>
          <w:szCs w:val="32"/>
          <w:lang w:eastAsia="zh-CN"/>
        </w:rPr>
        <w:t>编制的《岳阳鑫达实业有限公司</w:t>
      </w:r>
      <w:r w:rsidRPr="009019B4">
        <w:rPr>
          <w:rFonts w:ascii="仿宋" w:eastAsia="仿宋" w:hAnsi="仿宋"/>
          <w:sz w:val="32"/>
          <w:szCs w:val="32"/>
          <w:lang w:eastAsia="zh-CN"/>
        </w:rPr>
        <w:t>年产抗氧化剂TNP1000吨、氯化锂400吨、催化剂二氯二茂钛12吨</w:t>
      </w:r>
      <w:r w:rsidRPr="009019B4">
        <w:rPr>
          <w:rFonts w:ascii="仿宋" w:eastAsia="仿宋" w:hAnsi="仿宋" w:hint="eastAsia"/>
          <w:sz w:val="32"/>
          <w:szCs w:val="32"/>
          <w:lang w:eastAsia="zh-CN"/>
        </w:rPr>
        <w:t>项目环境影响报告书（报批稿）》基本内容、结论，专家评审意见和云溪区环保分局预审意见，综合考虑，</w:t>
      </w:r>
      <w:bookmarkEnd w:id="1"/>
      <w:r w:rsidRPr="009019B4">
        <w:rPr>
          <w:rFonts w:ascii="仿宋" w:eastAsia="仿宋" w:hAnsi="仿宋" w:hint="eastAsia"/>
          <w:sz w:val="32"/>
          <w:szCs w:val="32"/>
          <w:lang w:eastAsia="zh-CN"/>
        </w:rPr>
        <w:t>我局原则同意你公司环境影响报告书中所列建设项目的性质、规模、工艺、地点和环境保护对策措施。</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二、项目建设和营运必须全面落实专家及环境影响报告书中提出的各项污染防治措施，并应着重注意以下问题：</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bookmarkStart w:id="3" w:name="OLE_LINK3"/>
      <w:r w:rsidRPr="009019B4">
        <w:rPr>
          <w:rFonts w:ascii="仿宋" w:eastAsia="仿宋" w:hAnsi="仿宋" w:hint="eastAsia"/>
          <w:sz w:val="32"/>
          <w:szCs w:val="32"/>
          <w:lang w:eastAsia="zh-CN"/>
        </w:rPr>
        <w:t>1、废水污染防治工作。</w:t>
      </w:r>
      <w:bookmarkStart w:id="4" w:name="OLE_LINK9"/>
      <w:r w:rsidRPr="009019B4">
        <w:rPr>
          <w:rFonts w:ascii="仿宋" w:eastAsia="仿宋" w:hAnsi="仿宋" w:hint="eastAsia"/>
          <w:sz w:val="32"/>
          <w:szCs w:val="32"/>
          <w:lang w:eastAsia="zh-CN"/>
        </w:rPr>
        <w:t>严格按照“雨污分流、清污分流、污污分流”的原则规范完善项目厂区雨水及污水管网。项目生产废水经厂区内污水处理装置预处理后排入巴陵石化供排水事业部污水处理厂进一步处理，执行《石油化学工业污染物排放标准》（GB31571-2015）、《无机工业污染物排放标准》（GB31573-2015）标准及巴陵石化供排水事业部污水处理厂进水水质要求。</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按照分区防控的原则落实报告书提出地下水污染防治措施，做好生产车间、储罐区等区域的防腐、防渗工作，强化管理，避免由于管道破损等造成污染物下渗污染地下水；根据《环境影响评价技术导则地下水环境》(HJ610-2016)要求，跟踪监测地下水质情况，确保地下水环境安全。</w:t>
      </w:r>
    </w:p>
    <w:p w:rsidR="00233E3F" w:rsidRPr="009019B4"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2、</w:t>
      </w:r>
      <w:r w:rsidR="00C24DB9" w:rsidRPr="009019B4">
        <w:rPr>
          <w:rFonts w:ascii="仿宋" w:eastAsia="仿宋" w:hAnsi="仿宋" w:hint="eastAsia"/>
          <w:sz w:val="32"/>
          <w:szCs w:val="32"/>
          <w:lang w:eastAsia="zh-CN"/>
        </w:rPr>
        <w:t>废气污染防治工作。项目应采用密闭生产装置，加强对机泵、阀门、法兰等易发生泄漏的设备与管线组件的日常监管和维护，定期检测、及时修复，杜绝贮存及生产过程中的跑、冒、滴、漏，最大限度减少生产过程中的废气无组织排放，</w:t>
      </w:r>
      <w:r w:rsidR="00C24DB9" w:rsidRPr="009019B4">
        <w:rPr>
          <w:rFonts w:ascii="仿宋" w:eastAsia="仿宋" w:hAnsi="仿宋"/>
          <w:sz w:val="32"/>
          <w:szCs w:val="32"/>
          <w:lang w:eastAsia="zh-CN"/>
        </w:rPr>
        <w:t>各生产设施产生的</w:t>
      </w:r>
      <w:r w:rsidR="00C24DB9" w:rsidRPr="009019B4">
        <w:rPr>
          <w:rFonts w:ascii="仿宋" w:eastAsia="仿宋" w:hAnsi="仿宋" w:hint="eastAsia"/>
          <w:sz w:val="32"/>
          <w:szCs w:val="32"/>
          <w:lang w:eastAsia="zh-CN"/>
        </w:rPr>
        <w:t>有机</w:t>
      </w:r>
      <w:r w:rsidR="00C24DB9" w:rsidRPr="009019B4">
        <w:rPr>
          <w:rFonts w:ascii="仿宋" w:eastAsia="仿宋" w:hAnsi="仿宋"/>
          <w:sz w:val="32"/>
          <w:szCs w:val="32"/>
          <w:lang w:eastAsia="zh-CN"/>
        </w:rPr>
        <w:t>废气都由密封管道连接巴陵石化放空总管，通向巴陵石化火炬台进行燃烧处理。TNP生产线中防腐水池增加密闭集气罩，确保项目废水中的氯化氢全部接受碱液喷淋处理，减小氯化氢无组织挥发量。</w:t>
      </w:r>
      <w:r w:rsidR="00C24DB9" w:rsidRPr="009019B4">
        <w:rPr>
          <w:rFonts w:ascii="仿宋" w:eastAsia="仿宋" w:hAnsi="仿宋" w:hint="eastAsia"/>
          <w:sz w:val="32"/>
          <w:szCs w:val="32"/>
          <w:lang w:eastAsia="zh-CN"/>
        </w:rPr>
        <w:t>确保颗粒物、氯化氢、甲苯满</w:t>
      </w:r>
      <w:r w:rsidR="00C24DB9" w:rsidRPr="009019B4">
        <w:rPr>
          <w:rFonts w:ascii="仿宋" w:eastAsia="仿宋" w:hAnsi="仿宋" w:hint="eastAsia"/>
          <w:sz w:val="32"/>
          <w:szCs w:val="32"/>
          <w:lang w:eastAsia="zh-CN"/>
        </w:rPr>
        <w:lastRenderedPageBreak/>
        <w:t>足《石油化学工业污染物排放标准》（GB31571-2015）《无机化学工业污染物排放标准》（GB31573-2015）中无组织排放监控浓度限值，VOCs满足《工业企业挥发性有机物排放控制标准》（DB12/524-2014）中厂界监控点浓度限值；</w:t>
      </w:r>
    </w:p>
    <w:p w:rsidR="00233E3F" w:rsidRPr="009019B4"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3、</w:t>
      </w:r>
      <w:r w:rsidR="00C24DB9" w:rsidRPr="009019B4">
        <w:rPr>
          <w:rFonts w:ascii="仿宋" w:eastAsia="仿宋" w:hAnsi="仿宋" w:hint="eastAsia"/>
          <w:sz w:val="32"/>
          <w:szCs w:val="32"/>
          <w:lang w:eastAsia="zh-CN"/>
        </w:rPr>
        <w:t>噪声污染防治工作。采用低噪声设备，对产生噪声的设备和工序进行合理布局，对反应釜、风机、水泵等主要声源采取隔声、减震、消声等措施，确保厂界噪声满足《工业企业厂界环境噪声排放标准》(GB12348-2008)中的3类标准要求。</w:t>
      </w:r>
    </w:p>
    <w:p w:rsidR="00233E3F" w:rsidRPr="009019B4"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4、</w:t>
      </w:r>
      <w:r w:rsidR="00C24DB9" w:rsidRPr="009019B4">
        <w:rPr>
          <w:rFonts w:ascii="仿宋" w:eastAsia="仿宋" w:hAnsi="仿宋" w:hint="eastAsia"/>
          <w:sz w:val="32"/>
          <w:szCs w:val="32"/>
          <w:lang w:eastAsia="zh-CN"/>
        </w:rPr>
        <w:t>固体废物防治工作。按“无害化、减量化、资源化”原则，做好固体废物的分类收集、贮存、处置、管理工作，建立台账；按《危险废物贮存污染控制标准（GB18597-2001）》和2013年修改单标准要求开展危险废物的贮存和运输工作，规范建设危险废物暂存场，各类危险废物应存放在危险废物暂存场并委托有资质的单位进行处理；按《一般工业固体废物贮存、处置场污染控制标准（GB18599-2001）》和2013年修改单标准要求建设一般固废暂存场，一般原料废包装材料回收利用；生活垃圾交环卫部门统一收集处理。</w:t>
      </w:r>
    </w:p>
    <w:p w:rsidR="00233E3F" w:rsidRPr="009019B4"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5</w:t>
      </w:r>
      <w:r w:rsidR="00C24DB9" w:rsidRPr="009019B4">
        <w:rPr>
          <w:rFonts w:ascii="仿宋" w:eastAsia="仿宋" w:hAnsi="仿宋" w:hint="eastAsia"/>
          <w:sz w:val="32"/>
          <w:szCs w:val="32"/>
          <w:lang w:eastAsia="zh-CN"/>
        </w:rPr>
        <w:t>、加强营运期风险防范，落实各项风险防范措施。加强设施设备的维护和管理，加强对装置区、储罐区等区域的巡查、管理与维修，建立完善的消防和防雷系统；应严格按照《突发环境事件应急预案管理暂行办法》修订完善</w:t>
      </w:r>
      <w:bookmarkStart w:id="5" w:name="_GoBack"/>
      <w:bookmarkEnd w:id="5"/>
      <w:r w:rsidR="00C24DB9" w:rsidRPr="009019B4">
        <w:rPr>
          <w:rFonts w:ascii="仿宋" w:eastAsia="仿宋" w:hAnsi="仿宋" w:hint="eastAsia"/>
          <w:sz w:val="32"/>
          <w:szCs w:val="32"/>
          <w:lang w:eastAsia="zh-CN"/>
        </w:rPr>
        <w:t>事故环境应急预案，储备风险救助物资并组织演练，杜绝环境风险事故发生。</w:t>
      </w:r>
    </w:p>
    <w:p w:rsidR="00233E3F" w:rsidRPr="009019B4"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6</w:t>
      </w:r>
      <w:r w:rsidR="00C24DB9" w:rsidRPr="009019B4">
        <w:rPr>
          <w:rFonts w:ascii="仿宋" w:eastAsia="仿宋" w:hAnsi="仿宋" w:hint="eastAsia"/>
          <w:sz w:val="32"/>
          <w:szCs w:val="32"/>
          <w:lang w:eastAsia="zh-CN"/>
        </w:rPr>
        <w:t>、加强环境管理，建立健全污染防治设施运行管理台帐，设专门的环保机构及环保人员，确保各项污染防治设施的正常运行，各类污染物稳定达标排放。</w:t>
      </w:r>
    </w:p>
    <w:p w:rsidR="00233630" w:rsidRDefault="00806769" w:rsidP="00233630">
      <w:pPr>
        <w:spacing w:line="48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7</w:t>
      </w:r>
      <w:r w:rsidR="00F950B7" w:rsidRPr="009019B4">
        <w:rPr>
          <w:rFonts w:ascii="仿宋" w:eastAsia="仿宋" w:hAnsi="仿宋" w:hint="eastAsia"/>
          <w:sz w:val="32"/>
          <w:szCs w:val="32"/>
          <w:lang w:eastAsia="zh-CN"/>
        </w:rPr>
        <w:t>、你公司核定的总量指标为：COD≤0.2t/a，氨氮≤0.1t/a，VOCs≤1.2t/a。</w:t>
      </w:r>
      <w:bookmarkEnd w:id="3"/>
      <w:bookmarkEnd w:id="4"/>
    </w:p>
    <w:p w:rsidR="00233E3F" w:rsidRPr="00233630" w:rsidRDefault="00233630" w:rsidP="00233630">
      <w:pPr>
        <w:widowControl w:val="0"/>
        <w:spacing w:line="480" w:lineRule="exact"/>
        <w:ind w:firstLineChars="200" w:firstLine="640"/>
        <w:jc w:val="both"/>
        <w:rPr>
          <w:rFonts w:ascii="仿宋" w:eastAsia="仿宋" w:hAnsi="仿宋"/>
          <w:sz w:val="32"/>
          <w:szCs w:val="32"/>
          <w:lang w:eastAsia="zh-CN"/>
        </w:rPr>
      </w:pPr>
      <w:r w:rsidRPr="00233630">
        <w:rPr>
          <w:rFonts w:ascii="仿宋" w:eastAsia="仿宋" w:hAnsi="仿宋" w:hint="eastAsia"/>
          <w:sz w:val="32"/>
          <w:szCs w:val="32"/>
          <w:lang w:eastAsia="zh-CN"/>
        </w:rPr>
        <w:t>三、你公司应收到本批复后15个工作日内，将批复及批准的环评报告文件送云溪区环保分局、岳阳市绿色化工产业园管</w:t>
      </w:r>
      <w:r w:rsidR="00C24DB9" w:rsidRPr="00233630">
        <w:rPr>
          <w:rFonts w:ascii="仿宋" w:eastAsia="仿宋" w:hAnsi="仿宋" w:hint="eastAsia"/>
          <w:sz w:val="32"/>
          <w:szCs w:val="32"/>
          <w:lang w:eastAsia="zh-CN"/>
        </w:rPr>
        <w:lastRenderedPageBreak/>
        <w:t>管委会、广西博环环境咨询服务有限公司。</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hint="eastAsia"/>
          <w:sz w:val="32"/>
          <w:szCs w:val="32"/>
          <w:lang w:eastAsia="zh-CN"/>
        </w:rPr>
        <w:t>四、请云溪区环保分局负责项目建设和运营期的日常环境监管</w:t>
      </w:r>
      <w:r w:rsidRPr="009019B4">
        <w:rPr>
          <w:rFonts w:ascii="仿宋" w:eastAsia="仿宋" w:hAnsi="仿宋"/>
          <w:sz w:val="32"/>
          <w:szCs w:val="32"/>
          <w:lang w:eastAsia="zh-CN"/>
        </w:rPr>
        <w:t>。</w:t>
      </w:r>
    </w:p>
    <w:p w:rsidR="00233E3F" w:rsidRPr="009019B4" w:rsidRDefault="00233E3F" w:rsidP="00233630">
      <w:pPr>
        <w:spacing w:line="480" w:lineRule="exact"/>
        <w:ind w:firstLineChars="200" w:firstLine="640"/>
        <w:jc w:val="both"/>
        <w:rPr>
          <w:rFonts w:ascii="仿宋" w:eastAsia="仿宋" w:hAnsi="仿宋"/>
          <w:sz w:val="32"/>
          <w:szCs w:val="32"/>
          <w:lang w:eastAsia="zh-CN"/>
        </w:rPr>
      </w:pPr>
    </w:p>
    <w:p w:rsidR="00233E3F" w:rsidRDefault="00233E3F" w:rsidP="00233630">
      <w:pPr>
        <w:spacing w:line="480" w:lineRule="exact"/>
        <w:ind w:firstLineChars="200" w:firstLine="640"/>
        <w:jc w:val="both"/>
        <w:rPr>
          <w:rFonts w:ascii="仿宋" w:eastAsia="仿宋" w:hAnsi="仿宋"/>
          <w:sz w:val="32"/>
          <w:szCs w:val="32"/>
          <w:lang w:eastAsia="zh-CN"/>
        </w:rPr>
      </w:pPr>
    </w:p>
    <w:p w:rsidR="009019B4" w:rsidRPr="009019B4" w:rsidRDefault="009019B4" w:rsidP="00233630">
      <w:pPr>
        <w:spacing w:line="480" w:lineRule="exact"/>
        <w:ind w:firstLineChars="200" w:firstLine="640"/>
        <w:jc w:val="both"/>
        <w:rPr>
          <w:rFonts w:ascii="仿宋" w:eastAsia="仿宋" w:hAnsi="仿宋"/>
          <w:sz w:val="32"/>
          <w:szCs w:val="32"/>
          <w:lang w:eastAsia="zh-CN"/>
        </w:rPr>
      </w:pPr>
    </w:p>
    <w:p w:rsidR="00233E3F" w:rsidRPr="009019B4" w:rsidRDefault="00C24DB9" w:rsidP="00233630">
      <w:pPr>
        <w:spacing w:line="480" w:lineRule="exact"/>
        <w:ind w:firstLineChars="1550" w:firstLine="4960"/>
        <w:jc w:val="both"/>
        <w:rPr>
          <w:rFonts w:ascii="仿宋" w:eastAsia="仿宋" w:hAnsi="仿宋"/>
          <w:sz w:val="32"/>
          <w:szCs w:val="32"/>
          <w:lang w:eastAsia="zh-CN"/>
        </w:rPr>
      </w:pPr>
      <w:r w:rsidRPr="009019B4">
        <w:rPr>
          <w:rFonts w:ascii="仿宋" w:eastAsia="仿宋" w:hAnsi="仿宋"/>
          <w:sz w:val="32"/>
          <w:szCs w:val="32"/>
          <w:lang w:eastAsia="zh-CN"/>
        </w:rPr>
        <w:t>岳阳市环境保护局</w:t>
      </w:r>
    </w:p>
    <w:p w:rsidR="00233E3F" w:rsidRPr="009019B4" w:rsidRDefault="00C24DB9" w:rsidP="00233630">
      <w:pPr>
        <w:spacing w:line="480" w:lineRule="exact"/>
        <w:ind w:firstLineChars="200" w:firstLine="640"/>
        <w:jc w:val="both"/>
        <w:rPr>
          <w:rFonts w:ascii="仿宋" w:eastAsia="仿宋" w:hAnsi="仿宋"/>
          <w:sz w:val="32"/>
          <w:szCs w:val="32"/>
          <w:lang w:eastAsia="zh-CN"/>
        </w:rPr>
      </w:pPr>
      <w:r w:rsidRPr="009019B4">
        <w:rPr>
          <w:rFonts w:ascii="仿宋" w:eastAsia="仿宋" w:hAnsi="仿宋"/>
          <w:sz w:val="32"/>
          <w:szCs w:val="32"/>
          <w:lang w:eastAsia="zh-CN"/>
        </w:rPr>
        <w:t xml:space="preserve"> </w:t>
      </w:r>
      <w:r w:rsidR="009019B4">
        <w:rPr>
          <w:rFonts w:ascii="仿宋" w:eastAsia="仿宋" w:hAnsi="仿宋" w:hint="eastAsia"/>
          <w:sz w:val="32"/>
          <w:szCs w:val="32"/>
          <w:lang w:eastAsia="zh-CN"/>
        </w:rPr>
        <w:t xml:space="preserve">                       </w:t>
      </w:r>
      <w:r w:rsidR="00806769">
        <w:rPr>
          <w:rFonts w:ascii="仿宋" w:eastAsia="仿宋" w:hAnsi="仿宋" w:hint="eastAsia"/>
          <w:sz w:val="32"/>
          <w:szCs w:val="32"/>
          <w:lang w:eastAsia="zh-CN"/>
        </w:rPr>
        <w:t xml:space="preserve">  </w:t>
      </w:r>
      <w:r w:rsidR="009019B4">
        <w:rPr>
          <w:rFonts w:ascii="仿宋" w:eastAsia="仿宋" w:hAnsi="仿宋" w:hint="eastAsia"/>
          <w:sz w:val="32"/>
          <w:szCs w:val="32"/>
          <w:lang w:eastAsia="zh-CN"/>
        </w:rPr>
        <w:t xml:space="preserve">  </w:t>
      </w:r>
      <w:r w:rsidRPr="009019B4">
        <w:rPr>
          <w:rFonts w:ascii="仿宋" w:eastAsia="仿宋" w:hAnsi="仿宋"/>
          <w:sz w:val="32"/>
          <w:szCs w:val="32"/>
          <w:lang w:eastAsia="zh-CN"/>
        </w:rPr>
        <w:t>201</w:t>
      </w:r>
      <w:r w:rsidRPr="009019B4">
        <w:rPr>
          <w:rFonts w:ascii="仿宋" w:eastAsia="仿宋" w:hAnsi="仿宋" w:hint="eastAsia"/>
          <w:sz w:val="32"/>
          <w:szCs w:val="32"/>
          <w:lang w:eastAsia="zh-CN"/>
        </w:rPr>
        <w:t>8年</w:t>
      </w:r>
      <w:r w:rsidR="004C2F4C">
        <w:rPr>
          <w:rFonts w:ascii="仿宋" w:eastAsia="仿宋" w:hAnsi="仿宋" w:hint="eastAsia"/>
          <w:sz w:val="32"/>
          <w:szCs w:val="32"/>
          <w:lang w:eastAsia="zh-CN"/>
        </w:rPr>
        <w:t>9</w:t>
      </w:r>
      <w:r w:rsidRPr="009019B4">
        <w:rPr>
          <w:rFonts w:ascii="仿宋" w:eastAsia="仿宋" w:hAnsi="仿宋"/>
          <w:sz w:val="32"/>
          <w:szCs w:val="32"/>
          <w:lang w:eastAsia="zh-CN"/>
        </w:rPr>
        <w:t>月</w:t>
      </w:r>
      <w:r w:rsidR="004C2F4C">
        <w:rPr>
          <w:rFonts w:ascii="仿宋" w:eastAsia="仿宋" w:hAnsi="仿宋" w:hint="eastAsia"/>
          <w:sz w:val="32"/>
          <w:szCs w:val="32"/>
          <w:lang w:eastAsia="zh-CN"/>
        </w:rPr>
        <w:t>5</w:t>
      </w:r>
      <w:r w:rsidRPr="009019B4">
        <w:rPr>
          <w:rFonts w:ascii="仿宋" w:eastAsia="仿宋" w:hAnsi="仿宋"/>
          <w:sz w:val="32"/>
          <w:szCs w:val="32"/>
          <w:lang w:eastAsia="zh-CN"/>
        </w:rPr>
        <w:t>日</w:t>
      </w:r>
    </w:p>
    <w:p w:rsidR="00233E3F" w:rsidRDefault="00233E3F" w:rsidP="00233630">
      <w:pPr>
        <w:shd w:val="clear" w:color="auto" w:fill="FFFFFF"/>
        <w:spacing w:line="480" w:lineRule="exact"/>
        <w:ind w:firstLine="0"/>
        <w:jc w:val="both"/>
        <w:rPr>
          <w:rFonts w:ascii="仿宋" w:eastAsia="仿宋" w:hAnsi="仿宋" w:cs="_4eff_5b8b_GB2312"/>
          <w:sz w:val="32"/>
          <w:szCs w:val="32"/>
          <w:lang w:eastAsia="zh-CN" w:bidi="ar-SA"/>
        </w:rPr>
      </w:pPr>
    </w:p>
    <w:tbl>
      <w:tblPr>
        <w:tblpPr w:leftFromText="180" w:rightFromText="180" w:vertAnchor="text" w:horzAnchor="margin" w:tblpY="8551"/>
        <w:tblW w:w="8732" w:type="dxa"/>
        <w:tblBorders>
          <w:top w:val="single" w:sz="4" w:space="0" w:color="auto"/>
          <w:bottom w:val="single" w:sz="4" w:space="0" w:color="auto"/>
        </w:tblBorders>
        <w:tblLayout w:type="fixed"/>
        <w:tblLook w:val="04A0"/>
      </w:tblPr>
      <w:tblGrid>
        <w:gridCol w:w="8732"/>
      </w:tblGrid>
      <w:tr w:rsidR="00233630" w:rsidTr="00233630">
        <w:trPr>
          <w:trHeight w:val="1005"/>
        </w:trPr>
        <w:tc>
          <w:tcPr>
            <w:tcW w:w="8732" w:type="dxa"/>
            <w:tcBorders>
              <w:top w:val="single" w:sz="4" w:space="0" w:color="auto"/>
              <w:left w:val="nil"/>
              <w:bottom w:val="single" w:sz="4" w:space="0" w:color="auto"/>
              <w:right w:val="nil"/>
            </w:tcBorders>
          </w:tcPr>
          <w:p w:rsidR="00233630" w:rsidRDefault="00233630" w:rsidP="00233630">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bCs/>
                <w:sz w:val="32"/>
                <w:szCs w:val="32"/>
                <w:lang w:eastAsia="zh-CN" w:bidi="ar-SA"/>
              </w:rPr>
              <w:t>抄送:</w:t>
            </w:r>
            <w:r>
              <w:rPr>
                <w:rFonts w:ascii="仿宋" w:eastAsia="仿宋" w:hAnsi="仿宋" w:cs="_4eff_5b8b_GB2312" w:hint="eastAsia"/>
                <w:bCs/>
                <w:sz w:val="32"/>
                <w:szCs w:val="32"/>
                <w:lang w:eastAsia="zh-CN" w:bidi="ar-SA"/>
              </w:rPr>
              <w:t>云溪区环保分局、岳阳市绿色化工产业园管委会、广西博环环境咨询服务有限公司</w:t>
            </w:r>
          </w:p>
        </w:tc>
      </w:tr>
    </w:tbl>
    <w:p w:rsidR="00233E3F" w:rsidRDefault="00233E3F" w:rsidP="00233630">
      <w:pPr>
        <w:spacing w:line="480" w:lineRule="exact"/>
        <w:ind w:firstLine="0"/>
        <w:rPr>
          <w:lang w:eastAsia="zh-CN"/>
        </w:rPr>
      </w:pPr>
    </w:p>
    <w:sectPr w:rsidR="00233E3F" w:rsidSect="004C2F4C">
      <w:headerReference w:type="default" r:id="rId8"/>
      <w:footerReference w:type="default" r:id="rId9"/>
      <w:headerReference w:type="first" r:id="rId10"/>
      <w:pgSz w:w="11906" w:h="16838"/>
      <w:pgMar w:top="1440" w:right="1588"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6C7" w:rsidRDefault="007136C7" w:rsidP="00C24DB9">
      <w:pPr>
        <w:ind w:firstLine="400"/>
      </w:pPr>
      <w:r>
        <w:separator/>
      </w:r>
    </w:p>
  </w:endnote>
  <w:endnote w:type="continuationSeparator" w:id="1">
    <w:p w:rsidR="007136C7" w:rsidRDefault="007136C7" w:rsidP="00C24DB9">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00000" w:csb1="00000000"/>
  </w:font>
  <w:font w:name="_9ed1_4f5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8877"/>
      <w:docPartObj>
        <w:docPartGallery w:val="Page Numbers (Bottom of Page)"/>
        <w:docPartUnique/>
      </w:docPartObj>
    </w:sdtPr>
    <w:sdtContent>
      <w:p w:rsidR="004C2F4C" w:rsidRDefault="004C2F4C">
        <w:pPr>
          <w:pStyle w:val="a3"/>
          <w:jc w:val="center"/>
        </w:pPr>
        <w:fldSimple w:instr=" PAGE   \* MERGEFORMAT ">
          <w:r w:rsidRPr="004C2F4C">
            <w:rPr>
              <w:noProof/>
              <w:lang w:val="zh-CN"/>
            </w:rPr>
            <w:t>2</w:t>
          </w:r>
        </w:fldSimple>
      </w:p>
    </w:sdtContent>
  </w:sdt>
  <w:p w:rsidR="004C2F4C" w:rsidRDefault="004C2F4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6C7" w:rsidRDefault="007136C7" w:rsidP="00C24DB9">
      <w:pPr>
        <w:ind w:firstLine="400"/>
      </w:pPr>
      <w:r>
        <w:separator/>
      </w:r>
    </w:p>
  </w:footnote>
  <w:footnote w:type="continuationSeparator" w:id="1">
    <w:p w:rsidR="007136C7" w:rsidRDefault="007136C7" w:rsidP="00C24DB9">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C" w:rsidRPr="004C2F4C" w:rsidRDefault="004C2F4C" w:rsidP="004C2F4C">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4C" w:rsidRPr="004C2F4C" w:rsidRDefault="004C2F4C" w:rsidP="004C2F4C">
    <w:pPr>
      <w:ind w:lef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A9FCA"/>
    <w:multiLevelType w:val="singleLevel"/>
    <w:tmpl w:val="5AFA9FC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ADA"/>
    <w:rsid w:val="00047DA7"/>
    <w:rsid w:val="00053EDF"/>
    <w:rsid w:val="000A3192"/>
    <w:rsid w:val="000A5692"/>
    <w:rsid w:val="000B2D5A"/>
    <w:rsid w:val="000E6EC7"/>
    <w:rsid w:val="001532BC"/>
    <w:rsid w:val="001F47D6"/>
    <w:rsid w:val="00233630"/>
    <w:rsid w:val="00233E3F"/>
    <w:rsid w:val="00262E5B"/>
    <w:rsid w:val="002656B2"/>
    <w:rsid w:val="00294CE1"/>
    <w:rsid w:val="002A15F6"/>
    <w:rsid w:val="002B4682"/>
    <w:rsid w:val="002D7FA8"/>
    <w:rsid w:val="002E19C6"/>
    <w:rsid w:val="002E1DAB"/>
    <w:rsid w:val="00340880"/>
    <w:rsid w:val="00350E70"/>
    <w:rsid w:val="00372520"/>
    <w:rsid w:val="003749D8"/>
    <w:rsid w:val="00405909"/>
    <w:rsid w:val="00422ADA"/>
    <w:rsid w:val="00486E64"/>
    <w:rsid w:val="00495B72"/>
    <w:rsid w:val="004A1657"/>
    <w:rsid w:val="004A18E4"/>
    <w:rsid w:val="004B58C4"/>
    <w:rsid w:val="004C2F4C"/>
    <w:rsid w:val="004D2CE0"/>
    <w:rsid w:val="005813B5"/>
    <w:rsid w:val="005B03E5"/>
    <w:rsid w:val="005B4D3F"/>
    <w:rsid w:val="006535E5"/>
    <w:rsid w:val="0067616C"/>
    <w:rsid w:val="00687349"/>
    <w:rsid w:val="00693EA7"/>
    <w:rsid w:val="006969E5"/>
    <w:rsid w:val="006E38A2"/>
    <w:rsid w:val="007136C7"/>
    <w:rsid w:val="00726155"/>
    <w:rsid w:val="00727774"/>
    <w:rsid w:val="007D03E7"/>
    <w:rsid w:val="007D6B88"/>
    <w:rsid w:val="00806769"/>
    <w:rsid w:val="00813AF1"/>
    <w:rsid w:val="008577D1"/>
    <w:rsid w:val="0089460E"/>
    <w:rsid w:val="008B240A"/>
    <w:rsid w:val="008B7539"/>
    <w:rsid w:val="008C5D7B"/>
    <w:rsid w:val="008E347F"/>
    <w:rsid w:val="008E3484"/>
    <w:rsid w:val="008F0E62"/>
    <w:rsid w:val="009019B4"/>
    <w:rsid w:val="00913099"/>
    <w:rsid w:val="00915283"/>
    <w:rsid w:val="00917AB4"/>
    <w:rsid w:val="009241C7"/>
    <w:rsid w:val="0095216E"/>
    <w:rsid w:val="00970734"/>
    <w:rsid w:val="00994A50"/>
    <w:rsid w:val="009F4CB6"/>
    <w:rsid w:val="00A20900"/>
    <w:rsid w:val="00A259C3"/>
    <w:rsid w:val="00A37FDE"/>
    <w:rsid w:val="00A417A0"/>
    <w:rsid w:val="00A603D6"/>
    <w:rsid w:val="00A62E3A"/>
    <w:rsid w:val="00AC57F2"/>
    <w:rsid w:val="00AD73BA"/>
    <w:rsid w:val="00AE6436"/>
    <w:rsid w:val="00B021B7"/>
    <w:rsid w:val="00B167D4"/>
    <w:rsid w:val="00B20B21"/>
    <w:rsid w:val="00B4399C"/>
    <w:rsid w:val="00B66C53"/>
    <w:rsid w:val="00BA1674"/>
    <w:rsid w:val="00BF388C"/>
    <w:rsid w:val="00C13441"/>
    <w:rsid w:val="00C24DB9"/>
    <w:rsid w:val="00C30586"/>
    <w:rsid w:val="00C54BCA"/>
    <w:rsid w:val="00C61378"/>
    <w:rsid w:val="00C8593B"/>
    <w:rsid w:val="00CE0375"/>
    <w:rsid w:val="00D279BC"/>
    <w:rsid w:val="00D54DD4"/>
    <w:rsid w:val="00D55087"/>
    <w:rsid w:val="00D62474"/>
    <w:rsid w:val="00D853BC"/>
    <w:rsid w:val="00DA6EE7"/>
    <w:rsid w:val="00DE220C"/>
    <w:rsid w:val="00DE6AD2"/>
    <w:rsid w:val="00E37B00"/>
    <w:rsid w:val="00ED6365"/>
    <w:rsid w:val="00EE3BA2"/>
    <w:rsid w:val="00F305B4"/>
    <w:rsid w:val="00F35C25"/>
    <w:rsid w:val="00F45756"/>
    <w:rsid w:val="00F61F8B"/>
    <w:rsid w:val="00F83EC5"/>
    <w:rsid w:val="00F950B7"/>
    <w:rsid w:val="00FD106B"/>
    <w:rsid w:val="00FF275C"/>
    <w:rsid w:val="033E4742"/>
    <w:rsid w:val="058D752E"/>
    <w:rsid w:val="13CD3B0F"/>
    <w:rsid w:val="29BB0D3B"/>
    <w:rsid w:val="2CE80E08"/>
    <w:rsid w:val="459A21BC"/>
    <w:rsid w:val="476F0A19"/>
    <w:rsid w:val="4C456D13"/>
    <w:rsid w:val="517E4BC3"/>
    <w:rsid w:val="607238E3"/>
    <w:rsid w:val="6513488A"/>
    <w:rsid w:val="692F4BF9"/>
    <w:rsid w:val="743A0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3F"/>
    <w:pPr>
      <w:ind w:firstLine="360"/>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33E3F"/>
    <w:pPr>
      <w:widowControl w:val="0"/>
      <w:tabs>
        <w:tab w:val="center" w:pos="4153"/>
        <w:tab w:val="right" w:pos="8306"/>
      </w:tabs>
      <w:snapToGrid w:val="0"/>
      <w:ind w:firstLine="0"/>
    </w:pPr>
    <w:rPr>
      <w:kern w:val="2"/>
      <w:sz w:val="18"/>
      <w:szCs w:val="18"/>
      <w:lang w:eastAsia="zh-CN" w:bidi="ar-SA"/>
    </w:rPr>
  </w:style>
  <w:style w:type="paragraph" w:styleId="a4">
    <w:name w:val="header"/>
    <w:basedOn w:val="a"/>
    <w:link w:val="Char0"/>
    <w:uiPriority w:val="99"/>
    <w:unhideWhenUsed/>
    <w:qFormat/>
    <w:rsid w:val="00233E3F"/>
    <w:pPr>
      <w:widowControl w:val="0"/>
      <w:pBdr>
        <w:bottom w:val="single" w:sz="6" w:space="1" w:color="auto"/>
      </w:pBdr>
      <w:tabs>
        <w:tab w:val="center" w:pos="4153"/>
        <w:tab w:val="right" w:pos="8306"/>
      </w:tabs>
      <w:snapToGrid w:val="0"/>
      <w:ind w:firstLine="0"/>
      <w:jc w:val="center"/>
    </w:pPr>
    <w:rPr>
      <w:kern w:val="2"/>
      <w:sz w:val="18"/>
      <w:szCs w:val="18"/>
      <w:lang w:eastAsia="zh-CN" w:bidi="ar-SA"/>
    </w:rPr>
  </w:style>
  <w:style w:type="paragraph" w:styleId="a5">
    <w:name w:val="Normal (Web)"/>
    <w:basedOn w:val="a"/>
    <w:uiPriority w:val="99"/>
    <w:unhideWhenUsed/>
    <w:rsid w:val="00233E3F"/>
    <w:pPr>
      <w:spacing w:before="100" w:beforeAutospacing="1" w:after="100" w:afterAutospacing="1"/>
    </w:pPr>
    <w:rPr>
      <w:rFonts w:ascii="宋体" w:hAnsi="宋体" w:cs="宋体"/>
      <w:sz w:val="24"/>
      <w:szCs w:val="24"/>
    </w:rPr>
  </w:style>
  <w:style w:type="character" w:customStyle="1" w:styleId="Char0">
    <w:name w:val="页眉 Char"/>
    <w:basedOn w:val="a0"/>
    <w:link w:val="a4"/>
    <w:uiPriority w:val="99"/>
    <w:qFormat/>
    <w:rsid w:val="00233E3F"/>
    <w:rPr>
      <w:sz w:val="18"/>
      <w:szCs w:val="18"/>
    </w:rPr>
  </w:style>
  <w:style w:type="character" w:customStyle="1" w:styleId="Char">
    <w:name w:val="页脚 Char"/>
    <w:basedOn w:val="a0"/>
    <w:link w:val="a3"/>
    <w:uiPriority w:val="99"/>
    <w:rsid w:val="00233E3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337</Words>
  <Characters>1925</Characters>
  <Application>Microsoft Office Word</Application>
  <DocSecurity>0</DocSecurity>
  <Lines>16</Lines>
  <Paragraphs>4</Paragraphs>
  <ScaleCrop>false</ScaleCrop>
  <Company>China</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周易鸣</dc:creator>
  <cp:lastModifiedBy>Windows 用户</cp:lastModifiedBy>
  <cp:revision>3</cp:revision>
  <cp:lastPrinted>2018-09-05T09:26:00Z</cp:lastPrinted>
  <dcterms:created xsi:type="dcterms:W3CDTF">2018-08-30T09:04:00Z</dcterms:created>
  <dcterms:modified xsi:type="dcterms:W3CDTF">2018-09-05T09:29:00Z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