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43" w:rsidRDefault="00894343">
      <w:pPr>
        <w:pStyle w:val="WPSPlain"/>
        <w:tabs>
          <w:tab w:val="left" w:pos="600"/>
        </w:tabs>
        <w:spacing w:line="480" w:lineRule="exact"/>
        <w:textAlignment w:val="top"/>
        <w:rPr>
          <w:rFonts w:eastAsia="黑体"/>
          <w:b/>
          <w:sz w:val="36"/>
        </w:rPr>
      </w:pPr>
    </w:p>
    <w:p w:rsidR="00894343" w:rsidRDefault="00894343">
      <w:pPr>
        <w:pStyle w:val="WPSPlain"/>
        <w:spacing w:line="480" w:lineRule="exact"/>
        <w:textAlignment w:val="top"/>
        <w:rPr>
          <w:rFonts w:eastAsia="黑体"/>
          <w:b/>
          <w:sz w:val="36"/>
        </w:rPr>
      </w:pPr>
    </w:p>
    <w:p w:rsidR="00894343" w:rsidRDefault="00894343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sz w:val="30"/>
          <w:szCs w:val="30"/>
        </w:rPr>
      </w:pPr>
    </w:p>
    <w:p w:rsidR="00894343" w:rsidRDefault="00894343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894343" w:rsidRDefault="00894343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894343" w:rsidRDefault="00894343">
      <w:pPr>
        <w:pStyle w:val="WPSPlain"/>
        <w:spacing w:line="320" w:lineRule="exact"/>
        <w:textAlignment w:val="top"/>
        <w:rPr>
          <w:rFonts w:eastAsia="楷体_GB2312"/>
          <w:sz w:val="30"/>
          <w:szCs w:val="30"/>
        </w:rPr>
      </w:pPr>
    </w:p>
    <w:p w:rsidR="00894343" w:rsidRDefault="00040219" w:rsidP="006E2137">
      <w:pPr>
        <w:wordWrap w:val="0"/>
        <w:ind w:left="400" w:firstLineChars="0" w:firstLine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岳环评[2017]</w:t>
      </w:r>
      <w:r w:rsidR="00E1120A">
        <w:rPr>
          <w:rFonts w:ascii="仿宋" w:eastAsia="仿宋" w:hAnsi="仿宋" w:cs="楷体_GB2312" w:hint="eastAsia"/>
          <w:sz w:val="32"/>
          <w:szCs w:val="32"/>
        </w:rPr>
        <w:t>9</w:t>
      </w:r>
      <w:r w:rsidR="00834DDE">
        <w:rPr>
          <w:rFonts w:ascii="仿宋" w:eastAsia="仿宋" w:hAnsi="仿宋" w:cs="楷体_GB2312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94343" w:rsidRDefault="00040219" w:rsidP="003F1D65">
      <w:pPr>
        <w:pStyle w:val="WPSPlain"/>
        <w:spacing w:line="460" w:lineRule="exact"/>
        <w:jc w:val="center"/>
        <w:textAlignment w:val="top"/>
        <w:rPr>
          <w:rFonts w:ascii="宋体" w:hAnsi="宋体" w:cs="黑体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关于</w:t>
      </w:r>
      <w:r w:rsidR="003C0522">
        <w:rPr>
          <w:rFonts w:ascii="宋体" w:hAnsi="宋体" w:cs="黑体" w:hint="eastAsia"/>
          <w:b/>
          <w:sz w:val="36"/>
          <w:szCs w:val="36"/>
        </w:rPr>
        <w:t>汨罗</w:t>
      </w:r>
      <w:r>
        <w:rPr>
          <w:rFonts w:ascii="宋体" w:hAnsi="宋体" w:cs="黑体" w:hint="eastAsia"/>
          <w:b/>
          <w:sz w:val="36"/>
          <w:szCs w:val="36"/>
        </w:rPr>
        <w:t>市</w:t>
      </w:r>
      <w:r w:rsidR="003C0522">
        <w:rPr>
          <w:rFonts w:ascii="宋体" w:hAnsi="宋体" w:cs="黑体" w:hint="eastAsia"/>
          <w:b/>
          <w:sz w:val="36"/>
          <w:szCs w:val="36"/>
        </w:rPr>
        <w:t>（团山再生资源大市场周边）基本农田土壤污染场地治理与修复工程</w:t>
      </w:r>
      <w:r>
        <w:rPr>
          <w:rFonts w:ascii="宋体" w:hAnsi="宋体" w:cs="黑体" w:hint="eastAsia"/>
          <w:b/>
          <w:sz w:val="36"/>
          <w:szCs w:val="36"/>
        </w:rPr>
        <w:t>环境影响报告书的批复</w:t>
      </w:r>
    </w:p>
    <w:p w:rsidR="00894343" w:rsidRDefault="00894343" w:rsidP="003F1D65">
      <w:pPr>
        <w:spacing w:line="460" w:lineRule="exact"/>
        <w:ind w:firstLineChars="0" w:firstLine="0"/>
        <w:jc w:val="center"/>
        <w:rPr>
          <w:rFonts w:ascii="宋体" w:hAnsi="宋体" w:cs="仿宋_GB2312"/>
          <w:sz w:val="44"/>
          <w:szCs w:val="44"/>
        </w:rPr>
      </w:pPr>
    </w:p>
    <w:p w:rsidR="00894343" w:rsidRDefault="003C0522" w:rsidP="003F1D65">
      <w:pPr>
        <w:spacing w:line="4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bookmarkStart w:id="0" w:name="OLE_LINK2"/>
      <w:r>
        <w:rPr>
          <w:rFonts w:ascii="仿宋" w:eastAsia="仿宋" w:hAnsi="仿宋" w:cs="仿宋_GB2312" w:hint="eastAsia"/>
          <w:sz w:val="32"/>
          <w:szCs w:val="32"/>
        </w:rPr>
        <w:t>汨罗市新市镇人民政府</w:t>
      </w:r>
      <w:bookmarkEnd w:id="0"/>
      <w:r w:rsidR="00040219">
        <w:rPr>
          <w:rFonts w:ascii="仿宋" w:eastAsia="仿宋" w:hAnsi="仿宋" w:cs="仿宋_GB2312" w:hint="eastAsia"/>
          <w:sz w:val="32"/>
          <w:szCs w:val="32"/>
        </w:rPr>
        <w:t>：</w:t>
      </w:r>
    </w:p>
    <w:p w:rsidR="00894343" w:rsidRDefault="00040219" w:rsidP="00E1120A">
      <w:pPr>
        <w:spacing w:line="4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你单位《</w:t>
      </w:r>
      <w:r w:rsidR="00C660EF">
        <w:rPr>
          <w:rFonts w:ascii="仿宋" w:eastAsia="仿宋" w:hAnsi="仿宋" w:cs="仿宋_GB2312" w:hint="eastAsia"/>
          <w:sz w:val="32"/>
          <w:szCs w:val="32"/>
        </w:rPr>
        <w:t>关于审批</w:t>
      </w:r>
      <w:r w:rsidR="00C660EF" w:rsidRPr="00C660EF">
        <w:rPr>
          <w:rFonts w:ascii="仿宋" w:eastAsia="仿宋" w:hAnsi="仿宋" w:cs="仿宋_GB2312" w:hint="eastAsia"/>
          <w:sz w:val="32"/>
          <w:szCs w:val="32"/>
        </w:rPr>
        <w:t>汨罗市（团山再生资源大市场周边）基本农田土壤污染场地治理与修复工程环境影响报告书的请示</w:t>
      </w:r>
      <w:r>
        <w:rPr>
          <w:rFonts w:ascii="仿宋" w:eastAsia="仿宋" w:hAnsi="仿宋" w:cs="仿宋_GB2312" w:hint="eastAsia"/>
          <w:sz w:val="32"/>
          <w:szCs w:val="32"/>
        </w:rPr>
        <w:t>》、</w:t>
      </w:r>
      <w:r w:rsidR="00C660EF">
        <w:rPr>
          <w:rFonts w:ascii="仿宋" w:eastAsia="仿宋" w:hAnsi="仿宋" w:cs="仿宋_GB2312" w:hint="eastAsia"/>
          <w:sz w:val="32"/>
          <w:szCs w:val="32"/>
        </w:rPr>
        <w:t>汨罗市环保局</w:t>
      </w:r>
      <w:r>
        <w:rPr>
          <w:rFonts w:ascii="仿宋" w:eastAsia="仿宋" w:hAnsi="仿宋" w:cs="仿宋_GB2312" w:hint="eastAsia"/>
          <w:sz w:val="32"/>
          <w:szCs w:val="32"/>
        </w:rPr>
        <w:t>的预审意见及有关附件收悉。经研究，批复如下：</w:t>
      </w:r>
    </w:p>
    <w:p w:rsidR="00894343" w:rsidRPr="00C75585" w:rsidRDefault="00040219" w:rsidP="00E1120A">
      <w:pPr>
        <w:spacing w:line="460" w:lineRule="exact"/>
        <w:ind w:firstLine="640"/>
        <w:jc w:val="both"/>
        <w:rPr>
          <w:rFonts w:ascii="宋体" w:hAnsi="宋体"/>
          <w:color w:val="000000"/>
          <w:sz w:val="24"/>
          <w:szCs w:val="24"/>
        </w:rPr>
      </w:pPr>
      <w:r>
        <w:rPr>
          <w:rFonts w:ascii="仿宋" w:eastAsia="仿宋" w:hAnsi="仿宋" w:cs="仿宋_GB2312" w:hint="eastAsia"/>
          <w:sz w:val="32"/>
          <w:szCs w:val="32"/>
        </w:rPr>
        <w:t>一、</w:t>
      </w:r>
      <w:bookmarkStart w:id="1" w:name="OLE_LINK3"/>
      <w:r w:rsidR="00604DAD">
        <w:rPr>
          <w:rFonts w:eastAsia="仿宋" w:hint="eastAsia"/>
          <w:sz w:val="32"/>
          <w:szCs w:val="32"/>
        </w:rPr>
        <w:t>根据《土壤污染防治行动计划》（国发</w:t>
      </w:r>
      <w:r w:rsidR="00604DAD">
        <w:rPr>
          <w:rFonts w:eastAsia="仿宋"/>
          <w:sz w:val="32"/>
          <w:szCs w:val="32"/>
        </w:rPr>
        <w:t>[2016]31</w:t>
      </w:r>
      <w:r w:rsidR="00604DAD">
        <w:rPr>
          <w:rFonts w:eastAsia="仿宋" w:hint="eastAsia"/>
          <w:sz w:val="32"/>
          <w:szCs w:val="32"/>
        </w:rPr>
        <w:t>号）要求，你公司委托湖南省和清环境科技有限公司编制了《</w:t>
      </w:r>
      <w:r w:rsidR="00604DAD" w:rsidRPr="00C660EF">
        <w:rPr>
          <w:rFonts w:ascii="仿宋" w:eastAsia="仿宋" w:hAnsi="仿宋" w:cs="仿宋_GB2312" w:hint="eastAsia"/>
          <w:sz w:val="32"/>
          <w:szCs w:val="32"/>
        </w:rPr>
        <w:t>汨罗市（团山再生资源大市场周边）基本农田土壤污染场地治理与修复工程</w:t>
      </w:r>
      <w:r w:rsidR="00604DAD">
        <w:rPr>
          <w:rFonts w:eastAsia="仿宋" w:hint="eastAsia"/>
          <w:sz w:val="32"/>
          <w:szCs w:val="32"/>
        </w:rPr>
        <w:t>实施方案》，省环保厅出具了审查意见（湘环函</w:t>
      </w:r>
      <w:r w:rsidR="00604DAD">
        <w:rPr>
          <w:rFonts w:eastAsia="仿宋"/>
          <w:sz w:val="32"/>
          <w:szCs w:val="32"/>
        </w:rPr>
        <w:t>[2016]</w:t>
      </w:r>
      <w:r w:rsidR="00604DAD">
        <w:rPr>
          <w:rFonts w:eastAsia="仿宋" w:hint="eastAsia"/>
          <w:sz w:val="32"/>
          <w:szCs w:val="32"/>
        </w:rPr>
        <w:t>56</w:t>
      </w:r>
      <w:r w:rsidR="00604DAD">
        <w:rPr>
          <w:rFonts w:eastAsia="仿宋"/>
          <w:sz w:val="32"/>
          <w:szCs w:val="32"/>
        </w:rPr>
        <w:t>1</w:t>
      </w:r>
      <w:r w:rsidR="00604DAD">
        <w:rPr>
          <w:rFonts w:eastAsia="仿宋" w:hint="eastAsia"/>
          <w:sz w:val="32"/>
          <w:szCs w:val="32"/>
        </w:rPr>
        <w:t>号）。该治理工程位于</w:t>
      </w:r>
      <w:r w:rsidR="00604DAD">
        <w:rPr>
          <w:rFonts w:ascii="仿宋" w:eastAsia="仿宋" w:hAnsi="仿宋" w:cs="仿宋_GB2312" w:hint="eastAsia"/>
          <w:sz w:val="32"/>
          <w:szCs w:val="32"/>
        </w:rPr>
        <w:t>汨罗市新市镇团山村</w:t>
      </w:r>
      <w:r w:rsidR="00604DAD">
        <w:rPr>
          <w:rFonts w:eastAsia="仿宋" w:hint="eastAsia"/>
          <w:sz w:val="32"/>
          <w:szCs w:val="32"/>
        </w:rPr>
        <w:t>，</w:t>
      </w:r>
      <w:r w:rsidR="00604DAD">
        <w:rPr>
          <w:rFonts w:ascii="仿宋" w:eastAsia="仿宋" w:hAnsi="仿宋" w:cs="仿宋_GB2312" w:hint="eastAsia"/>
          <w:sz w:val="32"/>
          <w:szCs w:val="32"/>
        </w:rPr>
        <w:t>总投资1128.4万元，</w:t>
      </w:r>
      <w:r w:rsidR="00604DAD">
        <w:rPr>
          <w:rFonts w:eastAsia="仿宋" w:hint="eastAsia"/>
          <w:sz w:val="32"/>
          <w:szCs w:val="32"/>
        </w:rPr>
        <w:t>治理范围面积</w:t>
      </w:r>
      <w:r w:rsidR="00604DAD">
        <w:rPr>
          <w:rFonts w:eastAsia="仿宋" w:hint="eastAsia"/>
          <w:sz w:val="32"/>
          <w:szCs w:val="32"/>
        </w:rPr>
        <w:t>97026</w:t>
      </w:r>
      <w:r w:rsidR="00604DAD">
        <w:rPr>
          <w:rFonts w:eastAsia="仿宋"/>
          <w:sz w:val="32"/>
          <w:szCs w:val="32"/>
        </w:rPr>
        <w:t>m</w:t>
      </w:r>
      <w:r w:rsidR="00604DAD" w:rsidRPr="002D273E">
        <w:rPr>
          <w:rFonts w:eastAsia="仿宋"/>
          <w:sz w:val="32"/>
          <w:szCs w:val="32"/>
          <w:vertAlign w:val="superscript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。主要</w:t>
      </w:r>
      <w:r w:rsidR="00604DAD">
        <w:rPr>
          <w:rFonts w:ascii="仿宋" w:eastAsia="仿宋" w:hAnsi="仿宋" w:cs="仿宋_GB2312" w:hint="eastAsia"/>
          <w:sz w:val="32"/>
          <w:szCs w:val="32"/>
        </w:rPr>
        <w:t>实施</w:t>
      </w:r>
      <w:r>
        <w:rPr>
          <w:rFonts w:ascii="仿宋" w:eastAsia="仿宋" w:hAnsi="仿宋" w:cs="仿宋_GB2312" w:hint="eastAsia"/>
          <w:sz w:val="32"/>
          <w:szCs w:val="32"/>
        </w:rPr>
        <w:t>内容为：1、</w:t>
      </w:r>
      <w:r w:rsidR="00604DAD">
        <w:rPr>
          <w:rFonts w:ascii="仿宋" w:eastAsia="仿宋" w:hAnsi="仿宋" w:cs="仿宋_GB2312" w:hint="eastAsia"/>
          <w:sz w:val="32"/>
          <w:szCs w:val="32"/>
        </w:rPr>
        <w:t>清运渣土混合物约1.5万m</w:t>
      </w:r>
      <w:r w:rsidR="00604DAD" w:rsidRPr="00604DAD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604DAD">
        <w:rPr>
          <w:rFonts w:ascii="仿宋" w:eastAsia="仿宋" w:hAnsi="仿宋" w:cs="仿宋_GB2312" w:hint="eastAsia"/>
          <w:sz w:val="32"/>
          <w:szCs w:val="32"/>
        </w:rPr>
        <w:t>；</w:t>
      </w:r>
      <w:r w:rsidR="006E2137">
        <w:rPr>
          <w:rFonts w:ascii="仿宋" w:eastAsia="仿宋" w:hAnsi="仿宋" w:cs="仿宋_GB2312" w:hint="eastAsia"/>
          <w:sz w:val="32"/>
          <w:szCs w:val="32"/>
        </w:rPr>
        <w:t>2、</w:t>
      </w:r>
      <w:r w:rsidR="00604DAD">
        <w:rPr>
          <w:rFonts w:ascii="仿宋" w:eastAsia="仿宋" w:hAnsi="仿宋" w:cs="仿宋_GB2312" w:hint="eastAsia"/>
          <w:sz w:val="32"/>
          <w:szCs w:val="32"/>
        </w:rPr>
        <w:t>对项目范围内约5.8万m</w:t>
      </w:r>
      <w:r w:rsidR="00604DAD" w:rsidRPr="00604DAD">
        <w:rPr>
          <w:rFonts w:ascii="仿宋" w:eastAsia="仿宋" w:hAnsi="仿宋" w:cs="仿宋_GB2312" w:hint="eastAsia"/>
          <w:sz w:val="32"/>
          <w:szCs w:val="32"/>
          <w:vertAlign w:val="superscript"/>
        </w:rPr>
        <w:t>3</w:t>
      </w:r>
      <w:r w:rsidR="00604DAD">
        <w:rPr>
          <w:rFonts w:ascii="仿宋" w:eastAsia="仿宋" w:hAnsi="仿宋" w:cs="仿宋_GB2312" w:hint="eastAsia"/>
          <w:sz w:val="32"/>
          <w:szCs w:val="32"/>
        </w:rPr>
        <w:t>不同污染程度的农田土壤进行修复</w:t>
      </w:r>
      <w:r w:rsidR="00854FA1">
        <w:rPr>
          <w:rFonts w:ascii="仿宋" w:eastAsia="仿宋" w:hAnsi="仿宋" w:cs="仿宋_GB2312" w:hint="eastAsia"/>
          <w:sz w:val="32"/>
          <w:szCs w:val="32"/>
        </w:rPr>
        <w:t>；</w:t>
      </w:r>
      <w:r w:rsidR="00854FA1" w:rsidRPr="00C75585">
        <w:rPr>
          <w:rFonts w:ascii="仿宋" w:eastAsia="仿宋" w:hAnsi="仿宋" w:cs="仿宋_GB2312"/>
          <w:sz w:val="32"/>
          <w:szCs w:val="32"/>
        </w:rPr>
        <w:t>3</w:t>
      </w:r>
      <w:r w:rsidR="00C75585" w:rsidRPr="00C75585">
        <w:rPr>
          <w:rFonts w:ascii="仿宋" w:eastAsia="仿宋" w:hAnsi="仿宋" w:cs="仿宋_GB2312"/>
          <w:sz w:val="32"/>
          <w:szCs w:val="32"/>
        </w:rPr>
        <w:t>、</w:t>
      </w:r>
      <w:r w:rsidR="00854FA1" w:rsidRPr="00C75585">
        <w:rPr>
          <w:rFonts w:ascii="仿宋" w:eastAsia="仿宋" w:hAnsi="仿宋" w:cs="仿宋_GB2312"/>
          <w:sz w:val="32"/>
          <w:szCs w:val="32"/>
        </w:rPr>
        <w:t>对项目范围内污染水塘及灌溉渠道中水体和底泥进行治理；4</w:t>
      </w:r>
      <w:r w:rsidR="00C75585" w:rsidRPr="00C75585">
        <w:rPr>
          <w:rFonts w:ascii="仿宋" w:eastAsia="仿宋" w:hAnsi="仿宋" w:cs="仿宋_GB2312"/>
          <w:sz w:val="32"/>
          <w:szCs w:val="32"/>
        </w:rPr>
        <w:t>、</w:t>
      </w:r>
      <w:r w:rsidR="006E2137">
        <w:rPr>
          <w:rFonts w:ascii="仿宋" w:eastAsia="仿宋" w:hAnsi="仿宋" w:cs="仿宋_GB2312" w:hint="eastAsia"/>
          <w:sz w:val="32"/>
          <w:szCs w:val="32"/>
        </w:rPr>
        <w:t>配套</w:t>
      </w:r>
      <w:r w:rsidR="00854FA1" w:rsidRPr="00C75585">
        <w:rPr>
          <w:rFonts w:ascii="仿宋" w:eastAsia="仿宋" w:hAnsi="仿宋" w:cs="仿宋_GB2312"/>
          <w:sz w:val="32"/>
          <w:szCs w:val="32"/>
        </w:rPr>
        <w:t>灌溉</w:t>
      </w:r>
      <w:r w:rsidR="00C75585" w:rsidRPr="00C75585">
        <w:rPr>
          <w:rFonts w:ascii="仿宋" w:eastAsia="仿宋" w:hAnsi="仿宋" w:cs="仿宋_GB2312"/>
          <w:sz w:val="32"/>
          <w:szCs w:val="32"/>
        </w:rPr>
        <w:t>水生态净化、生物拦截等工程建设</w:t>
      </w:r>
      <w:r w:rsidR="00854FA1" w:rsidRPr="00C75585">
        <w:rPr>
          <w:rFonts w:ascii="仿宋" w:eastAsia="仿宋" w:hAnsi="仿宋" w:cs="仿宋_GB2312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该项目建设符合国家产业政策，对消除该区域遗留环境污染隐患，</w:t>
      </w:r>
      <w:r w:rsidR="006E2137">
        <w:rPr>
          <w:rFonts w:ascii="仿宋" w:eastAsia="仿宋" w:hAnsi="仿宋" w:cs="仿宋_GB2312" w:hint="eastAsia"/>
          <w:sz w:val="32"/>
          <w:szCs w:val="32"/>
        </w:rPr>
        <w:t>保障当地生态环境安全，防范环境风险</w:t>
      </w:r>
      <w:r w:rsidR="00F80613">
        <w:rPr>
          <w:rFonts w:ascii="仿宋" w:eastAsia="仿宋" w:hAnsi="仿宋" w:cs="仿宋_GB2312" w:hint="eastAsia"/>
          <w:sz w:val="32"/>
          <w:szCs w:val="32"/>
        </w:rPr>
        <w:t>具有重要作用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bookmarkEnd w:id="1"/>
      <w:r>
        <w:rPr>
          <w:rFonts w:ascii="仿宋" w:eastAsia="仿宋" w:hAnsi="仿宋" w:cs="仿宋_GB2312" w:hint="eastAsia"/>
          <w:sz w:val="32"/>
          <w:szCs w:val="32"/>
        </w:rPr>
        <w:t>根据湖南</w:t>
      </w:r>
      <w:r w:rsidR="00C75585">
        <w:rPr>
          <w:rFonts w:ascii="仿宋" w:eastAsia="仿宋" w:hAnsi="仿宋" w:cs="仿宋_GB2312" w:hint="eastAsia"/>
          <w:sz w:val="32"/>
          <w:szCs w:val="32"/>
        </w:rPr>
        <w:t>绿鸿</w:t>
      </w:r>
      <w:r>
        <w:rPr>
          <w:rFonts w:ascii="仿宋" w:eastAsia="仿宋" w:hAnsi="仿宋" w:cs="仿宋_GB2312" w:hint="eastAsia"/>
          <w:sz w:val="32"/>
          <w:szCs w:val="32"/>
        </w:rPr>
        <w:t>环境</w:t>
      </w:r>
      <w:r w:rsidR="00C75585">
        <w:rPr>
          <w:rFonts w:ascii="仿宋" w:eastAsia="仿宋" w:hAnsi="仿宋" w:cs="仿宋_GB2312" w:hint="eastAsia"/>
          <w:sz w:val="32"/>
          <w:szCs w:val="32"/>
        </w:rPr>
        <w:t>科技</w:t>
      </w:r>
      <w:r>
        <w:rPr>
          <w:rFonts w:ascii="仿宋" w:eastAsia="仿宋" w:hAnsi="仿宋" w:cs="仿宋_GB2312" w:hint="eastAsia"/>
          <w:sz w:val="32"/>
          <w:szCs w:val="32"/>
        </w:rPr>
        <w:t>有限</w:t>
      </w:r>
      <w:r w:rsidR="00C75585">
        <w:rPr>
          <w:rFonts w:ascii="仿宋" w:eastAsia="仿宋" w:hAnsi="仿宋" w:cs="仿宋_GB2312" w:hint="eastAsia"/>
          <w:sz w:val="32"/>
          <w:szCs w:val="32"/>
        </w:rPr>
        <w:t>责任</w:t>
      </w:r>
      <w:r>
        <w:rPr>
          <w:rFonts w:ascii="仿宋" w:eastAsia="仿宋" w:hAnsi="仿宋" w:cs="仿宋_GB2312" w:hint="eastAsia"/>
          <w:sz w:val="32"/>
          <w:szCs w:val="32"/>
        </w:rPr>
        <w:t>公司编制的《</w:t>
      </w:r>
      <w:r w:rsidR="00C75585" w:rsidRPr="00C660EF">
        <w:rPr>
          <w:rFonts w:ascii="仿宋" w:eastAsia="仿宋" w:hAnsi="仿宋" w:cs="仿宋_GB2312" w:hint="eastAsia"/>
          <w:sz w:val="32"/>
          <w:szCs w:val="32"/>
        </w:rPr>
        <w:t>汨罗市（团山再生资源大市场周边）基本农田土壤污染场地治理与修复工程环境影响报告书</w:t>
      </w:r>
      <w:r w:rsidR="006E2137">
        <w:rPr>
          <w:rFonts w:ascii="仿宋" w:eastAsia="仿宋" w:hAnsi="仿宋" w:cs="仿宋_GB2312" w:hint="eastAsia"/>
          <w:sz w:val="32"/>
          <w:szCs w:val="32"/>
        </w:rPr>
        <w:t>（报批稿）</w:t>
      </w:r>
      <w:r>
        <w:rPr>
          <w:rFonts w:ascii="仿宋" w:eastAsia="仿宋" w:hAnsi="仿宋" w:cs="仿宋_GB2312" w:hint="eastAsia"/>
          <w:sz w:val="32"/>
          <w:szCs w:val="32"/>
        </w:rPr>
        <w:t>》基本内容、结论和</w:t>
      </w:r>
      <w:r w:rsidR="00C75585">
        <w:rPr>
          <w:rFonts w:ascii="仿宋" w:eastAsia="仿宋" w:hAnsi="仿宋" w:cs="仿宋_GB2312" w:hint="eastAsia"/>
          <w:sz w:val="32"/>
          <w:szCs w:val="32"/>
        </w:rPr>
        <w:t>汨罗市环保局</w:t>
      </w:r>
      <w:r>
        <w:rPr>
          <w:rFonts w:ascii="仿宋" w:eastAsia="仿宋" w:hAnsi="仿宋" w:cs="仿宋_GB2312" w:hint="eastAsia"/>
          <w:sz w:val="32"/>
          <w:szCs w:val="32"/>
        </w:rPr>
        <w:t>预审意见及专家评审意见，从环境保护角度考虑，同意本项目</w:t>
      </w:r>
      <w:r w:rsidR="006E2137">
        <w:rPr>
          <w:rFonts w:ascii="仿宋" w:eastAsia="仿宋" w:hAnsi="仿宋" w:cs="仿宋_GB2312" w:hint="eastAsia"/>
          <w:sz w:val="32"/>
          <w:szCs w:val="32"/>
        </w:rPr>
        <w:t>实施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94343" w:rsidRDefault="00040219" w:rsidP="003F1D65">
      <w:pPr>
        <w:spacing w:line="460" w:lineRule="exact"/>
        <w:ind w:firstLineChars="0" w:firstLine="0"/>
        <w:jc w:val="both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二、项目实施应严格落实《</w:t>
      </w:r>
      <w:r w:rsidR="00C75585" w:rsidRPr="00C660EF">
        <w:rPr>
          <w:rFonts w:ascii="仿宋" w:eastAsia="仿宋" w:hAnsi="仿宋" w:cs="仿宋_GB2312" w:hint="eastAsia"/>
          <w:sz w:val="32"/>
          <w:szCs w:val="32"/>
        </w:rPr>
        <w:t>汨罗市（团山再生资源大市场</w:t>
      </w:r>
      <w:r w:rsidR="00C75585" w:rsidRPr="00C660EF">
        <w:rPr>
          <w:rFonts w:ascii="仿宋" w:eastAsia="仿宋" w:hAnsi="仿宋" w:cs="仿宋_GB2312" w:hint="eastAsia"/>
          <w:sz w:val="32"/>
          <w:szCs w:val="32"/>
        </w:rPr>
        <w:lastRenderedPageBreak/>
        <w:t>周边）基本农田土壤污染场地治理与修复工程</w:t>
      </w:r>
      <w:r w:rsidR="00C75585">
        <w:rPr>
          <w:rFonts w:eastAsia="仿宋" w:hint="eastAsia"/>
          <w:sz w:val="32"/>
          <w:szCs w:val="32"/>
        </w:rPr>
        <w:t>实施方案</w:t>
      </w:r>
      <w:r>
        <w:rPr>
          <w:rFonts w:ascii="仿宋" w:eastAsia="仿宋" w:hAnsi="仿宋" w:cs="仿宋_GB2312" w:hint="eastAsia"/>
          <w:sz w:val="32"/>
          <w:szCs w:val="32"/>
        </w:rPr>
        <w:t>》和实施方案的审查意见要求，</w:t>
      </w:r>
      <w:r w:rsidR="006E2137">
        <w:rPr>
          <w:rFonts w:ascii="仿宋" w:eastAsia="仿宋" w:hAnsi="仿宋" w:cs="仿宋_GB2312" w:hint="eastAsia"/>
          <w:sz w:val="32"/>
          <w:szCs w:val="32"/>
        </w:rPr>
        <w:t>落实</w:t>
      </w:r>
      <w:r>
        <w:rPr>
          <w:rFonts w:ascii="仿宋" w:eastAsia="仿宋" w:hAnsi="仿宋" w:cs="仿宋_GB2312" w:hint="eastAsia"/>
          <w:sz w:val="32"/>
          <w:szCs w:val="32"/>
        </w:rPr>
        <w:t>本环境影响报告书提出的各项</w:t>
      </w:r>
      <w:r w:rsidR="006E2137">
        <w:rPr>
          <w:rFonts w:ascii="仿宋" w:eastAsia="仿宋" w:hAnsi="仿宋" w:cs="仿宋_GB2312" w:hint="eastAsia"/>
          <w:sz w:val="32"/>
          <w:szCs w:val="32"/>
        </w:rPr>
        <w:t>污染防治和生态保护措施</w:t>
      </w:r>
      <w:r>
        <w:rPr>
          <w:rFonts w:ascii="仿宋" w:eastAsia="仿宋" w:hAnsi="仿宋" w:cs="仿宋_GB2312" w:hint="eastAsia"/>
          <w:sz w:val="32"/>
          <w:szCs w:val="32"/>
        </w:rPr>
        <w:t>，并应着重注意以下问题：</w:t>
      </w:r>
    </w:p>
    <w:p w:rsidR="00894343" w:rsidRDefault="00040219" w:rsidP="003F1D65">
      <w:pPr>
        <w:spacing w:line="460" w:lineRule="exact"/>
        <w:ind w:firstLine="640"/>
        <w:rPr>
          <w:rFonts w:ascii="仿宋" w:eastAsia="仿宋" w:hAnsi="仿宋" w:cs="仿宋_GB2312"/>
          <w:sz w:val="32"/>
          <w:szCs w:val="32"/>
        </w:rPr>
      </w:pPr>
      <w:bookmarkStart w:id="2" w:name="OLE_LINK4"/>
      <w:r>
        <w:rPr>
          <w:rFonts w:ascii="仿宋" w:eastAsia="仿宋" w:hAnsi="仿宋" w:cs="仿宋_GB2312" w:hint="eastAsia"/>
          <w:sz w:val="32"/>
          <w:szCs w:val="32"/>
        </w:rPr>
        <w:t>（一）确保达到治理效果。项目实施后，</w:t>
      </w:r>
      <w:r w:rsidR="00C75585">
        <w:rPr>
          <w:rFonts w:ascii="仿宋" w:eastAsia="仿宋" w:hAnsi="仿宋" w:cs="仿宋_GB2312" w:hint="eastAsia"/>
          <w:sz w:val="32"/>
          <w:szCs w:val="32"/>
        </w:rPr>
        <w:t>受污染基本农田</w:t>
      </w:r>
      <w:r>
        <w:rPr>
          <w:rFonts w:ascii="仿宋" w:eastAsia="仿宋" w:hAnsi="仿宋" w:cs="仿宋_GB2312" w:hint="eastAsia"/>
          <w:sz w:val="32"/>
          <w:szCs w:val="32"/>
        </w:rPr>
        <w:t>土壤</w:t>
      </w:r>
      <w:r w:rsidR="00C75585">
        <w:rPr>
          <w:rFonts w:ascii="仿宋" w:eastAsia="仿宋" w:hAnsi="仿宋" w:cs="仿宋_GB2312" w:hint="eastAsia"/>
          <w:sz w:val="32"/>
          <w:szCs w:val="32"/>
        </w:rPr>
        <w:t>重金属含量</w:t>
      </w:r>
      <w:r>
        <w:rPr>
          <w:rFonts w:ascii="仿宋" w:eastAsia="仿宋" w:hAnsi="仿宋" w:cs="仿宋_GB2312" w:hint="eastAsia"/>
          <w:sz w:val="32"/>
          <w:szCs w:val="32"/>
        </w:rPr>
        <w:t>达到《</w:t>
      </w:r>
      <w:r w:rsidR="00C75585">
        <w:rPr>
          <w:rFonts w:ascii="仿宋" w:eastAsia="仿宋" w:hAnsi="仿宋" w:cs="仿宋_GB2312" w:hint="eastAsia"/>
          <w:sz w:val="32"/>
          <w:szCs w:val="32"/>
        </w:rPr>
        <w:t>土壤环境质量标准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C75585">
        <w:rPr>
          <w:rFonts w:ascii="仿宋" w:eastAsia="仿宋" w:hAnsi="仿宋" w:cs="仿宋_GB2312" w:hint="eastAsia"/>
          <w:sz w:val="32"/>
          <w:szCs w:val="32"/>
        </w:rPr>
        <w:t>（GB15618-1995）二级标准（PH值6.5-7.5）；土壤修复后种植农作物中目标重金属含量低于</w:t>
      </w:r>
      <w:r>
        <w:rPr>
          <w:rFonts w:ascii="仿宋" w:eastAsia="仿宋" w:hAnsi="仿宋" w:cs="仿宋_GB2312" w:hint="eastAsia"/>
          <w:sz w:val="32"/>
          <w:szCs w:val="32"/>
        </w:rPr>
        <w:t>《</w:t>
      </w:r>
      <w:r w:rsidR="00C75585">
        <w:rPr>
          <w:rFonts w:ascii="仿宋" w:eastAsia="仿宋" w:hAnsi="仿宋" w:cs="仿宋_GB2312" w:hint="eastAsia"/>
          <w:sz w:val="32"/>
          <w:szCs w:val="32"/>
        </w:rPr>
        <w:t>食品中污染物限量</w:t>
      </w:r>
      <w:r>
        <w:rPr>
          <w:rFonts w:ascii="仿宋" w:eastAsia="仿宋" w:hAnsi="仿宋" w:cs="仿宋_GB2312" w:hint="eastAsia"/>
          <w:sz w:val="32"/>
          <w:szCs w:val="32"/>
        </w:rPr>
        <w:t>》</w:t>
      </w:r>
      <w:r w:rsidR="00C75585">
        <w:rPr>
          <w:rFonts w:ascii="仿宋" w:eastAsia="仿宋" w:hAnsi="仿宋" w:cs="仿宋_GB2312" w:hint="eastAsia"/>
          <w:sz w:val="32"/>
          <w:szCs w:val="32"/>
        </w:rPr>
        <w:t>（GB2762-2012）标准；渣土混合物及脱水底泥改良</w:t>
      </w:r>
      <w:r w:rsidR="00274D87">
        <w:rPr>
          <w:rFonts w:ascii="仿宋" w:eastAsia="仿宋" w:hAnsi="仿宋" w:cs="仿宋_GB2312" w:hint="eastAsia"/>
          <w:sz w:val="32"/>
          <w:szCs w:val="32"/>
        </w:rPr>
        <w:t>后达到《城市道路路基设计规范》（CJJ194-2013</w:t>
      </w:r>
      <w:r w:rsidR="00274D87">
        <w:rPr>
          <w:rFonts w:ascii="仿宋" w:eastAsia="仿宋" w:hAnsi="仿宋" w:cs="仿宋_GB2312"/>
          <w:sz w:val="32"/>
          <w:szCs w:val="32"/>
        </w:rPr>
        <w:t>）</w:t>
      </w:r>
      <w:r w:rsidR="00274D87">
        <w:rPr>
          <w:rFonts w:ascii="仿宋" w:eastAsia="仿宋" w:hAnsi="仿宋" w:cs="仿宋_GB2312" w:hint="eastAsia"/>
          <w:sz w:val="32"/>
          <w:szCs w:val="32"/>
        </w:rPr>
        <w:t>要求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894343" w:rsidRDefault="00040219" w:rsidP="003F1D65">
      <w:pPr>
        <w:widowControl/>
        <w:shd w:val="clear" w:color="auto" w:fill="FFFFFF"/>
        <w:spacing w:line="4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（二）加强施工期监管，</w:t>
      </w:r>
      <w:r w:rsidR="006E2137">
        <w:rPr>
          <w:rFonts w:ascii="仿宋" w:eastAsia="仿宋" w:hAnsi="仿宋" w:cs="仿宋_GB2312" w:hint="eastAsia"/>
          <w:sz w:val="32"/>
          <w:szCs w:val="32"/>
        </w:rPr>
        <w:t>落实</w:t>
      </w:r>
      <w:r>
        <w:rPr>
          <w:rFonts w:ascii="仿宋" w:eastAsia="仿宋" w:hAnsi="仿宋" w:cs="仿宋_GB2312" w:hint="eastAsia"/>
          <w:sz w:val="32"/>
          <w:szCs w:val="32"/>
        </w:rPr>
        <w:t>环境监理制度。文明施工、科学施工，合理安排施工时间和运输路线，将工程建设扰民、运输扬尘、水土流失、生态影响减小到最低限度。</w:t>
      </w:r>
    </w:p>
    <w:p w:rsidR="00894343" w:rsidRPr="00EF1E35" w:rsidRDefault="00040219" w:rsidP="00E1120A">
      <w:pPr>
        <w:adjustRightInd w:val="0"/>
        <w:snapToGrid w:val="0"/>
        <w:spacing w:line="460" w:lineRule="exact"/>
        <w:ind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（三）废水污染防治工作。项目</w:t>
      </w:r>
      <w:r w:rsidR="00EF1E35"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区域雨水</w:t>
      </w:r>
      <w:r w:rsidR="006E213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经收集</w:t>
      </w:r>
      <w:r w:rsidR="00EF1E35"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沉淀后回用于场地洒水和土壤稳定改良过程用水，不外排；施工人员生活污水用于周边菜地浇灌，不外排；淋洗废水经</w:t>
      </w:r>
      <w:r w:rsidR="00F106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收集</w:t>
      </w:r>
      <w:r w:rsidR="00EF1E35"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絮凝沉淀，达到汨罗市重金属污水处理厂进水水质标准</w:t>
      </w:r>
      <w:r w:rsidR="006E213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与</w:t>
      </w:r>
      <w:r w:rsidR="00EF1E35"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水塘和灌渠积水、底泥脱水废水一起排入汨罗市重金属污水处理厂处理</w:t>
      </w:r>
      <w:r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，达标后排入</w:t>
      </w:r>
      <w:r w:rsidR="00EF1E35"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汨罗</w:t>
      </w:r>
      <w:r w:rsidRPr="00EF1E35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江。</w:t>
      </w:r>
    </w:p>
    <w:p w:rsidR="00894343" w:rsidRPr="00A77AFE" w:rsidRDefault="00040219" w:rsidP="003F1D65">
      <w:pPr>
        <w:adjustRightInd w:val="0"/>
        <w:snapToGrid w:val="0"/>
        <w:spacing w:line="460" w:lineRule="exact"/>
        <w:ind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（四）地下水污染防治工作。按实施方案要求，对</w:t>
      </w:r>
      <w:r w:rsidR="00A77AFE"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固体废物堆放场所</w:t>
      </w:r>
      <w:r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="00A77AFE"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淋洗池</w:t>
      </w:r>
      <w:r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="00A77AFE"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EDTA溶液池</w:t>
      </w:r>
      <w:r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="00A77AFE"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废液池等</w:t>
      </w:r>
      <w:r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进行</w:t>
      </w:r>
      <w:r w:rsidR="00A77AFE"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严格</w:t>
      </w:r>
      <w:r w:rsidRPr="00A77AF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防渗处理。切实落实监测计划，定期对地下水监测井进行采样监测，确保地下水环境安全。</w:t>
      </w:r>
    </w:p>
    <w:p w:rsidR="00894343" w:rsidRPr="00061ACA" w:rsidRDefault="00040219" w:rsidP="003F1D65">
      <w:pPr>
        <w:spacing w:line="460" w:lineRule="exact"/>
        <w:ind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（五）废气污染防治工作。采取边施工边洒水等措施，降低场地开挖、</w:t>
      </w:r>
      <w:r w:rsidR="00A77AFE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运输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="00A77AFE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翻土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等过程产生的扬尘</w:t>
      </w:r>
      <w:r w:rsidR="00A77AFE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</w:t>
      </w:r>
      <w:r w:rsidR="00F106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定期</w:t>
      </w:r>
      <w:r w:rsidR="00A77AFE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对运输车辆进行清洗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</w:t>
      </w:r>
      <w:r w:rsidR="00A77AFE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对脱水场、稳定</w:t>
      </w:r>
      <w:r w:rsidR="00061ACA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固化场、淋洗场等场所合理布局，封闭隔离，并在周围设置绿化带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</w:t>
      </w:r>
      <w:r w:rsidR="00061ACA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确保颗粒物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达到《大气污染物综合排放标准》（GB16297-1996）有关限值标准，</w:t>
      </w:r>
      <w:r w:rsidR="00061ACA"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臭气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污染物满足《恶臭污染物排放标准》（GB14554-93）厂界限值。</w:t>
      </w:r>
    </w:p>
    <w:p w:rsidR="00894343" w:rsidRPr="00BE1C73" w:rsidRDefault="00040219" w:rsidP="003F1D65">
      <w:pPr>
        <w:spacing w:line="460" w:lineRule="exact"/>
        <w:ind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（六）固废防治工作。建立健全处置管理台帐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。清运渣土混合物约1.5万m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</w:rPr>
        <w:t>3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，改良后用作新建和谐路路基填土；对项目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范围内不同污染程度的农田土壤进行修复，其中重度污染土壤约</w:t>
      </w:r>
      <w:r w:rsidR="00F106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1.1万m</w:t>
      </w:r>
      <w:r w:rsidR="00F106BE" w:rsidRPr="00F106BE"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</w:rPr>
        <w:t>3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采用淋洗技术进行修复 ，中度污染土壤</w:t>
      </w:r>
      <w:r w:rsidR="00F106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1.2万m</w:t>
      </w:r>
      <w:r w:rsidR="00F106BE" w:rsidRPr="00F106BE"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</w:rPr>
        <w:t>3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采用客土改良技术进行修复</w:t>
      </w:r>
      <w:r w:rsidR="006E213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，轻度污染土壤约</w:t>
      </w:r>
      <w:r w:rsidR="00F106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3.5万m</w:t>
      </w:r>
      <w:r w:rsidR="00F106BE" w:rsidRPr="00F106BE">
        <w:rPr>
          <w:rFonts w:ascii="仿宋" w:eastAsia="仿宋" w:hAnsi="仿宋" w:cs="仿宋_GB2312" w:hint="eastAsia"/>
          <w:color w:val="000000" w:themeColor="text1"/>
          <w:sz w:val="32"/>
          <w:szCs w:val="32"/>
          <w:vertAlign w:val="superscript"/>
        </w:rPr>
        <w:t>3</w:t>
      </w:r>
      <w:r w:rsidR="006E213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采用稳定钝化技术进行处理，土壤中重金属含量达到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《土壤环境质量标准》（GB15618-1995）二级标准（PH值6.5-7.5）后回填，不外运；渣土混合物及脱水后底泥改良后达到《城市道路路基设计规范》（CJJ194-2013</w:t>
      </w:r>
      <w:r w:rsidR="00BE1C73" w:rsidRPr="00BE1C73">
        <w:rPr>
          <w:rFonts w:ascii="仿宋" w:eastAsia="仿宋" w:hAnsi="仿宋" w:cs="仿宋_GB2312"/>
          <w:color w:val="000000" w:themeColor="text1"/>
          <w:sz w:val="32"/>
          <w:szCs w:val="32"/>
        </w:rPr>
        <w:t>）</w:t>
      </w:r>
      <w:r w:rsidR="00BE1C73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要求后，用于道路铺设；处理淋洗液及絮凝沉淀物属危险废物，</w:t>
      </w:r>
      <w:r w:rsidR="00BE1C73" w:rsidRPr="00BE1C73">
        <w:rPr>
          <w:rFonts w:ascii="仿宋" w:eastAsia="仿宋" w:hAnsi="仿宋" w:cs="_4eff_5b8b_GB2312"/>
          <w:color w:val="000000" w:themeColor="text1"/>
          <w:sz w:val="32"/>
          <w:szCs w:val="32"/>
        </w:rPr>
        <w:t>按照《危险废物贮存污染控制标准》（GB18597-2001）及其修改单中相关要求</w:t>
      </w:r>
      <w:r w:rsidR="006E2137">
        <w:rPr>
          <w:rFonts w:ascii="仿宋" w:eastAsia="仿宋" w:hAnsi="仿宋" w:cs="_4eff_5b8b_GB2312" w:hint="eastAsia"/>
          <w:color w:val="000000" w:themeColor="text1"/>
          <w:sz w:val="32"/>
          <w:szCs w:val="32"/>
        </w:rPr>
        <w:t>加强管理</w:t>
      </w:r>
      <w:r w:rsidR="00BE1C73" w:rsidRPr="00BE1C73">
        <w:rPr>
          <w:rFonts w:ascii="仿宋" w:eastAsia="仿宋" w:hAnsi="仿宋" w:cs="_4eff_5b8b_GB2312"/>
          <w:color w:val="000000" w:themeColor="text1"/>
          <w:sz w:val="32"/>
          <w:szCs w:val="32"/>
        </w:rPr>
        <w:t>，</w:t>
      </w:r>
      <w:r w:rsidR="00BE1C73" w:rsidRPr="00BE1C73">
        <w:rPr>
          <w:rFonts w:ascii="仿宋" w:eastAsia="仿宋" w:hAnsi="仿宋" w:cs="_4eff_5b8b_GB2312" w:hint="eastAsia"/>
          <w:color w:val="000000" w:themeColor="text1"/>
          <w:sz w:val="32"/>
          <w:szCs w:val="32"/>
        </w:rPr>
        <w:t>定期</w:t>
      </w:r>
      <w:r w:rsidR="00BE1C73" w:rsidRPr="00BE1C73">
        <w:rPr>
          <w:rFonts w:ascii="仿宋" w:eastAsia="仿宋" w:hAnsi="仿宋" w:cs="_4eff_5b8b_GB2312"/>
          <w:color w:val="000000" w:themeColor="text1"/>
          <w:sz w:val="32"/>
          <w:szCs w:val="32"/>
        </w:rPr>
        <w:t>交有资质单位处置；</w:t>
      </w:r>
      <w:r w:rsidR="00061ACA" w:rsidRPr="00BE1C73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施工中产生的建筑垃圾、地表杂物和</w:t>
      </w:r>
      <w:r w:rsidRPr="00BE1C73">
        <w:rPr>
          <w:rFonts w:ascii="仿宋" w:eastAsia="仿宋" w:hAnsi="仿宋" w:cs="_4eff_5b8b_GB2312"/>
          <w:bCs/>
          <w:color w:val="000000" w:themeColor="text1"/>
          <w:sz w:val="32"/>
          <w:szCs w:val="32"/>
        </w:rPr>
        <w:t>生活垃圾</w:t>
      </w:r>
      <w:r w:rsidR="00061ACA" w:rsidRPr="00BE1C73">
        <w:rPr>
          <w:rFonts w:ascii="仿宋" w:eastAsia="仿宋" w:hAnsi="仿宋" w:cs="_4eff_5b8b_GB2312" w:hint="eastAsia"/>
          <w:bCs/>
          <w:color w:val="000000" w:themeColor="text1"/>
          <w:sz w:val="32"/>
          <w:szCs w:val="32"/>
        </w:rPr>
        <w:t>一起</w:t>
      </w:r>
      <w:r w:rsidRPr="00BE1C73">
        <w:rPr>
          <w:rFonts w:ascii="仿宋" w:eastAsia="仿宋" w:hAnsi="仿宋" w:cs="_4eff_5b8b_GB2312"/>
          <w:bCs/>
          <w:color w:val="000000" w:themeColor="text1"/>
          <w:sz w:val="32"/>
          <w:szCs w:val="32"/>
        </w:rPr>
        <w:t>交由环卫部门统一收集处理。</w:t>
      </w:r>
    </w:p>
    <w:p w:rsidR="00894343" w:rsidRPr="00061ACA" w:rsidRDefault="00040219" w:rsidP="00E1120A">
      <w:pPr>
        <w:spacing w:line="460" w:lineRule="exact"/>
        <w:ind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（六</w:t>
      </w:r>
      <w:r w:rsidRPr="00061ACA">
        <w:rPr>
          <w:rFonts w:ascii="仿宋" w:eastAsia="仿宋" w:hAnsi="仿宋" w:cs="仿宋_GB2312"/>
          <w:color w:val="000000" w:themeColor="text1"/>
          <w:sz w:val="32"/>
          <w:szCs w:val="32"/>
        </w:rPr>
        <w:t>）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噪声污染防治工作。合理安排施工作业时间，通过隔声、减振和车辆限速、禁鸣等措施，确保施工期噪声满足《建筑施工场界环境噪声排放标准》（</w:t>
      </w:r>
      <w:r w:rsidRPr="00061ACA">
        <w:rPr>
          <w:rFonts w:ascii="仿宋" w:eastAsia="仿宋" w:hAnsi="仿宋" w:cs="仿宋_GB2312"/>
          <w:color w:val="000000" w:themeColor="text1"/>
          <w:sz w:val="32"/>
          <w:szCs w:val="32"/>
        </w:rPr>
        <w:t>GB12523-2011</w:t>
      </w:r>
      <w:r w:rsidRPr="00061AC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）限值要求。</w:t>
      </w:r>
    </w:p>
    <w:p w:rsidR="00894343" w:rsidRPr="008C3B72" w:rsidRDefault="00040219" w:rsidP="003F1D65">
      <w:pPr>
        <w:spacing w:line="460" w:lineRule="exact"/>
        <w:ind w:firstLineChars="0" w:firstLine="645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（七）生态保护工作。加强水土保持措施的落实，做好植被恢复、生态保护工作。土壤</w:t>
      </w:r>
      <w:r w:rsidR="00BE1C73"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治理后，</w:t>
      </w:r>
      <w:r w:rsidR="007C0EF7"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及时种植</w:t>
      </w:r>
      <w:r w:rsidR="006E213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植物</w:t>
      </w:r>
      <w:r w:rsidR="007C0EF7"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，缩短地表裸露时间，并加强管理，避免再次污染</w:t>
      </w: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  <w:bookmarkEnd w:id="2"/>
    </w:p>
    <w:p w:rsidR="00894343" w:rsidRPr="008C3B72" w:rsidRDefault="00040219" w:rsidP="003F1D65">
      <w:pPr>
        <w:spacing w:line="460" w:lineRule="exact"/>
        <w:ind w:firstLineChars="0" w:firstLine="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四、你公司应在收到本批复后15个工作日内，将批复及批准的环评报告文件送至</w:t>
      </w:r>
      <w:r w:rsidR="007C0EF7"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汨罗市</w:t>
      </w: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人民政府</w:t>
      </w:r>
      <w:r w:rsidR="007C0EF7"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、汨罗市环境保护局、湖南绿鸿环境科技有限责任公司</w:t>
      </w: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894343" w:rsidRPr="008C3B72" w:rsidRDefault="00040219" w:rsidP="003F1D65">
      <w:pPr>
        <w:spacing w:line="460" w:lineRule="exact"/>
        <w:ind w:firstLineChars="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五、本项目实施的监督检查和施工现场及日常环境管理工作由</w:t>
      </w:r>
      <w:r w:rsidR="007C0EF7"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汨罗市环境保护局</w:t>
      </w: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具体负责。  </w:t>
      </w:r>
    </w:p>
    <w:p w:rsidR="00894343" w:rsidRDefault="00894343" w:rsidP="003F1D65">
      <w:pPr>
        <w:spacing w:line="460" w:lineRule="exact"/>
        <w:ind w:firstLineChars="0" w:firstLine="640"/>
        <w:jc w:val="both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</w:p>
    <w:p w:rsidR="003F1D65" w:rsidRDefault="003F1D65" w:rsidP="003F1D65">
      <w:pPr>
        <w:spacing w:line="460" w:lineRule="exact"/>
        <w:ind w:firstLineChars="0" w:firstLine="640"/>
        <w:jc w:val="both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</w:p>
    <w:p w:rsidR="003F1D65" w:rsidRPr="008C3B72" w:rsidRDefault="003F1D65" w:rsidP="003F1D65">
      <w:pPr>
        <w:spacing w:line="460" w:lineRule="exact"/>
        <w:ind w:firstLineChars="0" w:firstLine="64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p w:rsidR="00894343" w:rsidRPr="008C3B72" w:rsidRDefault="00040219" w:rsidP="003F1D65">
      <w:pPr>
        <w:spacing w:line="460" w:lineRule="exact"/>
        <w:ind w:firstLineChars="0" w:firstLine="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                          岳阳市环境保护局</w:t>
      </w:r>
    </w:p>
    <w:p w:rsidR="00894343" w:rsidRPr="003F1D65" w:rsidRDefault="00040219" w:rsidP="003F1D65">
      <w:pPr>
        <w:spacing w:line="460" w:lineRule="exact"/>
        <w:ind w:firstLineChars="0" w:firstLine="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 xml:space="preserve">                              2017年11月</w:t>
      </w:r>
      <w:r w:rsidR="00B247EF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1</w:t>
      </w:r>
      <w:r w:rsidR="00F106B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0</w:t>
      </w:r>
      <w:r w:rsidRPr="008C3B7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</w:t>
      </w:r>
    </w:p>
    <w:tbl>
      <w:tblPr>
        <w:tblStyle w:val="a7"/>
        <w:tblpPr w:leftFromText="180" w:rightFromText="180" w:vertAnchor="text" w:horzAnchor="margin" w:tblpY="557"/>
        <w:tblW w:w="872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720"/>
      </w:tblGrid>
      <w:tr w:rsidR="003F1D65" w:rsidRPr="008C3B72" w:rsidTr="003F1D65">
        <w:tc>
          <w:tcPr>
            <w:tcW w:w="8720" w:type="dxa"/>
          </w:tcPr>
          <w:p w:rsidR="003F1D65" w:rsidRPr="008C3B72" w:rsidRDefault="003F1D65" w:rsidP="003F1D65">
            <w:pPr>
              <w:spacing w:line="460" w:lineRule="exact"/>
              <w:ind w:firstLine="640"/>
              <w:jc w:val="both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8C3B72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抄送：汨罗市人民政府、汨罗市环境保护局、湖南绿鸿环境科技有限责任公司</w:t>
            </w:r>
          </w:p>
        </w:tc>
      </w:tr>
    </w:tbl>
    <w:p w:rsidR="00894343" w:rsidRPr="008C3B72" w:rsidRDefault="00894343" w:rsidP="003F1D65">
      <w:pPr>
        <w:spacing w:line="460" w:lineRule="exact"/>
        <w:ind w:firstLineChars="0" w:firstLine="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</w:p>
    <w:sectPr w:rsidR="00894343" w:rsidRPr="008C3B72" w:rsidSect="00894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73" w:rsidRDefault="00961D73" w:rsidP="00894343">
      <w:pPr>
        <w:ind w:firstLine="400"/>
      </w:pPr>
      <w:r>
        <w:separator/>
      </w:r>
    </w:p>
  </w:endnote>
  <w:endnote w:type="continuationSeparator" w:id="1">
    <w:p w:rsidR="00961D73" w:rsidRDefault="00961D73" w:rsidP="00894343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43" w:rsidRDefault="0089434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008167"/>
    </w:sdtPr>
    <w:sdtContent>
      <w:p w:rsidR="00894343" w:rsidRDefault="002A70C1">
        <w:pPr>
          <w:pStyle w:val="a5"/>
          <w:ind w:firstLine="360"/>
          <w:jc w:val="center"/>
        </w:pPr>
        <w:r>
          <w:fldChar w:fldCharType="begin"/>
        </w:r>
        <w:r w:rsidR="00040219">
          <w:instrText>PAGE   \* MERGEFORMAT</w:instrText>
        </w:r>
        <w:r>
          <w:fldChar w:fldCharType="separate"/>
        </w:r>
        <w:r w:rsidR="00834DDE" w:rsidRPr="00834DDE">
          <w:rPr>
            <w:noProof/>
            <w:lang w:val="zh-CN"/>
          </w:rPr>
          <w:t>2</w:t>
        </w:r>
        <w:r>
          <w:fldChar w:fldCharType="end"/>
        </w:r>
      </w:p>
    </w:sdtContent>
  </w:sdt>
  <w:p w:rsidR="00894343" w:rsidRDefault="0089434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43" w:rsidRDefault="0089434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73" w:rsidRDefault="00961D73" w:rsidP="00894343">
      <w:pPr>
        <w:ind w:firstLine="400"/>
      </w:pPr>
      <w:r>
        <w:separator/>
      </w:r>
    </w:p>
  </w:footnote>
  <w:footnote w:type="continuationSeparator" w:id="1">
    <w:p w:rsidR="00961D73" w:rsidRDefault="00961D73" w:rsidP="00894343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43" w:rsidRDefault="00894343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43" w:rsidRDefault="00894343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43" w:rsidRDefault="00894343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E15"/>
    <w:rsid w:val="00012706"/>
    <w:rsid w:val="00015B44"/>
    <w:rsid w:val="00022ABF"/>
    <w:rsid w:val="00035643"/>
    <w:rsid w:val="00035B8B"/>
    <w:rsid w:val="00040219"/>
    <w:rsid w:val="00042308"/>
    <w:rsid w:val="00052FE9"/>
    <w:rsid w:val="00054C40"/>
    <w:rsid w:val="00061ACA"/>
    <w:rsid w:val="00074170"/>
    <w:rsid w:val="00084EF3"/>
    <w:rsid w:val="000873FE"/>
    <w:rsid w:val="000970CB"/>
    <w:rsid w:val="00097EC6"/>
    <w:rsid w:val="000A3897"/>
    <w:rsid w:val="000A5312"/>
    <w:rsid w:val="000D30BD"/>
    <w:rsid w:val="000D5C5D"/>
    <w:rsid w:val="000F5F3A"/>
    <w:rsid w:val="000F5FAA"/>
    <w:rsid w:val="000F612A"/>
    <w:rsid w:val="00103BF6"/>
    <w:rsid w:val="00107B58"/>
    <w:rsid w:val="00111B16"/>
    <w:rsid w:val="00123117"/>
    <w:rsid w:val="001245E6"/>
    <w:rsid w:val="00130348"/>
    <w:rsid w:val="00130818"/>
    <w:rsid w:val="00147348"/>
    <w:rsid w:val="00155BD4"/>
    <w:rsid w:val="00161E99"/>
    <w:rsid w:val="001930CC"/>
    <w:rsid w:val="001973C3"/>
    <w:rsid w:val="001A1209"/>
    <w:rsid w:val="001A695B"/>
    <w:rsid w:val="001A6C69"/>
    <w:rsid w:val="001B7363"/>
    <w:rsid w:val="001E2B0D"/>
    <w:rsid w:val="001E7449"/>
    <w:rsid w:val="001F1B9E"/>
    <w:rsid w:val="00211F7A"/>
    <w:rsid w:val="00213006"/>
    <w:rsid w:val="00224008"/>
    <w:rsid w:val="00232A93"/>
    <w:rsid w:val="00240B15"/>
    <w:rsid w:val="00250CFC"/>
    <w:rsid w:val="00252D66"/>
    <w:rsid w:val="0025619F"/>
    <w:rsid w:val="00274D87"/>
    <w:rsid w:val="002845A5"/>
    <w:rsid w:val="00285736"/>
    <w:rsid w:val="0029106B"/>
    <w:rsid w:val="00291E15"/>
    <w:rsid w:val="00292CA5"/>
    <w:rsid w:val="00294352"/>
    <w:rsid w:val="0029528B"/>
    <w:rsid w:val="002A0AC1"/>
    <w:rsid w:val="002A2379"/>
    <w:rsid w:val="002A70C1"/>
    <w:rsid w:val="002B068F"/>
    <w:rsid w:val="002B22E1"/>
    <w:rsid w:val="002C5AC0"/>
    <w:rsid w:val="002D122E"/>
    <w:rsid w:val="002D26E5"/>
    <w:rsid w:val="002E598E"/>
    <w:rsid w:val="002F5E9D"/>
    <w:rsid w:val="0032397D"/>
    <w:rsid w:val="003321FA"/>
    <w:rsid w:val="003369EA"/>
    <w:rsid w:val="00361E6B"/>
    <w:rsid w:val="0036452C"/>
    <w:rsid w:val="00376836"/>
    <w:rsid w:val="00377D31"/>
    <w:rsid w:val="00390615"/>
    <w:rsid w:val="003A32B9"/>
    <w:rsid w:val="003B6DC3"/>
    <w:rsid w:val="003C0522"/>
    <w:rsid w:val="003C6F21"/>
    <w:rsid w:val="003E069F"/>
    <w:rsid w:val="003E34A8"/>
    <w:rsid w:val="003F1D65"/>
    <w:rsid w:val="0040580D"/>
    <w:rsid w:val="0040765A"/>
    <w:rsid w:val="00417DDF"/>
    <w:rsid w:val="004303E7"/>
    <w:rsid w:val="00432AA0"/>
    <w:rsid w:val="00437228"/>
    <w:rsid w:val="0043738D"/>
    <w:rsid w:val="004444BF"/>
    <w:rsid w:val="00445ECD"/>
    <w:rsid w:val="00446C61"/>
    <w:rsid w:val="0046246B"/>
    <w:rsid w:val="004654EF"/>
    <w:rsid w:val="00482257"/>
    <w:rsid w:val="00482F5B"/>
    <w:rsid w:val="004925E4"/>
    <w:rsid w:val="004A3BE4"/>
    <w:rsid w:val="004B72A5"/>
    <w:rsid w:val="004C3F37"/>
    <w:rsid w:val="004C6B52"/>
    <w:rsid w:val="004C7F73"/>
    <w:rsid w:val="004D0B4F"/>
    <w:rsid w:val="004D2546"/>
    <w:rsid w:val="004D3ADA"/>
    <w:rsid w:val="004E07E3"/>
    <w:rsid w:val="00502466"/>
    <w:rsid w:val="005053B1"/>
    <w:rsid w:val="00525092"/>
    <w:rsid w:val="00525229"/>
    <w:rsid w:val="00530CA2"/>
    <w:rsid w:val="00533A81"/>
    <w:rsid w:val="005440B1"/>
    <w:rsid w:val="005626AF"/>
    <w:rsid w:val="0056646E"/>
    <w:rsid w:val="00566FBA"/>
    <w:rsid w:val="00572F5E"/>
    <w:rsid w:val="00583E8D"/>
    <w:rsid w:val="00587DF7"/>
    <w:rsid w:val="00597138"/>
    <w:rsid w:val="005B4CF5"/>
    <w:rsid w:val="005C6B39"/>
    <w:rsid w:val="005D36E0"/>
    <w:rsid w:val="005F77E9"/>
    <w:rsid w:val="00604DAD"/>
    <w:rsid w:val="00615481"/>
    <w:rsid w:val="00616833"/>
    <w:rsid w:val="0062211F"/>
    <w:rsid w:val="00633974"/>
    <w:rsid w:val="00640E84"/>
    <w:rsid w:val="00652F59"/>
    <w:rsid w:val="0066136B"/>
    <w:rsid w:val="00665B86"/>
    <w:rsid w:val="00666C0B"/>
    <w:rsid w:val="00672C9F"/>
    <w:rsid w:val="00687B9B"/>
    <w:rsid w:val="006A787A"/>
    <w:rsid w:val="006A7A47"/>
    <w:rsid w:val="006B7987"/>
    <w:rsid w:val="006E0FF0"/>
    <w:rsid w:val="006E2137"/>
    <w:rsid w:val="006F5DBC"/>
    <w:rsid w:val="006F7944"/>
    <w:rsid w:val="00713601"/>
    <w:rsid w:val="00723737"/>
    <w:rsid w:val="00725468"/>
    <w:rsid w:val="007418F7"/>
    <w:rsid w:val="00743BFD"/>
    <w:rsid w:val="00744B18"/>
    <w:rsid w:val="007579C1"/>
    <w:rsid w:val="00765E26"/>
    <w:rsid w:val="00766129"/>
    <w:rsid w:val="00767582"/>
    <w:rsid w:val="0077141D"/>
    <w:rsid w:val="00776205"/>
    <w:rsid w:val="00776935"/>
    <w:rsid w:val="00783EF2"/>
    <w:rsid w:val="00787165"/>
    <w:rsid w:val="007903D5"/>
    <w:rsid w:val="007C0EF7"/>
    <w:rsid w:val="007D4352"/>
    <w:rsid w:val="0082210C"/>
    <w:rsid w:val="00823C08"/>
    <w:rsid w:val="00834ADC"/>
    <w:rsid w:val="00834DDE"/>
    <w:rsid w:val="00840229"/>
    <w:rsid w:val="00854FA1"/>
    <w:rsid w:val="00855A52"/>
    <w:rsid w:val="00864C23"/>
    <w:rsid w:val="00875284"/>
    <w:rsid w:val="00885129"/>
    <w:rsid w:val="00894343"/>
    <w:rsid w:val="00895464"/>
    <w:rsid w:val="008A1700"/>
    <w:rsid w:val="008B7B7C"/>
    <w:rsid w:val="008C15C3"/>
    <w:rsid w:val="008C3B72"/>
    <w:rsid w:val="008C77D9"/>
    <w:rsid w:val="008D625E"/>
    <w:rsid w:val="008F775A"/>
    <w:rsid w:val="009011E1"/>
    <w:rsid w:val="00904D7E"/>
    <w:rsid w:val="009363FA"/>
    <w:rsid w:val="00953050"/>
    <w:rsid w:val="0095609E"/>
    <w:rsid w:val="009611E9"/>
    <w:rsid w:val="00961D73"/>
    <w:rsid w:val="00975180"/>
    <w:rsid w:val="00984573"/>
    <w:rsid w:val="009918FF"/>
    <w:rsid w:val="00995575"/>
    <w:rsid w:val="009B70CD"/>
    <w:rsid w:val="009E5F48"/>
    <w:rsid w:val="009F098D"/>
    <w:rsid w:val="00A11302"/>
    <w:rsid w:val="00A11C3D"/>
    <w:rsid w:val="00A2658A"/>
    <w:rsid w:val="00A35BED"/>
    <w:rsid w:val="00A37612"/>
    <w:rsid w:val="00A41780"/>
    <w:rsid w:val="00A43F85"/>
    <w:rsid w:val="00A449F2"/>
    <w:rsid w:val="00A54770"/>
    <w:rsid w:val="00A562C4"/>
    <w:rsid w:val="00A61593"/>
    <w:rsid w:val="00A6408D"/>
    <w:rsid w:val="00A67986"/>
    <w:rsid w:val="00A74889"/>
    <w:rsid w:val="00A77AFE"/>
    <w:rsid w:val="00AB1553"/>
    <w:rsid w:val="00AD3062"/>
    <w:rsid w:val="00AF5D77"/>
    <w:rsid w:val="00AF701E"/>
    <w:rsid w:val="00AF7088"/>
    <w:rsid w:val="00B23BAA"/>
    <w:rsid w:val="00B247EF"/>
    <w:rsid w:val="00B316C7"/>
    <w:rsid w:val="00B32507"/>
    <w:rsid w:val="00B52DE6"/>
    <w:rsid w:val="00B5667A"/>
    <w:rsid w:val="00B7050E"/>
    <w:rsid w:val="00BB3591"/>
    <w:rsid w:val="00BB4C9A"/>
    <w:rsid w:val="00BC2F68"/>
    <w:rsid w:val="00BC3139"/>
    <w:rsid w:val="00BC7220"/>
    <w:rsid w:val="00BE1C73"/>
    <w:rsid w:val="00BE34E3"/>
    <w:rsid w:val="00BF0C79"/>
    <w:rsid w:val="00BF1752"/>
    <w:rsid w:val="00C03909"/>
    <w:rsid w:val="00C044A2"/>
    <w:rsid w:val="00C059D6"/>
    <w:rsid w:val="00C0706C"/>
    <w:rsid w:val="00C154D7"/>
    <w:rsid w:val="00C21ADA"/>
    <w:rsid w:val="00C236A6"/>
    <w:rsid w:val="00C265F1"/>
    <w:rsid w:val="00C36821"/>
    <w:rsid w:val="00C401E9"/>
    <w:rsid w:val="00C54C1C"/>
    <w:rsid w:val="00C648B7"/>
    <w:rsid w:val="00C660EF"/>
    <w:rsid w:val="00C713C1"/>
    <w:rsid w:val="00C75585"/>
    <w:rsid w:val="00C80F73"/>
    <w:rsid w:val="00C95020"/>
    <w:rsid w:val="00CA1C9E"/>
    <w:rsid w:val="00CC18F9"/>
    <w:rsid w:val="00CC5D72"/>
    <w:rsid w:val="00CF00F2"/>
    <w:rsid w:val="00CF0B2E"/>
    <w:rsid w:val="00CF3B24"/>
    <w:rsid w:val="00CF5C33"/>
    <w:rsid w:val="00D06391"/>
    <w:rsid w:val="00D208AA"/>
    <w:rsid w:val="00D228F0"/>
    <w:rsid w:val="00D236B8"/>
    <w:rsid w:val="00D27F9C"/>
    <w:rsid w:val="00D35BC7"/>
    <w:rsid w:val="00D36D82"/>
    <w:rsid w:val="00D44DC6"/>
    <w:rsid w:val="00D5300A"/>
    <w:rsid w:val="00D60971"/>
    <w:rsid w:val="00D67C64"/>
    <w:rsid w:val="00D776BD"/>
    <w:rsid w:val="00D810FB"/>
    <w:rsid w:val="00DB157F"/>
    <w:rsid w:val="00DB3E56"/>
    <w:rsid w:val="00DD266F"/>
    <w:rsid w:val="00DE0596"/>
    <w:rsid w:val="00DE262F"/>
    <w:rsid w:val="00DF5DD1"/>
    <w:rsid w:val="00E01A2C"/>
    <w:rsid w:val="00E1120A"/>
    <w:rsid w:val="00E12E05"/>
    <w:rsid w:val="00E1471E"/>
    <w:rsid w:val="00E2447E"/>
    <w:rsid w:val="00E47750"/>
    <w:rsid w:val="00E53171"/>
    <w:rsid w:val="00E53DC8"/>
    <w:rsid w:val="00E54A98"/>
    <w:rsid w:val="00E57086"/>
    <w:rsid w:val="00E621FB"/>
    <w:rsid w:val="00E64F18"/>
    <w:rsid w:val="00E661DC"/>
    <w:rsid w:val="00E70ADD"/>
    <w:rsid w:val="00E77A58"/>
    <w:rsid w:val="00E77D83"/>
    <w:rsid w:val="00E82CEB"/>
    <w:rsid w:val="00E83E78"/>
    <w:rsid w:val="00E93909"/>
    <w:rsid w:val="00EA03AD"/>
    <w:rsid w:val="00EB3D27"/>
    <w:rsid w:val="00EB404C"/>
    <w:rsid w:val="00EB40A1"/>
    <w:rsid w:val="00ED71EE"/>
    <w:rsid w:val="00ED7634"/>
    <w:rsid w:val="00ED7D68"/>
    <w:rsid w:val="00EE6B68"/>
    <w:rsid w:val="00EF1E35"/>
    <w:rsid w:val="00EF76DA"/>
    <w:rsid w:val="00F067A3"/>
    <w:rsid w:val="00F106BE"/>
    <w:rsid w:val="00F153A4"/>
    <w:rsid w:val="00F2206D"/>
    <w:rsid w:val="00F22DA7"/>
    <w:rsid w:val="00F240DF"/>
    <w:rsid w:val="00F254EA"/>
    <w:rsid w:val="00F35842"/>
    <w:rsid w:val="00F51259"/>
    <w:rsid w:val="00F5785D"/>
    <w:rsid w:val="00F80613"/>
    <w:rsid w:val="00F83526"/>
    <w:rsid w:val="00F93799"/>
    <w:rsid w:val="00F95CC8"/>
    <w:rsid w:val="00FA6DF7"/>
    <w:rsid w:val="00FD6FEC"/>
    <w:rsid w:val="00FE56BF"/>
    <w:rsid w:val="50DD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43"/>
    <w:pPr>
      <w:widowControl w:val="0"/>
      <w:ind w:firstLineChars="200" w:firstLine="2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9434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9434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943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rsid w:val="00894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89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5"/>
    <w:uiPriority w:val="99"/>
    <w:qFormat/>
    <w:rsid w:val="00894343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qFormat/>
    <w:rsid w:val="0089434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WPSPlain">
    <w:name w:val="WPS Plain"/>
    <w:rsid w:val="00894343"/>
    <w:rPr>
      <w:rFonts w:ascii="Times New Roman" w:eastAsia="宋体" w:hAnsi="Times New Roman" w:cs="Times New Roman"/>
    </w:rPr>
  </w:style>
  <w:style w:type="character" w:customStyle="1" w:styleId="cucd-0CharChar">
    <w:name w:val="cucd-0 Char Char"/>
    <w:link w:val="cucd-0"/>
    <w:qFormat/>
    <w:locked/>
    <w:rsid w:val="00894343"/>
    <w:rPr>
      <w:sz w:val="28"/>
      <w:szCs w:val="28"/>
    </w:rPr>
  </w:style>
  <w:style w:type="paragraph" w:customStyle="1" w:styleId="cucd-0">
    <w:name w:val="cucd-0"/>
    <w:basedOn w:val="a"/>
    <w:link w:val="cucd-0CharChar"/>
    <w:qFormat/>
    <w:rsid w:val="00894343"/>
    <w:pPr>
      <w:widowControl/>
      <w:spacing w:line="360" w:lineRule="auto"/>
      <w:ind w:firstLine="56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sid w:val="00894343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894343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rsid w:val="0089434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894343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styleId="a8">
    <w:name w:val="List Paragraph"/>
    <w:basedOn w:val="a"/>
    <w:uiPriority w:val="99"/>
    <w:unhideWhenUsed/>
    <w:rsid w:val="00604DAD"/>
    <w:pPr>
      <w:ind w:firstLine="420"/>
    </w:pPr>
  </w:style>
  <w:style w:type="character" w:customStyle="1" w:styleId="fontstyle01">
    <w:name w:val="fontstyle01"/>
    <w:basedOn w:val="a0"/>
    <w:rsid w:val="00854FA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spk1 yyhbj</dc:creator>
  <cp:lastModifiedBy>Windows 用户</cp:lastModifiedBy>
  <cp:revision>2</cp:revision>
  <cp:lastPrinted>2017-11-01T06:44:00Z</cp:lastPrinted>
  <dcterms:created xsi:type="dcterms:W3CDTF">2017-11-06T08:45:00Z</dcterms:created>
  <dcterms:modified xsi:type="dcterms:W3CDTF">2017-11-06T08:45:00Z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